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A6F8E" w:rsidRDefault="006A6F8E" w:rsidP="006A6F8E">
      <w:pPr>
        <w:jc w:val="center"/>
        <w:rPr>
          <w:b/>
          <w:sz w:val="28"/>
          <w:u w:val="single"/>
        </w:rPr>
      </w:pPr>
      <w:r>
        <w:rPr>
          <w:b/>
          <w:sz w:val="28"/>
          <w:u w:val="single"/>
        </w:rPr>
        <w:t>Phoebe McGowan (1600144)</w:t>
      </w:r>
    </w:p>
    <w:p w:rsidR="006A6F8E" w:rsidRDefault="006A6F8E" w:rsidP="006A6F8E">
      <w:pPr>
        <w:jc w:val="center"/>
        <w:rPr>
          <w:b/>
          <w:sz w:val="28"/>
          <w:u w:val="single"/>
        </w:rPr>
      </w:pPr>
      <w:r>
        <w:rPr>
          <w:b/>
          <w:sz w:val="28"/>
          <w:u w:val="single"/>
        </w:rPr>
        <w:t>Art and Archaeology in Ancient Islam: 650-1566 (AHAC5018)</w:t>
      </w:r>
    </w:p>
    <w:p w:rsidR="006A6F8E" w:rsidRDefault="006A6F8E" w:rsidP="006A6F8E">
      <w:pPr>
        <w:jc w:val="center"/>
        <w:rPr>
          <w:b/>
          <w:sz w:val="28"/>
          <w:u w:val="single"/>
        </w:rPr>
      </w:pPr>
      <w:r w:rsidRPr="0054433D">
        <w:rPr>
          <w:b/>
          <w:sz w:val="28"/>
          <w:u w:val="single"/>
        </w:rPr>
        <w:t xml:space="preserve">‘Islam does not permit the </w:t>
      </w:r>
      <w:r>
        <w:rPr>
          <w:b/>
          <w:sz w:val="28"/>
          <w:u w:val="single"/>
        </w:rPr>
        <w:t>representation of human figures’. I</w:t>
      </w:r>
      <w:r w:rsidRPr="0054433D">
        <w:rPr>
          <w:b/>
          <w:sz w:val="28"/>
          <w:u w:val="single"/>
        </w:rPr>
        <w:t>s this statement true? Discuss the follo</w:t>
      </w:r>
      <w:r>
        <w:rPr>
          <w:b/>
          <w:sz w:val="28"/>
          <w:u w:val="single"/>
        </w:rPr>
        <w:t xml:space="preserve">wing statement in reference to </w:t>
      </w:r>
      <w:r w:rsidRPr="0054433D">
        <w:rPr>
          <w:b/>
          <w:sz w:val="28"/>
          <w:u w:val="single"/>
        </w:rPr>
        <w:t>examples of Islamic art you have studied</w:t>
      </w:r>
      <w:r>
        <w:rPr>
          <w:b/>
          <w:sz w:val="28"/>
          <w:u w:val="single"/>
        </w:rPr>
        <w:t>.</w:t>
      </w:r>
    </w:p>
    <w:p w:rsidR="00206131" w:rsidRDefault="00206131"/>
    <w:p w:rsidR="009B13E3" w:rsidRDefault="009B13E3"/>
    <w:p w:rsidR="009B13E3" w:rsidRPr="00DE627C" w:rsidRDefault="009B13E3">
      <w:bookmarkStart w:id="0" w:name="_GoBack"/>
      <w:bookmarkEnd w:id="0"/>
      <w:r w:rsidRPr="00DE627C">
        <w:t xml:space="preserve">The representation of human figures within Islamic art, or rather craftsmanship, has been a topic heavily debated </w:t>
      </w:r>
      <w:r w:rsidR="004C4F75" w:rsidRPr="00DE627C">
        <w:t>amongst historians and archaeologists and has become a written</w:t>
      </w:r>
      <w:r w:rsidR="00302083" w:rsidRPr="00DE627C">
        <w:t xml:space="preserve"> focus within global news</w:t>
      </w:r>
      <w:r w:rsidR="004C4F75" w:rsidRPr="00DE627C">
        <w:t xml:space="preserve">. </w:t>
      </w:r>
      <w:r w:rsidR="00F9490E" w:rsidRPr="00DE627C">
        <w:t>For the sake of this essay, it is important to determine what exactly is meant by ‘human figures’. In my opinion, it refers to the representation of ordinary people, as well as devoutly religious people such as prophets and even Allah himself. These are the types of figures that I will be looking at when referring to sources</w:t>
      </w:r>
      <w:r w:rsidR="00652D8B" w:rsidRPr="00DE627C">
        <w:t>,</w:t>
      </w:r>
      <w:r w:rsidR="00F9490E" w:rsidRPr="00DE627C">
        <w:t xml:space="preserve"> which will help me to build upon my argument. </w:t>
      </w:r>
      <w:r w:rsidR="00FA0C74" w:rsidRPr="00DE627C">
        <w:t>In this essay, I hope to take on this topic that is not only restricted to history and the historiography of such</w:t>
      </w:r>
      <w:r w:rsidR="00197684" w:rsidRPr="00DE627C">
        <w:t xml:space="preserve"> a debate, but a</w:t>
      </w:r>
      <w:r w:rsidR="00FA0C74" w:rsidRPr="00DE627C">
        <w:t>lso</w:t>
      </w:r>
      <w:r w:rsidR="00197684" w:rsidRPr="00DE627C">
        <w:t xml:space="preserve"> a subject that can</w:t>
      </w:r>
      <w:r w:rsidR="00FA0C74" w:rsidRPr="00DE627C">
        <w:t xml:space="preserve"> be found within political conversation. </w:t>
      </w:r>
      <w:r w:rsidR="00652D8B" w:rsidRPr="00DE627C">
        <w:t>I will</w:t>
      </w:r>
      <w:r w:rsidR="00197684" w:rsidRPr="00DE627C">
        <w:t xml:space="preserve"> take on an analytical and thoughtful approach to </w:t>
      </w:r>
      <w:r w:rsidR="00746E6D" w:rsidRPr="00DE627C">
        <w:t xml:space="preserve">my essay writing, and </w:t>
      </w:r>
      <w:r w:rsidR="00655555" w:rsidRPr="00DE627C">
        <w:t xml:space="preserve">aim for </w:t>
      </w:r>
      <w:r w:rsidR="00746E6D" w:rsidRPr="00DE627C">
        <w:t>these transferable</w:t>
      </w:r>
      <w:r w:rsidR="00655555" w:rsidRPr="00DE627C">
        <w:t xml:space="preserve"> skills to</w:t>
      </w:r>
      <w:r w:rsidR="00746E6D" w:rsidRPr="00DE627C">
        <w:t xml:space="preserve"> be carried across in my </w:t>
      </w:r>
      <w:r w:rsidR="00655555" w:rsidRPr="00DE627C">
        <w:t xml:space="preserve">attempt to come to a conclusive argument. </w:t>
      </w:r>
      <w:r w:rsidR="00172B72" w:rsidRPr="00DE627C">
        <w:t xml:space="preserve">Historian </w:t>
      </w:r>
      <w:r w:rsidR="007825A4" w:rsidRPr="00DE627C">
        <w:t>Lapidus states that ‘religious arts avoided the reproduction of human and animal figures. The unifying element in Islamic art was th</w:t>
      </w:r>
      <w:r w:rsidR="005229C8" w:rsidRPr="00DE627C">
        <w:t>e</w:t>
      </w:r>
      <w:r w:rsidR="007825A4" w:rsidRPr="00DE627C">
        <w:t xml:space="preserve"> repetition of calligraphic motifs, arabesques, or geometric designs; when human figures were used they appeared as impersonal images rather than a human presence or hieratic symbol</w:t>
      </w:r>
      <w:r w:rsidR="00CD0C0E" w:rsidRPr="00DE627C">
        <w:t>’.</w:t>
      </w:r>
      <w:r w:rsidR="00CD0C0E" w:rsidRPr="00DE627C">
        <w:rPr>
          <w:rStyle w:val="FootnoteReference"/>
        </w:rPr>
        <w:footnoteReference w:id="1"/>
      </w:r>
      <w:r w:rsidR="005229C8" w:rsidRPr="00DE627C">
        <w:t xml:space="preserve"> It is a common thread of thought that the representation of human figures in Islam traditionally, was not tolerated</w:t>
      </w:r>
      <w:r w:rsidR="00255060" w:rsidRPr="00DE627C">
        <w:t>;</w:t>
      </w:r>
      <w:r w:rsidR="005229C8" w:rsidRPr="00DE627C">
        <w:t xml:space="preserve"> following the argument that the creati</w:t>
      </w:r>
      <w:r w:rsidR="00255060" w:rsidRPr="00DE627C">
        <w:t>on of human life</w:t>
      </w:r>
      <w:r w:rsidR="005229C8" w:rsidRPr="00DE627C">
        <w:t xml:space="preserve"> was only </w:t>
      </w:r>
      <w:r w:rsidR="00475C31" w:rsidRPr="00DE627C">
        <w:t>permiss</w:t>
      </w:r>
      <w:r w:rsidR="005229C8" w:rsidRPr="00DE627C">
        <w:t>ible</w:t>
      </w:r>
      <w:r w:rsidR="00255060" w:rsidRPr="00DE627C">
        <w:t xml:space="preserve"> to Allah</w:t>
      </w:r>
      <w:r w:rsidR="0016087C" w:rsidRPr="00DE627C">
        <w:t xml:space="preserve">. </w:t>
      </w:r>
      <w:r w:rsidR="00785E95" w:rsidRPr="00DE627C">
        <w:t>However, it is evident that human figures have become tolerated amongst some forms of art, dependent on their meaning and purpose. This idea of an argument which is based around the more traditionali</w:t>
      </w:r>
      <w:r w:rsidR="00FF6564" w:rsidRPr="00DE627C">
        <w:t>st Islam and the more heavily influenced and adapted</w:t>
      </w:r>
      <w:r w:rsidR="00785E95" w:rsidRPr="00DE627C">
        <w:t xml:space="preserve"> (through changes in society) Islam is an argument I would like to </w:t>
      </w:r>
      <w:r w:rsidR="00FF6564" w:rsidRPr="00DE627C">
        <w:t>focus on throughout this essay. I also aim to look</w:t>
      </w:r>
      <w:r w:rsidR="00785E95" w:rsidRPr="00DE627C">
        <w:t xml:space="preserve"> at example</w:t>
      </w:r>
      <w:r w:rsidR="00FF6564" w:rsidRPr="00DE627C">
        <w:t>s</w:t>
      </w:r>
      <w:r w:rsidR="00785E95" w:rsidRPr="00DE627C">
        <w:t xml:space="preserve"> </w:t>
      </w:r>
      <w:r w:rsidR="00FF6564" w:rsidRPr="00DE627C">
        <w:t>of</w:t>
      </w:r>
      <w:r w:rsidR="00785E95" w:rsidRPr="00DE627C">
        <w:t xml:space="preserve"> how figures represented in art have been oppressed</w:t>
      </w:r>
      <w:r w:rsidR="00FF6564" w:rsidRPr="00DE627C">
        <w:t xml:space="preserve"> and acted upon, as well as how art featuring such figures have become accepted within Islam due to their purpose</w:t>
      </w:r>
      <w:r w:rsidR="00785E95" w:rsidRPr="00DE627C">
        <w:t xml:space="preserve"> e.g. leisure, medicine and </w:t>
      </w:r>
      <w:r w:rsidR="00FF6564" w:rsidRPr="00DE627C">
        <w:t xml:space="preserve">entertainment. Within this essay I will also be looking </w:t>
      </w:r>
      <w:r w:rsidR="00785E95" w:rsidRPr="00DE627C">
        <w:t xml:space="preserve">into the coin reforms by Abd Al-Malik which gives us yet another layer of depth to which </w:t>
      </w:r>
      <w:r w:rsidR="00097EB8" w:rsidRPr="00DE627C">
        <w:t xml:space="preserve">we can draw a final conclusion on whether Islam does permit the representation of human figures </w:t>
      </w:r>
      <w:r w:rsidR="00652D8B" w:rsidRPr="00DE627C">
        <w:t xml:space="preserve">or not. The presence of </w:t>
      </w:r>
      <w:r w:rsidR="00097EB8" w:rsidRPr="00DE627C">
        <w:t>iconoclasm is also an area of interest within this essay and is significant as it shows how attitudes within Islam hav</w:t>
      </w:r>
      <w:r w:rsidR="00652D8B" w:rsidRPr="00DE627C">
        <w:t>e changed, or in this case, have stayed</w:t>
      </w:r>
      <w:r w:rsidR="00097EB8" w:rsidRPr="00DE627C">
        <w:t xml:space="preserve"> fundamentally traditionalist. </w:t>
      </w:r>
    </w:p>
    <w:p w:rsidR="000D08FF" w:rsidRPr="00DE627C" w:rsidRDefault="00867DE9" w:rsidP="009A67B1">
      <w:r w:rsidRPr="00DE627C">
        <w:t xml:space="preserve">The debate between whether the representation of human figures is permitted within Islam can be tackled by viewing the argument as a matter of tradition versus idolisation. </w:t>
      </w:r>
      <w:r w:rsidR="00F24707" w:rsidRPr="00DE627C">
        <w:t>‘The Qur’an does not explicitly forbid the representation of the human form, although it does say that God alone creates, giving life to man and beast, and that he rejects idols’.</w:t>
      </w:r>
      <w:r w:rsidR="00CF63CE" w:rsidRPr="00DE627C">
        <w:rPr>
          <w:rStyle w:val="FootnoteReference"/>
        </w:rPr>
        <w:footnoteReference w:id="2"/>
      </w:r>
      <w:r w:rsidR="00F24707" w:rsidRPr="00DE627C">
        <w:t xml:space="preserve"> This approac</w:t>
      </w:r>
      <w:r w:rsidR="006F0EF1" w:rsidRPr="00DE627C">
        <w:t xml:space="preserve">h to the idea of tradition, or rather a lack </w:t>
      </w:r>
      <w:r w:rsidR="00A87B48" w:rsidRPr="00DE627C">
        <w:t xml:space="preserve">of evidence to show that human figures are completely forbidden </w:t>
      </w:r>
      <w:r w:rsidR="006F0EF1" w:rsidRPr="00DE627C">
        <w:t>within Islam, makes this topic a difficult one, as there is no such definitive statement as to whether the Qu’ran comple</w:t>
      </w:r>
      <w:r w:rsidR="0012169B" w:rsidRPr="00DE627C">
        <w:t>tely forbids human figures</w:t>
      </w:r>
      <w:r w:rsidR="006F0EF1" w:rsidRPr="00DE627C">
        <w:t xml:space="preserve"> or not. </w:t>
      </w:r>
      <w:r w:rsidR="0042217A" w:rsidRPr="00DE627C">
        <w:t>‘The limited amount of material from the 7</w:t>
      </w:r>
      <w:r w:rsidR="0042217A" w:rsidRPr="00DE627C">
        <w:rPr>
          <w:vertAlign w:val="superscript"/>
        </w:rPr>
        <w:t>th</w:t>
      </w:r>
      <w:r w:rsidR="0042217A" w:rsidRPr="00DE627C">
        <w:t xml:space="preserve"> Century that </w:t>
      </w:r>
      <w:r w:rsidR="0042217A" w:rsidRPr="00DE627C">
        <w:lastRenderedPageBreak/>
        <w:t>can be identified as having been made for or by the first Muslims is not particularly helpful for the understanding of early Islamic attitudes towards the portrayal of humans’.</w:t>
      </w:r>
      <w:r w:rsidR="00AC5A1F" w:rsidRPr="00DE627C">
        <w:rPr>
          <w:rStyle w:val="FootnoteReference"/>
        </w:rPr>
        <w:footnoteReference w:id="3"/>
      </w:r>
      <w:r w:rsidR="0042217A" w:rsidRPr="00DE627C">
        <w:t xml:space="preserve"> </w:t>
      </w:r>
      <w:r w:rsidR="004D2286" w:rsidRPr="00DE627C">
        <w:t xml:space="preserve">Islam in its early years of the </w:t>
      </w:r>
      <w:r w:rsidR="00202011" w:rsidRPr="00DE627C">
        <w:t>formation of the empire</w:t>
      </w:r>
      <w:r w:rsidR="004D2286" w:rsidRPr="00DE627C">
        <w:t xml:space="preserve">, does not permit the worshipping of imagery. Images of the prophet Muhammad and other spiritual leaders have been tolerated, but you will not find </w:t>
      </w:r>
      <w:r w:rsidR="00652D8B" w:rsidRPr="00DE627C">
        <w:t xml:space="preserve">such </w:t>
      </w:r>
      <w:r w:rsidR="004D2286" w:rsidRPr="00DE627C">
        <w:t xml:space="preserve">imagery or any iconography in mosques. </w:t>
      </w:r>
      <w:r w:rsidR="008913EE" w:rsidRPr="00DE627C">
        <w:t xml:space="preserve">Canby refers to the Dome of the Rock in Jerusalem as an example for this. </w:t>
      </w:r>
      <w:r w:rsidR="003E3642" w:rsidRPr="00DE627C">
        <w:t>‘The mosaics in the Dome of the Rock contain no human figures or animals. While Islam does not prohibit the use of figurative art per se, it seems that in religious buildings, this proscription was upheld’.</w:t>
      </w:r>
      <w:r w:rsidR="003E3642" w:rsidRPr="00DE627C">
        <w:rPr>
          <w:rStyle w:val="FootnoteReference"/>
        </w:rPr>
        <w:footnoteReference w:id="4"/>
      </w:r>
      <w:r w:rsidR="00E11432" w:rsidRPr="00DE627C">
        <w:t xml:space="preserve"> The mosaics found within this deeply religious centre, which was built via the orders of Abd Al-Malik, </w:t>
      </w:r>
      <w:r w:rsidR="00526CC8" w:rsidRPr="00DE627C">
        <w:t>lacks</w:t>
      </w:r>
      <w:r w:rsidR="00184C6D" w:rsidRPr="00DE627C">
        <w:t xml:space="preserve"> any sign of figurative imagery</w:t>
      </w:r>
      <w:r w:rsidR="00526CC8" w:rsidRPr="00DE627C">
        <w:t xml:space="preserve"> amongst the walls, ceilings and floors.</w:t>
      </w:r>
      <w:r w:rsidR="00526CC8" w:rsidRPr="00DE627C">
        <w:rPr>
          <w:rStyle w:val="FootnoteReference"/>
        </w:rPr>
        <w:footnoteReference w:id="5"/>
      </w:r>
      <w:r w:rsidR="00E03D15" w:rsidRPr="00DE627C">
        <w:t xml:space="preserve"> (See figure One). </w:t>
      </w:r>
      <w:r w:rsidR="007331BE" w:rsidRPr="00DE627C">
        <w:t xml:space="preserve">This image shows just how much human figures are lacking amongst the mosaics; the designs inside the dome and amongst the walls are a lot more based on the use of symbols and motifs rather than characters. </w:t>
      </w:r>
      <w:r w:rsidR="007959D9" w:rsidRPr="00DE627C">
        <w:t>T</w:t>
      </w:r>
      <w:r w:rsidR="00951E5D" w:rsidRPr="00DE627C">
        <w:t>hese religious building</w:t>
      </w:r>
      <w:r w:rsidR="007959D9" w:rsidRPr="00DE627C">
        <w:t>s</w:t>
      </w:r>
      <w:r w:rsidR="00951E5D" w:rsidRPr="00DE627C">
        <w:t xml:space="preserve"> support the view that </w:t>
      </w:r>
      <w:r w:rsidR="007959D9" w:rsidRPr="00DE627C">
        <w:t>Islam does not permit the representation of human figures at least within these ecclesiastical centres.</w:t>
      </w:r>
      <w:r w:rsidR="00670D37" w:rsidRPr="00DE627C">
        <w:t xml:space="preserve"> The Byzantines had two periods of iconoclasm </w:t>
      </w:r>
      <w:r w:rsidR="00BA57E8" w:rsidRPr="00DE627C">
        <w:t xml:space="preserve">which gives examples as to why figures in </w:t>
      </w:r>
      <w:r w:rsidR="00185205" w:rsidRPr="00DE627C">
        <w:t>early Islamic art</w:t>
      </w:r>
      <w:r w:rsidR="00EF5F19" w:rsidRPr="00DE627C">
        <w:t xml:space="preserve"> and architecture</w:t>
      </w:r>
      <w:r w:rsidR="00185205" w:rsidRPr="00DE627C">
        <w:t xml:space="preserve"> lack the representation of figures. </w:t>
      </w:r>
      <w:r w:rsidR="009A67B1" w:rsidRPr="00DE627C">
        <w:t>Iconoclasm is ‘the rejection or destruction of religious images as heretical; the doctrine of iconoclasts’.</w:t>
      </w:r>
      <w:r w:rsidR="009A67B1" w:rsidRPr="00DE627C">
        <w:rPr>
          <w:rStyle w:val="FootnoteReference"/>
        </w:rPr>
        <w:footnoteReference w:id="6"/>
      </w:r>
      <w:r w:rsidR="009A67B1" w:rsidRPr="00DE627C">
        <w:t xml:space="preserve">  </w:t>
      </w:r>
      <w:r w:rsidR="00185205" w:rsidRPr="00DE627C">
        <w:t>‘The nature and dynamic of early Islamic art have been examined in this context and</w:t>
      </w:r>
      <w:r w:rsidR="001815E9" w:rsidRPr="00DE627C">
        <w:t>, although there is indeed a coincidence between</w:t>
      </w:r>
      <w:r w:rsidR="00185205" w:rsidRPr="00DE627C">
        <w:t xml:space="preserve"> Christian iconoclasm in Islamic territories, and Muslim attitudes toward figural representation, we would argue that ‘state iconoclasm’ in Byzantium stands apart from the various manifestations of ‘iconoclasm’ in Islamic Palestine</w:t>
      </w:r>
      <w:r w:rsidR="009B2236" w:rsidRPr="00DE627C">
        <w:t>’</w:t>
      </w:r>
      <w:r w:rsidR="00185205" w:rsidRPr="00DE627C">
        <w:t>.</w:t>
      </w:r>
      <w:r w:rsidR="009B2236" w:rsidRPr="00DE627C">
        <w:rPr>
          <w:rStyle w:val="FootnoteReference"/>
        </w:rPr>
        <w:footnoteReference w:id="7"/>
      </w:r>
      <w:r w:rsidR="00185205" w:rsidRPr="00DE627C">
        <w:t xml:space="preserve"> </w:t>
      </w:r>
      <w:r w:rsidR="002B53BC" w:rsidRPr="00DE627C">
        <w:t xml:space="preserve">We can make similarities between the two acts of iconoclasm that take place within the Byzantine </w:t>
      </w:r>
      <w:r w:rsidR="00184C6D" w:rsidRPr="00DE627C">
        <w:t>Empire and Islamic territories</w:t>
      </w:r>
      <w:r w:rsidR="002B53BC" w:rsidRPr="00DE627C">
        <w:t xml:space="preserve"> during the early </w:t>
      </w:r>
      <w:r w:rsidR="00184C6D" w:rsidRPr="00DE627C">
        <w:t>y</w:t>
      </w:r>
      <w:r w:rsidR="002B53BC" w:rsidRPr="00DE627C">
        <w:t xml:space="preserve">ears of their formation, though the purpose for their destruction differs and this is what makes them less cohesive as binary case studies.  </w:t>
      </w:r>
      <w:r w:rsidR="000D08FF" w:rsidRPr="00DE627C">
        <w:t>The existing evidence of iconoclasm in the early years of Islam provide an layer to the argument that Islam does not permit the use of human figures in art or architecture, in reference to a more traditionalist and fundamentalist religion. However, the vagueness of the structure within the Qur’an and the grey area found when researching whether human figures are permitted only concludes that this statement is a controversial one. To look further into this, I will have to find example</w:t>
      </w:r>
      <w:r w:rsidR="00184C6D" w:rsidRPr="00DE627C">
        <w:t>s</w:t>
      </w:r>
      <w:r w:rsidR="000D08FF" w:rsidRPr="00DE627C">
        <w:t xml:space="preserve"> of iconoclasm within a more modern society, to see if these ideas of a non-authorisation of an icon or figure are still found within Islam today, or whether a form of tolerance is more prevalent. </w:t>
      </w:r>
    </w:p>
    <w:p w:rsidR="004964EF" w:rsidRPr="00DE627C" w:rsidRDefault="00F17E57" w:rsidP="00AB775F">
      <w:r w:rsidRPr="00DE627C">
        <w:t>In 2001, the Bamiyan Buddhas</w:t>
      </w:r>
      <w:r w:rsidR="00282D4F" w:rsidRPr="00DE627C">
        <w:t xml:space="preserve"> (See Figure Two)</w:t>
      </w:r>
      <w:r w:rsidRPr="00DE627C">
        <w:t xml:space="preserve"> were destroyed by the Taliban, who </w:t>
      </w:r>
      <w:r w:rsidR="00815748" w:rsidRPr="00DE627C">
        <w:t>are an</w:t>
      </w:r>
      <w:r w:rsidR="00441201" w:rsidRPr="00DE627C">
        <w:t xml:space="preserve"> anti-western, fundamentalist and militant</w:t>
      </w:r>
      <w:r w:rsidR="00815748" w:rsidRPr="00DE627C">
        <w:t xml:space="preserve"> Islamic group.</w:t>
      </w:r>
      <w:r w:rsidRPr="00DE627C">
        <w:t xml:space="preserve"> The Taliban wanted Islam to return to the state at which it was during the years of Muhammad and didn’t</w:t>
      </w:r>
      <w:r w:rsidR="00815748" w:rsidRPr="00DE627C">
        <w:t xml:space="preserve"> want to tolerate the </w:t>
      </w:r>
      <w:r w:rsidRPr="00DE627C">
        <w:t>Buddha</w:t>
      </w:r>
      <w:r w:rsidR="00815748" w:rsidRPr="00DE627C">
        <w:t>s</w:t>
      </w:r>
      <w:r w:rsidRPr="00DE627C">
        <w:t xml:space="preserve"> carved in</w:t>
      </w:r>
      <w:r w:rsidR="00815748" w:rsidRPr="00DE627C">
        <w:t>to stone</w:t>
      </w:r>
      <w:r w:rsidRPr="00DE627C">
        <w:t xml:space="preserve">; resulting in the disfigurement of them so that they were no longer </w:t>
      </w:r>
      <w:r w:rsidR="00043B26" w:rsidRPr="00DE627C">
        <w:t>recognisable.</w:t>
      </w:r>
      <w:r w:rsidR="00043B26" w:rsidRPr="00DE627C">
        <w:rPr>
          <w:rStyle w:val="FootnoteReference"/>
        </w:rPr>
        <w:footnoteReference w:id="8"/>
      </w:r>
      <w:r w:rsidRPr="00DE627C">
        <w:t xml:space="preserve"> This was done in the thought that the Qur’an and the prophet Muhammad did not tolerate the representation of human figures within art and architecture, explaining why evidence of </w:t>
      </w:r>
      <w:r w:rsidR="00353CFF" w:rsidRPr="00DE627C">
        <w:t xml:space="preserve">human </w:t>
      </w:r>
      <w:r w:rsidRPr="00DE627C">
        <w:t>f</w:t>
      </w:r>
      <w:r w:rsidR="00353CFF" w:rsidRPr="00DE627C">
        <w:t xml:space="preserve">igures </w:t>
      </w:r>
      <w:r w:rsidR="00426BA0" w:rsidRPr="00DE627C">
        <w:t>within manuscripts and murals/mosaics are</w:t>
      </w:r>
      <w:r w:rsidR="00353CFF" w:rsidRPr="00DE627C">
        <w:t xml:space="preserve"> limited in these earlier</w:t>
      </w:r>
      <w:r w:rsidRPr="00DE627C">
        <w:t xml:space="preserve"> years. </w:t>
      </w:r>
      <w:r w:rsidR="006D3D7C" w:rsidRPr="00DE627C">
        <w:t xml:space="preserve">This strive for a </w:t>
      </w:r>
      <w:r w:rsidR="006D3D7C" w:rsidRPr="00DE627C">
        <w:lastRenderedPageBreak/>
        <w:t>more traditionalist Islam</w:t>
      </w:r>
      <w:r w:rsidR="00043B26" w:rsidRPr="00DE627C">
        <w:t xml:space="preserve"> portrays how I</w:t>
      </w:r>
      <w:r w:rsidR="006D3D7C" w:rsidRPr="00DE627C">
        <w:t xml:space="preserve">slam today is a lot more lenient or at least tolerable to the representation of human figures within </w:t>
      </w:r>
      <w:r w:rsidR="008F61DE" w:rsidRPr="00DE627C">
        <w:t xml:space="preserve">its </w:t>
      </w:r>
      <w:r w:rsidR="006D3D7C" w:rsidRPr="00DE627C">
        <w:t>art</w:t>
      </w:r>
      <w:r w:rsidR="008F61DE" w:rsidRPr="00DE627C">
        <w:t>, perhaps hinting at a slight adaptation to the Islamic religion in order to stay appropriate and welcoming to modern d</w:t>
      </w:r>
      <w:r w:rsidR="00F2131E" w:rsidRPr="00DE627C">
        <w:t>ay society and cultural changes.</w:t>
      </w:r>
      <w:r w:rsidR="006D3D7C" w:rsidRPr="00DE627C">
        <w:t xml:space="preserve"> </w:t>
      </w:r>
      <w:r w:rsidR="00043B26" w:rsidRPr="00DE627C">
        <w:t>The act of the destruction of the Buddhas was a very controversia</w:t>
      </w:r>
      <w:r w:rsidR="008917F1" w:rsidRPr="00DE627C">
        <w:t>l one met with widespread condemnation</w:t>
      </w:r>
      <w:r w:rsidR="00043B26" w:rsidRPr="00DE627C">
        <w:t xml:space="preserve">. </w:t>
      </w:r>
      <w:r w:rsidR="009F1C0E" w:rsidRPr="00DE627C">
        <w:t>‘The ancient sandstone carvings, once the world's tallest Buddhas, were annihilated in an act of destruction that shocked the world, and helped set a precedent for the recent vandalism of Iraqi heritage sites by Islamic State fighters’.</w:t>
      </w:r>
      <w:r w:rsidR="009F1C0E" w:rsidRPr="00DE627C">
        <w:rPr>
          <w:rStyle w:val="FootnoteReference"/>
        </w:rPr>
        <w:footnoteReference w:id="9"/>
      </w:r>
      <w:r w:rsidR="00AC1EBF" w:rsidRPr="00DE627C">
        <w:t xml:space="preserve"> </w:t>
      </w:r>
      <w:r w:rsidR="008917F1" w:rsidRPr="00DE627C">
        <w:t>The international response</w:t>
      </w:r>
      <w:r w:rsidR="006A26A4" w:rsidRPr="00DE627C">
        <w:t xml:space="preserve"> towards the actions of the Taliban and the way in which th</w:t>
      </w:r>
      <w:r w:rsidR="008917F1" w:rsidRPr="00DE627C">
        <w:t>ese figures were destroyed demonstrates</w:t>
      </w:r>
      <w:r w:rsidR="006A26A4" w:rsidRPr="00DE627C">
        <w:t xml:space="preserve"> just how much the modern society differs from that in the years in which Islam was formed. </w:t>
      </w:r>
      <w:r w:rsidR="00A675B4" w:rsidRPr="00DE627C">
        <w:t>This presence of iconoclasm which has been evident from the creation of Islam, through to the spreading of the Islamic faith and right up to the modern day</w:t>
      </w:r>
      <w:r w:rsidR="008917F1" w:rsidRPr="00DE627C">
        <w:t>,</w:t>
      </w:r>
      <w:r w:rsidR="00A675B4" w:rsidRPr="00DE627C">
        <w:t xml:space="preserve"> is an example of how traditionalist Islam is somewhat not as tolerable towards the representation of huma</w:t>
      </w:r>
      <w:r w:rsidR="008917F1" w:rsidRPr="00DE627C">
        <w:t>n figures as a more liberal</w:t>
      </w:r>
      <w:r w:rsidR="00A675B4" w:rsidRPr="00DE627C">
        <w:t xml:space="preserve"> Islam may be. </w:t>
      </w:r>
    </w:p>
    <w:p w:rsidR="000D5DB7" w:rsidRPr="00DE627C" w:rsidRDefault="00857C8C" w:rsidP="00AB775F">
      <w:r w:rsidRPr="00DE627C">
        <w:t>The evidence of Islamic coinage gives a great example of how Islam does not permit the representation of human figures. Intr</w:t>
      </w:r>
      <w:r w:rsidR="00F47967" w:rsidRPr="00DE627C">
        <w:t>oduced during the Umayyad Caliphate</w:t>
      </w:r>
      <w:r w:rsidRPr="00DE627C">
        <w:t xml:space="preserve">, </w:t>
      </w:r>
      <w:r w:rsidR="009A49C3" w:rsidRPr="00DE627C">
        <w:t>the coin reforms were established</w:t>
      </w:r>
      <w:r w:rsidRPr="00DE627C">
        <w:t xml:space="preserve"> by Abd Al-Malik who removed the representation of human figur</w:t>
      </w:r>
      <w:r w:rsidR="006247CA" w:rsidRPr="00DE627C">
        <w:t>es that c</w:t>
      </w:r>
      <w:r w:rsidR="009A49C3" w:rsidRPr="00DE627C">
        <w:t>ould be seen previously. Coins from this point onwards were</w:t>
      </w:r>
      <w:r w:rsidR="006247CA" w:rsidRPr="00DE627C">
        <w:t xml:space="preserve"> completely free of the human form on both sides, apart from the Copper Dirham which features Saladin.</w:t>
      </w:r>
      <w:r w:rsidR="00F47967" w:rsidRPr="00DE627C">
        <w:rPr>
          <w:rStyle w:val="FootnoteReference"/>
        </w:rPr>
        <w:footnoteReference w:id="10"/>
      </w:r>
      <w:r w:rsidR="00967D58" w:rsidRPr="00DE627C">
        <w:t xml:space="preserve"> </w:t>
      </w:r>
      <w:r w:rsidR="009A49C3" w:rsidRPr="00DE627C">
        <w:t>A description of the reformed coin is as followed: ‘t</w:t>
      </w:r>
      <w:r w:rsidR="008E4618" w:rsidRPr="00DE627C">
        <w:t>his coin represents a defining point in Islamic history: when images of leaders on coins were replaced by text from the Qu'ran… Replacing images of rulers with Qur’anic verses emphasised that the Islamic Empire was ruled by God and not by mortal men’.</w:t>
      </w:r>
      <w:r w:rsidR="00967D58" w:rsidRPr="00DE627C">
        <w:rPr>
          <w:rStyle w:val="FootnoteReference"/>
        </w:rPr>
        <w:footnoteReference w:id="11"/>
      </w:r>
      <w:r w:rsidR="000C46ED" w:rsidRPr="00DE627C">
        <w:t xml:space="preserve"> </w:t>
      </w:r>
      <w:r w:rsidR="00221AB5" w:rsidRPr="00DE627C">
        <w:t xml:space="preserve">This idea of Allah over man also links back to the idea that only Allah has the ability to create the human form, as stated within the Qur’an. </w:t>
      </w:r>
      <w:r w:rsidR="00C4602A" w:rsidRPr="00DE627C">
        <w:t xml:space="preserve">This shows that the use of imagery depicting the human form on coins </w:t>
      </w:r>
      <w:r w:rsidR="009A49C3" w:rsidRPr="00DE627C">
        <w:t>is very</w:t>
      </w:r>
      <w:r w:rsidR="003B038A" w:rsidRPr="00DE627C">
        <w:t xml:space="preserve"> limited</w:t>
      </w:r>
      <w:r w:rsidR="00C4602A" w:rsidRPr="00DE627C">
        <w:t>,</w:t>
      </w:r>
      <w:r w:rsidR="009A49C3" w:rsidRPr="00DE627C">
        <w:t xml:space="preserve"> though it is important </w:t>
      </w:r>
      <w:r w:rsidR="00C4602A" w:rsidRPr="00DE627C">
        <w:t>to cons</w:t>
      </w:r>
      <w:r w:rsidR="009A49C3" w:rsidRPr="00DE627C">
        <w:t>ider that this political movement</w:t>
      </w:r>
      <w:r w:rsidR="00C4602A" w:rsidRPr="00DE627C">
        <w:t xml:space="preserve"> was introduced in the early years of the Islamic empire, once again showing that it may be a more traditionalist Islam that does not permit the representation of human figures</w:t>
      </w:r>
      <w:r w:rsidR="003B038A" w:rsidRPr="00DE627C">
        <w:t>.</w:t>
      </w:r>
      <w:r w:rsidR="00C4602A" w:rsidRPr="00DE627C">
        <w:t xml:space="preserve"> </w:t>
      </w:r>
      <w:r w:rsidR="0035056B" w:rsidRPr="00DE627C">
        <w:t xml:space="preserve">As stated by Markowitz, this ‘radical redesign’ eliminated </w:t>
      </w:r>
      <w:r w:rsidR="00AD4CFC" w:rsidRPr="00DE627C">
        <w:t>all images found previously on Arabic coins, which now meant that ‘each side now bore a circular inscription around three lines of Arabic text’.</w:t>
      </w:r>
      <w:r w:rsidR="00B534AB" w:rsidRPr="00DE627C">
        <w:rPr>
          <w:rStyle w:val="FootnoteReference"/>
        </w:rPr>
        <w:footnoteReference w:id="12"/>
      </w:r>
      <w:r w:rsidR="00AD4CFC" w:rsidRPr="00DE627C">
        <w:t xml:space="preserve"> </w:t>
      </w:r>
      <w:r w:rsidR="00033780" w:rsidRPr="00DE627C">
        <w:t xml:space="preserve">These coin reforms highlight more the similarities within the Islamic community on the religion that they follow (the Qur’an inscriptions) rather than the people they are led by. </w:t>
      </w:r>
      <w:r w:rsidR="00066BC0" w:rsidRPr="00DE627C">
        <w:t xml:space="preserve">(See Figure Three). </w:t>
      </w:r>
      <w:r w:rsidR="00562111" w:rsidRPr="00DE627C">
        <w:t>The coin reforms within the Umayyad Caliphate period show that Islam, at least in this sense does not permit the representation of human figures, though it could also be said that Islam was trying to move towards a higher focus on the teachings of the</w:t>
      </w:r>
      <w:r w:rsidR="007432C0" w:rsidRPr="00DE627C">
        <w:t xml:space="preserve"> Qur’an rather than who they were</w:t>
      </w:r>
      <w:r w:rsidR="00562111" w:rsidRPr="00DE627C">
        <w:t xml:space="preserve"> led by. </w:t>
      </w:r>
    </w:p>
    <w:p w:rsidR="003745C9" w:rsidRPr="00DE627C" w:rsidRDefault="005A5AE3" w:rsidP="00AB775F">
      <w:r w:rsidRPr="00DE627C">
        <w:t xml:space="preserve">In terms of leisure amongst the Islamic community, the representation of human figures within art and architecture is rather prevalent, interestingly evident within the early years of Islam right up to the fourteenth century. </w:t>
      </w:r>
      <w:r w:rsidR="0048091D" w:rsidRPr="00DE627C">
        <w:t>A great example of how human figures were used within the forms of leisure can be seen within the bathhouse found at the Qusayr ‘Amra, which is well known for its fresco paintings</w:t>
      </w:r>
      <w:r w:rsidR="00E46174" w:rsidRPr="00DE627C">
        <w:t xml:space="preserve"> (See Figure Four)</w:t>
      </w:r>
      <w:r w:rsidR="0048091D" w:rsidRPr="00DE627C">
        <w:t xml:space="preserve">. </w:t>
      </w:r>
      <w:r w:rsidR="006D6A96" w:rsidRPr="00DE627C">
        <w:t xml:space="preserve">Found in Jordan, it stands as a place of leisure, where people would lie back and admire the artistry of the murals whilst relaxing, perhaps for the purpose of contemplation </w:t>
      </w:r>
      <w:r w:rsidR="006D6A96" w:rsidRPr="00DE627C">
        <w:lastRenderedPageBreak/>
        <w:t xml:space="preserve">or meditation. </w:t>
      </w:r>
      <w:r w:rsidR="000625E1" w:rsidRPr="00DE627C">
        <w:t>It is significant</w:t>
      </w:r>
      <w:r w:rsidR="001C306B" w:rsidRPr="00DE627C">
        <w:t xml:space="preserve"> site within</w:t>
      </w:r>
      <w:r w:rsidR="000625E1" w:rsidRPr="00DE627C">
        <w:t xml:space="preserve"> Islamic art and architecture as it is home to an ‘extensive cycl</w:t>
      </w:r>
      <w:r w:rsidR="00570972" w:rsidRPr="00DE627C">
        <w:t>e of unique mural paintings which…</w:t>
      </w:r>
      <w:r w:rsidR="000625E1" w:rsidRPr="00DE627C">
        <w:t xml:space="preserve"> depict hunting and dancing scenes</w:t>
      </w:r>
      <w:r w:rsidR="00570972" w:rsidRPr="00DE627C">
        <w:t>’.</w:t>
      </w:r>
      <w:r w:rsidR="001E16AE" w:rsidRPr="00DE627C">
        <w:rPr>
          <w:rStyle w:val="FootnoteReference"/>
        </w:rPr>
        <w:footnoteReference w:id="13"/>
      </w:r>
      <w:r w:rsidR="00570972" w:rsidRPr="00DE627C">
        <w:t xml:space="preserve"> </w:t>
      </w:r>
      <w:r w:rsidR="00332841" w:rsidRPr="00DE627C">
        <w:t xml:space="preserve">There are a lot of human figures depicted within the bathhouse, </w:t>
      </w:r>
      <w:r w:rsidR="001C306B" w:rsidRPr="00DE627C">
        <w:t>portraying</w:t>
      </w:r>
      <w:r w:rsidR="00332841" w:rsidRPr="00DE627C">
        <w:t xml:space="preserve"> ordinary people participating in everyday situations. </w:t>
      </w:r>
      <w:r w:rsidR="007B7001" w:rsidRPr="00DE627C">
        <w:t>For example, ‘one scene, for instance, depicts a pen of animals hunted by regal figures on horseback’.</w:t>
      </w:r>
      <w:r w:rsidR="007B7001" w:rsidRPr="00DE627C">
        <w:rPr>
          <w:rStyle w:val="FootnoteReference"/>
        </w:rPr>
        <w:footnoteReference w:id="14"/>
      </w:r>
      <w:r w:rsidR="00E46174" w:rsidRPr="00DE627C">
        <w:t xml:space="preserve"> </w:t>
      </w:r>
      <w:r w:rsidR="002F51B0" w:rsidRPr="00DE627C">
        <w:t xml:space="preserve">There </w:t>
      </w:r>
      <w:r w:rsidR="001C306B" w:rsidRPr="00DE627C">
        <w:t>are lots of women found within</w:t>
      </w:r>
      <w:r w:rsidR="002F51B0" w:rsidRPr="00DE627C">
        <w:t xml:space="preserve"> bathing scenes, and the purpo</w:t>
      </w:r>
      <w:r w:rsidR="001C306B" w:rsidRPr="00DE627C">
        <w:t>se of these drawings are becoming a focus of debate</w:t>
      </w:r>
      <w:r w:rsidR="002F51B0" w:rsidRPr="00DE627C">
        <w:t>. They are either for the pleasure of those people using</w:t>
      </w:r>
      <w:r w:rsidR="001C306B" w:rsidRPr="00DE627C">
        <w:t xml:space="preserve"> the bathhouse</w:t>
      </w:r>
      <w:r w:rsidR="002F51B0" w:rsidRPr="00DE627C">
        <w:t xml:space="preserve"> or </w:t>
      </w:r>
      <w:r w:rsidR="001C306B" w:rsidRPr="00DE627C">
        <w:t>as a testament to represent the status</w:t>
      </w:r>
      <w:r w:rsidR="002F51B0" w:rsidRPr="00DE627C">
        <w:t xml:space="preserve"> of women within society. </w:t>
      </w:r>
      <w:r w:rsidR="003E4A01" w:rsidRPr="00DE627C">
        <w:t xml:space="preserve">This does however give ideas </w:t>
      </w:r>
      <w:r w:rsidR="001C306B" w:rsidRPr="00DE627C">
        <w:t xml:space="preserve">as </w:t>
      </w:r>
      <w:r w:rsidR="003E4A01" w:rsidRPr="00DE627C">
        <w:t xml:space="preserve">to why these pictures were tolerated; due to their purpose within the society. </w:t>
      </w:r>
      <w:r w:rsidR="007B7001" w:rsidRPr="00DE627C">
        <w:t xml:space="preserve">This line of argument can be seen within other aspects that hold a purpose within society, whether this may be leisure, </w:t>
      </w:r>
      <w:r w:rsidR="00542B79" w:rsidRPr="00DE627C">
        <w:t xml:space="preserve">education or entertainment. </w:t>
      </w:r>
      <w:r w:rsidR="00BA7760" w:rsidRPr="00DE627C">
        <w:t>There are a lot of examples of human f</w:t>
      </w:r>
      <w:r w:rsidR="00782F53" w:rsidRPr="00DE627C">
        <w:t xml:space="preserve">igures found within Islamic art whose main purpose is to either educate or entertain the Islamic and Arabic community. </w:t>
      </w:r>
      <w:r w:rsidR="00433F59" w:rsidRPr="00DE627C">
        <w:t>The Maqamat Al-Hariri</w:t>
      </w:r>
      <w:r w:rsidR="00B935D8" w:rsidRPr="00DE627C">
        <w:t xml:space="preserve"> was illustrated</w:t>
      </w:r>
      <w:r w:rsidR="00433F59" w:rsidRPr="00DE627C">
        <w:t xml:space="preserve"> during the late medieval period</w:t>
      </w:r>
      <w:r w:rsidR="004F3C5B" w:rsidRPr="00DE627C">
        <w:t xml:space="preserve"> and its main purpose was to entertain those who read it </w:t>
      </w:r>
      <w:r w:rsidR="001C306B" w:rsidRPr="00DE627C">
        <w:t>by describing a wide amount of comical</w:t>
      </w:r>
      <w:r w:rsidR="004F3C5B" w:rsidRPr="00DE627C">
        <w:t xml:space="preserve"> stories. ‘The people involved in many of these activities may be slightly caricatured, but with humour and sympathy’</w:t>
      </w:r>
      <w:r w:rsidR="00A35ECF" w:rsidRPr="00DE627C">
        <w:rPr>
          <w:rStyle w:val="FootnoteReference"/>
        </w:rPr>
        <w:footnoteReference w:id="15"/>
      </w:r>
      <w:r w:rsidR="004F3C5B" w:rsidRPr="00DE627C">
        <w:t xml:space="preserve"> </w:t>
      </w:r>
      <w:r w:rsidR="00EB2263" w:rsidRPr="00DE627C">
        <w:t xml:space="preserve">so it is obvious that there is a clear aim for this book to be read out to an audience and to bring people together. </w:t>
      </w:r>
      <w:r w:rsidR="00454032" w:rsidRPr="00DE627C">
        <w:t>Perhaps this is a reason as to why it is accepted amongst Islamic art, as it holds a purpose by representing people within it; human figures are necessary to tell the stories.</w:t>
      </w:r>
      <w:r w:rsidR="006306F1" w:rsidRPr="00DE627C">
        <w:t xml:space="preserve"> (See Figure Five).</w:t>
      </w:r>
      <w:r w:rsidR="00454032" w:rsidRPr="00DE627C">
        <w:t xml:space="preserve"> </w:t>
      </w:r>
      <w:r w:rsidR="00B37FFB" w:rsidRPr="00DE627C">
        <w:t xml:space="preserve">There is also a need for human figures to be represented in educational books used to teach medicine and sciences. An example of this is the </w:t>
      </w:r>
      <w:r w:rsidR="007B31A3" w:rsidRPr="00DE627C">
        <w:t>De Materia Medica</w:t>
      </w:r>
      <w:r w:rsidR="00933BA4" w:rsidRPr="00DE627C">
        <w:rPr>
          <w:rStyle w:val="FootnoteReference"/>
        </w:rPr>
        <w:footnoteReference w:id="16"/>
      </w:r>
      <w:r w:rsidR="007B31A3" w:rsidRPr="00DE627C">
        <w:t xml:space="preserve">, which is used to identify the utility of different herbs and plants; as well as how to use them. Within this book, we can see scenes of </w:t>
      </w:r>
      <w:r w:rsidR="007F2856" w:rsidRPr="00DE627C">
        <w:t xml:space="preserve">peasantry </w:t>
      </w:r>
      <w:r w:rsidR="000E0B9D" w:rsidRPr="00DE627C">
        <w:t xml:space="preserve">surrounded by the natural elements, planting, growing and picking plants. </w:t>
      </w:r>
      <w:r w:rsidR="003745C9" w:rsidRPr="00DE627C">
        <w:t xml:space="preserve">These realistic illustrations are used to </w:t>
      </w:r>
      <w:r w:rsidR="00214280" w:rsidRPr="00DE627C">
        <w:t>demonstrate</w:t>
      </w:r>
      <w:r w:rsidR="003745C9" w:rsidRPr="00DE627C">
        <w:t xml:space="preserve"> medicine and science, explaining why the use of human figures within this specific educational book are tolerated, as they are used to educate and further open the understanding of the sciences within society. It holds a beneficiary factor which leads to the greater good within the Arabic culture.</w:t>
      </w:r>
      <w:r w:rsidR="006306F1" w:rsidRPr="00DE627C">
        <w:t xml:space="preserve"> (See Figure Six).</w:t>
      </w:r>
      <w:r w:rsidR="00051142" w:rsidRPr="00DE627C">
        <w:t xml:space="preserve"> In the sense of art and architecture that holds a significance within Arabic culture and society, it is evident that the representation of human figures are permitted in order to entertain and educate. </w:t>
      </w:r>
    </w:p>
    <w:p w:rsidR="00E95034" w:rsidRDefault="003745C9" w:rsidP="00AB775F">
      <w:r w:rsidRPr="00DE627C">
        <w:t xml:space="preserve"> </w:t>
      </w:r>
      <w:r w:rsidR="00825636" w:rsidRPr="00DE627C">
        <w:t>In conclusion, after taking into consideration the variety of sources and historical evidence</w:t>
      </w:r>
      <w:r w:rsidR="009174BC" w:rsidRPr="00DE627C">
        <w:t xml:space="preserve"> mad available to me, it</w:t>
      </w:r>
      <w:r w:rsidR="00825636" w:rsidRPr="00DE627C">
        <w:t xml:space="preserve"> has lead me to believe that the traditional and fundamentalist Islam introduced during the formation of the Islamic empire does not permit the representation of human figures, though the </w:t>
      </w:r>
      <w:r w:rsidR="00061CCA" w:rsidRPr="00DE627C">
        <w:t xml:space="preserve">vagueness of the statements within the Qur’an makes it difficult to determine whether human figures are acceptable to illustrate. </w:t>
      </w:r>
      <w:r w:rsidR="00B06B1D" w:rsidRPr="00DE627C">
        <w:t xml:space="preserve">The actions of the Taliban show how the use of figures are not permitted within Islamic groups who are more traditionalist in approach, though the Islamic religion has adapted throughout the years to become more suitable with the more modern culture and perspectives that new generations are introducing. </w:t>
      </w:r>
      <w:r w:rsidR="003E4E31" w:rsidRPr="00DE627C">
        <w:t xml:space="preserve">The issue of icons and iconoclasm within the Arabic world is also an example of how the representation of icons is not permitted within Islam, and the transition of iconoclasm from the early formation of Islam to present day shows how </w:t>
      </w:r>
      <w:r w:rsidR="00043B3E" w:rsidRPr="00DE627C">
        <w:t>this view is supported quite prominently by a majority traditionalist Islam</w:t>
      </w:r>
      <w:r w:rsidR="00A510B5" w:rsidRPr="00DE627C">
        <w:t>ic community</w:t>
      </w:r>
      <w:r w:rsidR="00043B3E" w:rsidRPr="00DE627C">
        <w:t xml:space="preserve">. </w:t>
      </w:r>
      <w:r w:rsidR="00FC16A5" w:rsidRPr="00DE627C">
        <w:t xml:space="preserve">It seems that the representation of human figures is tolerated within the Islamic faith, when a purpose is seen within </w:t>
      </w:r>
      <w:r w:rsidR="00FC16A5" w:rsidRPr="00DE627C">
        <w:lastRenderedPageBreak/>
        <w:t>the product (for example, education and entertainment). In my op</w:t>
      </w:r>
      <w:r w:rsidR="00DE627C" w:rsidRPr="00DE627C">
        <w:t>inion, Islam neither explicitly permits nor</w:t>
      </w:r>
      <w:r w:rsidR="00FC16A5" w:rsidRPr="00DE627C">
        <w:t xml:space="preserve"> forbids the representation of human figures within Islamic art and architecture, rather the vagueness of the </w:t>
      </w:r>
      <w:r w:rsidR="00B020F9" w:rsidRPr="00DE627C">
        <w:t xml:space="preserve">Qur’anic verses has led to a division between the Islamic community, whose </w:t>
      </w:r>
      <w:r w:rsidR="00DE627C" w:rsidRPr="00DE627C">
        <w:t>o</w:t>
      </w:r>
      <w:r w:rsidR="00B020F9" w:rsidRPr="00DE627C">
        <w:t>pinion on the representation of human figures varies depending on the social and political conditions of the era.</w:t>
      </w:r>
      <w:r w:rsidR="00B020F9">
        <w:t xml:space="preserve"> </w:t>
      </w:r>
    </w:p>
    <w:p w:rsidR="006247CA" w:rsidRDefault="006247CA" w:rsidP="00AB775F"/>
    <w:p w:rsidR="002B53BC" w:rsidRDefault="002B53BC" w:rsidP="00AB775F"/>
    <w:p w:rsidR="00E03D15" w:rsidRDefault="00E03D15" w:rsidP="00AB775F"/>
    <w:p w:rsidR="00E03D15" w:rsidRDefault="00E03D15" w:rsidP="00AB775F"/>
    <w:p w:rsidR="00E03D15" w:rsidRDefault="00E03D15" w:rsidP="00AB775F"/>
    <w:p w:rsidR="00B020F9" w:rsidRDefault="00B020F9" w:rsidP="00AB775F"/>
    <w:p w:rsidR="00B020F9" w:rsidRDefault="00B020F9" w:rsidP="00AB775F"/>
    <w:p w:rsidR="00B020F9" w:rsidRDefault="00B020F9" w:rsidP="00AB775F"/>
    <w:p w:rsidR="00B020F9" w:rsidRDefault="00B020F9" w:rsidP="00AB775F"/>
    <w:p w:rsidR="00B020F9" w:rsidRDefault="00B020F9" w:rsidP="00AB775F"/>
    <w:p w:rsidR="00B020F9" w:rsidRDefault="00B020F9" w:rsidP="00AB775F"/>
    <w:p w:rsidR="00B020F9" w:rsidRDefault="00B020F9" w:rsidP="00AB775F"/>
    <w:p w:rsidR="00B020F9" w:rsidRDefault="00B020F9" w:rsidP="00AB775F"/>
    <w:p w:rsidR="00B020F9" w:rsidRDefault="00B020F9" w:rsidP="00AB775F"/>
    <w:p w:rsidR="00B020F9" w:rsidRDefault="00B020F9" w:rsidP="00AB775F"/>
    <w:p w:rsidR="00B020F9" w:rsidRDefault="00B020F9" w:rsidP="00AB775F"/>
    <w:p w:rsidR="00B020F9" w:rsidRDefault="00B020F9" w:rsidP="00AB775F"/>
    <w:p w:rsidR="00B020F9" w:rsidRDefault="00B020F9" w:rsidP="00AB775F"/>
    <w:p w:rsidR="00B020F9" w:rsidRDefault="00B020F9" w:rsidP="00AB775F"/>
    <w:p w:rsidR="00B020F9" w:rsidRDefault="00B020F9" w:rsidP="00AB775F"/>
    <w:p w:rsidR="00B020F9" w:rsidRDefault="00B020F9" w:rsidP="00AB775F"/>
    <w:p w:rsidR="00B020F9" w:rsidRDefault="00B020F9" w:rsidP="00AB775F"/>
    <w:p w:rsidR="00B020F9" w:rsidRDefault="00B020F9" w:rsidP="00AB775F"/>
    <w:p w:rsidR="00E03D15" w:rsidRDefault="00E03D15" w:rsidP="00AB775F"/>
    <w:p w:rsidR="00E03D15" w:rsidRDefault="00E03D15" w:rsidP="00AB775F"/>
    <w:p w:rsidR="00E03D15" w:rsidRDefault="00E03D15" w:rsidP="00AB775F"/>
    <w:p w:rsidR="00E03D15" w:rsidRDefault="00E03D15" w:rsidP="000D5DB7"/>
    <w:p w:rsidR="00925A88" w:rsidRPr="00925A88" w:rsidRDefault="00925A88" w:rsidP="00925A88">
      <w:pPr>
        <w:jc w:val="center"/>
        <w:rPr>
          <w:b/>
          <w:sz w:val="28"/>
          <w:u w:val="single"/>
        </w:rPr>
      </w:pPr>
      <w:r w:rsidRPr="00925A88">
        <w:rPr>
          <w:b/>
          <w:sz w:val="28"/>
          <w:u w:val="single"/>
        </w:rPr>
        <w:lastRenderedPageBreak/>
        <w:t>Bibliography</w:t>
      </w:r>
    </w:p>
    <w:p w:rsidR="00925A88" w:rsidRDefault="00925A88" w:rsidP="00925A88"/>
    <w:p w:rsidR="00D57956" w:rsidRPr="00925A88" w:rsidRDefault="00D57956" w:rsidP="00D57956">
      <w:pPr>
        <w:rPr>
          <w:u w:val="single"/>
        </w:rPr>
      </w:pPr>
      <w:r w:rsidRPr="00925A88">
        <w:t>BBC, A History of the World, Gold Coin of Abd al-Malik, BBC, Available from http://www.bbc.co.uk/ahistoryoftheworld/objects/YQMPZkAXRW6iYDCe5L4KSA, Accessed on [08/02/2018].</w:t>
      </w:r>
      <w:r w:rsidRPr="00925A88">
        <w:rPr>
          <w:u w:val="single"/>
        </w:rPr>
        <w:t xml:space="preserve"> </w:t>
      </w:r>
    </w:p>
    <w:p w:rsidR="00D57956" w:rsidRPr="00925A88" w:rsidRDefault="00D57956" w:rsidP="00D57956">
      <w:pPr>
        <w:rPr>
          <w:u w:val="single"/>
        </w:rPr>
      </w:pPr>
      <w:r w:rsidRPr="00925A88">
        <w:t>Behzad</w:t>
      </w:r>
      <w:r>
        <w:t>,</w:t>
      </w:r>
      <w:r w:rsidRPr="00925A88">
        <w:t xml:space="preserve"> Nasir and Qarizadah</w:t>
      </w:r>
      <w:r>
        <w:t>,</w:t>
      </w:r>
      <w:r w:rsidRPr="00685C6B">
        <w:t xml:space="preserve"> </w:t>
      </w:r>
      <w:r w:rsidRPr="00925A88">
        <w:t>Daud, The man who helped blow up the Bamiyan Buddhas, BBC Afghan/News, Available from http://www.bbc.co.uk/news/world-asia-31813681, Accessed on [20/01/2018].</w:t>
      </w:r>
    </w:p>
    <w:p w:rsidR="00D57956" w:rsidRPr="00925A88" w:rsidRDefault="00D57956" w:rsidP="00D57956">
      <w:r w:rsidRPr="00925A88">
        <w:t>Brubaker,</w:t>
      </w:r>
      <w:r>
        <w:t xml:space="preserve"> Leslie and </w:t>
      </w:r>
      <w:r w:rsidRPr="00925A88">
        <w:t>Haldon,</w:t>
      </w:r>
      <w:r>
        <w:t xml:space="preserve"> John,</w:t>
      </w:r>
      <w:r w:rsidRPr="00925A88">
        <w:t xml:space="preserve"> </w:t>
      </w:r>
      <w:r w:rsidRPr="00925A88">
        <w:rPr>
          <w:i/>
        </w:rPr>
        <w:t xml:space="preserve">Byzantium in the Iconoclast Era, C. 680-850: A History </w:t>
      </w:r>
      <w:r w:rsidRPr="00925A88">
        <w:t>(Cambridge University Press, 2015).</w:t>
      </w:r>
    </w:p>
    <w:p w:rsidR="00D57956" w:rsidRDefault="00D57956" w:rsidP="00D57956">
      <w:r w:rsidRPr="00925A88">
        <w:t>Canby,</w:t>
      </w:r>
      <w:r>
        <w:t xml:space="preserve"> Sheila. R,</w:t>
      </w:r>
      <w:r w:rsidRPr="00925A88">
        <w:t xml:space="preserve"> </w:t>
      </w:r>
      <w:r w:rsidRPr="00925A88">
        <w:rPr>
          <w:i/>
        </w:rPr>
        <w:t>Islamic Art in Detail</w:t>
      </w:r>
      <w:r w:rsidRPr="00925A88">
        <w:t xml:space="preserve"> (Harvard University Press, 2008). </w:t>
      </w:r>
    </w:p>
    <w:p w:rsidR="00D57956" w:rsidRPr="00925A88" w:rsidRDefault="00D57956" w:rsidP="00D57956">
      <w:proofErr w:type="spellStart"/>
      <w:r w:rsidRPr="00925A88">
        <w:t>Graba</w:t>
      </w:r>
      <w:proofErr w:type="spellEnd"/>
      <w:r w:rsidRPr="00925A88">
        <w:t>,</w:t>
      </w:r>
      <w:r>
        <w:t xml:space="preserve"> Oleg,</w:t>
      </w:r>
      <w:r w:rsidRPr="00925A88">
        <w:t xml:space="preserve"> Maqamat Al-</w:t>
      </w:r>
      <w:proofErr w:type="spellStart"/>
      <w:r w:rsidRPr="00925A88">
        <w:t>Harir</w:t>
      </w:r>
      <w:proofErr w:type="spellEnd"/>
      <w:r w:rsidRPr="00925A88">
        <w:t xml:space="preserve">, Omifacsimilies.com, Available from http://www.omifacsimiles.com/brochures/maq.html, Accessed on [12/02/2018]. </w:t>
      </w:r>
    </w:p>
    <w:p w:rsidR="00925A88" w:rsidRDefault="00925A88" w:rsidP="00925A88">
      <w:r w:rsidRPr="00925A88">
        <w:t>Lapidus,</w:t>
      </w:r>
      <w:r w:rsidR="00110F14">
        <w:t xml:space="preserve"> Ira.</w:t>
      </w:r>
      <w:r w:rsidR="007D0F82">
        <w:t xml:space="preserve"> </w:t>
      </w:r>
      <w:r w:rsidR="00110F14">
        <w:t>M,</w:t>
      </w:r>
      <w:r w:rsidRPr="00925A88">
        <w:t xml:space="preserve"> </w:t>
      </w:r>
      <w:r w:rsidRPr="00925A88">
        <w:rPr>
          <w:i/>
        </w:rPr>
        <w:t>A History of Islamic Societies,</w:t>
      </w:r>
      <w:r w:rsidRPr="00925A88">
        <w:t xml:space="preserve"> 3rd edition (England: Cambridge University Press, 2014</w:t>
      </w:r>
      <w:r>
        <w:t>).</w:t>
      </w:r>
    </w:p>
    <w:p w:rsidR="00925A88" w:rsidRDefault="00925A88" w:rsidP="00925A88">
      <w:r w:rsidRPr="00925A88">
        <w:t xml:space="preserve">Lumen Learning, Dome of the Rock, Lumen Learning, Available from https://courses.lumenlearning.com/suny-arthistory1/chapter/dome-of-the-rock/, Accessed on [06/02.2018]. </w:t>
      </w:r>
    </w:p>
    <w:p w:rsidR="00D57956" w:rsidRPr="00925A88" w:rsidRDefault="00D57956" w:rsidP="00D57956">
      <w:pPr>
        <w:rPr>
          <w:u w:val="single"/>
        </w:rPr>
      </w:pPr>
      <w:r w:rsidRPr="00925A88">
        <w:t>Markowitz</w:t>
      </w:r>
      <w:r>
        <w:t>,</w:t>
      </w:r>
      <w:r w:rsidRPr="00685C6B">
        <w:t xml:space="preserve"> </w:t>
      </w:r>
      <w:r w:rsidRPr="00925A88">
        <w:t>Mike, Coinage of the First Caliphate, Coinweek, Available from https://coinweek.com/ancient-coins/coinage-first-caliphate/, Accessed on [08/02/2018].</w:t>
      </w:r>
    </w:p>
    <w:p w:rsidR="00D57956" w:rsidRPr="00925A88" w:rsidRDefault="00D57956" w:rsidP="00D57956">
      <w:r w:rsidRPr="00925A88">
        <w:t>Oxford Dictionary, Iconoclasm, Oxford Dictionary, Available from https://en.oxforddictionaries.com/definition/iconoclasm, Accessed on [06/02/2018].</w:t>
      </w:r>
    </w:p>
    <w:p w:rsidR="00925A88" w:rsidRPr="00925A88" w:rsidRDefault="00925A88" w:rsidP="00925A88">
      <w:r w:rsidRPr="00925A88">
        <w:t>Sacred Destinations, Dome of the Rock; Jerusalem, Sacred Destinations, Available from http://www.sacred-destinations.com/israel/jerusalem-dome-of-the-rock, Accessed on [06/02/2018].</w:t>
      </w:r>
    </w:p>
    <w:p w:rsidR="00925A88" w:rsidRPr="00925A88" w:rsidRDefault="00925A88" w:rsidP="00925A88">
      <w:proofErr w:type="spellStart"/>
      <w:r w:rsidRPr="00925A88">
        <w:t>TheDavidCollection</w:t>
      </w:r>
      <w:proofErr w:type="spellEnd"/>
      <w:r w:rsidRPr="00925A88">
        <w:t xml:space="preserve">, The Umayyad Caliphate, </w:t>
      </w:r>
      <w:proofErr w:type="spellStart"/>
      <w:r w:rsidRPr="00925A88">
        <w:t>TheDavidCollection</w:t>
      </w:r>
      <w:proofErr w:type="spellEnd"/>
      <w:r w:rsidRPr="00925A88">
        <w:t xml:space="preserve">, Available from https://www.davidmus.dk/en/collections/islamic/dynasties/umayyads, Accessed on [09/02/2018]. </w:t>
      </w:r>
    </w:p>
    <w:p w:rsidR="00D57956" w:rsidRPr="00925A88" w:rsidRDefault="00D57956" w:rsidP="00D57956">
      <w:pPr>
        <w:rPr>
          <w:u w:val="single"/>
        </w:rPr>
      </w:pPr>
      <w:r w:rsidRPr="00925A88">
        <w:t>Williams</w:t>
      </w:r>
      <w:r>
        <w:t>,</w:t>
      </w:r>
      <w:r w:rsidRPr="00685C6B">
        <w:t xml:space="preserve"> </w:t>
      </w:r>
      <w:r w:rsidRPr="00925A88">
        <w:t>Betsy, Qusayr’ Amra, Met Museum, Available from https://www.metmuseum.org/exhibitions/listings/2012/byzantium-and-islam/blog/where-in-the-world/posts/qusayr-amra, Accessed on [08/02/2018].</w:t>
      </w:r>
    </w:p>
    <w:p w:rsidR="00933BA4" w:rsidRDefault="00933BA4" w:rsidP="00925A88">
      <w:r w:rsidRPr="00933BA4">
        <w:t>World Digital Library, De Materia Medica, World Digital Library, Available from https://www.wdl.org/en/item/10632/, Accessed on [12/12/2018].</w:t>
      </w:r>
    </w:p>
    <w:p w:rsidR="00925A88" w:rsidRPr="00925A88" w:rsidRDefault="00925A88" w:rsidP="00925A88">
      <w:r w:rsidRPr="00925A88">
        <w:t xml:space="preserve">World Monuments Fund, Qusayr Amra, World Monuments Fund, Available from https://www.wmf.org/project/qusayr-amra, Accessed on [08/02/2018]. </w:t>
      </w:r>
    </w:p>
    <w:p w:rsidR="00E03D15" w:rsidRDefault="00E03D15" w:rsidP="00925A88">
      <w:r>
        <w:br w:type="page"/>
      </w:r>
    </w:p>
    <w:p w:rsidR="00E03D15" w:rsidRDefault="00E03D15" w:rsidP="00E03D15">
      <w:pPr>
        <w:jc w:val="center"/>
        <w:rPr>
          <w:b/>
          <w:u w:val="single"/>
        </w:rPr>
      </w:pPr>
      <w:r>
        <w:rPr>
          <w:noProof/>
          <w:color w:val="0000FF"/>
          <w:lang w:eastAsia="en-GB"/>
        </w:rPr>
        <w:lastRenderedPageBreak/>
        <w:drawing>
          <wp:anchor distT="0" distB="0" distL="114300" distR="114300" simplePos="0" relativeHeight="251658240" behindDoc="1" locked="0" layoutInCell="1" allowOverlap="1">
            <wp:simplePos x="0" y="0"/>
            <wp:positionH relativeFrom="column">
              <wp:posOffset>0</wp:posOffset>
            </wp:positionH>
            <wp:positionV relativeFrom="paragraph">
              <wp:posOffset>0</wp:posOffset>
            </wp:positionV>
            <wp:extent cx="5731510" cy="3864861"/>
            <wp:effectExtent l="0" t="0" r="2540" b="2540"/>
            <wp:wrapTight wrapText="bothSides">
              <wp:wrapPolygon edited="0">
                <wp:start x="0" y="0"/>
                <wp:lineTo x="0" y="21508"/>
                <wp:lineTo x="21538" y="21508"/>
                <wp:lineTo x="21538" y="0"/>
                <wp:lineTo x="0" y="0"/>
              </wp:wrapPolygon>
            </wp:wrapTight>
            <wp:docPr id="5" name="irc_mi" descr="Image result for inside the dome of the rock jerusalem">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inside the dome of the rock jerusalem">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64861"/>
                    </a:xfrm>
                    <a:prstGeom prst="rect">
                      <a:avLst/>
                    </a:prstGeom>
                    <a:noFill/>
                    <a:ln>
                      <a:noFill/>
                    </a:ln>
                  </pic:spPr>
                </pic:pic>
              </a:graphicData>
            </a:graphic>
          </wp:anchor>
        </w:drawing>
      </w:r>
      <w:r>
        <w:rPr>
          <w:b/>
          <w:u w:val="single"/>
        </w:rPr>
        <w:t>Figure One: Dome of the Rock in Jerusalem; Mosaics</w:t>
      </w:r>
      <w:r w:rsidR="007331BE">
        <w:rPr>
          <w:rStyle w:val="FootnoteReference"/>
          <w:b/>
          <w:u w:val="single"/>
        </w:rPr>
        <w:footnoteReference w:id="17"/>
      </w:r>
    </w:p>
    <w:p w:rsidR="007331BE" w:rsidRDefault="006A26A4">
      <w:pPr>
        <w:jc w:val="center"/>
        <w:rPr>
          <w:b/>
          <w:u w:val="single"/>
        </w:rPr>
      </w:pPr>
      <w:r>
        <w:rPr>
          <w:noProof/>
          <w:lang w:eastAsia="en-GB"/>
        </w:rPr>
        <w:drawing>
          <wp:anchor distT="0" distB="0" distL="114300" distR="114300" simplePos="0" relativeHeight="251659264" behindDoc="1" locked="0" layoutInCell="1" allowOverlap="1">
            <wp:simplePos x="0" y="0"/>
            <wp:positionH relativeFrom="column">
              <wp:posOffset>0</wp:posOffset>
            </wp:positionH>
            <wp:positionV relativeFrom="paragraph">
              <wp:posOffset>4626</wp:posOffset>
            </wp:positionV>
            <wp:extent cx="5730875" cy="3054350"/>
            <wp:effectExtent l="0" t="0" r="3175" b="0"/>
            <wp:wrapTight wrapText="bothSides">
              <wp:wrapPolygon edited="0">
                <wp:start x="0" y="0"/>
                <wp:lineTo x="0" y="21420"/>
                <wp:lineTo x="21540" y="21420"/>
                <wp:lineTo x="2154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3054350"/>
                    </a:xfrm>
                    <a:prstGeom prst="rect">
                      <a:avLst/>
                    </a:prstGeom>
                    <a:noFill/>
                  </pic:spPr>
                </pic:pic>
              </a:graphicData>
            </a:graphic>
          </wp:anchor>
        </w:drawing>
      </w:r>
      <w:r>
        <w:rPr>
          <w:b/>
          <w:u w:val="single"/>
        </w:rPr>
        <w:t>Figure Two: The Bamiyan Buddhas</w:t>
      </w:r>
      <w:r w:rsidR="000D5DB7">
        <w:rPr>
          <w:b/>
          <w:u w:val="single"/>
        </w:rPr>
        <w:t xml:space="preserve"> (Before and After Destruction)</w:t>
      </w:r>
      <w:r>
        <w:rPr>
          <w:rStyle w:val="FootnoteReference"/>
          <w:b/>
          <w:u w:val="single"/>
        </w:rPr>
        <w:footnoteReference w:id="18"/>
      </w:r>
    </w:p>
    <w:p w:rsidR="006A26A4" w:rsidRDefault="00FB6E74" w:rsidP="00FB6E74">
      <w:pPr>
        <w:jc w:val="center"/>
        <w:rPr>
          <w:b/>
          <w:u w:val="single"/>
        </w:rPr>
      </w:pPr>
      <w:r>
        <w:rPr>
          <w:b/>
          <w:noProof/>
          <w:u w:val="single"/>
          <w:lang w:eastAsia="en-GB"/>
        </w:rPr>
        <w:lastRenderedPageBreak/>
        <w:drawing>
          <wp:anchor distT="0" distB="0" distL="114300" distR="114300" simplePos="0" relativeHeight="251661312" behindDoc="1" locked="0" layoutInCell="1" allowOverlap="1">
            <wp:simplePos x="0" y="0"/>
            <wp:positionH relativeFrom="column">
              <wp:posOffset>140970</wp:posOffset>
            </wp:positionH>
            <wp:positionV relativeFrom="paragraph">
              <wp:posOffset>2808151</wp:posOffset>
            </wp:positionV>
            <wp:extent cx="5464175" cy="3642360"/>
            <wp:effectExtent l="0" t="0" r="3175" b="0"/>
            <wp:wrapTight wrapText="bothSides">
              <wp:wrapPolygon edited="0">
                <wp:start x="0" y="0"/>
                <wp:lineTo x="0" y="21464"/>
                <wp:lineTo x="21537" y="21464"/>
                <wp:lineTo x="2153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64175" cy="3642360"/>
                    </a:xfrm>
                    <a:prstGeom prst="rect">
                      <a:avLst/>
                    </a:prstGeom>
                    <a:noFill/>
                  </pic:spPr>
                </pic:pic>
              </a:graphicData>
            </a:graphic>
            <wp14:sizeRelH relativeFrom="margin">
              <wp14:pctWidth>0</wp14:pctWidth>
            </wp14:sizeRelH>
            <wp14:sizeRelV relativeFrom="margin">
              <wp14:pctHeight>0</wp14:pctHeight>
            </wp14:sizeRelV>
          </wp:anchor>
        </w:drawing>
      </w:r>
      <w:r w:rsidR="00C8589D">
        <w:rPr>
          <w:noProof/>
          <w:lang w:eastAsia="en-GB"/>
        </w:rPr>
        <w:drawing>
          <wp:anchor distT="0" distB="0" distL="114300" distR="114300" simplePos="0" relativeHeight="251660288" behindDoc="1" locked="0" layoutInCell="1" allowOverlap="1">
            <wp:simplePos x="0" y="0"/>
            <wp:positionH relativeFrom="column">
              <wp:posOffset>2818765</wp:posOffset>
            </wp:positionH>
            <wp:positionV relativeFrom="paragraph">
              <wp:posOffset>133350</wp:posOffset>
            </wp:positionV>
            <wp:extent cx="3101975" cy="1524000"/>
            <wp:effectExtent l="0" t="0" r="3175" b="0"/>
            <wp:wrapTight wrapText="bothSides">
              <wp:wrapPolygon edited="0">
                <wp:start x="0" y="0"/>
                <wp:lineTo x="0" y="21330"/>
                <wp:lineTo x="21489" y="21330"/>
                <wp:lineTo x="2148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01975" cy="1524000"/>
                    </a:xfrm>
                    <a:prstGeom prst="rect">
                      <a:avLst/>
                    </a:prstGeom>
                    <a:noFill/>
                  </pic:spPr>
                </pic:pic>
              </a:graphicData>
            </a:graphic>
            <wp14:sizeRelH relativeFrom="margin">
              <wp14:pctWidth>0</wp14:pctWidth>
            </wp14:sizeRelH>
            <wp14:sizeRelV relativeFrom="margin">
              <wp14:pctHeight>0</wp14:pctHeight>
            </wp14:sizeRelV>
          </wp:anchor>
        </w:drawing>
      </w:r>
      <w:r w:rsidR="00C8589D">
        <w:rPr>
          <w:noProof/>
          <w:lang w:eastAsia="en-GB"/>
        </w:rPr>
        <w:drawing>
          <wp:inline distT="0" distB="0" distL="0" distR="0" wp14:anchorId="0B905E3A">
            <wp:extent cx="2628900" cy="2220308"/>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35690" cy="2226043"/>
                    </a:xfrm>
                    <a:prstGeom prst="rect">
                      <a:avLst/>
                    </a:prstGeom>
                    <a:noFill/>
                  </pic:spPr>
                </pic:pic>
              </a:graphicData>
            </a:graphic>
          </wp:inline>
        </w:drawing>
      </w:r>
      <w:r w:rsidR="00C8589D">
        <w:rPr>
          <w:b/>
          <w:u w:val="single"/>
        </w:rPr>
        <w:t>Figure Three: Before and After Coin Reforms under Abd-Al Malik</w:t>
      </w:r>
      <w:r w:rsidR="00C8589D">
        <w:rPr>
          <w:rStyle w:val="FootnoteReference"/>
          <w:b/>
          <w:u w:val="single"/>
        </w:rPr>
        <w:footnoteReference w:id="19"/>
      </w:r>
    </w:p>
    <w:p w:rsidR="00FB6E74" w:rsidRDefault="00FB6E74" w:rsidP="00FB6E74">
      <w:pPr>
        <w:jc w:val="center"/>
        <w:rPr>
          <w:b/>
          <w:u w:val="single"/>
        </w:rPr>
      </w:pPr>
    </w:p>
    <w:p w:rsidR="00FB6E74" w:rsidRDefault="00FB6E74" w:rsidP="00FB6E74">
      <w:pPr>
        <w:jc w:val="center"/>
        <w:rPr>
          <w:b/>
          <w:u w:val="single"/>
        </w:rPr>
      </w:pPr>
      <w:r>
        <w:rPr>
          <w:b/>
          <w:u w:val="single"/>
        </w:rPr>
        <w:t>Figure Four: Bathing Women found on the walls of Qusayr Amra</w:t>
      </w:r>
      <w:r>
        <w:rPr>
          <w:rStyle w:val="FootnoteReference"/>
          <w:b/>
          <w:u w:val="single"/>
        </w:rPr>
        <w:footnoteReference w:id="20"/>
      </w:r>
    </w:p>
    <w:p w:rsidR="00E46174" w:rsidRDefault="00E46174" w:rsidP="00FB6E74">
      <w:pPr>
        <w:jc w:val="center"/>
        <w:rPr>
          <w:b/>
          <w:u w:val="single"/>
        </w:rPr>
      </w:pPr>
    </w:p>
    <w:p w:rsidR="00E46174" w:rsidRDefault="00E46174" w:rsidP="00FB6E74">
      <w:pPr>
        <w:jc w:val="center"/>
        <w:rPr>
          <w:b/>
          <w:u w:val="single"/>
        </w:rPr>
      </w:pPr>
    </w:p>
    <w:p w:rsidR="00E46174" w:rsidRDefault="002D1A54" w:rsidP="00E46174">
      <w:pPr>
        <w:rPr>
          <w:b/>
          <w:u w:val="single"/>
        </w:rPr>
      </w:pPr>
      <w:r>
        <w:rPr>
          <w:noProof/>
          <w:lang w:eastAsia="en-GB"/>
        </w:rPr>
        <w:lastRenderedPageBreak/>
        <w:drawing>
          <wp:anchor distT="0" distB="0" distL="114300" distR="114300" simplePos="0" relativeHeight="251662336" behindDoc="1" locked="0" layoutInCell="1" allowOverlap="1">
            <wp:simplePos x="0" y="0"/>
            <wp:positionH relativeFrom="margin">
              <wp:align>center</wp:align>
            </wp:positionH>
            <wp:positionV relativeFrom="paragraph">
              <wp:posOffset>0</wp:posOffset>
            </wp:positionV>
            <wp:extent cx="3837305" cy="4173855"/>
            <wp:effectExtent l="0" t="0" r="0" b="0"/>
            <wp:wrapTight wrapText="bothSides">
              <wp:wrapPolygon edited="0">
                <wp:start x="0" y="0"/>
                <wp:lineTo x="0" y="21492"/>
                <wp:lineTo x="21446" y="21492"/>
                <wp:lineTo x="2144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837305" cy="4173855"/>
                    </a:xfrm>
                    <a:prstGeom prst="rect">
                      <a:avLst/>
                    </a:prstGeom>
                  </pic:spPr>
                </pic:pic>
              </a:graphicData>
            </a:graphic>
          </wp:anchor>
        </w:drawing>
      </w:r>
    </w:p>
    <w:p w:rsidR="002D1A54" w:rsidRDefault="002D1A54" w:rsidP="00E46174">
      <w:pPr>
        <w:rPr>
          <w:b/>
          <w:u w:val="single"/>
        </w:rPr>
      </w:pPr>
    </w:p>
    <w:p w:rsidR="002D1A54" w:rsidRDefault="002D1A54" w:rsidP="00E46174">
      <w:pPr>
        <w:rPr>
          <w:b/>
          <w:u w:val="single"/>
        </w:rPr>
      </w:pPr>
    </w:p>
    <w:p w:rsidR="002D1A54" w:rsidRDefault="002D1A54" w:rsidP="00E46174">
      <w:pPr>
        <w:rPr>
          <w:b/>
          <w:u w:val="single"/>
        </w:rPr>
      </w:pPr>
    </w:p>
    <w:p w:rsidR="002D1A54" w:rsidRDefault="002D1A54" w:rsidP="00E46174">
      <w:pPr>
        <w:rPr>
          <w:b/>
          <w:u w:val="single"/>
        </w:rPr>
      </w:pPr>
    </w:p>
    <w:p w:rsidR="002D1A54" w:rsidRDefault="002D1A54" w:rsidP="00E46174">
      <w:pPr>
        <w:rPr>
          <w:b/>
          <w:u w:val="single"/>
        </w:rPr>
      </w:pPr>
    </w:p>
    <w:p w:rsidR="002D1A54" w:rsidRDefault="002D1A54" w:rsidP="00E46174">
      <w:pPr>
        <w:rPr>
          <w:b/>
          <w:u w:val="single"/>
        </w:rPr>
      </w:pPr>
    </w:p>
    <w:p w:rsidR="002D1A54" w:rsidRDefault="002D1A54" w:rsidP="00E46174">
      <w:pPr>
        <w:rPr>
          <w:b/>
          <w:u w:val="single"/>
        </w:rPr>
      </w:pPr>
    </w:p>
    <w:p w:rsidR="002D1A54" w:rsidRDefault="002D1A54" w:rsidP="00E46174">
      <w:pPr>
        <w:rPr>
          <w:b/>
          <w:u w:val="single"/>
        </w:rPr>
      </w:pPr>
    </w:p>
    <w:p w:rsidR="002D1A54" w:rsidRDefault="002D1A54" w:rsidP="00E46174">
      <w:pPr>
        <w:rPr>
          <w:b/>
          <w:u w:val="single"/>
        </w:rPr>
      </w:pPr>
    </w:p>
    <w:p w:rsidR="002D1A54" w:rsidRDefault="002D1A54" w:rsidP="00E46174">
      <w:pPr>
        <w:rPr>
          <w:b/>
          <w:u w:val="single"/>
        </w:rPr>
      </w:pPr>
    </w:p>
    <w:p w:rsidR="002D1A54" w:rsidRDefault="002D1A54" w:rsidP="00E46174">
      <w:pPr>
        <w:rPr>
          <w:b/>
          <w:u w:val="single"/>
        </w:rPr>
      </w:pPr>
    </w:p>
    <w:p w:rsidR="002D1A54" w:rsidRDefault="002D1A54" w:rsidP="00E46174">
      <w:pPr>
        <w:rPr>
          <w:b/>
          <w:u w:val="single"/>
        </w:rPr>
      </w:pPr>
    </w:p>
    <w:p w:rsidR="002D1A54" w:rsidRDefault="002D1A54" w:rsidP="00E46174">
      <w:pPr>
        <w:rPr>
          <w:b/>
          <w:u w:val="single"/>
        </w:rPr>
      </w:pPr>
    </w:p>
    <w:p w:rsidR="002D1A54" w:rsidRDefault="002D1A54" w:rsidP="00E46174">
      <w:pPr>
        <w:rPr>
          <w:b/>
          <w:u w:val="single"/>
        </w:rPr>
      </w:pPr>
    </w:p>
    <w:p w:rsidR="00256023" w:rsidRDefault="00256023" w:rsidP="002D1A54">
      <w:pPr>
        <w:jc w:val="center"/>
        <w:rPr>
          <w:b/>
          <w:u w:val="single"/>
        </w:rPr>
      </w:pPr>
      <w:r>
        <w:rPr>
          <w:noProof/>
          <w:lang w:eastAsia="en-GB"/>
        </w:rPr>
        <w:drawing>
          <wp:anchor distT="0" distB="0" distL="114300" distR="114300" simplePos="0" relativeHeight="251663360" behindDoc="1" locked="0" layoutInCell="1" allowOverlap="1">
            <wp:simplePos x="0" y="0"/>
            <wp:positionH relativeFrom="margin">
              <wp:align>center</wp:align>
            </wp:positionH>
            <wp:positionV relativeFrom="paragraph">
              <wp:posOffset>363432</wp:posOffset>
            </wp:positionV>
            <wp:extent cx="4552950" cy="2228850"/>
            <wp:effectExtent l="0" t="0" r="0" b="0"/>
            <wp:wrapTight wrapText="bothSides">
              <wp:wrapPolygon edited="0">
                <wp:start x="0" y="0"/>
                <wp:lineTo x="0" y="21415"/>
                <wp:lineTo x="21510" y="21415"/>
                <wp:lineTo x="21510"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4552950" cy="2228850"/>
                    </a:xfrm>
                    <a:prstGeom prst="rect">
                      <a:avLst/>
                    </a:prstGeom>
                  </pic:spPr>
                </pic:pic>
              </a:graphicData>
            </a:graphic>
          </wp:anchor>
        </w:drawing>
      </w:r>
      <w:r w:rsidR="002D1A54">
        <w:rPr>
          <w:b/>
          <w:u w:val="single"/>
        </w:rPr>
        <w:t>Figure Five: Illustration from the Maqamat Al-Hariri</w:t>
      </w:r>
      <w:r w:rsidR="002D1A54">
        <w:rPr>
          <w:rStyle w:val="FootnoteReference"/>
          <w:b/>
          <w:u w:val="single"/>
        </w:rPr>
        <w:footnoteReference w:id="21"/>
      </w:r>
    </w:p>
    <w:p w:rsidR="00256023" w:rsidRPr="00256023" w:rsidRDefault="00256023" w:rsidP="00256023"/>
    <w:p w:rsidR="00256023" w:rsidRPr="00256023" w:rsidRDefault="00256023" w:rsidP="00256023"/>
    <w:p w:rsidR="00256023" w:rsidRPr="00256023" w:rsidRDefault="00256023" w:rsidP="00256023"/>
    <w:p w:rsidR="00256023" w:rsidRPr="00256023" w:rsidRDefault="00256023" w:rsidP="00256023"/>
    <w:p w:rsidR="00256023" w:rsidRPr="00256023" w:rsidRDefault="00256023" w:rsidP="00256023"/>
    <w:p w:rsidR="00256023" w:rsidRPr="00256023" w:rsidRDefault="00256023" w:rsidP="00256023"/>
    <w:p w:rsidR="00256023" w:rsidRDefault="00256023" w:rsidP="00256023"/>
    <w:p w:rsidR="002D1A54" w:rsidRDefault="002D1A54" w:rsidP="00256023"/>
    <w:p w:rsidR="00256023" w:rsidRDefault="00256023" w:rsidP="00256023">
      <w:pPr>
        <w:jc w:val="center"/>
      </w:pPr>
    </w:p>
    <w:p w:rsidR="00256023" w:rsidRPr="00256023" w:rsidRDefault="00256023" w:rsidP="00256023">
      <w:pPr>
        <w:jc w:val="center"/>
        <w:rPr>
          <w:b/>
          <w:u w:val="single"/>
        </w:rPr>
      </w:pPr>
      <w:r>
        <w:rPr>
          <w:b/>
          <w:u w:val="single"/>
        </w:rPr>
        <w:t>Figure Six: Illustration from De Materia Medica</w:t>
      </w:r>
      <w:r>
        <w:rPr>
          <w:rStyle w:val="FootnoteReference"/>
          <w:b/>
          <w:u w:val="single"/>
        </w:rPr>
        <w:footnoteReference w:id="22"/>
      </w:r>
    </w:p>
    <w:sectPr w:rsidR="00256023" w:rsidRPr="002560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1023C" w:rsidRDefault="00E1023C" w:rsidP="00CD0C0E">
      <w:pPr>
        <w:spacing w:after="0" w:line="240" w:lineRule="auto"/>
      </w:pPr>
      <w:r>
        <w:separator/>
      </w:r>
    </w:p>
  </w:endnote>
  <w:endnote w:type="continuationSeparator" w:id="0">
    <w:p w:rsidR="00E1023C" w:rsidRDefault="00E1023C" w:rsidP="00CD0C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1023C" w:rsidRDefault="00E1023C" w:rsidP="00CD0C0E">
      <w:pPr>
        <w:spacing w:after="0" w:line="240" w:lineRule="auto"/>
      </w:pPr>
      <w:r>
        <w:separator/>
      </w:r>
    </w:p>
  </w:footnote>
  <w:footnote w:type="continuationSeparator" w:id="0">
    <w:p w:rsidR="00E1023C" w:rsidRDefault="00E1023C" w:rsidP="00CD0C0E">
      <w:pPr>
        <w:spacing w:after="0" w:line="240" w:lineRule="auto"/>
      </w:pPr>
      <w:r>
        <w:continuationSeparator/>
      </w:r>
    </w:p>
  </w:footnote>
  <w:footnote w:id="1">
    <w:p w:rsidR="00CD0C0E" w:rsidRPr="007215DD" w:rsidRDefault="00CD0C0E">
      <w:pPr>
        <w:pStyle w:val="FootnoteText"/>
        <w:rPr>
          <w:sz w:val="18"/>
          <w:szCs w:val="18"/>
          <w:u w:val="single"/>
        </w:rPr>
      </w:pPr>
      <w:r w:rsidRPr="007215DD">
        <w:rPr>
          <w:rStyle w:val="FootnoteReference"/>
          <w:sz w:val="18"/>
          <w:szCs w:val="18"/>
        </w:rPr>
        <w:footnoteRef/>
      </w:r>
      <w:r w:rsidRPr="007215DD">
        <w:rPr>
          <w:sz w:val="18"/>
          <w:szCs w:val="18"/>
        </w:rPr>
        <w:t xml:space="preserve"> I.M. Lapidus, </w:t>
      </w:r>
      <w:r w:rsidRPr="007215DD">
        <w:rPr>
          <w:i/>
          <w:sz w:val="18"/>
          <w:szCs w:val="18"/>
        </w:rPr>
        <w:t>A History of Islamic Societies,</w:t>
      </w:r>
      <w:r w:rsidRPr="007215DD">
        <w:rPr>
          <w:sz w:val="18"/>
          <w:szCs w:val="18"/>
        </w:rPr>
        <w:t xml:space="preserve"> 3rd edition (England: Cambridge University Press, 2014).</w:t>
      </w:r>
      <w:r w:rsidR="007215DD">
        <w:rPr>
          <w:sz w:val="18"/>
          <w:szCs w:val="18"/>
        </w:rPr>
        <w:t xml:space="preserve"> p.132.</w:t>
      </w:r>
    </w:p>
  </w:footnote>
  <w:footnote w:id="2">
    <w:p w:rsidR="00CF63CE" w:rsidRPr="00CF63CE" w:rsidRDefault="00CF63CE">
      <w:pPr>
        <w:pStyle w:val="FootnoteText"/>
        <w:rPr>
          <w:sz w:val="18"/>
        </w:rPr>
      </w:pPr>
      <w:r>
        <w:rPr>
          <w:rStyle w:val="FootnoteReference"/>
        </w:rPr>
        <w:footnoteRef/>
      </w:r>
      <w:r>
        <w:t xml:space="preserve"> </w:t>
      </w:r>
      <w:r w:rsidR="009E3A9F">
        <w:rPr>
          <w:sz w:val="18"/>
        </w:rPr>
        <w:t>S.</w:t>
      </w:r>
      <w:r w:rsidRPr="00CF63CE">
        <w:rPr>
          <w:sz w:val="18"/>
        </w:rPr>
        <w:t xml:space="preserve">R. Canby, </w:t>
      </w:r>
      <w:r w:rsidRPr="00CF63CE">
        <w:rPr>
          <w:i/>
          <w:sz w:val="18"/>
        </w:rPr>
        <w:t>Islamic Art in Detail</w:t>
      </w:r>
      <w:r w:rsidRPr="00CF63CE">
        <w:rPr>
          <w:sz w:val="18"/>
        </w:rPr>
        <w:t xml:space="preserve"> (Harvard University Press, 2008). p.32. </w:t>
      </w:r>
    </w:p>
  </w:footnote>
  <w:footnote w:id="3">
    <w:p w:rsidR="00AC5A1F" w:rsidRPr="00AC5A1F" w:rsidRDefault="00AC5A1F">
      <w:pPr>
        <w:pStyle w:val="FootnoteText"/>
        <w:rPr>
          <w:sz w:val="18"/>
        </w:rPr>
      </w:pPr>
      <w:r w:rsidRPr="00AC5A1F">
        <w:rPr>
          <w:rStyle w:val="FootnoteReference"/>
          <w:sz w:val="18"/>
        </w:rPr>
        <w:footnoteRef/>
      </w:r>
      <w:r w:rsidRPr="00AC5A1F">
        <w:rPr>
          <w:sz w:val="18"/>
        </w:rPr>
        <w:t xml:space="preserve"> S.R. Canby, </w:t>
      </w:r>
      <w:r w:rsidRPr="00AC5A1F">
        <w:rPr>
          <w:i/>
          <w:sz w:val="18"/>
        </w:rPr>
        <w:t>Islamic Art in Detail</w:t>
      </w:r>
      <w:r w:rsidRPr="00AC5A1F">
        <w:rPr>
          <w:sz w:val="18"/>
        </w:rPr>
        <w:t xml:space="preserve"> (Harvard University Press, 2008). p.32.</w:t>
      </w:r>
    </w:p>
  </w:footnote>
  <w:footnote w:id="4">
    <w:p w:rsidR="003E3642" w:rsidRPr="003E3642" w:rsidRDefault="003E3642">
      <w:pPr>
        <w:pStyle w:val="FootnoteText"/>
        <w:rPr>
          <w:sz w:val="18"/>
        </w:rPr>
      </w:pPr>
      <w:r>
        <w:rPr>
          <w:rStyle w:val="FootnoteReference"/>
        </w:rPr>
        <w:footnoteRef/>
      </w:r>
      <w:r>
        <w:t xml:space="preserve"> </w:t>
      </w:r>
      <w:r>
        <w:rPr>
          <w:sz w:val="18"/>
        </w:rPr>
        <w:t xml:space="preserve">Lumen Learning, Dome of the Rock, Lumen Learning, Available from </w:t>
      </w:r>
      <w:r w:rsidRPr="003E3642">
        <w:rPr>
          <w:sz w:val="18"/>
        </w:rPr>
        <w:t>https://courses.lumenlearning.com/suny-arthistory1/chapter/dome-of-the-rock/</w:t>
      </w:r>
      <w:r>
        <w:rPr>
          <w:sz w:val="18"/>
        </w:rPr>
        <w:t xml:space="preserve">, Accessed on [06/02.2018]. </w:t>
      </w:r>
    </w:p>
  </w:footnote>
  <w:footnote w:id="5">
    <w:p w:rsidR="00526CC8" w:rsidRPr="00526CC8" w:rsidRDefault="00526CC8">
      <w:pPr>
        <w:pStyle w:val="FootnoteText"/>
        <w:rPr>
          <w:sz w:val="18"/>
        </w:rPr>
      </w:pPr>
      <w:r>
        <w:rPr>
          <w:rStyle w:val="FootnoteReference"/>
        </w:rPr>
        <w:footnoteRef/>
      </w:r>
      <w:r>
        <w:t xml:space="preserve"> </w:t>
      </w:r>
      <w:r>
        <w:rPr>
          <w:sz w:val="18"/>
        </w:rPr>
        <w:t xml:space="preserve">Sacred Destinations, Dome of the Rock; Jerusalem, Sacred Destinations, Available from </w:t>
      </w:r>
      <w:r w:rsidRPr="00526CC8">
        <w:rPr>
          <w:sz w:val="18"/>
        </w:rPr>
        <w:t>http://www.sacred-destinations.com/israel/jerusalem-dome-of-the-rock</w:t>
      </w:r>
      <w:r>
        <w:rPr>
          <w:sz w:val="18"/>
        </w:rPr>
        <w:t>, Accessed on [06/02/2018].</w:t>
      </w:r>
    </w:p>
  </w:footnote>
  <w:footnote w:id="6">
    <w:p w:rsidR="009A67B1" w:rsidRPr="00F45C79" w:rsidRDefault="009A67B1" w:rsidP="009A67B1">
      <w:pPr>
        <w:pStyle w:val="FootnoteText"/>
        <w:rPr>
          <w:sz w:val="18"/>
          <w:szCs w:val="18"/>
        </w:rPr>
      </w:pPr>
      <w:r w:rsidRPr="00F45C79">
        <w:rPr>
          <w:rStyle w:val="FootnoteReference"/>
          <w:sz w:val="18"/>
          <w:szCs w:val="18"/>
        </w:rPr>
        <w:footnoteRef/>
      </w:r>
      <w:r w:rsidRPr="00F45C79">
        <w:rPr>
          <w:sz w:val="18"/>
          <w:szCs w:val="18"/>
          <w:vertAlign w:val="superscript"/>
        </w:rPr>
        <w:t xml:space="preserve"> </w:t>
      </w:r>
      <w:r w:rsidRPr="00F45C79">
        <w:rPr>
          <w:sz w:val="18"/>
          <w:szCs w:val="18"/>
        </w:rPr>
        <w:t>Oxford Dictionary, Iconoclasm, Oxford Dictionary, Available from https://en.oxforddictionaries.com/definition/iconoclasm, Accessed on [06/02/2018].</w:t>
      </w:r>
    </w:p>
  </w:footnote>
  <w:footnote w:id="7">
    <w:p w:rsidR="009B2236" w:rsidRPr="001D6DEF" w:rsidRDefault="009B2236">
      <w:pPr>
        <w:pStyle w:val="FootnoteText"/>
        <w:rPr>
          <w:sz w:val="18"/>
        </w:rPr>
      </w:pPr>
      <w:r>
        <w:rPr>
          <w:rStyle w:val="FootnoteReference"/>
        </w:rPr>
        <w:footnoteRef/>
      </w:r>
      <w:r>
        <w:t xml:space="preserve"> </w:t>
      </w:r>
      <w:r w:rsidR="001D6DEF">
        <w:rPr>
          <w:sz w:val="18"/>
        </w:rPr>
        <w:t xml:space="preserve">L. Brubaker, J. Haldon, </w:t>
      </w:r>
      <w:r w:rsidR="001D6DEF" w:rsidRPr="001D6DEF">
        <w:rPr>
          <w:i/>
          <w:sz w:val="18"/>
        </w:rPr>
        <w:t>Byzantium in the Iconoclast Era, C. 680-850: A History</w:t>
      </w:r>
      <w:r w:rsidR="001D6DEF">
        <w:rPr>
          <w:i/>
          <w:sz w:val="18"/>
        </w:rPr>
        <w:t xml:space="preserve"> </w:t>
      </w:r>
      <w:r w:rsidR="001D6DEF">
        <w:rPr>
          <w:sz w:val="18"/>
        </w:rPr>
        <w:t>(</w:t>
      </w:r>
      <w:r w:rsidR="00223F3D">
        <w:rPr>
          <w:sz w:val="18"/>
        </w:rPr>
        <w:t>Cambridge University Press, 2015). p.106.</w:t>
      </w:r>
    </w:p>
  </w:footnote>
  <w:footnote w:id="8">
    <w:p w:rsidR="00043B26" w:rsidRPr="00043B26" w:rsidRDefault="00043B26" w:rsidP="00043B26">
      <w:pPr>
        <w:pStyle w:val="FootnoteText"/>
        <w:rPr>
          <w:u w:val="single"/>
        </w:rPr>
      </w:pPr>
      <w:r>
        <w:rPr>
          <w:rStyle w:val="FootnoteReference"/>
        </w:rPr>
        <w:footnoteRef/>
      </w:r>
      <w:r>
        <w:t xml:space="preserve"> </w:t>
      </w:r>
      <w:r w:rsidRPr="00043B26">
        <w:rPr>
          <w:sz w:val="18"/>
        </w:rPr>
        <w:t>Nasir Behzad and Daud Qarizadah, The man who helped blow up the Bamiyan Buddhas, BBC Afghan/News, Available from http://www.bbc.co.uk/news/world-asia-31813681, Accessed on [20/01/2018].</w:t>
      </w:r>
    </w:p>
    <w:p w:rsidR="00043B26" w:rsidRDefault="00043B26">
      <w:pPr>
        <w:pStyle w:val="FootnoteText"/>
      </w:pPr>
    </w:p>
  </w:footnote>
  <w:footnote w:id="9">
    <w:p w:rsidR="009F1C0E" w:rsidRPr="00F47967" w:rsidRDefault="009F1C0E">
      <w:pPr>
        <w:pStyle w:val="FootnoteText"/>
        <w:rPr>
          <w:u w:val="single"/>
        </w:rPr>
      </w:pPr>
      <w:r>
        <w:rPr>
          <w:rStyle w:val="FootnoteReference"/>
        </w:rPr>
        <w:footnoteRef/>
      </w:r>
      <w:r>
        <w:t xml:space="preserve"> </w:t>
      </w:r>
      <w:r w:rsidRPr="009F1C0E">
        <w:rPr>
          <w:sz w:val="18"/>
        </w:rPr>
        <w:t>Nasir Behzad and Daud Qarizadah, The man who helped blow up the Bamiyan Buddhas, BBC Afghan/News, Available from http://www.bbc.co.uk/news/world-asia-31813681, Accessed on [20/01/2018].</w:t>
      </w:r>
    </w:p>
  </w:footnote>
  <w:footnote w:id="10">
    <w:p w:rsidR="00F47967" w:rsidRPr="00F47967" w:rsidRDefault="00F47967">
      <w:pPr>
        <w:pStyle w:val="FootnoteText"/>
        <w:rPr>
          <w:sz w:val="18"/>
        </w:rPr>
      </w:pPr>
      <w:r>
        <w:rPr>
          <w:rStyle w:val="FootnoteReference"/>
        </w:rPr>
        <w:footnoteRef/>
      </w:r>
      <w:r>
        <w:t xml:space="preserve"> </w:t>
      </w:r>
      <w:proofErr w:type="spellStart"/>
      <w:r>
        <w:t>The</w:t>
      </w:r>
      <w:r>
        <w:rPr>
          <w:sz w:val="18"/>
        </w:rPr>
        <w:t>DavidCollection</w:t>
      </w:r>
      <w:proofErr w:type="spellEnd"/>
      <w:r>
        <w:rPr>
          <w:sz w:val="18"/>
        </w:rPr>
        <w:t>,</w:t>
      </w:r>
      <w:r w:rsidRPr="00F47967">
        <w:t xml:space="preserve"> </w:t>
      </w:r>
      <w:r w:rsidRPr="00F47967">
        <w:rPr>
          <w:sz w:val="18"/>
        </w:rPr>
        <w:t>The Umayyad Caliphate</w:t>
      </w:r>
      <w:r w:rsidR="0053454A">
        <w:rPr>
          <w:sz w:val="18"/>
        </w:rPr>
        <w:t xml:space="preserve">, </w:t>
      </w:r>
      <w:proofErr w:type="spellStart"/>
      <w:r w:rsidR="0053454A">
        <w:rPr>
          <w:sz w:val="18"/>
        </w:rPr>
        <w:t>TheDavidCollection</w:t>
      </w:r>
      <w:proofErr w:type="spellEnd"/>
      <w:r w:rsidR="0053454A">
        <w:rPr>
          <w:sz w:val="18"/>
        </w:rPr>
        <w:t xml:space="preserve">, Available from </w:t>
      </w:r>
      <w:r w:rsidR="0053454A" w:rsidRPr="0053454A">
        <w:rPr>
          <w:sz w:val="18"/>
        </w:rPr>
        <w:t>https://www.davidmus.dk/en/collections/islamic/dynasties/umayyads</w:t>
      </w:r>
      <w:r w:rsidR="0053454A">
        <w:rPr>
          <w:sz w:val="18"/>
        </w:rPr>
        <w:t xml:space="preserve">, Accessed on [09/02/2018]. </w:t>
      </w:r>
    </w:p>
  </w:footnote>
  <w:footnote w:id="11">
    <w:p w:rsidR="00967D58" w:rsidRPr="00B534AB" w:rsidRDefault="00967D58">
      <w:pPr>
        <w:pStyle w:val="FootnoteText"/>
        <w:rPr>
          <w:u w:val="single"/>
        </w:rPr>
      </w:pPr>
      <w:r>
        <w:rPr>
          <w:rStyle w:val="FootnoteReference"/>
        </w:rPr>
        <w:footnoteRef/>
      </w:r>
      <w:r>
        <w:t xml:space="preserve"> </w:t>
      </w:r>
      <w:r w:rsidRPr="00967D58">
        <w:rPr>
          <w:sz w:val="18"/>
        </w:rPr>
        <w:t>BBC, A History of the World, Gold Coin of Abd al-Malik, BBC, Available from http://www.bbc.co.uk/ahistoryoftheworld/objects/YQMPZkAXRW6iYDCe5L4KSA, Accessed on [08/02/2018].</w:t>
      </w:r>
      <w:r w:rsidRPr="00967D58">
        <w:rPr>
          <w:sz w:val="18"/>
          <w:u w:val="single"/>
        </w:rPr>
        <w:t xml:space="preserve"> </w:t>
      </w:r>
    </w:p>
  </w:footnote>
  <w:footnote w:id="12">
    <w:p w:rsidR="00B534AB" w:rsidRPr="00B534AB" w:rsidRDefault="00B534AB" w:rsidP="00B534AB">
      <w:pPr>
        <w:pStyle w:val="FootnoteText"/>
        <w:rPr>
          <w:u w:val="single"/>
        </w:rPr>
      </w:pPr>
      <w:r>
        <w:rPr>
          <w:rStyle w:val="FootnoteReference"/>
        </w:rPr>
        <w:footnoteRef/>
      </w:r>
      <w:r>
        <w:t xml:space="preserve"> </w:t>
      </w:r>
      <w:r w:rsidRPr="00B534AB">
        <w:rPr>
          <w:sz w:val="18"/>
        </w:rPr>
        <w:t>Mike Markowitz, Coinage of the First Caliphate, Coinweek, Available from https://coinweek.com/ancient-coins/coinage-first-caliphate/, Accessed on [08/02/2018].</w:t>
      </w:r>
    </w:p>
    <w:p w:rsidR="00B534AB" w:rsidRDefault="00B534AB">
      <w:pPr>
        <w:pStyle w:val="FootnoteText"/>
      </w:pPr>
    </w:p>
  </w:footnote>
  <w:footnote w:id="13">
    <w:p w:rsidR="001E16AE" w:rsidRPr="001E16AE" w:rsidRDefault="001E16AE">
      <w:pPr>
        <w:pStyle w:val="FootnoteText"/>
        <w:rPr>
          <w:sz w:val="18"/>
        </w:rPr>
      </w:pPr>
      <w:r>
        <w:rPr>
          <w:rStyle w:val="FootnoteReference"/>
        </w:rPr>
        <w:footnoteRef/>
      </w:r>
      <w:r>
        <w:t xml:space="preserve"> </w:t>
      </w:r>
      <w:r w:rsidRPr="001E16AE">
        <w:rPr>
          <w:sz w:val="18"/>
        </w:rPr>
        <w:t xml:space="preserve">World Monuments Fund, Qusayr Amra, World Monuments Fund, Available from https://www.wmf.org/project/qusayr-amra, Accessed on [08/02/2018]. </w:t>
      </w:r>
    </w:p>
  </w:footnote>
  <w:footnote w:id="14">
    <w:p w:rsidR="007B7001" w:rsidRPr="00A35ECF" w:rsidRDefault="007B7001">
      <w:pPr>
        <w:pStyle w:val="FootnoteText"/>
        <w:rPr>
          <w:u w:val="single"/>
        </w:rPr>
      </w:pPr>
      <w:r>
        <w:rPr>
          <w:rStyle w:val="FootnoteReference"/>
        </w:rPr>
        <w:footnoteRef/>
      </w:r>
      <w:r>
        <w:t xml:space="preserve"> </w:t>
      </w:r>
      <w:r w:rsidRPr="007B7001">
        <w:rPr>
          <w:sz w:val="18"/>
        </w:rPr>
        <w:t>Betsy Williams, Qusayr’ Amra, Met Museum, Available from https://www.metmuseum.org/exhibitions/listings/2012/byzantium-and-islam/blog/where-in-the-world/posts/qusayr-amra, Accessed on [08/02/2018].</w:t>
      </w:r>
    </w:p>
  </w:footnote>
  <w:footnote w:id="15">
    <w:p w:rsidR="00A35ECF" w:rsidRDefault="00A35ECF">
      <w:pPr>
        <w:pStyle w:val="FootnoteText"/>
      </w:pPr>
      <w:r>
        <w:rPr>
          <w:rStyle w:val="FootnoteReference"/>
        </w:rPr>
        <w:footnoteRef/>
      </w:r>
      <w:r>
        <w:t xml:space="preserve"> </w:t>
      </w:r>
      <w:proofErr w:type="spellStart"/>
      <w:r w:rsidRPr="00A35ECF">
        <w:rPr>
          <w:sz w:val="18"/>
        </w:rPr>
        <w:t>O.Graba</w:t>
      </w:r>
      <w:proofErr w:type="spellEnd"/>
      <w:r w:rsidRPr="00A35ECF">
        <w:rPr>
          <w:sz w:val="18"/>
        </w:rPr>
        <w:t>, Maqamat Al-</w:t>
      </w:r>
      <w:proofErr w:type="spellStart"/>
      <w:r w:rsidRPr="00A35ECF">
        <w:rPr>
          <w:sz w:val="18"/>
        </w:rPr>
        <w:t>Harir</w:t>
      </w:r>
      <w:proofErr w:type="spellEnd"/>
      <w:r w:rsidRPr="00A35ECF">
        <w:rPr>
          <w:sz w:val="18"/>
        </w:rPr>
        <w:t xml:space="preserve">, Omifacsimilies.com, Available from http://www.omifacsimiles.com/brochures/maq.html, Accessed on [12/02/2018]. </w:t>
      </w:r>
    </w:p>
  </w:footnote>
  <w:footnote w:id="16">
    <w:p w:rsidR="00933BA4" w:rsidRDefault="00933BA4">
      <w:pPr>
        <w:pStyle w:val="FootnoteText"/>
      </w:pPr>
      <w:r>
        <w:rPr>
          <w:rStyle w:val="FootnoteReference"/>
        </w:rPr>
        <w:footnoteRef/>
      </w:r>
      <w:r>
        <w:t xml:space="preserve"> </w:t>
      </w:r>
      <w:r w:rsidRPr="00933BA4">
        <w:rPr>
          <w:sz w:val="18"/>
        </w:rPr>
        <w:t>World Digital Library, De Materia Medica, World Digital Library, Available from https://www.wdl.org/en/item/10632/, Accessed on [12/12/2018].</w:t>
      </w:r>
    </w:p>
  </w:footnote>
  <w:footnote w:id="17">
    <w:p w:rsidR="007331BE" w:rsidRPr="006A26A4" w:rsidRDefault="007331BE" w:rsidP="006A26A4">
      <w:pPr>
        <w:rPr>
          <w:sz w:val="18"/>
          <w:szCs w:val="18"/>
        </w:rPr>
      </w:pPr>
      <w:r>
        <w:rPr>
          <w:rStyle w:val="FootnoteReference"/>
        </w:rPr>
        <w:footnoteRef/>
      </w:r>
      <w:r>
        <w:t xml:space="preserve"> </w:t>
      </w:r>
      <w:proofErr w:type="spellStart"/>
      <w:r w:rsidRPr="007331BE">
        <w:rPr>
          <w:sz w:val="18"/>
          <w:szCs w:val="18"/>
        </w:rPr>
        <w:t>Mustseeplaces</w:t>
      </w:r>
      <w:proofErr w:type="spellEnd"/>
      <w:r w:rsidRPr="007331BE">
        <w:rPr>
          <w:sz w:val="18"/>
          <w:szCs w:val="18"/>
        </w:rPr>
        <w:t xml:space="preserve">, Dome of the Rock-Jerusalem, </w:t>
      </w:r>
      <w:proofErr w:type="spellStart"/>
      <w:r w:rsidRPr="007331BE">
        <w:rPr>
          <w:sz w:val="18"/>
          <w:szCs w:val="18"/>
        </w:rPr>
        <w:t>Mustseeplaces</w:t>
      </w:r>
      <w:proofErr w:type="spellEnd"/>
      <w:r w:rsidRPr="007331BE">
        <w:rPr>
          <w:sz w:val="18"/>
          <w:szCs w:val="18"/>
        </w:rPr>
        <w:t xml:space="preserve">, Available from https://mustseeplaces.eu/dome-of-the-rock-jerusalem-israel/, Accessed on [06/02/2018]. </w:t>
      </w:r>
    </w:p>
  </w:footnote>
  <w:footnote w:id="18">
    <w:p w:rsidR="006A26A4" w:rsidRPr="006A26A4" w:rsidRDefault="006A26A4" w:rsidP="006A26A4">
      <w:pPr>
        <w:pStyle w:val="FootnoteText"/>
        <w:rPr>
          <w:sz w:val="18"/>
        </w:rPr>
      </w:pPr>
      <w:r>
        <w:rPr>
          <w:rStyle w:val="FootnoteReference"/>
        </w:rPr>
        <w:footnoteRef/>
      </w:r>
      <w:r>
        <w:t xml:space="preserve"> </w:t>
      </w:r>
      <w:r w:rsidRPr="006A26A4">
        <w:rPr>
          <w:sz w:val="18"/>
        </w:rPr>
        <w:t>Nasir Behzad and Daud Qarizadah, The man who helped blow up the Bamiyan Buddhas, BBC Afghan/News, Available from http://www.bbc.co.uk/news/world-asia-31813681, Accessed on [20/01/2018].</w:t>
      </w:r>
    </w:p>
    <w:p w:rsidR="006A26A4" w:rsidRDefault="006A26A4">
      <w:pPr>
        <w:pStyle w:val="FootnoteText"/>
      </w:pPr>
    </w:p>
  </w:footnote>
  <w:footnote w:id="19">
    <w:p w:rsidR="00C8589D" w:rsidRPr="00C8589D" w:rsidRDefault="00C8589D">
      <w:pPr>
        <w:pStyle w:val="FootnoteText"/>
        <w:rPr>
          <w:sz w:val="18"/>
        </w:rPr>
      </w:pPr>
      <w:r>
        <w:rPr>
          <w:rStyle w:val="FootnoteReference"/>
        </w:rPr>
        <w:footnoteRef/>
      </w:r>
      <w:r>
        <w:t xml:space="preserve"> </w:t>
      </w:r>
      <w:r w:rsidRPr="00C8589D">
        <w:rPr>
          <w:sz w:val="18"/>
        </w:rPr>
        <w:t>Mike Markowitz, Coinage of the First Caliphate, Coinweek, Available from https://coinweek.com/ancient-coins/coinage-first-caliphate/, Accessed on [08/02/2018].</w:t>
      </w:r>
    </w:p>
  </w:footnote>
  <w:footnote w:id="20">
    <w:p w:rsidR="00FB6E74" w:rsidRPr="00FB6E74" w:rsidRDefault="00FB6E74" w:rsidP="00FB6E74">
      <w:pPr>
        <w:pStyle w:val="FootnoteText"/>
        <w:rPr>
          <w:u w:val="single"/>
        </w:rPr>
      </w:pPr>
      <w:r>
        <w:rPr>
          <w:rStyle w:val="FootnoteReference"/>
        </w:rPr>
        <w:footnoteRef/>
      </w:r>
      <w:r>
        <w:t xml:space="preserve"> </w:t>
      </w:r>
      <w:r w:rsidRPr="00FB6E74">
        <w:rPr>
          <w:sz w:val="18"/>
        </w:rPr>
        <w:t>Betsy Williams, Qusayr’ Amra, Met Museum, Available from https://www.metmuseum.org/exhibitions/listings/2012/byzantium-and-islam/blog/where-in-the-world/posts/qusayr-amra, Accessed on [08/02/2018].</w:t>
      </w:r>
    </w:p>
    <w:p w:rsidR="00FB6E74" w:rsidRDefault="00FB6E74">
      <w:pPr>
        <w:pStyle w:val="FootnoteText"/>
      </w:pPr>
    </w:p>
  </w:footnote>
  <w:footnote w:id="21">
    <w:p w:rsidR="002D1A54" w:rsidRDefault="002D1A54">
      <w:pPr>
        <w:pStyle w:val="FootnoteText"/>
      </w:pPr>
      <w:r>
        <w:rPr>
          <w:rStyle w:val="FootnoteReference"/>
        </w:rPr>
        <w:footnoteRef/>
      </w:r>
      <w:r>
        <w:t xml:space="preserve"> </w:t>
      </w:r>
      <w:r>
        <w:rPr>
          <w:sz w:val="18"/>
        </w:rPr>
        <w:t xml:space="preserve">O. </w:t>
      </w:r>
      <w:proofErr w:type="spellStart"/>
      <w:r>
        <w:rPr>
          <w:sz w:val="18"/>
        </w:rPr>
        <w:t>Graba</w:t>
      </w:r>
      <w:proofErr w:type="spellEnd"/>
      <w:r w:rsidRPr="002D1A54">
        <w:rPr>
          <w:sz w:val="18"/>
        </w:rPr>
        <w:t>, Maqamat Al-</w:t>
      </w:r>
      <w:proofErr w:type="spellStart"/>
      <w:r w:rsidRPr="002D1A54">
        <w:rPr>
          <w:sz w:val="18"/>
        </w:rPr>
        <w:t>Harir</w:t>
      </w:r>
      <w:proofErr w:type="spellEnd"/>
      <w:r w:rsidRPr="002D1A54">
        <w:rPr>
          <w:sz w:val="18"/>
        </w:rPr>
        <w:t xml:space="preserve">, Omifacsimilies.com, Available from http://www.omifacsimiles.com/brochures/maq.html, Accessed on [12/02/2018]. </w:t>
      </w:r>
    </w:p>
  </w:footnote>
  <w:footnote w:id="22">
    <w:p w:rsidR="00256023" w:rsidRPr="00256023" w:rsidRDefault="00256023">
      <w:pPr>
        <w:pStyle w:val="FootnoteText"/>
      </w:pPr>
      <w:r>
        <w:rPr>
          <w:rStyle w:val="FootnoteReference"/>
        </w:rPr>
        <w:footnoteRef/>
      </w:r>
      <w:r>
        <w:t xml:space="preserve"> </w:t>
      </w:r>
      <w:r w:rsidRPr="000365D2">
        <w:rPr>
          <w:sz w:val="18"/>
        </w:rPr>
        <w:t xml:space="preserve">World Digital Library, De Materia Medica, World Digital Library, Available from </w:t>
      </w:r>
      <w:r w:rsidR="000365D2" w:rsidRPr="000365D2">
        <w:rPr>
          <w:sz w:val="18"/>
        </w:rPr>
        <w:t>https://www.wdl.org/en/item/10632/, Accessed on [12/12/2018].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6F8E"/>
    <w:rsid w:val="00033780"/>
    <w:rsid w:val="000365D2"/>
    <w:rsid w:val="00043B26"/>
    <w:rsid w:val="00043B3E"/>
    <w:rsid w:val="00051142"/>
    <w:rsid w:val="00061CCA"/>
    <w:rsid w:val="000625E1"/>
    <w:rsid w:val="00066BC0"/>
    <w:rsid w:val="00097EB8"/>
    <w:rsid w:val="000A237F"/>
    <w:rsid w:val="000C46ED"/>
    <w:rsid w:val="000C5CCD"/>
    <w:rsid w:val="000D08FF"/>
    <w:rsid w:val="000D5DB7"/>
    <w:rsid w:val="000E0B9D"/>
    <w:rsid w:val="00110F14"/>
    <w:rsid w:val="0012169B"/>
    <w:rsid w:val="0016087C"/>
    <w:rsid w:val="00172B72"/>
    <w:rsid w:val="001815E9"/>
    <w:rsid w:val="00184C6D"/>
    <w:rsid w:val="00185205"/>
    <w:rsid w:val="00197684"/>
    <w:rsid w:val="001C306B"/>
    <w:rsid w:val="001D6DEF"/>
    <w:rsid w:val="001D7A1F"/>
    <w:rsid w:val="001E16AE"/>
    <w:rsid w:val="00202011"/>
    <w:rsid w:val="00206131"/>
    <w:rsid w:val="00214280"/>
    <w:rsid w:val="00221AB5"/>
    <w:rsid w:val="00223F3D"/>
    <w:rsid w:val="00242D05"/>
    <w:rsid w:val="00255060"/>
    <w:rsid w:val="00256023"/>
    <w:rsid w:val="00282D4F"/>
    <w:rsid w:val="002B53BC"/>
    <w:rsid w:val="002D15A3"/>
    <w:rsid w:val="002D1A54"/>
    <w:rsid w:val="002F51B0"/>
    <w:rsid w:val="00302083"/>
    <w:rsid w:val="00332841"/>
    <w:rsid w:val="0035056B"/>
    <w:rsid w:val="00353CFF"/>
    <w:rsid w:val="003745C9"/>
    <w:rsid w:val="003B038A"/>
    <w:rsid w:val="003E3642"/>
    <w:rsid w:val="003E4A01"/>
    <w:rsid w:val="003E4E31"/>
    <w:rsid w:val="0042217A"/>
    <w:rsid w:val="00426BA0"/>
    <w:rsid w:val="00433F59"/>
    <w:rsid w:val="00441201"/>
    <w:rsid w:val="00454032"/>
    <w:rsid w:val="004673D6"/>
    <w:rsid w:val="00475C31"/>
    <w:rsid w:val="0048091D"/>
    <w:rsid w:val="004964EF"/>
    <w:rsid w:val="004C4F75"/>
    <w:rsid w:val="004D2286"/>
    <w:rsid w:val="004F3C5B"/>
    <w:rsid w:val="005229C8"/>
    <w:rsid w:val="00526CC8"/>
    <w:rsid w:val="0053454A"/>
    <w:rsid w:val="00542B79"/>
    <w:rsid w:val="005613AD"/>
    <w:rsid w:val="00562111"/>
    <w:rsid w:val="00570972"/>
    <w:rsid w:val="005A5AE3"/>
    <w:rsid w:val="005E3B84"/>
    <w:rsid w:val="006247CA"/>
    <w:rsid w:val="006306F1"/>
    <w:rsid w:val="00652D8B"/>
    <w:rsid w:val="00655555"/>
    <w:rsid w:val="00670D37"/>
    <w:rsid w:val="00685C6B"/>
    <w:rsid w:val="006A26A4"/>
    <w:rsid w:val="006A6F8E"/>
    <w:rsid w:val="006D3D7C"/>
    <w:rsid w:val="006D6A96"/>
    <w:rsid w:val="006F0EF1"/>
    <w:rsid w:val="00704CA6"/>
    <w:rsid w:val="007215DD"/>
    <w:rsid w:val="007331BE"/>
    <w:rsid w:val="007432C0"/>
    <w:rsid w:val="00746E6D"/>
    <w:rsid w:val="007825A4"/>
    <w:rsid w:val="00782F53"/>
    <w:rsid w:val="00785E95"/>
    <w:rsid w:val="007959D9"/>
    <w:rsid w:val="007B31A3"/>
    <w:rsid w:val="007B7001"/>
    <w:rsid w:val="007D0F82"/>
    <w:rsid w:val="007F2856"/>
    <w:rsid w:val="00815748"/>
    <w:rsid w:val="00823670"/>
    <w:rsid w:val="00825636"/>
    <w:rsid w:val="00857C8C"/>
    <w:rsid w:val="00867DE9"/>
    <w:rsid w:val="008913EE"/>
    <w:rsid w:val="008917F1"/>
    <w:rsid w:val="008E4618"/>
    <w:rsid w:val="008F61DE"/>
    <w:rsid w:val="00905E14"/>
    <w:rsid w:val="009174BC"/>
    <w:rsid w:val="00925A88"/>
    <w:rsid w:val="00933BA4"/>
    <w:rsid w:val="00951E5D"/>
    <w:rsid w:val="009566F3"/>
    <w:rsid w:val="00967D58"/>
    <w:rsid w:val="00992C14"/>
    <w:rsid w:val="009A49C3"/>
    <w:rsid w:val="009A67B1"/>
    <w:rsid w:val="009B13E3"/>
    <w:rsid w:val="009B2236"/>
    <w:rsid w:val="009B561D"/>
    <w:rsid w:val="009E3A9F"/>
    <w:rsid w:val="009F1C0E"/>
    <w:rsid w:val="00A35ECF"/>
    <w:rsid w:val="00A510B5"/>
    <w:rsid w:val="00A66612"/>
    <w:rsid w:val="00A675B4"/>
    <w:rsid w:val="00A75666"/>
    <w:rsid w:val="00A87B48"/>
    <w:rsid w:val="00A93CED"/>
    <w:rsid w:val="00A94425"/>
    <w:rsid w:val="00AA708D"/>
    <w:rsid w:val="00AB775F"/>
    <w:rsid w:val="00AC1EBF"/>
    <w:rsid w:val="00AC5A1F"/>
    <w:rsid w:val="00AD1630"/>
    <w:rsid w:val="00AD4CFC"/>
    <w:rsid w:val="00B020F9"/>
    <w:rsid w:val="00B06B1D"/>
    <w:rsid w:val="00B37FFB"/>
    <w:rsid w:val="00B534AB"/>
    <w:rsid w:val="00B8474D"/>
    <w:rsid w:val="00B935D8"/>
    <w:rsid w:val="00BA57E8"/>
    <w:rsid w:val="00BA7760"/>
    <w:rsid w:val="00C4602A"/>
    <w:rsid w:val="00C8589D"/>
    <w:rsid w:val="00C90777"/>
    <w:rsid w:val="00CD0C0E"/>
    <w:rsid w:val="00CF63CE"/>
    <w:rsid w:val="00D37A88"/>
    <w:rsid w:val="00D57956"/>
    <w:rsid w:val="00DA144A"/>
    <w:rsid w:val="00DE627C"/>
    <w:rsid w:val="00E03D15"/>
    <w:rsid w:val="00E1023C"/>
    <w:rsid w:val="00E11432"/>
    <w:rsid w:val="00E46174"/>
    <w:rsid w:val="00E95034"/>
    <w:rsid w:val="00EB2263"/>
    <w:rsid w:val="00EF5F19"/>
    <w:rsid w:val="00F013ED"/>
    <w:rsid w:val="00F17E57"/>
    <w:rsid w:val="00F2131E"/>
    <w:rsid w:val="00F24707"/>
    <w:rsid w:val="00F45C79"/>
    <w:rsid w:val="00F47967"/>
    <w:rsid w:val="00F67A1B"/>
    <w:rsid w:val="00F9490E"/>
    <w:rsid w:val="00FA0C74"/>
    <w:rsid w:val="00FA1E29"/>
    <w:rsid w:val="00FB6E74"/>
    <w:rsid w:val="00FB7912"/>
    <w:rsid w:val="00FC16A5"/>
    <w:rsid w:val="00FF65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301D937-DA9F-49F1-A77A-8F9372C7C8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A6F8E"/>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D0C0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D0C0E"/>
    <w:rPr>
      <w:sz w:val="20"/>
      <w:szCs w:val="20"/>
    </w:rPr>
  </w:style>
  <w:style w:type="character" w:styleId="FootnoteReference">
    <w:name w:val="footnote reference"/>
    <w:basedOn w:val="DefaultParagraphFont"/>
    <w:uiPriority w:val="99"/>
    <w:semiHidden/>
    <w:unhideWhenUsed/>
    <w:rsid w:val="00CD0C0E"/>
    <w:rPr>
      <w:vertAlign w:val="superscript"/>
    </w:rPr>
  </w:style>
  <w:style w:type="character" w:styleId="Hyperlink">
    <w:name w:val="Hyperlink"/>
    <w:basedOn w:val="DefaultParagraphFont"/>
    <w:uiPriority w:val="99"/>
    <w:unhideWhenUsed/>
    <w:rsid w:val="00F45C7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hyperlink" Target="https://www.google.co.uk/url?sa=i&amp;rct=j&amp;q=&amp;esrc=s&amp;source=images&amp;cd=&amp;cad=rja&amp;uact=8&amp;ved=0ahUKEwjum4Ohnp7ZAhXLL8AKHbomAdAQjRwIBw&amp;url=https://mustseeplaces.eu/dome-of-the-rock-jerusalem-israel/&amp;psig=AOvVaw2Jz2CfliizWTvzdJHgB2Gt&amp;ust=1518451313412461" TargetMode="External"/><Relationship Id="rId12" Type="http://schemas.openxmlformats.org/officeDocument/2006/relationships/image" Target="media/image5.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157B2B-97B6-44B1-882E-5570778377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909</TotalTime>
  <Pages>9</Pages>
  <Words>2602</Words>
  <Characters>14832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McGowan</dc:creator>
  <cp:keywords/>
  <dc:description/>
  <cp:lastModifiedBy>Phoebe McGowan</cp:lastModifiedBy>
  <cp:revision>240</cp:revision>
  <dcterms:created xsi:type="dcterms:W3CDTF">2018-02-11T13:10:00Z</dcterms:created>
  <dcterms:modified xsi:type="dcterms:W3CDTF">2018-02-13T21:52:00Z</dcterms:modified>
</cp:coreProperties>
</file>