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4FF9" w:rsidRDefault="00354FF9" w:rsidP="00354FF9">
      <w:pPr>
        <w:rPr>
          <w:rFonts w:ascii="Arial" w:hAnsi="Arial" w:cs="Arial"/>
        </w:rPr>
      </w:pPr>
      <w:bookmarkStart w:id="0" w:name="_GoBack"/>
      <w:bookmarkEnd w:id="0"/>
    </w:p>
    <w:p w:rsidR="00354FF9" w:rsidRPr="00354FF9" w:rsidRDefault="00354FF9" w:rsidP="00FE5A95">
      <w:pPr>
        <w:jc w:val="center"/>
        <w:rPr>
          <w:rFonts w:ascii="Arial" w:hAnsi="Arial" w:cs="Arial"/>
          <w:b/>
          <w:sz w:val="32"/>
          <w:szCs w:val="32"/>
          <w:u w:val="single"/>
        </w:rPr>
      </w:pPr>
    </w:p>
    <w:p w:rsidR="00FE5A95" w:rsidRPr="00354FF9" w:rsidRDefault="00FE5A95" w:rsidP="00FE5A95">
      <w:pPr>
        <w:jc w:val="center"/>
        <w:rPr>
          <w:rFonts w:ascii="Arial" w:hAnsi="Arial" w:cs="Arial"/>
          <w:b/>
          <w:sz w:val="32"/>
          <w:szCs w:val="32"/>
          <w:u w:val="single"/>
        </w:rPr>
      </w:pPr>
      <w:r w:rsidRPr="00354FF9">
        <w:rPr>
          <w:rFonts w:ascii="Arial" w:hAnsi="Arial" w:cs="Arial"/>
          <w:b/>
          <w:sz w:val="32"/>
          <w:szCs w:val="32"/>
          <w:u w:val="single"/>
        </w:rPr>
        <w:t>How Compatible are the Compatibilists;</w:t>
      </w:r>
    </w:p>
    <w:p w:rsidR="00FE5A95" w:rsidRPr="00354FF9" w:rsidRDefault="00FE5A95" w:rsidP="00FE5A95">
      <w:pPr>
        <w:jc w:val="center"/>
        <w:rPr>
          <w:rFonts w:ascii="Arial" w:hAnsi="Arial" w:cs="Arial"/>
          <w:b/>
          <w:sz w:val="32"/>
          <w:szCs w:val="32"/>
          <w:u w:val="single"/>
        </w:rPr>
      </w:pPr>
      <w:r w:rsidRPr="00354FF9">
        <w:rPr>
          <w:rFonts w:ascii="Arial" w:hAnsi="Arial" w:cs="Arial"/>
          <w:b/>
          <w:sz w:val="32"/>
          <w:szCs w:val="32"/>
          <w:u w:val="single"/>
        </w:rPr>
        <w:t>Hierarchical Theories of Compatibilism Explored in terms of the Libertarian Perspective of Free Will</w:t>
      </w:r>
    </w:p>
    <w:p w:rsidR="00FE5A95" w:rsidRDefault="00FE5A95" w:rsidP="00FE5A95">
      <w:pPr>
        <w:jc w:val="center"/>
        <w:rPr>
          <w:rFonts w:ascii="Arial" w:hAnsi="Arial" w:cs="Arial"/>
        </w:rPr>
      </w:pPr>
    </w:p>
    <w:p w:rsidR="00FE5A95" w:rsidRDefault="00FE5A95" w:rsidP="00FE5A95">
      <w:pPr>
        <w:jc w:val="center"/>
        <w:rPr>
          <w:rFonts w:ascii="Arial" w:hAnsi="Arial" w:cs="Arial"/>
        </w:rPr>
      </w:pPr>
    </w:p>
    <w:p w:rsidR="00FE5A95" w:rsidRDefault="00FE5A95" w:rsidP="00FE5A95">
      <w:pPr>
        <w:jc w:val="center"/>
        <w:rPr>
          <w:rFonts w:ascii="Arial" w:hAnsi="Arial" w:cs="Arial"/>
        </w:rPr>
      </w:pPr>
    </w:p>
    <w:p w:rsidR="00354FF9" w:rsidRDefault="00354FF9" w:rsidP="00FE5A95">
      <w:pPr>
        <w:jc w:val="center"/>
        <w:rPr>
          <w:rFonts w:ascii="Arial" w:hAnsi="Arial" w:cs="Arial"/>
          <w:lang w:val="en-US"/>
        </w:rPr>
      </w:pPr>
    </w:p>
    <w:p w:rsidR="00354FF9" w:rsidRDefault="00354FF9" w:rsidP="00FE5A95">
      <w:pPr>
        <w:jc w:val="center"/>
        <w:rPr>
          <w:rFonts w:ascii="Arial" w:hAnsi="Arial" w:cs="Arial"/>
          <w:lang w:val="en-US"/>
        </w:rPr>
      </w:pPr>
    </w:p>
    <w:p w:rsidR="00354FF9" w:rsidRDefault="00354FF9" w:rsidP="00FE5A95">
      <w:pPr>
        <w:jc w:val="center"/>
        <w:rPr>
          <w:rFonts w:ascii="Arial" w:hAnsi="Arial" w:cs="Arial"/>
          <w:lang w:val="en-US"/>
        </w:rPr>
      </w:pPr>
    </w:p>
    <w:p w:rsidR="00354FF9" w:rsidRDefault="00354FF9" w:rsidP="00FE5A95">
      <w:pPr>
        <w:jc w:val="center"/>
        <w:rPr>
          <w:rFonts w:ascii="Arial" w:hAnsi="Arial" w:cs="Arial"/>
          <w:lang w:val="en-US"/>
        </w:rPr>
      </w:pPr>
    </w:p>
    <w:p w:rsidR="00354FF9" w:rsidRDefault="00354FF9" w:rsidP="00FE5A95">
      <w:pPr>
        <w:jc w:val="center"/>
        <w:rPr>
          <w:rFonts w:ascii="Arial" w:hAnsi="Arial" w:cs="Arial"/>
          <w:lang w:val="en-US"/>
        </w:rPr>
      </w:pPr>
    </w:p>
    <w:p w:rsidR="00354FF9" w:rsidRDefault="00354FF9" w:rsidP="00FE5A95">
      <w:pPr>
        <w:jc w:val="center"/>
        <w:rPr>
          <w:rFonts w:ascii="Arial" w:hAnsi="Arial" w:cs="Arial"/>
          <w:lang w:val="en-US"/>
        </w:rPr>
      </w:pPr>
    </w:p>
    <w:p w:rsidR="00354FF9" w:rsidRDefault="00354FF9" w:rsidP="00FE5A95">
      <w:pPr>
        <w:jc w:val="center"/>
        <w:rPr>
          <w:rFonts w:ascii="Arial" w:hAnsi="Arial" w:cs="Arial"/>
          <w:lang w:val="en-US"/>
        </w:rPr>
      </w:pPr>
    </w:p>
    <w:p w:rsidR="00354FF9" w:rsidRDefault="00354FF9" w:rsidP="00FE5A95">
      <w:pPr>
        <w:jc w:val="center"/>
        <w:rPr>
          <w:rFonts w:ascii="Arial" w:hAnsi="Arial" w:cs="Arial"/>
          <w:lang w:val="en-US"/>
        </w:rPr>
      </w:pPr>
    </w:p>
    <w:p w:rsidR="00354FF9" w:rsidRDefault="00354FF9" w:rsidP="00FE5A95">
      <w:pPr>
        <w:jc w:val="center"/>
        <w:rPr>
          <w:rFonts w:ascii="Arial" w:hAnsi="Arial" w:cs="Arial"/>
          <w:lang w:val="en-US"/>
        </w:rPr>
      </w:pPr>
    </w:p>
    <w:p w:rsidR="00FE5A95" w:rsidRPr="00FE5A95" w:rsidRDefault="00FE5A95" w:rsidP="00FE5A95">
      <w:pPr>
        <w:jc w:val="center"/>
        <w:rPr>
          <w:rFonts w:ascii="Arial" w:hAnsi="Arial" w:cs="Arial"/>
          <w:lang w:val="en-US"/>
        </w:rPr>
      </w:pPr>
      <w:r w:rsidRPr="00FE5A95">
        <w:rPr>
          <w:rFonts w:ascii="Arial" w:hAnsi="Arial" w:cs="Arial"/>
          <w:lang w:val="en-US"/>
        </w:rPr>
        <w:t xml:space="preserve">‘A thesis submitted to the </w:t>
      </w:r>
    </w:p>
    <w:p w:rsidR="00FE5A95" w:rsidRPr="00FE5A95" w:rsidRDefault="00FE5A95" w:rsidP="00FE5A95">
      <w:pPr>
        <w:jc w:val="center"/>
        <w:rPr>
          <w:rFonts w:ascii="Arial" w:hAnsi="Arial" w:cs="Arial"/>
          <w:lang w:val="en-US"/>
        </w:rPr>
      </w:pPr>
      <w:r w:rsidRPr="00FE5A95">
        <w:rPr>
          <w:rFonts w:ascii="Arial" w:hAnsi="Arial" w:cs="Arial"/>
          <w:lang w:val="en-US"/>
        </w:rPr>
        <w:t xml:space="preserve">University of Wales Trinity Saint David </w:t>
      </w:r>
    </w:p>
    <w:p w:rsidR="00FE5A95" w:rsidRPr="00FE5A95" w:rsidRDefault="00FE5A95" w:rsidP="00FE5A95">
      <w:pPr>
        <w:jc w:val="center"/>
        <w:rPr>
          <w:rFonts w:ascii="Arial" w:hAnsi="Arial" w:cs="Arial"/>
          <w:lang w:val="en-US"/>
        </w:rPr>
      </w:pPr>
      <w:r w:rsidRPr="00FE5A95">
        <w:rPr>
          <w:rFonts w:ascii="Arial" w:hAnsi="Arial" w:cs="Arial"/>
          <w:lang w:val="en-US"/>
        </w:rPr>
        <w:t xml:space="preserve">in fulfillment of the requirements for </w:t>
      </w:r>
    </w:p>
    <w:p w:rsidR="00FE5A95" w:rsidRDefault="00FE5A95" w:rsidP="00FE5A95">
      <w:pPr>
        <w:jc w:val="center"/>
        <w:rPr>
          <w:rFonts w:ascii="Arial" w:hAnsi="Arial" w:cs="Arial"/>
          <w:lang w:val="en-US"/>
        </w:rPr>
      </w:pPr>
      <w:r w:rsidRPr="00FE5A95">
        <w:rPr>
          <w:rFonts w:ascii="Arial" w:hAnsi="Arial" w:cs="Arial"/>
          <w:lang w:val="en-US"/>
        </w:rPr>
        <w:t xml:space="preserve">the degree of </w:t>
      </w:r>
      <w:r>
        <w:rPr>
          <w:rFonts w:ascii="Arial" w:hAnsi="Arial" w:cs="Arial"/>
          <w:lang w:val="en-US"/>
        </w:rPr>
        <w:t>Master in Arts: Philosophy’</w:t>
      </w:r>
    </w:p>
    <w:p w:rsidR="00FE5A95" w:rsidRDefault="00FE5A95" w:rsidP="00FE5A95">
      <w:pPr>
        <w:jc w:val="center"/>
        <w:rPr>
          <w:rFonts w:ascii="Arial" w:hAnsi="Arial" w:cs="Arial"/>
          <w:lang w:val="en-US"/>
        </w:rPr>
      </w:pPr>
    </w:p>
    <w:p w:rsidR="00FE5A95" w:rsidRDefault="00FE5A95" w:rsidP="00FE5A95">
      <w:pPr>
        <w:jc w:val="center"/>
        <w:rPr>
          <w:rFonts w:ascii="Arial" w:hAnsi="Arial" w:cs="Arial"/>
          <w:lang w:val="en-US"/>
        </w:rPr>
      </w:pPr>
    </w:p>
    <w:p w:rsidR="00FE5A95" w:rsidRDefault="00FE5A95" w:rsidP="00FE5A95">
      <w:pPr>
        <w:jc w:val="center"/>
        <w:rPr>
          <w:rFonts w:ascii="Arial" w:hAnsi="Arial" w:cs="Arial"/>
          <w:lang w:val="en-US"/>
        </w:rPr>
      </w:pPr>
      <w:r>
        <w:rPr>
          <w:rFonts w:ascii="Arial" w:hAnsi="Arial" w:cs="Arial"/>
          <w:lang w:val="en-US"/>
        </w:rPr>
        <w:t>2018</w:t>
      </w:r>
    </w:p>
    <w:p w:rsidR="00354FF9" w:rsidRDefault="00354FF9" w:rsidP="00FE5A95">
      <w:pPr>
        <w:jc w:val="center"/>
        <w:rPr>
          <w:rFonts w:ascii="Arial" w:hAnsi="Arial" w:cs="Arial"/>
          <w:lang w:val="en-US"/>
        </w:rPr>
      </w:pPr>
    </w:p>
    <w:p w:rsidR="00354FF9" w:rsidRDefault="00354FF9" w:rsidP="00FE5A95">
      <w:pPr>
        <w:jc w:val="center"/>
        <w:rPr>
          <w:rFonts w:ascii="Arial" w:hAnsi="Arial" w:cs="Arial"/>
          <w:lang w:val="en-US"/>
        </w:rPr>
      </w:pPr>
    </w:p>
    <w:p w:rsidR="00354FF9" w:rsidRDefault="00354FF9" w:rsidP="00FE5A95">
      <w:pPr>
        <w:jc w:val="center"/>
        <w:rPr>
          <w:rFonts w:ascii="Arial" w:hAnsi="Arial" w:cs="Arial"/>
          <w:lang w:val="en-US"/>
        </w:rPr>
      </w:pPr>
      <w:r>
        <w:rPr>
          <w:rFonts w:ascii="Arial" w:hAnsi="Arial" w:cs="Arial"/>
          <w:lang w:val="en-US"/>
        </w:rPr>
        <w:t>Daniel James Jones</w:t>
      </w:r>
    </w:p>
    <w:p w:rsidR="00354FF9" w:rsidRDefault="00354FF9" w:rsidP="00FE5A95">
      <w:pPr>
        <w:jc w:val="center"/>
        <w:rPr>
          <w:rFonts w:ascii="Arial" w:hAnsi="Arial" w:cs="Arial"/>
          <w:lang w:val="en-US"/>
        </w:rPr>
      </w:pPr>
    </w:p>
    <w:p w:rsidR="00354FF9" w:rsidRDefault="00354FF9" w:rsidP="00FE5A95">
      <w:pPr>
        <w:jc w:val="center"/>
        <w:rPr>
          <w:rFonts w:ascii="Arial" w:hAnsi="Arial" w:cs="Arial"/>
          <w:lang w:val="en-US"/>
        </w:rPr>
      </w:pPr>
      <w:r>
        <w:rPr>
          <w:rFonts w:ascii="Arial" w:hAnsi="Arial" w:cs="Arial"/>
          <w:lang w:val="en-US"/>
        </w:rPr>
        <w:t>Word Count: 12325</w:t>
      </w:r>
    </w:p>
    <w:p w:rsidR="00354FF9" w:rsidRDefault="00354FF9">
      <w:pPr>
        <w:rPr>
          <w:rFonts w:ascii="Arial" w:hAnsi="Arial" w:cs="Arial"/>
          <w:lang w:val="en-US"/>
        </w:rPr>
      </w:pPr>
      <w:r>
        <w:rPr>
          <w:rFonts w:ascii="Arial" w:hAnsi="Arial" w:cs="Arial"/>
          <w:lang w:val="en-US"/>
        </w:rPr>
        <w:br w:type="page"/>
      </w:r>
    </w:p>
    <w:p w:rsidR="00354FF9" w:rsidRPr="00FE5A95" w:rsidRDefault="00354FF9" w:rsidP="00FE5A95">
      <w:pPr>
        <w:jc w:val="center"/>
        <w:rPr>
          <w:rFonts w:ascii="Arial" w:hAnsi="Arial" w:cs="Arial"/>
          <w:lang w:val="en-US"/>
        </w:rPr>
      </w:pPr>
    </w:p>
    <w:p w:rsidR="00FE5A95" w:rsidRDefault="00FE5A95" w:rsidP="00FE5A95">
      <w:pPr>
        <w:jc w:val="center"/>
        <w:rPr>
          <w:rFonts w:ascii="Arial" w:hAnsi="Arial" w:cs="Arial"/>
        </w:rPr>
      </w:pPr>
    </w:p>
    <w:sdt>
      <w:sdtPr>
        <w:id w:val="747703703"/>
        <w:docPartObj>
          <w:docPartGallery w:val="Table of Contents"/>
          <w:docPartUnique/>
        </w:docPartObj>
      </w:sdtPr>
      <w:sdtEndPr>
        <w:rPr>
          <w:rFonts w:asciiTheme="minorHAnsi" w:eastAsiaTheme="minorEastAsia" w:hAnsiTheme="minorHAnsi" w:cstheme="minorBidi"/>
          <w:noProof/>
          <w:color w:val="auto"/>
          <w:sz w:val="24"/>
          <w:szCs w:val="24"/>
          <w:lang w:val="en-GB"/>
        </w:rPr>
      </w:sdtEndPr>
      <w:sdtContent>
        <w:p w:rsidR="00354FF9" w:rsidRDefault="00354FF9">
          <w:pPr>
            <w:pStyle w:val="TOCHeading"/>
          </w:pPr>
          <w:r>
            <w:t>Table of Contents</w:t>
          </w:r>
        </w:p>
        <w:p w:rsidR="00354FF9" w:rsidRDefault="00354FF9">
          <w:pPr>
            <w:pStyle w:val="TOC1"/>
            <w:tabs>
              <w:tab w:val="right" w:leader="dot" w:pos="8488"/>
            </w:tabs>
            <w:rPr>
              <w:rFonts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515445724" w:history="1">
            <w:r w:rsidRPr="007E1F0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_Toc515445724 \h </w:instrText>
            </w:r>
            <w:r>
              <w:rPr>
                <w:noProof/>
                <w:webHidden/>
              </w:rPr>
            </w:r>
            <w:r>
              <w:rPr>
                <w:noProof/>
                <w:webHidden/>
              </w:rPr>
              <w:fldChar w:fldCharType="separate"/>
            </w:r>
            <w:r>
              <w:rPr>
                <w:noProof/>
                <w:webHidden/>
              </w:rPr>
              <w:t>3</w:t>
            </w:r>
            <w:r>
              <w:rPr>
                <w:noProof/>
                <w:webHidden/>
              </w:rPr>
              <w:fldChar w:fldCharType="end"/>
            </w:r>
          </w:hyperlink>
        </w:p>
        <w:p w:rsidR="00354FF9" w:rsidRDefault="00354FF9">
          <w:pPr>
            <w:pStyle w:val="TOC1"/>
            <w:tabs>
              <w:tab w:val="right" w:leader="dot" w:pos="8488"/>
            </w:tabs>
            <w:rPr>
              <w:rFonts w:cstheme="minorBidi"/>
              <w:b w:val="0"/>
              <w:bCs w:val="0"/>
              <w:i w:val="0"/>
              <w:iCs w:val="0"/>
              <w:noProof/>
            </w:rPr>
          </w:pPr>
          <w:hyperlink w:anchor="_Toc515445725" w:history="1">
            <w:r w:rsidRPr="007E1F0E">
              <w:rPr>
                <w:rStyle w:val="Hyperlink"/>
                <w:rFonts w:ascii="Arial" w:hAnsi="Arial" w:cs="Arial"/>
                <w:noProof/>
              </w:rPr>
              <w:t>Desires</w:t>
            </w:r>
            <w:r>
              <w:rPr>
                <w:noProof/>
                <w:webHidden/>
              </w:rPr>
              <w:tab/>
            </w:r>
            <w:r>
              <w:rPr>
                <w:noProof/>
                <w:webHidden/>
              </w:rPr>
              <w:fldChar w:fldCharType="begin"/>
            </w:r>
            <w:r>
              <w:rPr>
                <w:noProof/>
                <w:webHidden/>
              </w:rPr>
              <w:instrText xml:space="preserve"> PAGEREF _Toc515445725 \h </w:instrText>
            </w:r>
            <w:r>
              <w:rPr>
                <w:noProof/>
                <w:webHidden/>
              </w:rPr>
            </w:r>
            <w:r>
              <w:rPr>
                <w:noProof/>
                <w:webHidden/>
              </w:rPr>
              <w:fldChar w:fldCharType="separate"/>
            </w:r>
            <w:r>
              <w:rPr>
                <w:noProof/>
                <w:webHidden/>
              </w:rPr>
              <w:t>6</w:t>
            </w:r>
            <w:r>
              <w:rPr>
                <w:noProof/>
                <w:webHidden/>
              </w:rPr>
              <w:fldChar w:fldCharType="end"/>
            </w:r>
          </w:hyperlink>
        </w:p>
        <w:p w:rsidR="00354FF9" w:rsidRDefault="00354FF9">
          <w:pPr>
            <w:pStyle w:val="TOC1"/>
            <w:tabs>
              <w:tab w:val="right" w:leader="dot" w:pos="8488"/>
            </w:tabs>
            <w:rPr>
              <w:rFonts w:cstheme="minorBidi"/>
              <w:b w:val="0"/>
              <w:bCs w:val="0"/>
              <w:i w:val="0"/>
              <w:iCs w:val="0"/>
              <w:noProof/>
            </w:rPr>
          </w:pPr>
          <w:hyperlink w:anchor="_Toc515445726" w:history="1">
            <w:r w:rsidRPr="007E1F0E">
              <w:rPr>
                <w:rStyle w:val="Hyperlink"/>
                <w:rFonts w:ascii="Arial" w:hAnsi="Arial" w:cs="Arial"/>
                <w:noProof/>
              </w:rPr>
              <w:t>Values</w:t>
            </w:r>
            <w:r>
              <w:rPr>
                <w:noProof/>
                <w:webHidden/>
              </w:rPr>
              <w:tab/>
            </w:r>
            <w:r>
              <w:rPr>
                <w:noProof/>
                <w:webHidden/>
              </w:rPr>
              <w:fldChar w:fldCharType="begin"/>
            </w:r>
            <w:r>
              <w:rPr>
                <w:noProof/>
                <w:webHidden/>
              </w:rPr>
              <w:instrText xml:space="preserve"> PAGEREF _Toc515445726 \h </w:instrText>
            </w:r>
            <w:r>
              <w:rPr>
                <w:noProof/>
                <w:webHidden/>
              </w:rPr>
            </w:r>
            <w:r>
              <w:rPr>
                <w:noProof/>
                <w:webHidden/>
              </w:rPr>
              <w:fldChar w:fldCharType="separate"/>
            </w:r>
            <w:r>
              <w:rPr>
                <w:noProof/>
                <w:webHidden/>
              </w:rPr>
              <w:t>14</w:t>
            </w:r>
            <w:r>
              <w:rPr>
                <w:noProof/>
                <w:webHidden/>
              </w:rPr>
              <w:fldChar w:fldCharType="end"/>
            </w:r>
          </w:hyperlink>
        </w:p>
        <w:p w:rsidR="00354FF9" w:rsidRDefault="00354FF9">
          <w:pPr>
            <w:pStyle w:val="TOC1"/>
            <w:tabs>
              <w:tab w:val="right" w:leader="dot" w:pos="8488"/>
            </w:tabs>
            <w:rPr>
              <w:rFonts w:cstheme="minorBidi"/>
              <w:b w:val="0"/>
              <w:bCs w:val="0"/>
              <w:i w:val="0"/>
              <w:iCs w:val="0"/>
              <w:noProof/>
            </w:rPr>
          </w:pPr>
          <w:hyperlink w:anchor="_Toc515445727" w:history="1">
            <w:r w:rsidRPr="007E1F0E">
              <w:rPr>
                <w:rStyle w:val="Hyperlink"/>
                <w:rFonts w:ascii="Arial" w:hAnsi="Arial" w:cs="Arial"/>
                <w:noProof/>
              </w:rPr>
              <w:t>Deepest Selves</w:t>
            </w:r>
            <w:r>
              <w:rPr>
                <w:noProof/>
                <w:webHidden/>
              </w:rPr>
              <w:tab/>
            </w:r>
            <w:r>
              <w:rPr>
                <w:noProof/>
                <w:webHidden/>
              </w:rPr>
              <w:fldChar w:fldCharType="begin"/>
            </w:r>
            <w:r>
              <w:rPr>
                <w:noProof/>
                <w:webHidden/>
              </w:rPr>
              <w:instrText xml:space="preserve"> PAGEREF _Toc515445727 \h </w:instrText>
            </w:r>
            <w:r>
              <w:rPr>
                <w:noProof/>
                <w:webHidden/>
              </w:rPr>
            </w:r>
            <w:r>
              <w:rPr>
                <w:noProof/>
                <w:webHidden/>
              </w:rPr>
              <w:fldChar w:fldCharType="separate"/>
            </w:r>
            <w:r>
              <w:rPr>
                <w:noProof/>
                <w:webHidden/>
              </w:rPr>
              <w:t>17</w:t>
            </w:r>
            <w:r>
              <w:rPr>
                <w:noProof/>
                <w:webHidden/>
              </w:rPr>
              <w:fldChar w:fldCharType="end"/>
            </w:r>
          </w:hyperlink>
        </w:p>
        <w:p w:rsidR="00354FF9" w:rsidRDefault="00354FF9">
          <w:pPr>
            <w:pStyle w:val="TOC1"/>
            <w:tabs>
              <w:tab w:val="right" w:leader="dot" w:pos="8488"/>
            </w:tabs>
            <w:rPr>
              <w:rFonts w:cstheme="minorBidi"/>
              <w:b w:val="0"/>
              <w:bCs w:val="0"/>
              <w:i w:val="0"/>
              <w:iCs w:val="0"/>
              <w:noProof/>
            </w:rPr>
          </w:pPr>
          <w:hyperlink w:anchor="_Toc515445728" w:history="1">
            <w:r w:rsidRPr="007E1F0E">
              <w:rPr>
                <w:rStyle w:val="Hyperlink"/>
                <w:rFonts w:ascii="Arial" w:hAnsi="Arial" w:cs="Arial"/>
                <w:noProof/>
              </w:rPr>
              <w:t>Libertarian Freedom</w:t>
            </w:r>
            <w:r>
              <w:rPr>
                <w:noProof/>
                <w:webHidden/>
              </w:rPr>
              <w:tab/>
            </w:r>
            <w:r>
              <w:rPr>
                <w:noProof/>
                <w:webHidden/>
              </w:rPr>
              <w:fldChar w:fldCharType="begin"/>
            </w:r>
            <w:r>
              <w:rPr>
                <w:noProof/>
                <w:webHidden/>
              </w:rPr>
              <w:instrText xml:space="preserve"> PAGEREF _Toc515445728 \h </w:instrText>
            </w:r>
            <w:r>
              <w:rPr>
                <w:noProof/>
                <w:webHidden/>
              </w:rPr>
            </w:r>
            <w:r>
              <w:rPr>
                <w:noProof/>
                <w:webHidden/>
              </w:rPr>
              <w:fldChar w:fldCharType="separate"/>
            </w:r>
            <w:r>
              <w:rPr>
                <w:noProof/>
                <w:webHidden/>
              </w:rPr>
              <w:t>26</w:t>
            </w:r>
            <w:r>
              <w:rPr>
                <w:noProof/>
                <w:webHidden/>
              </w:rPr>
              <w:fldChar w:fldCharType="end"/>
            </w:r>
          </w:hyperlink>
        </w:p>
        <w:p w:rsidR="00354FF9" w:rsidRDefault="00354FF9">
          <w:pPr>
            <w:pStyle w:val="TOC1"/>
            <w:tabs>
              <w:tab w:val="right" w:leader="dot" w:pos="8488"/>
            </w:tabs>
            <w:rPr>
              <w:rFonts w:cstheme="minorBidi"/>
              <w:b w:val="0"/>
              <w:bCs w:val="0"/>
              <w:i w:val="0"/>
              <w:iCs w:val="0"/>
              <w:noProof/>
            </w:rPr>
          </w:pPr>
          <w:hyperlink w:anchor="_Toc515445729" w:history="1">
            <w:r w:rsidRPr="007E1F0E">
              <w:rPr>
                <w:rStyle w:val="Hyperlink"/>
                <w:rFonts w:ascii="Arial" w:hAnsi="Arial" w:cs="Arial"/>
                <w:noProof/>
              </w:rPr>
              <w:t>Remarks</w:t>
            </w:r>
            <w:r>
              <w:rPr>
                <w:noProof/>
                <w:webHidden/>
              </w:rPr>
              <w:tab/>
            </w:r>
            <w:r>
              <w:rPr>
                <w:noProof/>
                <w:webHidden/>
              </w:rPr>
              <w:fldChar w:fldCharType="begin"/>
            </w:r>
            <w:r>
              <w:rPr>
                <w:noProof/>
                <w:webHidden/>
              </w:rPr>
              <w:instrText xml:space="preserve"> PAGEREF _Toc515445729 \h </w:instrText>
            </w:r>
            <w:r>
              <w:rPr>
                <w:noProof/>
                <w:webHidden/>
              </w:rPr>
            </w:r>
            <w:r>
              <w:rPr>
                <w:noProof/>
                <w:webHidden/>
              </w:rPr>
              <w:fldChar w:fldCharType="separate"/>
            </w:r>
            <w:r>
              <w:rPr>
                <w:noProof/>
                <w:webHidden/>
              </w:rPr>
              <w:t>41</w:t>
            </w:r>
            <w:r>
              <w:rPr>
                <w:noProof/>
                <w:webHidden/>
              </w:rPr>
              <w:fldChar w:fldCharType="end"/>
            </w:r>
          </w:hyperlink>
        </w:p>
        <w:p w:rsidR="00354FF9" w:rsidRDefault="00354FF9">
          <w:pPr>
            <w:pStyle w:val="TOC1"/>
            <w:tabs>
              <w:tab w:val="right" w:leader="dot" w:pos="8488"/>
            </w:tabs>
            <w:rPr>
              <w:rFonts w:cstheme="minorBidi"/>
              <w:b w:val="0"/>
              <w:bCs w:val="0"/>
              <w:i w:val="0"/>
              <w:iCs w:val="0"/>
              <w:noProof/>
            </w:rPr>
          </w:pPr>
          <w:hyperlink w:anchor="_Toc515445730" w:history="1">
            <w:r w:rsidRPr="007E1F0E">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_Toc515445730 \h </w:instrText>
            </w:r>
            <w:r>
              <w:rPr>
                <w:noProof/>
                <w:webHidden/>
              </w:rPr>
            </w:r>
            <w:r>
              <w:rPr>
                <w:noProof/>
                <w:webHidden/>
              </w:rPr>
              <w:fldChar w:fldCharType="separate"/>
            </w:r>
            <w:r>
              <w:rPr>
                <w:noProof/>
                <w:webHidden/>
              </w:rPr>
              <w:t>46</w:t>
            </w:r>
            <w:r>
              <w:rPr>
                <w:noProof/>
                <w:webHidden/>
              </w:rPr>
              <w:fldChar w:fldCharType="end"/>
            </w:r>
          </w:hyperlink>
        </w:p>
        <w:p w:rsidR="00354FF9" w:rsidRDefault="00354FF9">
          <w:r>
            <w:rPr>
              <w:b/>
              <w:bCs/>
              <w:noProof/>
            </w:rPr>
            <w:fldChar w:fldCharType="end"/>
          </w:r>
        </w:p>
      </w:sdtContent>
    </w:sdt>
    <w:p w:rsidR="00354FF9" w:rsidRDefault="00354FF9">
      <w:pPr>
        <w:rPr>
          <w:rFonts w:ascii="Arial" w:hAnsi="Arial" w:cs="Arial"/>
        </w:rPr>
      </w:pPr>
      <w:r>
        <w:rPr>
          <w:rFonts w:ascii="Arial" w:hAnsi="Arial" w:cs="Arial"/>
        </w:rPr>
        <w:br w:type="page"/>
      </w:r>
    </w:p>
    <w:p w:rsidR="00FE5A95" w:rsidRDefault="00FE5A95" w:rsidP="00FE5A95">
      <w:pPr>
        <w:rPr>
          <w:rFonts w:ascii="Arial" w:hAnsi="Arial" w:cs="Arial"/>
        </w:rPr>
      </w:pPr>
    </w:p>
    <w:p w:rsidR="00FE5A95" w:rsidRDefault="00FE5A95">
      <w:pPr>
        <w:rPr>
          <w:rFonts w:ascii="Arial" w:eastAsiaTheme="majorEastAsia" w:hAnsi="Arial" w:cs="Arial"/>
          <w:color w:val="2F5496" w:themeColor="accent1" w:themeShade="BF"/>
          <w:sz w:val="32"/>
          <w:szCs w:val="32"/>
        </w:rPr>
      </w:pPr>
    </w:p>
    <w:p w:rsidR="00A71A02" w:rsidRPr="00FD4224" w:rsidRDefault="00F06C78" w:rsidP="00FD4224">
      <w:pPr>
        <w:pStyle w:val="Heading1"/>
        <w:rPr>
          <w:rFonts w:ascii="Arial" w:hAnsi="Arial" w:cs="Arial"/>
        </w:rPr>
      </w:pPr>
      <w:bookmarkStart w:id="1" w:name="_Toc515445724"/>
      <w:r w:rsidRPr="00FD4224">
        <w:rPr>
          <w:rFonts w:ascii="Arial" w:hAnsi="Arial" w:cs="Arial"/>
        </w:rPr>
        <w:t>Intro</w:t>
      </w:r>
      <w:r w:rsidR="00FD4224" w:rsidRPr="00FD4224">
        <w:rPr>
          <w:rFonts w:ascii="Arial" w:hAnsi="Arial" w:cs="Arial"/>
        </w:rPr>
        <w:t>duction</w:t>
      </w:r>
      <w:bookmarkEnd w:id="1"/>
    </w:p>
    <w:p w:rsidR="00F06C78" w:rsidRPr="001709C8" w:rsidRDefault="00F06C78">
      <w:pPr>
        <w:rPr>
          <w:rFonts w:ascii="Arial" w:hAnsi="Arial" w:cs="Arial"/>
          <w:color w:val="FF0000"/>
        </w:rPr>
      </w:pPr>
    </w:p>
    <w:p w:rsidR="00FD4224" w:rsidRDefault="00FD4224" w:rsidP="00FD4224">
      <w:pPr>
        <w:spacing w:line="480" w:lineRule="auto"/>
        <w:jc w:val="both"/>
        <w:rPr>
          <w:rFonts w:ascii="Arial" w:hAnsi="Arial" w:cs="Arial"/>
          <w:color w:val="000000" w:themeColor="text1"/>
        </w:rPr>
      </w:pPr>
    </w:p>
    <w:p w:rsidR="00F06C78" w:rsidRDefault="00F06C78" w:rsidP="00FD4224">
      <w:pPr>
        <w:spacing w:line="480" w:lineRule="auto"/>
        <w:jc w:val="both"/>
        <w:rPr>
          <w:rFonts w:ascii="Arial" w:hAnsi="Arial" w:cs="Arial"/>
          <w:color w:val="000000" w:themeColor="text1"/>
        </w:rPr>
      </w:pPr>
      <w:r w:rsidRPr="001709C8">
        <w:rPr>
          <w:rFonts w:ascii="Arial" w:hAnsi="Arial" w:cs="Arial"/>
          <w:color w:val="000000" w:themeColor="text1"/>
        </w:rPr>
        <w:t>The problems that arise over the competing interpretations of free will and their relation to the thesis of determinism are twofold in type.</w:t>
      </w:r>
      <w:r w:rsidR="00EA43EB" w:rsidRPr="001709C8">
        <w:rPr>
          <w:rStyle w:val="FootnoteReference"/>
          <w:rFonts w:ascii="Arial" w:hAnsi="Arial" w:cs="Arial"/>
          <w:color w:val="000000" w:themeColor="text1"/>
        </w:rPr>
        <w:footnoteReference w:id="1"/>
      </w:r>
      <w:r w:rsidRPr="001709C8">
        <w:rPr>
          <w:rFonts w:ascii="Arial" w:hAnsi="Arial" w:cs="Arial"/>
          <w:color w:val="000000" w:themeColor="text1"/>
        </w:rPr>
        <w:t xml:space="preserve"> Firstly, there are the implications for our metaphysical outlook when we attempt to form an answer to the questions that surround the debate concerning freedom and determinism. Secondly, the position that one adopts in relation to this metaphysical outlook has </w:t>
      </w:r>
      <w:r w:rsidR="00EA43EB" w:rsidRPr="001709C8">
        <w:rPr>
          <w:rFonts w:ascii="Arial" w:hAnsi="Arial" w:cs="Arial"/>
          <w:color w:val="000000" w:themeColor="text1"/>
        </w:rPr>
        <w:t>profound implications in our theories of morality, primarily concerning the topic</w:t>
      </w:r>
      <w:r w:rsidR="00395140" w:rsidRPr="001709C8">
        <w:rPr>
          <w:rFonts w:ascii="Arial" w:hAnsi="Arial" w:cs="Arial"/>
          <w:color w:val="000000" w:themeColor="text1"/>
        </w:rPr>
        <w:t>s</w:t>
      </w:r>
      <w:r w:rsidR="00EA43EB" w:rsidRPr="001709C8">
        <w:rPr>
          <w:rFonts w:ascii="Arial" w:hAnsi="Arial" w:cs="Arial"/>
          <w:color w:val="000000" w:themeColor="text1"/>
        </w:rPr>
        <w:t xml:space="preserve"> of desert, moral culpability, and personal relationships. </w:t>
      </w:r>
      <w:r w:rsidR="00FD4224">
        <w:rPr>
          <w:rFonts w:ascii="Arial" w:hAnsi="Arial" w:cs="Arial"/>
          <w:color w:val="000000" w:themeColor="text1"/>
        </w:rPr>
        <w:t xml:space="preserve">In essence, our questions concerning free will must lead us towards providing an answer that bridges some of the gap between our metaphysical conception of reality and the amount of freedom and responsibility that our reality can afford to us. </w:t>
      </w:r>
    </w:p>
    <w:p w:rsidR="00285DAE" w:rsidRDefault="00285DAE" w:rsidP="00FD4224">
      <w:pPr>
        <w:spacing w:line="480" w:lineRule="auto"/>
        <w:jc w:val="both"/>
        <w:rPr>
          <w:rFonts w:ascii="Arial" w:hAnsi="Arial" w:cs="Arial"/>
          <w:color w:val="000000" w:themeColor="text1"/>
        </w:rPr>
      </w:pPr>
      <w:r>
        <w:rPr>
          <w:rFonts w:ascii="Arial" w:hAnsi="Arial" w:cs="Arial"/>
          <w:color w:val="000000" w:themeColor="text1"/>
        </w:rPr>
        <w:tab/>
      </w:r>
      <w:r w:rsidR="005E2B1E" w:rsidRPr="005E2B1E">
        <w:rPr>
          <w:rFonts w:ascii="Arial" w:hAnsi="Arial" w:cs="Arial"/>
          <w:color w:val="000000" w:themeColor="text1"/>
        </w:rPr>
        <w:t>Why does</w:t>
      </w:r>
      <w:r w:rsidR="005E2B1E">
        <w:rPr>
          <w:rFonts w:ascii="Arial" w:hAnsi="Arial" w:cs="Arial"/>
          <w:color w:val="000000" w:themeColor="text1"/>
        </w:rPr>
        <w:t xml:space="preserve"> the existence or non-existence of</w:t>
      </w:r>
      <w:r w:rsidR="005E2B1E" w:rsidRPr="005E2B1E">
        <w:rPr>
          <w:rFonts w:ascii="Arial" w:hAnsi="Arial" w:cs="Arial"/>
          <w:color w:val="000000" w:themeColor="text1"/>
        </w:rPr>
        <w:t xml:space="preserve"> freedom of the will pose such a problem for </w:t>
      </w:r>
      <w:r w:rsidR="005E2B1E">
        <w:rPr>
          <w:rFonts w:ascii="Arial" w:hAnsi="Arial" w:cs="Arial"/>
          <w:color w:val="000000" w:themeColor="text1"/>
        </w:rPr>
        <w:t>us? The scientific picture that is publicly accepted has serious concerns for our ideas of how we control and author our own lives. Does our genetic makeup, our genes, and our psychological formation, predict our future actions?</w:t>
      </w:r>
      <w:r w:rsidR="005E2B1E">
        <w:rPr>
          <w:rStyle w:val="FootnoteReference"/>
          <w:rFonts w:ascii="Arial" w:hAnsi="Arial" w:cs="Arial"/>
          <w:color w:val="000000" w:themeColor="text1"/>
        </w:rPr>
        <w:footnoteReference w:id="2"/>
      </w:r>
      <w:r w:rsidR="005E2B1E">
        <w:rPr>
          <w:rFonts w:ascii="Arial" w:hAnsi="Arial" w:cs="Arial"/>
          <w:color w:val="000000" w:themeColor="text1"/>
        </w:rPr>
        <w:t xml:space="preserve"> </w:t>
      </w:r>
      <w:r w:rsidR="005B1D07">
        <w:rPr>
          <w:rFonts w:ascii="Arial" w:hAnsi="Arial" w:cs="Arial"/>
          <w:color w:val="000000" w:themeColor="text1"/>
        </w:rPr>
        <w:t xml:space="preserve">As Julian </w:t>
      </w:r>
      <w:proofErr w:type="spellStart"/>
      <w:r w:rsidR="005B1D07">
        <w:rPr>
          <w:rFonts w:ascii="Arial" w:hAnsi="Arial" w:cs="Arial"/>
          <w:color w:val="000000" w:themeColor="text1"/>
        </w:rPr>
        <w:t>Baggini</w:t>
      </w:r>
      <w:proofErr w:type="spellEnd"/>
      <w:r w:rsidR="005B1D07">
        <w:rPr>
          <w:rFonts w:ascii="Arial" w:hAnsi="Arial" w:cs="Arial"/>
          <w:color w:val="000000" w:themeColor="text1"/>
        </w:rPr>
        <w:t xml:space="preserve"> said, recent work in the field of neuroscience have apparently ‘put the wind into the sails of those who deny free will’.</w:t>
      </w:r>
      <w:r w:rsidR="005B1D07">
        <w:rPr>
          <w:rStyle w:val="FootnoteReference"/>
          <w:rFonts w:ascii="Arial" w:hAnsi="Arial" w:cs="Arial"/>
          <w:color w:val="000000" w:themeColor="text1"/>
        </w:rPr>
        <w:footnoteReference w:id="3"/>
      </w:r>
      <w:r w:rsidR="005B1D07">
        <w:rPr>
          <w:rFonts w:ascii="Arial" w:hAnsi="Arial" w:cs="Arial"/>
          <w:color w:val="000000" w:themeColor="text1"/>
        </w:rPr>
        <w:t xml:space="preserve"> We can view ourselves from the personal perspective, and call upon our experience of decision making </w:t>
      </w:r>
      <w:r w:rsidR="000725A6">
        <w:rPr>
          <w:rFonts w:ascii="Arial" w:hAnsi="Arial" w:cs="Arial"/>
          <w:color w:val="000000" w:themeColor="text1"/>
        </w:rPr>
        <w:t xml:space="preserve">and the feeling that genuine open ended alternative possibilities are open to us and up to us which one occurs. We also have the option of taking </w:t>
      </w:r>
      <w:r w:rsidR="000725A6">
        <w:rPr>
          <w:rFonts w:ascii="Arial" w:hAnsi="Arial" w:cs="Arial"/>
          <w:color w:val="000000" w:themeColor="text1"/>
        </w:rPr>
        <w:lastRenderedPageBreak/>
        <w:t>a more objective standpoint, less personal in nature. This could lead to us claiming that because our actions seem to have causes, the roots of which lie somewhere outside ourselves, then we have a distinct lack of control of those causes.</w:t>
      </w:r>
      <w:r w:rsidR="000725A6">
        <w:rPr>
          <w:rStyle w:val="FootnoteReference"/>
          <w:rFonts w:ascii="Arial" w:hAnsi="Arial" w:cs="Arial"/>
          <w:color w:val="000000" w:themeColor="text1"/>
        </w:rPr>
        <w:footnoteReference w:id="4"/>
      </w:r>
    </w:p>
    <w:p w:rsidR="0032152E" w:rsidRDefault="0032152E" w:rsidP="00FD4224">
      <w:pPr>
        <w:spacing w:line="480" w:lineRule="auto"/>
        <w:jc w:val="both"/>
        <w:rPr>
          <w:rFonts w:ascii="Arial" w:hAnsi="Arial" w:cs="Arial"/>
          <w:color w:val="FF0000"/>
        </w:rPr>
      </w:pPr>
      <w:r>
        <w:rPr>
          <w:rFonts w:ascii="Arial" w:hAnsi="Arial" w:cs="Arial"/>
          <w:color w:val="000000" w:themeColor="text1"/>
        </w:rPr>
        <w:tab/>
        <w:t>The aim of this dissertation is twofold in type. Firstly, the argument presented here will follow its origins in the compatibilist account of Harry G. Frankfurt, examining through my reading of the argument the conditions that Frankfurt has in mind when he describes the will in terms of a hierarchical motivational theory of desire. The argument will then turn to Gary Watson’s critique of Frankfurt’s position, showing what I believe to be a fundamental gap i</w:t>
      </w:r>
      <w:r w:rsidR="00D375BA">
        <w:rPr>
          <w:rFonts w:ascii="Arial" w:hAnsi="Arial" w:cs="Arial"/>
          <w:color w:val="000000" w:themeColor="text1"/>
        </w:rPr>
        <w:t>n Frankfurt’s theory, chiefly, Watson’s view that our values must be taken into consideration separately from our desires.</w:t>
      </w:r>
      <w:r>
        <w:rPr>
          <w:rFonts w:ascii="Arial" w:hAnsi="Arial" w:cs="Arial"/>
          <w:color w:val="000000" w:themeColor="text1"/>
        </w:rPr>
        <w:t xml:space="preserve"> The next stage of the argument concerns itself more with the similarities of the accounts of Watson and Frankfurt under my r</w:t>
      </w:r>
      <w:r w:rsidR="00D375BA">
        <w:rPr>
          <w:rFonts w:ascii="Arial" w:hAnsi="Arial" w:cs="Arial"/>
          <w:color w:val="000000" w:themeColor="text1"/>
        </w:rPr>
        <w:t>eading of Susan Wolf’s position, that there is a deep-self that is responsible for the formation of the hierarchy of desires and the attributing of values to those desires.</w:t>
      </w:r>
      <w:r>
        <w:rPr>
          <w:rFonts w:ascii="Arial" w:hAnsi="Arial" w:cs="Arial"/>
          <w:color w:val="000000" w:themeColor="text1"/>
        </w:rPr>
        <w:t xml:space="preserve"> Following this, the account of </w:t>
      </w:r>
      <w:r w:rsidR="00D375BA">
        <w:rPr>
          <w:rFonts w:ascii="Arial" w:hAnsi="Arial" w:cs="Arial"/>
          <w:color w:val="000000" w:themeColor="text1"/>
        </w:rPr>
        <w:t xml:space="preserve">Robert Kane is given, followed by my argument of how Kane’s libertarian view can supplement the compatibilist accounts that proceed this section, providing the deep-self with the mechanism that it requires to be responsible for the actions that stem from the deepest-self. </w:t>
      </w:r>
    </w:p>
    <w:p w:rsidR="00F518FC" w:rsidRPr="00285DAE" w:rsidRDefault="00F518FC" w:rsidP="00FD4224">
      <w:pPr>
        <w:spacing w:line="480" w:lineRule="auto"/>
        <w:jc w:val="both"/>
        <w:rPr>
          <w:rFonts w:ascii="Arial" w:hAnsi="Arial" w:cs="Arial"/>
          <w:color w:val="FF0000"/>
        </w:rPr>
      </w:pPr>
    </w:p>
    <w:p w:rsidR="002A1A01" w:rsidRPr="001709C8" w:rsidRDefault="002A1A01" w:rsidP="00EA43EB">
      <w:pPr>
        <w:spacing w:line="480" w:lineRule="auto"/>
        <w:jc w:val="both"/>
        <w:rPr>
          <w:rFonts w:ascii="Arial" w:hAnsi="Arial" w:cs="Arial"/>
          <w:color w:val="000000" w:themeColor="text1"/>
        </w:rPr>
      </w:pPr>
    </w:p>
    <w:p w:rsidR="005170D9" w:rsidRPr="001709C8" w:rsidRDefault="005170D9" w:rsidP="00EA43EB">
      <w:pPr>
        <w:spacing w:line="480" w:lineRule="auto"/>
        <w:jc w:val="both"/>
        <w:rPr>
          <w:rFonts w:ascii="Arial" w:hAnsi="Arial" w:cs="Arial"/>
          <w:color w:val="FFC000" w:themeColor="accent4"/>
        </w:rPr>
      </w:pPr>
    </w:p>
    <w:p w:rsidR="003F658E" w:rsidRPr="001709C8" w:rsidRDefault="003F658E" w:rsidP="00EA43EB">
      <w:pPr>
        <w:spacing w:line="480" w:lineRule="auto"/>
        <w:jc w:val="both"/>
        <w:rPr>
          <w:rFonts w:ascii="Arial" w:hAnsi="Arial" w:cs="Arial"/>
          <w:color w:val="70AD47" w:themeColor="accent6"/>
        </w:rPr>
      </w:pPr>
    </w:p>
    <w:p w:rsidR="00F06C78" w:rsidRPr="001709C8" w:rsidRDefault="00F06C78">
      <w:pPr>
        <w:rPr>
          <w:rFonts w:ascii="Arial" w:hAnsi="Arial" w:cs="Arial"/>
          <w:color w:val="000000" w:themeColor="text1"/>
        </w:rPr>
      </w:pPr>
    </w:p>
    <w:p w:rsidR="00F06C78" w:rsidRPr="001709C8" w:rsidRDefault="00F06C78">
      <w:pPr>
        <w:rPr>
          <w:rFonts w:ascii="Arial" w:hAnsi="Arial" w:cs="Arial"/>
          <w:color w:val="000000" w:themeColor="text1"/>
        </w:rPr>
      </w:pPr>
    </w:p>
    <w:p w:rsidR="00771F74" w:rsidRDefault="00771F74">
      <w:pPr>
        <w:rPr>
          <w:rFonts w:ascii="Arial" w:eastAsiaTheme="majorEastAsia" w:hAnsi="Arial" w:cs="Arial"/>
          <w:color w:val="2F5496" w:themeColor="accent1" w:themeShade="BF"/>
          <w:sz w:val="32"/>
          <w:szCs w:val="32"/>
        </w:rPr>
      </w:pPr>
      <w:r>
        <w:rPr>
          <w:rFonts w:ascii="Arial" w:hAnsi="Arial" w:cs="Arial"/>
        </w:rPr>
        <w:br w:type="page"/>
      </w:r>
    </w:p>
    <w:p w:rsidR="00A71A02" w:rsidRPr="002E4615" w:rsidRDefault="003420D1" w:rsidP="002E4615">
      <w:pPr>
        <w:pStyle w:val="Heading1"/>
        <w:rPr>
          <w:rFonts w:ascii="Arial" w:hAnsi="Arial" w:cs="Arial"/>
        </w:rPr>
      </w:pPr>
      <w:bookmarkStart w:id="2" w:name="_Toc515445725"/>
      <w:r>
        <w:rPr>
          <w:rFonts w:ascii="Arial" w:hAnsi="Arial" w:cs="Arial"/>
        </w:rPr>
        <w:lastRenderedPageBreak/>
        <w:t>Desires</w:t>
      </w:r>
      <w:bookmarkEnd w:id="2"/>
    </w:p>
    <w:p w:rsidR="0025148B" w:rsidRPr="001709C8" w:rsidRDefault="0025148B">
      <w:pPr>
        <w:rPr>
          <w:rFonts w:ascii="Arial" w:hAnsi="Arial" w:cs="Arial"/>
          <w:color w:val="FF0000"/>
        </w:rPr>
      </w:pPr>
    </w:p>
    <w:p w:rsidR="0025148B" w:rsidRPr="001709C8" w:rsidRDefault="0025148B">
      <w:pPr>
        <w:rPr>
          <w:rFonts w:ascii="Arial" w:hAnsi="Arial" w:cs="Arial"/>
          <w:color w:val="70AD47" w:themeColor="accent6"/>
        </w:rPr>
      </w:pPr>
    </w:p>
    <w:p w:rsidR="0025148B" w:rsidRPr="001709C8" w:rsidRDefault="00682EB6" w:rsidP="00BA0AAE">
      <w:pPr>
        <w:spacing w:line="480" w:lineRule="auto"/>
        <w:jc w:val="both"/>
        <w:rPr>
          <w:rFonts w:ascii="Arial" w:hAnsi="Arial" w:cs="Arial"/>
          <w:color w:val="000000" w:themeColor="text1"/>
        </w:rPr>
      </w:pPr>
      <w:r w:rsidRPr="001709C8">
        <w:rPr>
          <w:rFonts w:ascii="Arial" w:hAnsi="Arial" w:cs="Arial"/>
          <w:color w:val="000000" w:themeColor="text1"/>
        </w:rPr>
        <w:t>Frankfurt begins his ‘well-known’</w:t>
      </w:r>
      <w:r w:rsidRPr="001709C8">
        <w:rPr>
          <w:rStyle w:val="FootnoteReference"/>
          <w:rFonts w:ascii="Arial" w:hAnsi="Arial" w:cs="Arial"/>
          <w:color w:val="000000" w:themeColor="text1"/>
        </w:rPr>
        <w:footnoteReference w:id="5"/>
      </w:r>
      <w:r w:rsidRPr="001709C8">
        <w:rPr>
          <w:rFonts w:ascii="Arial" w:hAnsi="Arial" w:cs="Arial"/>
          <w:color w:val="000000" w:themeColor="text1"/>
        </w:rPr>
        <w:t xml:space="preserve"> article </w:t>
      </w:r>
      <w:r w:rsidRPr="001709C8">
        <w:rPr>
          <w:rFonts w:ascii="Arial" w:hAnsi="Arial" w:cs="Arial"/>
          <w:i/>
          <w:color w:val="000000" w:themeColor="text1"/>
        </w:rPr>
        <w:t>Freedom of the Will and the Concept of a Person</w:t>
      </w:r>
      <w:r w:rsidR="00CE68D6" w:rsidRPr="001709C8">
        <w:rPr>
          <w:rStyle w:val="FootnoteReference"/>
          <w:rFonts w:ascii="Arial" w:hAnsi="Arial" w:cs="Arial"/>
          <w:i/>
          <w:color w:val="000000" w:themeColor="text1"/>
        </w:rPr>
        <w:footnoteReference w:id="6"/>
      </w:r>
      <w:r w:rsidR="00BA0AAE" w:rsidRPr="001709C8">
        <w:rPr>
          <w:rFonts w:ascii="Arial" w:hAnsi="Arial" w:cs="Arial"/>
          <w:color w:val="000000" w:themeColor="text1"/>
        </w:rPr>
        <w:t xml:space="preserve"> by framing his compatibilist concept of free will as the requirement for personhood. Frankfurt invites to consider the claim that what separates us from non-persons is our ‘capacity for reflective self-evaluation’.</w:t>
      </w:r>
      <w:r w:rsidR="00BA0AAE" w:rsidRPr="001709C8">
        <w:rPr>
          <w:rStyle w:val="FootnoteReference"/>
          <w:rFonts w:ascii="Arial" w:hAnsi="Arial" w:cs="Arial"/>
          <w:color w:val="000000" w:themeColor="text1"/>
        </w:rPr>
        <w:footnoteReference w:id="7"/>
      </w:r>
      <w:r w:rsidR="00395140" w:rsidRPr="001709C8">
        <w:rPr>
          <w:rFonts w:ascii="Arial" w:hAnsi="Arial" w:cs="Arial"/>
          <w:color w:val="000000" w:themeColor="text1"/>
        </w:rPr>
        <w:t xml:space="preserve"> Frankfurt argues that his ability to reflect on our evaluations of ourselves as a dividing line that separates persons from non-p</w:t>
      </w:r>
      <w:r w:rsidR="0044229C">
        <w:rPr>
          <w:rFonts w:ascii="Arial" w:hAnsi="Arial" w:cs="Arial"/>
          <w:color w:val="000000" w:themeColor="text1"/>
        </w:rPr>
        <w:t xml:space="preserve">ersons leads to the claim that </w:t>
      </w:r>
      <w:r w:rsidR="00395140" w:rsidRPr="001709C8">
        <w:rPr>
          <w:rFonts w:ascii="Arial" w:hAnsi="Arial" w:cs="Arial"/>
          <w:color w:val="000000" w:themeColor="text1"/>
        </w:rPr>
        <w:t>a person can be construed as ‘the concept of a type of entity for whom the freedom of its will may be a problem.’</w:t>
      </w:r>
      <w:r w:rsidR="00395140" w:rsidRPr="001709C8">
        <w:rPr>
          <w:rStyle w:val="FootnoteReference"/>
          <w:rFonts w:ascii="Arial" w:hAnsi="Arial" w:cs="Arial"/>
          <w:color w:val="000000" w:themeColor="text1"/>
        </w:rPr>
        <w:footnoteReference w:id="8"/>
      </w:r>
      <w:r w:rsidR="00395140" w:rsidRPr="001709C8">
        <w:rPr>
          <w:rFonts w:ascii="Arial" w:hAnsi="Arial" w:cs="Arial"/>
          <w:color w:val="000000" w:themeColor="text1"/>
        </w:rPr>
        <w:t xml:space="preserve"> This type of entity that is capable of reflective self-evaluation</w:t>
      </w:r>
      <w:r w:rsidR="00BA0AAE" w:rsidRPr="001709C8">
        <w:rPr>
          <w:rFonts w:ascii="Arial" w:hAnsi="Arial" w:cs="Arial"/>
          <w:color w:val="000000" w:themeColor="text1"/>
        </w:rPr>
        <w:t xml:space="preserve"> becomes the dividing line between what, for Frankfurt, can be considered as persons</w:t>
      </w:r>
      <w:r w:rsidR="00395140" w:rsidRPr="001709C8">
        <w:rPr>
          <w:rFonts w:ascii="Arial" w:hAnsi="Arial" w:cs="Arial"/>
          <w:color w:val="000000" w:themeColor="text1"/>
        </w:rPr>
        <w:t>,</w:t>
      </w:r>
      <w:r w:rsidR="00BA0AAE" w:rsidRPr="001709C8">
        <w:rPr>
          <w:rFonts w:ascii="Arial" w:hAnsi="Arial" w:cs="Arial"/>
          <w:color w:val="000000" w:themeColor="text1"/>
        </w:rPr>
        <w:t xml:space="preserve"> or</w:t>
      </w:r>
      <w:r w:rsidR="00395140" w:rsidRPr="001709C8">
        <w:rPr>
          <w:rFonts w:ascii="Arial" w:hAnsi="Arial" w:cs="Arial"/>
          <w:color w:val="000000" w:themeColor="text1"/>
        </w:rPr>
        <w:t xml:space="preserve"> conversely,</w:t>
      </w:r>
      <w:r w:rsidR="00BA0AAE" w:rsidRPr="001709C8">
        <w:rPr>
          <w:rFonts w:ascii="Arial" w:hAnsi="Arial" w:cs="Arial"/>
          <w:color w:val="000000" w:themeColor="text1"/>
        </w:rPr>
        <w:t xml:space="preserve"> excluded from personhood. </w:t>
      </w:r>
      <w:r w:rsidR="00E53496" w:rsidRPr="001709C8">
        <w:rPr>
          <w:rFonts w:ascii="Arial" w:hAnsi="Arial" w:cs="Arial"/>
          <w:color w:val="000000" w:themeColor="text1"/>
        </w:rPr>
        <w:t>This is, however, not ‘species-specific’</w:t>
      </w:r>
      <w:r w:rsidR="00395140" w:rsidRPr="001709C8">
        <w:rPr>
          <w:rFonts w:ascii="Arial" w:hAnsi="Arial" w:cs="Arial"/>
          <w:color w:val="000000" w:themeColor="text1"/>
        </w:rPr>
        <w:t>;</w:t>
      </w:r>
      <w:r w:rsidR="00E53496" w:rsidRPr="001709C8">
        <w:rPr>
          <w:rStyle w:val="FootnoteReference"/>
          <w:rFonts w:ascii="Arial" w:hAnsi="Arial" w:cs="Arial"/>
          <w:color w:val="000000" w:themeColor="text1"/>
        </w:rPr>
        <w:footnoteReference w:id="9"/>
      </w:r>
      <w:r w:rsidR="00E53496" w:rsidRPr="001709C8">
        <w:rPr>
          <w:rFonts w:ascii="Arial" w:hAnsi="Arial" w:cs="Arial"/>
          <w:color w:val="000000" w:themeColor="text1"/>
        </w:rPr>
        <w:t xml:space="preserve"> if a member of another species exhibits the capacity for reflective self-evaluation, then that member would be a person. Moreover, if a human does not display this capacity, they would not occupy the realm of personhood. </w:t>
      </w:r>
      <w:r w:rsidR="003C3452" w:rsidRPr="001709C8">
        <w:rPr>
          <w:rFonts w:ascii="Arial" w:hAnsi="Arial" w:cs="Arial"/>
          <w:color w:val="000000" w:themeColor="text1"/>
        </w:rPr>
        <w:t>In short, Frankfurt notes that this essential difference between the members who occupy personhood and those that do not occupy personhood is to be found in ‘the structure of a person’s will’.</w:t>
      </w:r>
      <w:r w:rsidR="003C3452" w:rsidRPr="001709C8">
        <w:rPr>
          <w:rStyle w:val="FootnoteReference"/>
          <w:rFonts w:ascii="Arial" w:hAnsi="Arial" w:cs="Arial"/>
          <w:color w:val="000000" w:themeColor="text1"/>
        </w:rPr>
        <w:footnoteReference w:id="10"/>
      </w:r>
      <w:r w:rsidR="003C3452" w:rsidRPr="001709C8">
        <w:rPr>
          <w:rFonts w:ascii="Arial" w:hAnsi="Arial" w:cs="Arial"/>
          <w:color w:val="000000" w:themeColor="text1"/>
        </w:rPr>
        <w:t xml:space="preserve"> </w:t>
      </w:r>
    </w:p>
    <w:p w:rsidR="003C3452" w:rsidRPr="001709C8" w:rsidRDefault="003C3452" w:rsidP="00BA0AAE">
      <w:pPr>
        <w:spacing w:line="480" w:lineRule="auto"/>
        <w:jc w:val="both"/>
        <w:rPr>
          <w:rFonts w:ascii="Arial" w:hAnsi="Arial" w:cs="Arial"/>
          <w:color w:val="000000" w:themeColor="text1"/>
        </w:rPr>
      </w:pPr>
      <w:r w:rsidRPr="001709C8">
        <w:rPr>
          <w:rFonts w:ascii="Arial" w:hAnsi="Arial" w:cs="Arial"/>
          <w:color w:val="000000" w:themeColor="text1"/>
        </w:rPr>
        <w:lastRenderedPageBreak/>
        <w:tab/>
        <w:t>The struc</w:t>
      </w:r>
      <w:r w:rsidR="00867CC9" w:rsidRPr="001709C8">
        <w:rPr>
          <w:rFonts w:ascii="Arial" w:hAnsi="Arial" w:cs="Arial"/>
          <w:color w:val="000000" w:themeColor="text1"/>
        </w:rPr>
        <w:t>ture of this will for Frankfurt is ‘hierarchical’</w:t>
      </w:r>
      <w:r w:rsidR="00867CC9" w:rsidRPr="001709C8">
        <w:rPr>
          <w:rStyle w:val="FootnoteReference"/>
          <w:rFonts w:ascii="Arial" w:hAnsi="Arial" w:cs="Arial"/>
          <w:color w:val="000000" w:themeColor="text1"/>
        </w:rPr>
        <w:footnoteReference w:id="11"/>
      </w:r>
      <w:r w:rsidR="00E22758" w:rsidRPr="001709C8">
        <w:rPr>
          <w:rFonts w:ascii="Arial" w:hAnsi="Arial" w:cs="Arial"/>
          <w:color w:val="000000" w:themeColor="text1"/>
        </w:rPr>
        <w:t xml:space="preserve"> in form. In the proposition ‘</w:t>
      </w:r>
      <w:r w:rsidR="00E22758" w:rsidRPr="001709C8">
        <w:rPr>
          <w:rFonts w:ascii="Arial" w:hAnsi="Arial" w:cs="Arial"/>
          <w:i/>
          <w:color w:val="000000" w:themeColor="text1"/>
        </w:rPr>
        <w:t>A</w:t>
      </w:r>
      <w:r w:rsidR="00E22758" w:rsidRPr="001709C8">
        <w:rPr>
          <w:rFonts w:ascii="Arial" w:hAnsi="Arial" w:cs="Arial"/>
          <w:color w:val="000000" w:themeColor="text1"/>
        </w:rPr>
        <w:t xml:space="preserve"> wants to </w:t>
      </w:r>
      <w:r w:rsidR="00E22758" w:rsidRPr="001709C8">
        <w:rPr>
          <w:rFonts w:ascii="Arial" w:hAnsi="Arial" w:cs="Arial"/>
          <w:i/>
          <w:color w:val="000000" w:themeColor="text1"/>
        </w:rPr>
        <w:t>X</w:t>
      </w:r>
      <w:r w:rsidR="00E22758" w:rsidRPr="001709C8">
        <w:rPr>
          <w:rFonts w:ascii="Arial" w:hAnsi="Arial" w:cs="Arial"/>
          <w:color w:val="000000" w:themeColor="text1"/>
        </w:rPr>
        <w:t>’,</w:t>
      </w:r>
      <w:r w:rsidR="00E22758" w:rsidRPr="001709C8">
        <w:rPr>
          <w:rStyle w:val="FootnoteReference"/>
          <w:rFonts w:ascii="Arial" w:hAnsi="Arial" w:cs="Arial"/>
          <w:color w:val="000000" w:themeColor="text1"/>
        </w:rPr>
        <w:footnoteReference w:id="12"/>
      </w:r>
      <w:r w:rsidR="00E22758" w:rsidRPr="001709C8">
        <w:rPr>
          <w:rFonts w:ascii="Arial" w:hAnsi="Arial" w:cs="Arial"/>
          <w:color w:val="000000" w:themeColor="text1"/>
        </w:rPr>
        <w:t xml:space="preserve"> </w:t>
      </w:r>
      <w:r w:rsidR="00E22758" w:rsidRPr="001709C8">
        <w:rPr>
          <w:rFonts w:ascii="Arial" w:hAnsi="Arial" w:cs="Arial"/>
          <w:i/>
          <w:color w:val="000000" w:themeColor="text1"/>
        </w:rPr>
        <w:t>A</w:t>
      </w:r>
      <w:r w:rsidR="00E22758" w:rsidRPr="001709C8">
        <w:rPr>
          <w:rFonts w:ascii="Arial" w:hAnsi="Arial" w:cs="Arial"/>
          <w:color w:val="000000" w:themeColor="text1"/>
        </w:rPr>
        <w:t xml:space="preserve">’s wanting of </w:t>
      </w:r>
      <w:r w:rsidR="00E22758" w:rsidRPr="001709C8">
        <w:rPr>
          <w:rFonts w:ascii="Arial" w:hAnsi="Arial" w:cs="Arial"/>
          <w:i/>
          <w:color w:val="000000" w:themeColor="text1"/>
        </w:rPr>
        <w:t>X</w:t>
      </w:r>
      <w:r w:rsidR="00E22758" w:rsidRPr="001709C8">
        <w:rPr>
          <w:rFonts w:ascii="Arial" w:hAnsi="Arial" w:cs="Arial"/>
          <w:color w:val="000000" w:themeColor="text1"/>
        </w:rPr>
        <w:t xml:space="preserve"> constitutes the first order desire where wanting to </w:t>
      </w:r>
      <w:r w:rsidR="00E22758" w:rsidRPr="001709C8">
        <w:rPr>
          <w:rFonts w:ascii="Arial" w:hAnsi="Arial" w:cs="Arial"/>
          <w:i/>
          <w:color w:val="000000" w:themeColor="text1"/>
        </w:rPr>
        <w:t>X</w:t>
      </w:r>
      <w:r w:rsidR="00E22758" w:rsidRPr="001709C8">
        <w:rPr>
          <w:rFonts w:ascii="Arial" w:hAnsi="Arial" w:cs="Arial"/>
          <w:color w:val="000000" w:themeColor="text1"/>
        </w:rPr>
        <w:t xml:space="preserve"> ‘refers to an action’.</w:t>
      </w:r>
      <w:r w:rsidR="00E22758" w:rsidRPr="001709C8">
        <w:rPr>
          <w:rStyle w:val="FootnoteReference"/>
          <w:rFonts w:ascii="Arial" w:hAnsi="Arial" w:cs="Arial"/>
          <w:color w:val="000000" w:themeColor="text1"/>
        </w:rPr>
        <w:footnoteReference w:id="13"/>
      </w:r>
      <w:r w:rsidR="00E22758" w:rsidRPr="001709C8">
        <w:rPr>
          <w:rFonts w:ascii="Arial" w:hAnsi="Arial" w:cs="Arial"/>
          <w:color w:val="000000" w:themeColor="text1"/>
        </w:rPr>
        <w:t xml:space="preserve"> This broad definiti</w:t>
      </w:r>
      <w:r w:rsidR="00D303CC" w:rsidRPr="001709C8">
        <w:rPr>
          <w:rFonts w:ascii="Arial" w:hAnsi="Arial" w:cs="Arial"/>
          <w:color w:val="000000" w:themeColor="text1"/>
        </w:rPr>
        <w:t xml:space="preserve">on covers a multitude of wants, and with those, their opposites, to not want to </w:t>
      </w:r>
      <w:r w:rsidR="00F06C78" w:rsidRPr="001709C8">
        <w:rPr>
          <w:rFonts w:ascii="Arial" w:hAnsi="Arial" w:cs="Arial"/>
          <w:color w:val="000000" w:themeColor="text1"/>
        </w:rPr>
        <w:t>perform an action.</w:t>
      </w:r>
      <w:r w:rsidR="000C64B0" w:rsidRPr="001709C8">
        <w:rPr>
          <w:rFonts w:ascii="Arial" w:hAnsi="Arial" w:cs="Arial"/>
          <w:color w:val="000000" w:themeColor="text1"/>
        </w:rPr>
        <w:t xml:space="preserve"> Taking my addiction to smoking cigarettes as an example, this could equate to my desire to smoke, my desire for better health, or even my desire for ritual in the rolling of the cigarette.</w:t>
      </w:r>
      <w:r w:rsidR="00F06C78" w:rsidRPr="001709C8">
        <w:rPr>
          <w:rFonts w:ascii="Arial" w:hAnsi="Arial" w:cs="Arial"/>
          <w:color w:val="FF0000"/>
        </w:rPr>
        <w:t xml:space="preserve"> </w:t>
      </w:r>
      <w:r w:rsidR="00547B1E" w:rsidRPr="001709C8">
        <w:rPr>
          <w:rFonts w:ascii="Arial" w:hAnsi="Arial" w:cs="Arial"/>
          <w:color w:val="000000" w:themeColor="text1"/>
        </w:rPr>
        <w:t>For Frankfurt, t</w:t>
      </w:r>
      <w:r w:rsidR="00E22758" w:rsidRPr="001709C8">
        <w:rPr>
          <w:rFonts w:ascii="Arial" w:hAnsi="Arial" w:cs="Arial"/>
          <w:color w:val="000000" w:themeColor="text1"/>
        </w:rPr>
        <w:t xml:space="preserve">he will is to be </w:t>
      </w:r>
      <w:r w:rsidR="00B97970" w:rsidRPr="001709C8">
        <w:rPr>
          <w:rFonts w:ascii="Arial" w:hAnsi="Arial" w:cs="Arial"/>
          <w:color w:val="000000" w:themeColor="text1"/>
        </w:rPr>
        <w:t xml:space="preserve">defined </w:t>
      </w:r>
      <w:r w:rsidR="00E22758" w:rsidRPr="001709C8">
        <w:rPr>
          <w:rFonts w:ascii="Arial" w:hAnsi="Arial" w:cs="Arial"/>
          <w:color w:val="000000" w:themeColor="text1"/>
        </w:rPr>
        <w:t>as the desire that moves one to action.</w:t>
      </w:r>
      <w:r w:rsidR="00547B1E" w:rsidRPr="001709C8">
        <w:rPr>
          <w:rFonts w:ascii="Arial" w:hAnsi="Arial" w:cs="Arial"/>
          <w:color w:val="000000" w:themeColor="text1"/>
        </w:rPr>
        <w:t xml:space="preserve"> When the desire that motivates a person into an action is identified that is also to ‘identify an agent’s will’.</w:t>
      </w:r>
      <w:r w:rsidR="00547B1E" w:rsidRPr="001709C8">
        <w:rPr>
          <w:rStyle w:val="FootnoteReference"/>
          <w:rFonts w:ascii="Arial" w:hAnsi="Arial" w:cs="Arial"/>
          <w:color w:val="000000" w:themeColor="text1"/>
        </w:rPr>
        <w:footnoteReference w:id="14"/>
      </w:r>
      <w:r w:rsidR="00547B1E" w:rsidRPr="001709C8">
        <w:rPr>
          <w:rFonts w:ascii="Arial" w:hAnsi="Arial" w:cs="Arial"/>
          <w:color w:val="000000" w:themeColor="text1"/>
        </w:rPr>
        <w:t xml:space="preserve"> </w:t>
      </w:r>
    </w:p>
    <w:p w:rsidR="00B97970" w:rsidRPr="001709C8" w:rsidRDefault="007C3736" w:rsidP="00BA0AAE">
      <w:pPr>
        <w:spacing w:line="480" w:lineRule="auto"/>
        <w:jc w:val="both"/>
        <w:rPr>
          <w:rFonts w:ascii="Arial" w:hAnsi="Arial" w:cs="Arial"/>
          <w:color w:val="FF0000"/>
        </w:rPr>
      </w:pPr>
      <w:r w:rsidRPr="001709C8">
        <w:rPr>
          <w:rFonts w:ascii="Arial" w:hAnsi="Arial" w:cs="Arial"/>
          <w:color w:val="000000" w:themeColor="text1"/>
        </w:rPr>
        <w:tab/>
        <w:t>Second-</w:t>
      </w:r>
      <w:r w:rsidR="00547B1E" w:rsidRPr="001709C8">
        <w:rPr>
          <w:rFonts w:ascii="Arial" w:hAnsi="Arial" w:cs="Arial"/>
          <w:color w:val="000000" w:themeColor="text1"/>
        </w:rPr>
        <w:t>order desires</w:t>
      </w:r>
      <w:r w:rsidR="00851EB2" w:rsidRPr="001709C8">
        <w:rPr>
          <w:rFonts w:ascii="Arial" w:hAnsi="Arial" w:cs="Arial"/>
          <w:color w:val="000000" w:themeColor="text1"/>
        </w:rPr>
        <w:t xml:space="preserve"> are desires that we experience when we reflect on our pre-existing desires; they are ‘desires about </w:t>
      </w:r>
      <w:r w:rsidR="00851EB2" w:rsidRPr="001709C8">
        <w:rPr>
          <w:rFonts w:ascii="Arial" w:hAnsi="Arial" w:cs="Arial"/>
          <w:i/>
          <w:color w:val="000000" w:themeColor="text1"/>
        </w:rPr>
        <w:t>other</w:t>
      </w:r>
      <w:r w:rsidR="00851EB2" w:rsidRPr="001709C8">
        <w:rPr>
          <w:rFonts w:ascii="Arial" w:hAnsi="Arial" w:cs="Arial"/>
          <w:color w:val="000000" w:themeColor="text1"/>
        </w:rPr>
        <w:t xml:space="preserve"> desires’.</w:t>
      </w:r>
      <w:r w:rsidR="00851EB2" w:rsidRPr="001709C8">
        <w:rPr>
          <w:rStyle w:val="FootnoteReference"/>
          <w:rFonts w:ascii="Arial" w:hAnsi="Arial" w:cs="Arial"/>
          <w:color w:val="000000" w:themeColor="text1"/>
        </w:rPr>
        <w:footnoteReference w:id="15"/>
      </w:r>
      <w:r w:rsidR="008E3338" w:rsidRPr="001709C8">
        <w:rPr>
          <w:rFonts w:ascii="Arial" w:hAnsi="Arial" w:cs="Arial"/>
          <w:color w:val="000000" w:themeColor="text1"/>
        </w:rPr>
        <w:t xml:space="preserve"> They are desires that concern themselves with either to have a certain desire, or to not have a certain desire</w:t>
      </w:r>
      <w:r w:rsidR="00776FB4" w:rsidRPr="001709C8">
        <w:rPr>
          <w:rFonts w:ascii="Arial" w:hAnsi="Arial" w:cs="Arial"/>
          <w:color w:val="000000" w:themeColor="text1"/>
        </w:rPr>
        <w:t>,</w:t>
      </w:r>
      <w:r w:rsidR="008E3338" w:rsidRPr="001709C8">
        <w:rPr>
          <w:rFonts w:ascii="Arial" w:hAnsi="Arial" w:cs="Arial"/>
          <w:color w:val="000000" w:themeColor="text1"/>
        </w:rPr>
        <w:t xml:space="preserve"> </w:t>
      </w:r>
      <w:r w:rsidR="00776FB4" w:rsidRPr="001709C8">
        <w:rPr>
          <w:rFonts w:ascii="Arial" w:hAnsi="Arial" w:cs="Arial"/>
          <w:color w:val="000000" w:themeColor="text1"/>
        </w:rPr>
        <w:t xml:space="preserve">or whether or not a desire </w:t>
      </w:r>
      <w:r w:rsidR="003F0F20" w:rsidRPr="001709C8">
        <w:rPr>
          <w:rFonts w:ascii="Arial" w:hAnsi="Arial" w:cs="Arial"/>
          <w:color w:val="000000" w:themeColor="text1"/>
        </w:rPr>
        <w:t>is effective in motivation; a Frankfurt states, they are ‘either when he [an agent] wants simply to have a certain desire or when he wants a certain desire to be his will’.</w:t>
      </w:r>
      <w:r w:rsidR="003F0F20" w:rsidRPr="001709C8">
        <w:rPr>
          <w:rStyle w:val="FootnoteReference"/>
          <w:rFonts w:ascii="Arial" w:hAnsi="Arial" w:cs="Arial"/>
          <w:color w:val="000000" w:themeColor="text1"/>
        </w:rPr>
        <w:footnoteReference w:id="16"/>
      </w:r>
      <w:r w:rsidR="003F0F20" w:rsidRPr="001709C8">
        <w:rPr>
          <w:rFonts w:ascii="Arial" w:hAnsi="Arial" w:cs="Arial"/>
          <w:color w:val="000000" w:themeColor="text1"/>
        </w:rPr>
        <w:t xml:space="preserve"> </w:t>
      </w:r>
      <w:r w:rsidR="000C64B0" w:rsidRPr="001709C8">
        <w:rPr>
          <w:rFonts w:ascii="Arial" w:hAnsi="Arial" w:cs="Arial"/>
          <w:color w:val="000000" w:themeColor="text1"/>
        </w:rPr>
        <w:t xml:space="preserve">Taking my addiction to smoking as an example again, my second-order desire would be that either my desire to have a cigarette is effective, or that my desire for good health is effective in governing my action not to allow the competing desire for a cigarette to win over. </w:t>
      </w:r>
    </w:p>
    <w:p w:rsidR="000449D3" w:rsidRPr="001709C8" w:rsidRDefault="007C3736" w:rsidP="00BA0AAE">
      <w:pPr>
        <w:spacing w:line="480" w:lineRule="auto"/>
        <w:jc w:val="both"/>
        <w:rPr>
          <w:rFonts w:ascii="Arial" w:hAnsi="Arial" w:cs="Arial"/>
          <w:color w:val="000000" w:themeColor="text1"/>
        </w:rPr>
      </w:pPr>
      <w:r w:rsidRPr="001709C8">
        <w:rPr>
          <w:rFonts w:ascii="Arial" w:hAnsi="Arial" w:cs="Arial"/>
          <w:color w:val="000000" w:themeColor="text1"/>
        </w:rPr>
        <w:tab/>
        <w:t>In cases where the second-order desires concern t</w:t>
      </w:r>
      <w:r w:rsidR="00F47CD4" w:rsidRPr="001709C8">
        <w:rPr>
          <w:rFonts w:ascii="Arial" w:hAnsi="Arial" w:cs="Arial"/>
          <w:color w:val="000000" w:themeColor="text1"/>
        </w:rPr>
        <w:t>he want of the first</w:t>
      </w:r>
      <w:r w:rsidR="0074122F" w:rsidRPr="001709C8">
        <w:rPr>
          <w:rFonts w:ascii="Arial" w:hAnsi="Arial" w:cs="Arial"/>
          <w:color w:val="000000" w:themeColor="text1"/>
        </w:rPr>
        <w:t>-order desire to become effective in motivation, these are referred to as ‘second-</w:t>
      </w:r>
      <w:r w:rsidR="0074122F" w:rsidRPr="001709C8">
        <w:rPr>
          <w:rFonts w:ascii="Arial" w:hAnsi="Arial" w:cs="Arial"/>
          <w:color w:val="000000" w:themeColor="text1"/>
        </w:rPr>
        <w:lastRenderedPageBreak/>
        <w:t>order volitions’</w:t>
      </w:r>
      <w:r w:rsidR="00395140" w:rsidRPr="001709C8">
        <w:rPr>
          <w:rFonts w:ascii="Arial" w:hAnsi="Arial" w:cs="Arial"/>
          <w:color w:val="000000" w:themeColor="text1"/>
        </w:rPr>
        <w:t>;</w:t>
      </w:r>
      <w:r w:rsidR="0074122F" w:rsidRPr="001709C8">
        <w:rPr>
          <w:rStyle w:val="FootnoteReference"/>
          <w:rFonts w:ascii="Arial" w:hAnsi="Arial" w:cs="Arial"/>
          <w:color w:val="000000" w:themeColor="text1"/>
        </w:rPr>
        <w:footnoteReference w:id="17"/>
      </w:r>
      <w:r w:rsidR="009D1F25" w:rsidRPr="001709C8">
        <w:rPr>
          <w:rFonts w:ascii="Arial" w:hAnsi="Arial" w:cs="Arial"/>
          <w:color w:val="000000" w:themeColor="text1"/>
        </w:rPr>
        <w:t xml:space="preserve"> put simply, when a second-order desire c</w:t>
      </w:r>
      <w:r w:rsidR="000C64B0" w:rsidRPr="001709C8">
        <w:rPr>
          <w:rFonts w:ascii="Arial" w:hAnsi="Arial" w:cs="Arial"/>
          <w:color w:val="000000" w:themeColor="text1"/>
        </w:rPr>
        <w:t>oncerns itself with which first-</w:t>
      </w:r>
      <w:r w:rsidR="009D1F25" w:rsidRPr="001709C8">
        <w:rPr>
          <w:rFonts w:ascii="Arial" w:hAnsi="Arial" w:cs="Arial"/>
          <w:color w:val="000000" w:themeColor="text1"/>
        </w:rPr>
        <w:t xml:space="preserve">order desire should be the one that is identified as the will, it is a second-order volition. This is what Frankfurt regards as crucial to the claim to be a member of personhood. </w:t>
      </w:r>
    </w:p>
    <w:p w:rsidR="009D1F25" w:rsidRPr="001709C8" w:rsidRDefault="009D1F25" w:rsidP="003051E7">
      <w:pPr>
        <w:spacing w:line="480" w:lineRule="auto"/>
        <w:jc w:val="both"/>
        <w:rPr>
          <w:rFonts w:ascii="Arial" w:hAnsi="Arial" w:cs="Arial"/>
          <w:color w:val="000000" w:themeColor="text1"/>
        </w:rPr>
      </w:pPr>
      <w:r w:rsidRPr="001709C8">
        <w:rPr>
          <w:rFonts w:ascii="Arial" w:hAnsi="Arial" w:cs="Arial"/>
          <w:color w:val="000000" w:themeColor="text1"/>
        </w:rPr>
        <w:tab/>
      </w:r>
      <w:r w:rsidR="00B03683" w:rsidRPr="001709C8">
        <w:rPr>
          <w:rFonts w:ascii="Arial" w:hAnsi="Arial" w:cs="Arial"/>
          <w:color w:val="000000" w:themeColor="text1"/>
        </w:rPr>
        <w:t xml:space="preserve">As it is entirely conceptually possible to have second-order desires but no second-order volitions, </w:t>
      </w:r>
      <w:r w:rsidR="00DD1387" w:rsidRPr="001709C8">
        <w:rPr>
          <w:rFonts w:ascii="Arial" w:hAnsi="Arial" w:cs="Arial"/>
          <w:color w:val="000000" w:themeColor="text1"/>
        </w:rPr>
        <w:t>Frankfurt introduces a new class of entities that carry the title of ‘wanton’.</w:t>
      </w:r>
      <w:r w:rsidR="00DD1387" w:rsidRPr="001709C8">
        <w:rPr>
          <w:rStyle w:val="FootnoteReference"/>
          <w:rFonts w:ascii="Arial" w:hAnsi="Arial" w:cs="Arial"/>
          <w:color w:val="000000" w:themeColor="text1"/>
        </w:rPr>
        <w:footnoteReference w:id="18"/>
      </w:r>
      <w:r w:rsidR="00395140" w:rsidRPr="001709C8">
        <w:rPr>
          <w:rFonts w:ascii="Arial" w:hAnsi="Arial" w:cs="Arial"/>
          <w:color w:val="000000" w:themeColor="text1"/>
        </w:rPr>
        <w:t xml:space="preserve">  W</w:t>
      </w:r>
      <w:r w:rsidR="002F7F7B" w:rsidRPr="001709C8">
        <w:rPr>
          <w:rFonts w:ascii="Arial" w:hAnsi="Arial" w:cs="Arial"/>
          <w:color w:val="000000" w:themeColor="text1"/>
        </w:rPr>
        <w:t xml:space="preserve">antons are ‘agents who have first-order desires but… whether or not </w:t>
      </w:r>
      <w:r w:rsidR="000C64B0" w:rsidRPr="001709C8">
        <w:rPr>
          <w:rFonts w:ascii="Arial" w:hAnsi="Arial" w:cs="Arial"/>
          <w:color w:val="000000" w:themeColor="text1"/>
        </w:rPr>
        <w:t>they have desires of the second-order, they have no second-</w:t>
      </w:r>
      <w:r w:rsidR="002F7F7B" w:rsidRPr="001709C8">
        <w:rPr>
          <w:rFonts w:ascii="Arial" w:hAnsi="Arial" w:cs="Arial"/>
          <w:color w:val="000000" w:themeColor="text1"/>
        </w:rPr>
        <w:t>order volitions’</w:t>
      </w:r>
      <w:r w:rsidR="003051E7" w:rsidRPr="001709C8">
        <w:rPr>
          <w:rFonts w:ascii="Arial" w:hAnsi="Arial" w:cs="Arial"/>
          <w:color w:val="000000" w:themeColor="text1"/>
        </w:rPr>
        <w:t>;</w:t>
      </w:r>
      <w:r w:rsidR="002F7F7B" w:rsidRPr="001709C8">
        <w:rPr>
          <w:rStyle w:val="FootnoteReference"/>
          <w:rFonts w:ascii="Arial" w:hAnsi="Arial" w:cs="Arial"/>
          <w:color w:val="000000" w:themeColor="text1"/>
        </w:rPr>
        <w:footnoteReference w:id="19"/>
      </w:r>
      <w:r w:rsidR="002F7F7B" w:rsidRPr="001709C8">
        <w:rPr>
          <w:rFonts w:ascii="Arial" w:hAnsi="Arial" w:cs="Arial"/>
          <w:color w:val="000000" w:themeColor="text1"/>
        </w:rPr>
        <w:t xml:space="preserve"> </w:t>
      </w:r>
      <w:r w:rsidR="003051E7" w:rsidRPr="001709C8">
        <w:rPr>
          <w:rFonts w:ascii="Arial" w:hAnsi="Arial" w:cs="Arial"/>
          <w:color w:val="000000" w:themeColor="text1"/>
        </w:rPr>
        <w:t>e</w:t>
      </w:r>
      <w:r w:rsidR="002F7F7B" w:rsidRPr="001709C8">
        <w:rPr>
          <w:rFonts w:ascii="Arial" w:hAnsi="Arial" w:cs="Arial"/>
          <w:color w:val="000000" w:themeColor="text1"/>
        </w:rPr>
        <w:t>ssentially, the wanton does not qualify as a person under Frankfurt’s definition.</w:t>
      </w:r>
      <w:r w:rsidR="00F518FC">
        <w:rPr>
          <w:rStyle w:val="FootnoteReference"/>
          <w:rFonts w:ascii="Arial" w:hAnsi="Arial" w:cs="Arial"/>
          <w:color w:val="000000" w:themeColor="text1"/>
        </w:rPr>
        <w:footnoteReference w:id="20"/>
      </w:r>
      <w:r w:rsidR="002F7F7B" w:rsidRPr="001709C8">
        <w:rPr>
          <w:rFonts w:ascii="Arial" w:hAnsi="Arial" w:cs="Arial"/>
          <w:color w:val="000000" w:themeColor="text1"/>
        </w:rPr>
        <w:t xml:space="preserve"> Their sheer indifference to their wills that causes them to be ‘passive bystanders’</w:t>
      </w:r>
      <w:r w:rsidR="002F7F7B" w:rsidRPr="001709C8">
        <w:rPr>
          <w:rStyle w:val="FootnoteReference"/>
          <w:rFonts w:ascii="Arial" w:hAnsi="Arial" w:cs="Arial"/>
          <w:color w:val="000000" w:themeColor="text1"/>
        </w:rPr>
        <w:footnoteReference w:id="21"/>
      </w:r>
      <w:r w:rsidR="003051E7" w:rsidRPr="001709C8">
        <w:rPr>
          <w:rFonts w:ascii="Arial" w:hAnsi="Arial" w:cs="Arial"/>
          <w:color w:val="000000" w:themeColor="text1"/>
        </w:rPr>
        <w:t xml:space="preserve"> also disqualifies them from counting as</w:t>
      </w:r>
      <w:r w:rsidR="00B470F3" w:rsidRPr="001709C8">
        <w:rPr>
          <w:rFonts w:ascii="Arial" w:hAnsi="Arial" w:cs="Arial"/>
          <w:color w:val="000000" w:themeColor="text1"/>
        </w:rPr>
        <w:t xml:space="preserve"> persons. </w:t>
      </w:r>
      <w:r w:rsidR="00E70948" w:rsidRPr="001709C8">
        <w:rPr>
          <w:rFonts w:ascii="Arial" w:hAnsi="Arial" w:cs="Arial"/>
          <w:color w:val="000000" w:themeColor="text1"/>
        </w:rPr>
        <w:t xml:space="preserve">Lacking the basic </w:t>
      </w:r>
      <w:r w:rsidR="003051E7" w:rsidRPr="001709C8">
        <w:rPr>
          <w:rFonts w:ascii="Arial" w:hAnsi="Arial" w:cs="Arial"/>
          <w:color w:val="000000" w:themeColor="text1"/>
        </w:rPr>
        <w:t xml:space="preserve">function of critical self-reflection directed towards the will, the wanton </w:t>
      </w:r>
      <w:r w:rsidR="00C9459F" w:rsidRPr="001709C8">
        <w:rPr>
          <w:rFonts w:ascii="Arial" w:hAnsi="Arial" w:cs="Arial"/>
          <w:color w:val="000000" w:themeColor="text1"/>
        </w:rPr>
        <w:t>forms</w:t>
      </w:r>
      <w:r w:rsidR="003051E7" w:rsidRPr="001709C8">
        <w:rPr>
          <w:rFonts w:ascii="Arial" w:hAnsi="Arial" w:cs="Arial"/>
          <w:color w:val="000000" w:themeColor="text1"/>
        </w:rPr>
        <w:t xml:space="preserve"> a particular caste ‘of individuals… ill-suited for responsible agency’.</w:t>
      </w:r>
      <w:r w:rsidR="00C9459F" w:rsidRPr="001709C8">
        <w:rPr>
          <w:rStyle w:val="FootnoteReference"/>
          <w:rFonts w:ascii="Arial" w:hAnsi="Arial" w:cs="Arial"/>
          <w:color w:val="000000" w:themeColor="text1"/>
        </w:rPr>
        <w:footnoteReference w:id="22"/>
      </w:r>
      <w:r w:rsidR="00132EFF" w:rsidRPr="001709C8">
        <w:rPr>
          <w:rFonts w:ascii="Arial" w:hAnsi="Arial" w:cs="Arial"/>
          <w:color w:val="000000" w:themeColor="text1"/>
        </w:rPr>
        <w:t xml:space="preserve"> </w:t>
      </w:r>
      <w:r w:rsidR="008F780F" w:rsidRPr="001709C8">
        <w:rPr>
          <w:rFonts w:ascii="Arial" w:hAnsi="Arial" w:cs="Arial"/>
          <w:color w:val="000000" w:themeColor="text1"/>
        </w:rPr>
        <w:t xml:space="preserve">This caste </w:t>
      </w:r>
      <w:r w:rsidR="002553AB" w:rsidRPr="001709C8">
        <w:rPr>
          <w:rFonts w:ascii="Arial" w:hAnsi="Arial" w:cs="Arial"/>
          <w:color w:val="000000" w:themeColor="text1"/>
        </w:rPr>
        <w:t>of individuals, which may include some humans</w:t>
      </w:r>
      <w:r w:rsidR="00106A2D" w:rsidRPr="001709C8">
        <w:rPr>
          <w:rFonts w:ascii="Arial" w:hAnsi="Arial" w:cs="Arial"/>
          <w:color w:val="000000" w:themeColor="text1"/>
        </w:rPr>
        <w:t>,</w:t>
      </w:r>
      <w:r w:rsidR="002553AB" w:rsidRPr="001709C8">
        <w:rPr>
          <w:rFonts w:ascii="Arial" w:hAnsi="Arial" w:cs="Arial"/>
          <w:color w:val="000000" w:themeColor="text1"/>
        </w:rPr>
        <w:t xml:space="preserve"> such as </w:t>
      </w:r>
      <w:r w:rsidR="00BB72E9" w:rsidRPr="001709C8">
        <w:rPr>
          <w:rFonts w:ascii="Arial" w:hAnsi="Arial" w:cs="Arial"/>
          <w:color w:val="000000" w:themeColor="text1"/>
        </w:rPr>
        <w:t>‘</w:t>
      </w:r>
      <w:r w:rsidR="00106A2D" w:rsidRPr="001709C8">
        <w:rPr>
          <w:rFonts w:ascii="Arial" w:hAnsi="Arial" w:cs="Arial"/>
          <w:color w:val="000000" w:themeColor="text1"/>
        </w:rPr>
        <w:t>young children</w:t>
      </w:r>
      <w:r w:rsidR="00BB72E9" w:rsidRPr="001709C8">
        <w:rPr>
          <w:rFonts w:ascii="Arial" w:hAnsi="Arial" w:cs="Arial"/>
          <w:color w:val="000000" w:themeColor="text1"/>
        </w:rPr>
        <w:t>’</w:t>
      </w:r>
      <w:r w:rsidR="00106A2D" w:rsidRPr="001709C8">
        <w:rPr>
          <w:rFonts w:ascii="Arial" w:hAnsi="Arial" w:cs="Arial"/>
          <w:color w:val="000000" w:themeColor="text1"/>
        </w:rPr>
        <w:t xml:space="preserve"> and </w:t>
      </w:r>
      <w:r w:rsidR="00BB72E9" w:rsidRPr="001709C8">
        <w:rPr>
          <w:rFonts w:ascii="Arial" w:hAnsi="Arial" w:cs="Arial"/>
          <w:color w:val="000000" w:themeColor="text1"/>
        </w:rPr>
        <w:t>‘</w:t>
      </w:r>
      <w:r w:rsidR="00106A2D" w:rsidRPr="001709C8">
        <w:rPr>
          <w:rFonts w:ascii="Arial" w:hAnsi="Arial" w:cs="Arial"/>
          <w:color w:val="000000" w:themeColor="text1"/>
        </w:rPr>
        <w:t>careless adults</w:t>
      </w:r>
      <w:r w:rsidR="00BB72E9" w:rsidRPr="001709C8">
        <w:rPr>
          <w:rFonts w:ascii="Arial" w:hAnsi="Arial" w:cs="Arial"/>
          <w:color w:val="000000" w:themeColor="text1"/>
        </w:rPr>
        <w:t>’</w:t>
      </w:r>
      <w:r w:rsidR="00106A2D" w:rsidRPr="001709C8">
        <w:rPr>
          <w:rFonts w:ascii="Arial" w:hAnsi="Arial" w:cs="Arial"/>
          <w:color w:val="000000" w:themeColor="text1"/>
        </w:rPr>
        <w:t>, along with the ‘brute beasts’</w:t>
      </w:r>
      <w:r w:rsidR="00106A2D" w:rsidRPr="001709C8">
        <w:rPr>
          <w:rStyle w:val="FootnoteReference"/>
          <w:rFonts w:ascii="Arial" w:hAnsi="Arial" w:cs="Arial"/>
          <w:color w:val="000000" w:themeColor="text1"/>
        </w:rPr>
        <w:footnoteReference w:id="23"/>
      </w:r>
      <w:r w:rsidR="00BB72E9" w:rsidRPr="001709C8">
        <w:rPr>
          <w:rFonts w:ascii="Arial" w:hAnsi="Arial" w:cs="Arial"/>
          <w:color w:val="000000" w:themeColor="text1"/>
          <w:vertAlign w:val="superscript"/>
        </w:rPr>
        <w:t>,</w:t>
      </w:r>
      <w:r w:rsidR="00BB72E9" w:rsidRPr="001709C8">
        <w:rPr>
          <w:rFonts w:ascii="Arial" w:hAnsi="Arial" w:cs="Arial"/>
          <w:color w:val="000000" w:themeColor="text1"/>
        </w:rPr>
        <w:t xml:space="preserve"> </w:t>
      </w:r>
      <w:r w:rsidR="00BB72E9" w:rsidRPr="001709C8">
        <w:rPr>
          <w:rStyle w:val="FootnoteReference"/>
          <w:rFonts w:ascii="Arial" w:hAnsi="Arial" w:cs="Arial"/>
          <w:color w:val="000000" w:themeColor="text1"/>
        </w:rPr>
        <w:footnoteReference w:id="24"/>
      </w:r>
      <w:r w:rsidR="00106A2D" w:rsidRPr="001709C8">
        <w:rPr>
          <w:rFonts w:ascii="Arial" w:hAnsi="Arial" w:cs="Arial"/>
          <w:color w:val="000000" w:themeColor="text1"/>
        </w:rPr>
        <w:t xml:space="preserve"> lack the capacity for </w:t>
      </w:r>
      <w:r w:rsidR="00BB72E9" w:rsidRPr="001709C8">
        <w:rPr>
          <w:rFonts w:ascii="Arial" w:hAnsi="Arial" w:cs="Arial"/>
          <w:color w:val="000000" w:themeColor="text1"/>
        </w:rPr>
        <w:t>caring</w:t>
      </w:r>
      <w:r w:rsidR="00106A2D" w:rsidRPr="001709C8">
        <w:rPr>
          <w:rFonts w:ascii="Arial" w:hAnsi="Arial" w:cs="Arial"/>
          <w:color w:val="000000" w:themeColor="text1"/>
        </w:rPr>
        <w:t xml:space="preserve"> which desires move t</w:t>
      </w:r>
      <w:r w:rsidR="00BB72E9" w:rsidRPr="001709C8">
        <w:rPr>
          <w:rFonts w:ascii="Arial" w:hAnsi="Arial" w:cs="Arial"/>
          <w:color w:val="000000" w:themeColor="text1"/>
        </w:rPr>
        <w:t xml:space="preserve">he agent to action, the wanton ‘is not concerned with the desirability of </w:t>
      </w:r>
      <w:r w:rsidR="00793FF9" w:rsidRPr="001709C8">
        <w:rPr>
          <w:rFonts w:ascii="Arial" w:hAnsi="Arial" w:cs="Arial"/>
          <w:color w:val="000000" w:themeColor="text1"/>
        </w:rPr>
        <w:t>his desires themselves.’</w:t>
      </w:r>
      <w:r w:rsidR="001F4C89" w:rsidRPr="001709C8">
        <w:rPr>
          <w:rStyle w:val="FootnoteReference"/>
          <w:rFonts w:ascii="Arial" w:hAnsi="Arial" w:cs="Arial"/>
          <w:color w:val="000000" w:themeColor="text1"/>
        </w:rPr>
        <w:footnoteReference w:id="25"/>
      </w:r>
      <w:r w:rsidR="00793FF9" w:rsidRPr="001709C8">
        <w:rPr>
          <w:rFonts w:ascii="Arial" w:hAnsi="Arial" w:cs="Arial"/>
          <w:color w:val="000000" w:themeColor="text1"/>
        </w:rPr>
        <w:t xml:space="preserve"> </w:t>
      </w:r>
    </w:p>
    <w:p w:rsidR="00A71A02" w:rsidRPr="001709C8" w:rsidRDefault="001F4C89" w:rsidP="001F4C89">
      <w:pPr>
        <w:spacing w:line="480" w:lineRule="auto"/>
        <w:jc w:val="both"/>
        <w:rPr>
          <w:rFonts w:ascii="Arial" w:hAnsi="Arial" w:cs="Arial"/>
          <w:color w:val="000000" w:themeColor="text1"/>
        </w:rPr>
      </w:pPr>
      <w:r w:rsidRPr="001709C8">
        <w:rPr>
          <w:rFonts w:ascii="Arial" w:hAnsi="Arial" w:cs="Arial"/>
          <w:color w:val="FF0000"/>
        </w:rPr>
        <w:tab/>
      </w:r>
      <w:r w:rsidRPr="001709C8">
        <w:rPr>
          <w:rFonts w:ascii="Arial" w:hAnsi="Arial" w:cs="Arial"/>
          <w:color w:val="000000" w:themeColor="text1"/>
        </w:rPr>
        <w:t xml:space="preserve">Frankfurt furnishes his account of the wanton with an example concerning two addicts – the </w:t>
      </w:r>
      <w:r w:rsidR="00B43002" w:rsidRPr="001709C8">
        <w:rPr>
          <w:rFonts w:ascii="Arial" w:hAnsi="Arial" w:cs="Arial"/>
          <w:color w:val="000000" w:themeColor="text1"/>
        </w:rPr>
        <w:t>u</w:t>
      </w:r>
      <w:r w:rsidRPr="001709C8">
        <w:rPr>
          <w:rFonts w:ascii="Arial" w:hAnsi="Arial" w:cs="Arial"/>
          <w:color w:val="000000" w:themeColor="text1"/>
        </w:rPr>
        <w:t>nwillin</w:t>
      </w:r>
      <w:r w:rsidR="00B43002" w:rsidRPr="001709C8">
        <w:rPr>
          <w:rFonts w:ascii="Arial" w:hAnsi="Arial" w:cs="Arial"/>
          <w:color w:val="000000" w:themeColor="text1"/>
        </w:rPr>
        <w:t>g addict and the wanton addict.</w:t>
      </w:r>
      <w:r w:rsidR="00B43002" w:rsidRPr="001709C8">
        <w:rPr>
          <w:rStyle w:val="FootnoteReference"/>
          <w:rFonts w:ascii="Arial" w:hAnsi="Arial" w:cs="Arial"/>
          <w:color w:val="000000" w:themeColor="text1"/>
        </w:rPr>
        <w:footnoteReference w:id="26"/>
      </w:r>
      <w:r w:rsidR="00395140" w:rsidRPr="001709C8">
        <w:rPr>
          <w:rFonts w:ascii="Arial" w:hAnsi="Arial" w:cs="Arial"/>
          <w:color w:val="000000" w:themeColor="text1"/>
        </w:rPr>
        <w:t xml:space="preserve"> The unwilling addict faces a confliction of </w:t>
      </w:r>
      <w:r w:rsidR="000C64B0" w:rsidRPr="001709C8">
        <w:rPr>
          <w:rFonts w:ascii="Arial" w:hAnsi="Arial" w:cs="Arial"/>
          <w:color w:val="000000" w:themeColor="text1"/>
        </w:rPr>
        <w:t>his or her desires of the first-</w:t>
      </w:r>
      <w:r w:rsidR="00395140" w:rsidRPr="001709C8">
        <w:rPr>
          <w:rFonts w:ascii="Arial" w:hAnsi="Arial" w:cs="Arial"/>
          <w:color w:val="000000" w:themeColor="text1"/>
        </w:rPr>
        <w:t xml:space="preserve">order. The desire to take the </w:t>
      </w:r>
      <w:r w:rsidR="00395140" w:rsidRPr="001709C8">
        <w:rPr>
          <w:rFonts w:ascii="Arial" w:hAnsi="Arial" w:cs="Arial"/>
          <w:color w:val="000000" w:themeColor="text1"/>
        </w:rPr>
        <w:lastRenderedPageBreak/>
        <w:t xml:space="preserve">substance that the addict is addicted to conflicts with the addict’s desire not to indulge in the substance. This may be for any number of reasons, perhaps the use of the drug that the addict is addicted to is causing problems with the addict’s relationships with friends or family, or even the financial difficulties that a person could potentially face because of the unrelenting desire to take a drug. Either way, there is a conflict of primary desires. The unwilling addict isn’t neutral to which of these desires that the addict wishes be effective in action. The unwilling addict is unwilling because of their interest in which desire </w:t>
      </w:r>
      <w:r w:rsidR="00395140" w:rsidRPr="001709C8">
        <w:rPr>
          <w:rFonts w:ascii="Arial" w:hAnsi="Arial" w:cs="Arial"/>
          <w:i/>
          <w:color w:val="000000" w:themeColor="text1"/>
        </w:rPr>
        <w:t>is</w:t>
      </w:r>
      <w:r w:rsidR="00395140" w:rsidRPr="001709C8">
        <w:rPr>
          <w:rFonts w:ascii="Arial" w:hAnsi="Arial" w:cs="Arial"/>
          <w:color w:val="000000" w:themeColor="text1"/>
        </w:rPr>
        <w:t xml:space="preserve"> effective, in this case the desire to refrain from drug use. </w:t>
      </w:r>
    </w:p>
    <w:p w:rsidR="00395140" w:rsidRPr="001709C8" w:rsidRDefault="00395140" w:rsidP="001F4C89">
      <w:pPr>
        <w:spacing w:line="480" w:lineRule="auto"/>
        <w:jc w:val="both"/>
        <w:rPr>
          <w:rFonts w:ascii="Arial" w:hAnsi="Arial" w:cs="Arial"/>
          <w:color w:val="000000" w:themeColor="text1"/>
        </w:rPr>
      </w:pPr>
      <w:r w:rsidRPr="001709C8">
        <w:rPr>
          <w:rFonts w:ascii="Arial" w:hAnsi="Arial" w:cs="Arial"/>
          <w:color w:val="000000" w:themeColor="text1"/>
        </w:rPr>
        <w:tab/>
        <w:t>The wanton addict is then offered by Frankfurt as a comparison to the unwilling addict in order to drive home the properties of the wanton. The wanton addict’s actions ‘reflect the economy of his first-order desires’.</w:t>
      </w:r>
      <w:r w:rsidRPr="001709C8">
        <w:rPr>
          <w:rStyle w:val="FootnoteReference"/>
          <w:rFonts w:ascii="Arial" w:hAnsi="Arial" w:cs="Arial"/>
          <w:color w:val="000000" w:themeColor="text1"/>
        </w:rPr>
        <w:footnoteReference w:id="27"/>
      </w:r>
      <w:r w:rsidRPr="001709C8">
        <w:rPr>
          <w:rFonts w:ascii="Arial" w:hAnsi="Arial" w:cs="Arial"/>
          <w:color w:val="000000" w:themeColor="text1"/>
        </w:rPr>
        <w:t xml:space="preserve"> The stronger of the first-order desires invariably win out as motivation for the wanton addict. When faced with two competing first-order desires, such as the desire to take the drug the addict is addicted to, or the competing desire to refrain from taking the drug in order to strengthen relations with family and friends, the wanton addict merely satisfies the stronger of the desires. If the desire to take the drug is stronger than he desire to refrain from taking it, then it is the stronger desire which is effective in motivation to action. If the desire to do something other than to take the drug is stronger than the desire to take the drug, then the desire to take the drug will be the effective desire that motivates the addict to act. In saying that the stronger desire will be effective in action, there is no denial that the addict is capable of reasoning. Indeed, Frankfurt notes that problems that the addict may encounter in sourcing the drug or in taking the drug may be overcome by using </w:t>
      </w:r>
      <w:r w:rsidRPr="001709C8">
        <w:rPr>
          <w:rFonts w:ascii="Arial" w:hAnsi="Arial" w:cs="Arial"/>
          <w:color w:val="000000" w:themeColor="text1"/>
        </w:rPr>
        <w:lastRenderedPageBreak/>
        <w:t>reason and deliberation.</w:t>
      </w:r>
      <w:r w:rsidRPr="001709C8">
        <w:rPr>
          <w:rStyle w:val="FootnoteReference"/>
          <w:rFonts w:ascii="Arial" w:hAnsi="Arial" w:cs="Arial"/>
          <w:color w:val="000000" w:themeColor="text1"/>
        </w:rPr>
        <w:footnoteReference w:id="28"/>
      </w:r>
      <w:r w:rsidRPr="001709C8">
        <w:rPr>
          <w:rFonts w:ascii="Arial" w:hAnsi="Arial" w:cs="Arial"/>
          <w:color w:val="000000" w:themeColor="text1"/>
        </w:rPr>
        <w:t xml:space="preserve"> What separates the wanton addict from the plain old run-of-the-mill addict is that the wanton addict has a distinct lack of interest in which of their first-order desires are effective in action. The wanton addict shows no preference on reflection of their first-order desires as the wanton is incapable of this critical view of their first-order desires. </w:t>
      </w:r>
    </w:p>
    <w:p w:rsidR="00395140" w:rsidRPr="001709C8" w:rsidRDefault="00395140" w:rsidP="001F4C89">
      <w:pPr>
        <w:spacing w:line="480" w:lineRule="auto"/>
        <w:jc w:val="both"/>
        <w:rPr>
          <w:rFonts w:ascii="Arial" w:hAnsi="Arial" w:cs="Arial"/>
          <w:color w:val="000000" w:themeColor="text1"/>
        </w:rPr>
      </w:pPr>
      <w:r w:rsidRPr="001709C8">
        <w:rPr>
          <w:rFonts w:ascii="Arial" w:hAnsi="Arial" w:cs="Arial"/>
          <w:color w:val="000000" w:themeColor="text1"/>
        </w:rPr>
        <w:tab/>
        <w:t>The unwillin</w:t>
      </w:r>
      <w:r w:rsidR="000C64B0" w:rsidRPr="001709C8">
        <w:rPr>
          <w:rFonts w:ascii="Arial" w:hAnsi="Arial" w:cs="Arial"/>
          <w:color w:val="000000" w:themeColor="text1"/>
        </w:rPr>
        <w:t>g addict is able to form second-</w:t>
      </w:r>
      <w:r w:rsidRPr="001709C8">
        <w:rPr>
          <w:rFonts w:ascii="Arial" w:hAnsi="Arial" w:cs="Arial"/>
          <w:color w:val="000000" w:themeColor="text1"/>
        </w:rPr>
        <w:t>order volitions, and the wanton addict is not. The unwilling addict has an interest in which of his or her desires wins out in accordance with their second-order volition. Through forming this volition, the unwilling addict identifies his or her self with one of their first-order desires, making that desire ‘more truly his own’.</w:t>
      </w:r>
      <w:r w:rsidRPr="001709C8">
        <w:rPr>
          <w:rStyle w:val="FootnoteReference"/>
          <w:rFonts w:ascii="Arial" w:hAnsi="Arial" w:cs="Arial"/>
          <w:color w:val="000000" w:themeColor="text1"/>
        </w:rPr>
        <w:footnoteReference w:id="29"/>
      </w:r>
      <w:r w:rsidRPr="001709C8">
        <w:rPr>
          <w:rFonts w:ascii="Arial" w:hAnsi="Arial" w:cs="Arial"/>
          <w:color w:val="000000" w:themeColor="text1"/>
        </w:rPr>
        <w:t xml:space="preserve"> In identifying with one first-order desire over another through the formation of a second-order volition, the addict withdraws their identity from the other conflicting first-order desire. Frankfurt claims that the structure of the desires when assembled in this way allow the addict to make the ‘analytically puzzling’</w:t>
      </w:r>
      <w:r w:rsidRPr="001709C8">
        <w:rPr>
          <w:rStyle w:val="FootnoteReference"/>
          <w:rFonts w:ascii="Arial" w:hAnsi="Arial" w:cs="Arial"/>
          <w:color w:val="000000" w:themeColor="text1"/>
        </w:rPr>
        <w:footnoteReference w:id="30"/>
      </w:r>
      <w:r w:rsidRPr="001709C8">
        <w:rPr>
          <w:rFonts w:ascii="Arial" w:hAnsi="Arial" w:cs="Arial"/>
          <w:color w:val="000000" w:themeColor="text1"/>
        </w:rPr>
        <w:t xml:space="preserve"> statements that are trademark of the addict’s vernacular; statements such as “I want to quit”, or “it was the addiction making me do it”. The force that moves the agent to action in this sense doesn’t chime with what the addict considers themselves. Although the constraint on their behaviour is internal to themselves in the sense that they are not coerced by outside influence or physically forced to perform an action; the force is considered external to what the addict considers as their true self. </w:t>
      </w:r>
      <w:r w:rsidRPr="00D03DFB">
        <w:rPr>
          <w:rFonts w:ascii="Arial" w:hAnsi="Arial" w:cs="Arial"/>
          <w:color w:val="000000" w:themeColor="text1"/>
        </w:rPr>
        <w:t>This concept will be examined in more detail later.</w:t>
      </w:r>
      <w:r w:rsidRPr="001709C8">
        <w:rPr>
          <w:rFonts w:ascii="Arial" w:hAnsi="Arial" w:cs="Arial"/>
          <w:color w:val="000000" w:themeColor="text1"/>
        </w:rPr>
        <w:t xml:space="preserve"> To summarise, Frankfurt notes </w:t>
      </w:r>
      <w:r w:rsidRPr="001709C8">
        <w:rPr>
          <w:rFonts w:ascii="Arial" w:hAnsi="Arial" w:cs="Arial"/>
          <w:color w:val="000000" w:themeColor="text1"/>
        </w:rPr>
        <w:lastRenderedPageBreak/>
        <w:t xml:space="preserve">that ‘when a </w:t>
      </w:r>
      <w:r w:rsidRPr="001709C8">
        <w:rPr>
          <w:rFonts w:ascii="Arial" w:hAnsi="Arial" w:cs="Arial"/>
          <w:i/>
          <w:color w:val="000000" w:themeColor="text1"/>
        </w:rPr>
        <w:t>person</w:t>
      </w:r>
      <w:r w:rsidRPr="001709C8">
        <w:rPr>
          <w:rFonts w:ascii="Arial" w:hAnsi="Arial" w:cs="Arial"/>
          <w:color w:val="000000" w:themeColor="text1"/>
        </w:rPr>
        <w:t xml:space="preserve"> acts, the desire by which he is moved is either the will he wants or a will he wants to be without. When </w:t>
      </w:r>
      <w:proofErr w:type="gramStart"/>
      <w:r w:rsidRPr="001709C8">
        <w:rPr>
          <w:rFonts w:ascii="Arial" w:hAnsi="Arial" w:cs="Arial"/>
          <w:color w:val="000000" w:themeColor="text1"/>
        </w:rPr>
        <w:t xml:space="preserve">a </w:t>
      </w:r>
      <w:r w:rsidRPr="001709C8">
        <w:rPr>
          <w:rFonts w:ascii="Arial" w:hAnsi="Arial" w:cs="Arial"/>
          <w:i/>
          <w:color w:val="000000" w:themeColor="text1"/>
        </w:rPr>
        <w:t>wanton</w:t>
      </w:r>
      <w:r w:rsidRPr="001709C8">
        <w:rPr>
          <w:rFonts w:ascii="Arial" w:hAnsi="Arial" w:cs="Arial"/>
          <w:color w:val="000000" w:themeColor="text1"/>
        </w:rPr>
        <w:t xml:space="preserve"> acts</w:t>
      </w:r>
      <w:proofErr w:type="gramEnd"/>
      <w:r w:rsidRPr="001709C8">
        <w:rPr>
          <w:rFonts w:ascii="Arial" w:hAnsi="Arial" w:cs="Arial"/>
          <w:color w:val="000000" w:themeColor="text1"/>
        </w:rPr>
        <w:t>, it is neither’.</w:t>
      </w:r>
      <w:r w:rsidRPr="001709C8">
        <w:rPr>
          <w:rStyle w:val="FootnoteReference"/>
          <w:rFonts w:ascii="Arial" w:hAnsi="Arial" w:cs="Arial"/>
          <w:color w:val="000000" w:themeColor="text1"/>
        </w:rPr>
        <w:footnoteReference w:id="31"/>
      </w:r>
      <w:r w:rsidRPr="001709C8">
        <w:rPr>
          <w:rFonts w:ascii="Arial" w:hAnsi="Arial" w:cs="Arial"/>
          <w:color w:val="000000" w:themeColor="text1"/>
        </w:rPr>
        <w:t xml:space="preserve"> </w:t>
      </w:r>
    </w:p>
    <w:p w:rsidR="000C64B0" w:rsidRPr="001709C8" w:rsidRDefault="00395140" w:rsidP="000C64B0">
      <w:pPr>
        <w:spacing w:line="480" w:lineRule="auto"/>
        <w:jc w:val="both"/>
        <w:rPr>
          <w:rFonts w:ascii="Arial" w:hAnsi="Arial" w:cs="Arial"/>
          <w:color w:val="000000" w:themeColor="text1"/>
        </w:rPr>
      </w:pPr>
      <w:r w:rsidRPr="001709C8">
        <w:rPr>
          <w:rFonts w:ascii="Arial" w:hAnsi="Arial" w:cs="Arial"/>
          <w:color w:val="000000" w:themeColor="text1"/>
        </w:rPr>
        <w:tab/>
        <w:t>Frankfurt moves on to draw an analogy with freedom of action to affirm his argument that the freedom of will constitutes ones second-order volitions being affirmed by their first-order counterparts. Freedom of action is given as ‘the freedom to do what one wants to do’.</w:t>
      </w:r>
      <w:r w:rsidRPr="001709C8">
        <w:rPr>
          <w:rStyle w:val="FootnoteReference"/>
          <w:rFonts w:ascii="Arial" w:hAnsi="Arial" w:cs="Arial"/>
          <w:color w:val="000000" w:themeColor="text1"/>
        </w:rPr>
        <w:footnoteReference w:id="32"/>
      </w:r>
      <w:r w:rsidRPr="001709C8">
        <w:rPr>
          <w:rFonts w:ascii="Arial" w:hAnsi="Arial" w:cs="Arial"/>
          <w:color w:val="000000" w:themeColor="text1"/>
        </w:rPr>
        <w:t xml:space="preserve"> This is set against Frankfurt’s concept of freedom of the will, rather poetically put as ‘free to want what he wants to want’.</w:t>
      </w:r>
      <w:r w:rsidRPr="001709C8">
        <w:rPr>
          <w:rStyle w:val="FootnoteReference"/>
          <w:rFonts w:ascii="Arial" w:hAnsi="Arial" w:cs="Arial"/>
          <w:color w:val="000000" w:themeColor="text1"/>
        </w:rPr>
        <w:footnoteReference w:id="33"/>
      </w:r>
      <w:r w:rsidRPr="001709C8">
        <w:rPr>
          <w:rFonts w:ascii="Arial" w:hAnsi="Arial" w:cs="Arial"/>
          <w:color w:val="000000" w:themeColor="text1"/>
        </w:rPr>
        <w:t xml:space="preserve"> Allow me to further illustrate the difference with a crude example: A dog tied up lacks both freedom of will and freedom of action. If the dog breaks loose of its leash, it may now run any-where it likes, and thus has freedom of action. The dog still lacks what Frankfurt conceptualises as freedom of the will, it does not have any volitions of the second</w:t>
      </w:r>
      <w:r w:rsidR="000C64B0" w:rsidRPr="001709C8">
        <w:rPr>
          <w:rFonts w:ascii="Arial" w:hAnsi="Arial" w:cs="Arial"/>
          <w:color w:val="000000" w:themeColor="text1"/>
        </w:rPr>
        <w:t>-</w:t>
      </w:r>
      <w:r w:rsidRPr="001709C8">
        <w:rPr>
          <w:rFonts w:ascii="Arial" w:hAnsi="Arial" w:cs="Arial"/>
          <w:color w:val="000000" w:themeColor="text1"/>
        </w:rPr>
        <w:t xml:space="preserve">order. Just as we can ask which action we want to perform, we can also ask what </w:t>
      </w:r>
      <w:proofErr w:type="gramStart"/>
      <w:r w:rsidRPr="001709C8">
        <w:rPr>
          <w:rFonts w:ascii="Arial" w:hAnsi="Arial" w:cs="Arial"/>
          <w:color w:val="000000" w:themeColor="text1"/>
        </w:rPr>
        <w:t>will we</w:t>
      </w:r>
      <w:proofErr w:type="gramEnd"/>
      <w:r w:rsidRPr="001709C8">
        <w:rPr>
          <w:rFonts w:ascii="Arial" w:hAnsi="Arial" w:cs="Arial"/>
          <w:color w:val="000000" w:themeColor="text1"/>
        </w:rPr>
        <w:t xml:space="preserve"> wish to have. Moving back to Frankfurt’s example of the </w:t>
      </w:r>
      <w:r w:rsidRPr="001709C8">
        <w:rPr>
          <w:rFonts w:ascii="Arial" w:hAnsi="Arial" w:cs="Arial"/>
          <w:i/>
          <w:color w:val="000000" w:themeColor="text1"/>
        </w:rPr>
        <w:t>unwilling</w:t>
      </w:r>
      <w:r w:rsidRPr="001709C8">
        <w:rPr>
          <w:rFonts w:ascii="Arial" w:hAnsi="Arial" w:cs="Arial"/>
          <w:color w:val="000000" w:themeColor="text1"/>
        </w:rPr>
        <w:t xml:space="preserve"> addict and the </w:t>
      </w:r>
      <w:r w:rsidRPr="001709C8">
        <w:rPr>
          <w:rFonts w:ascii="Arial" w:hAnsi="Arial" w:cs="Arial"/>
          <w:i/>
          <w:color w:val="000000" w:themeColor="text1"/>
        </w:rPr>
        <w:t>wanton</w:t>
      </w:r>
      <w:r w:rsidRPr="001709C8">
        <w:rPr>
          <w:rFonts w:ascii="Arial" w:hAnsi="Arial" w:cs="Arial"/>
          <w:color w:val="000000" w:themeColor="text1"/>
        </w:rPr>
        <w:t xml:space="preserve"> addict, the unwilling addict lacks freedom of will despite retaining freedom of action. The unwilling addict has no external constraints on his behaviour. It is his addiction that limits his freedom, in this case his freedom of will. The </w:t>
      </w:r>
      <w:r w:rsidRPr="001709C8">
        <w:rPr>
          <w:rFonts w:ascii="Arial" w:hAnsi="Arial" w:cs="Arial"/>
          <w:i/>
          <w:color w:val="000000" w:themeColor="text1"/>
        </w:rPr>
        <w:t>wanton</w:t>
      </w:r>
      <w:r w:rsidRPr="001709C8">
        <w:rPr>
          <w:rFonts w:ascii="Arial" w:hAnsi="Arial" w:cs="Arial"/>
          <w:color w:val="000000" w:themeColor="text1"/>
        </w:rPr>
        <w:t xml:space="preserve"> addict also lacks freedom, but in a different way to the </w:t>
      </w:r>
      <w:r w:rsidRPr="001709C8">
        <w:rPr>
          <w:rFonts w:ascii="Arial" w:hAnsi="Arial" w:cs="Arial"/>
          <w:i/>
          <w:color w:val="000000" w:themeColor="text1"/>
        </w:rPr>
        <w:t>unwilling</w:t>
      </w:r>
      <w:r w:rsidRPr="001709C8">
        <w:rPr>
          <w:rFonts w:ascii="Arial" w:hAnsi="Arial" w:cs="Arial"/>
          <w:color w:val="000000" w:themeColor="text1"/>
        </w:rPr>
        <w:t xml:space="preserve"> addict. The </w:t>
      </w:r>
      <w:r w:rsidRPr="001709C8">
        <w:rPr>
          <w:rFonts w:ascii="Arial" w:hAnsi="Arial" w:cs="Arial"/>
          <w:i/>
          <w:color w:val="000000" w:themeColor="text1"/>
        </w:rPr>
        <w:t>wanton</w:t>
      </w:r>
      <w:r w:rsidRPr="001709C8">
        <w:rPr>
          <w:rFonts w:ascii="Arial" w:hAnsi="Arial" w:cs="Arial"/>
          <w:color w:val="000000" w:themeColor="text1"/>
        </w:rPr>
        <w:t xml:space="preserve"> addict ‘neither has the will he wants nor has a will that differs from the will he wants’.</w:t>
      </w:r>
      <w:r w:rsidRPr="001709C8">
        <w:rPr>
          <w:rStyle w:val="FootnoteReference"/>
          <w:rFonts w:ascii="Arial" w:hAnsi="Arial" w:cs="Arial"/>
          <w:color w:val="000000" w:themeColor="text1"/>
        </w:rPr>
        <w:footnoteReference w:id="34"/>
      </w:r>
      <w:r w:rsidRPr="001709C8">
        <w:rPr>
          <w:rFonts w:ascii="Arial" w:hAnsi="Arial" w:cs="Arial"/>
          <w:color w:val="000000" w:themeColor="text1"/>
        </w:rPr>
        <w:t xml:space="preserve"> Recalling the phrase that was used earlier, freedom of will cannot be problematic for the wanton in the way that it is for the unwilling addict, as the wanton ‘lacks it… by default’. </w:t>
      </w:r>
      <w:r w:rsidRPr="001709C8">
        <w:rPr>
          <w:rStyle w:val="FootnoteReference"/>
          <w:rFonts w:ascii="Arial" w:hAnsi="Arial" w:cs="Arial"/>
          <w:color w:val="000000" w:themeColor="text1"/>
        </w:rPr>
        <w:footnoteReference w:id="35"/>
      </w:r>
    </w:p>
    <w:p w:rsidR="00D03DFB" w:rsidRPr="00D03DFB" w:rsidRDefault="000C64B0" w:rsidP="000C64B0">
      <w:pPr>
        <w:spacing w:line="480" w:lineRule="auto"/>
        <w:jc w:val="both"/>
        <w:rPr>
          <w:rFonts w:ascii="Arial" w:hAnsi="Arial" w:cs="Arial"/>
          <w:color w:val="000000" w:themeColor="text1"/>
        </w:rPr>
      </w:pPr>
      <w:r w:rsidRPr="001709C8">
        <w:rPr>
          <w:rFonts w:ascii="Arial" w:hAnsi="Arial" w:cs="Arial"/>
          <w:color w:val="FF0000"/>
        </w:rPr>
        <w:lastRenderedPageBreak/>
        <w:tab/>
      </w:r>
      <w:r w:rsidRPr="001709C8">
        <w:rPr>
          <w:rFonts w:ascii="Arial" w:hAnsi="Arial" w:cs="Arial"/>
          <w:color w:val="000000" w:themeColor="text1"/>
        </w:rPr>
        <w:t xml:space="preserve">Hierarchical theories of free will, including the theory given by Frankfurt as </w:t>
      </w:r>
      <w:r w:rsidR="003A5C59">
        <w:rPr>
          <w:rFonts w:ascii="Arial" w:hAnsi="Arial" w:cs="Arial"/>
          <w:color w:val="000000" w:themeColor="text1"/>
        </w:rPr>
        <w:t>outlined previously</w:t>
      </w:r>
      <w:r w:rsidRPr="001709C8">
        <w:rPr>
          <w:rFonts w:ascii="Arial" w:hAnsi="Arial" w:cs="Arial"/>
          <w:color w:val="000000" w:themeColor="text1"/>
        </w:rPr>
        <w:t xml:space="preserve">, must show how they avoid an infinite regress of ever higher-order desires. Indeed, it is entirely possible under the Frankfurtian model outlined above that you could have third-order desires, fourth-order desires, </w:t>
      </w:r>
      <w:r w:rsidRPr="001709C8">
        <w:rPr>
          <w:rFonts w:ascii="Arial" w:hAnsi="Arial" w:cs="Arial"/>
          <w:i/>
          <w:color w:val="000000" w:themeColor="text1"/>
        </w:rPr>
        <w:t>ad infinitum</w:t>
      </w:r>
      <w:r w:rsidRPr="001709C8">
        <w:rPr>
          <w:rFonts w:ascii="Arial" w:hAnsi="Arial" w:cs="Arial"/>
          <w:color w:val="000000" w:themeColor="text1"/>
        </w:rPr>
        <w:t>. Indeed, Frankfurt recognises this potential problem, calling it ‘humanization run wild’.</w:t>
      </w:r>
      <w:r w:rsidRPr="001709C8">
        <w:rPr>
          <w:rStyle w:val="FootnoteReference"/>
          <w:rFonts w:ascii="Arial" w:hAnsi="Arial" w:cs="Arial"/>
          <w:color w:val="000000" w:themeColor="text1"/>
        </w:rPr>
        <w:footnoteReference w:id="36"/>
      </w:r>
      <w:r w:rsidRPr="001709C8">
        <w:rPr>
          <w:rFonts w:ascii="Arial" w:hAnsi="Arial" w:cs="Arial"/>
          <w:color w:val="000000" w:themeColor="text1"/>
        </w:rPr>
        <w:t xml:space="preserve"> In order to circumnavigate this difficulty, Frankfurt proposes that there might be a way to cut off an infinite regress of desire without drawing an arbitrary line. Frankfurt’s proposal is to cut the regress off at the point that an agent identifies himself ‘</w:t>
      </w:r>
      <w:r w:rsidRPr="001709C8">
        <w:rPr>
          <w:rFonts w:ascii="Arial" w:hAnsi="Arial" w:cs="Arial"/>
          <w:i/>
          <w:color w:val="000000" w:themeColor="text1"/>
        </w:rPr>
        <w:t>decisively’</w:t>
      </w:r>
      <w:r w:rsidRPr="001709C8">
        <w:rPr>
          <w:rFonts w:ascii="Arial" w:hAnsi="Arial" w:cs="Arial"/>
          <w:color w:val="000000" w:themeColor="text1"/>
        </w:rPr>
        <w:t xml:space="preserve"> with a first-order desire. This identification with their desire ‘resounds’ throughout all higher-order desires. The question of whether third, or ever higher-order desires arising is made a moot point by the identification with one of the lower-order desires. There is no need to question whether there are third or fourth-order desires that conform or contradict their lower-order counterparts, once the agent had identified fully with some desire or other lower-order desire in the chain of desires.</w:t>
      </w:r>
      <w:r w:rsidR="00D03DFB">
        <w:rPr>
          <w:rFonts w:ascii="Arial" w:hAnsi="Arial" w:cs="Arial"/>
          <w:color w:val="000000" w:themeColor="text1"/>
        </w:rPr>
        <w:t xml:space="preserve"> Frankfurt likens this wholehearted identification to solving a mathematical problem.</w:t>
      </w:r>
      <w:r w:rsidR="00D03DFB">
        <w:rPr>
          <w:rStyle w:val="FootnoteReference"/>
          <w:rFonts w:ascii="Arial" w:hAnsi="Arial" w:cs="Arial"/>
          <w:color w:val="000000" w:themeColor="text1"/>
        </w:rPr>
        <w:footnoteReference w:id="37"/>
      </w:r>
      <w:r w:rsidR="00D03DFB">
        <w:rPr>
          <w:rFonts w:ascii="Arial" w:hAnsi="Arial" w:cs="Arial"/>
          <w:color w:val="000000" w:themeColor="text1"/>
        </w:rPr>
        <w:t xml:space="preserve"> You solve the problem but may be unsure of the answer. In order to make sure the answer is correct you may do the same calculation again, or a different one that yields the same answer. Now this second calculation may also be incorrect, so you may try a third, or a fourth. At some point, you may decide the risk of the answer being wrong is small, and the advantages of stopping checking may be great. Or, you may be supremely confident, you may even say certain, that the answer is correct. In this second </w:t>
      </w:r>
      <w:r w:rsidR="00D03DFB">
        <w:rPr>
          <w:rFonts w:ascii="Arial" w:hAnsi="Arial" w:cs="Arial"/>
          <w:color w:val="000000" w:themeColor="text1"/>
        </w:rPr>
        <w:lastRenderedPageBreak/>
        <w:t xml:space="preserve">case, you know that every time you do this calculation, you will yield the same answer indefinitely. The commitment to the answer is </w:t>
      </w:r>
      <w:r w:rsidR="00D03DFB">
        <w:rPr>
          <w:rFonts w:ascii="Arial" w:hAnsi="Arial" w:cs="Arial"/>
          <w:i/>
          <w:color w:val="000000" w:themeColor="text1"/>
        </w:rPr>
        <w:t>‘</w:t>
      </w:r>
      <w:r w:rsidR="00D03DFB" w:rsidRPr="00D03DFB">
        <w:rPr>
          <w:rFonts w:ascii="Arial" w:hAnsi="Arial" w:cs="Arial"/>
          <w:i/>
          <w:color w:val="000000" w:themeColor="text1"/>
        </w:rPr>
        <w:t>decisive</w:t>
      </w:r>
      <w:r w:rsidR="00D03DFB">
        <w:rPr>
          <w:rFonts w:ascii="Arial" w:hAnsi="Arial" w:cs="Arial"/>
          <w:i/>
          <w:color w:val="000000" w:themeColor="text1"/>
        </w:rPr>
        <w:t>’</w:t>
      </w:r>
      <w:r w:rsidR="00D03DFB" w:rsidRPr="00D03DFB">
        <w:rPr>
          <w:rStyle w:val="FootnoteReference"/>
          <w:rFonts w:ascii="Arial" w:hAnsi="Arial" w:cs="Arial"/>
          <w:color w:val="000000" w:themeColor="text1"/>
        </w:rPr>
        <w:footnoteReference w:id="38"/>
      </w:r>
      <w:r w:rsidR="00D03DFB">
        <w:rPr>
          <w:rFonts w:ascii="Arial" w:hAnsi="Arial" w:cs="Arial"/>
          <w:i/>
          <w:color w:val="000000" w:themeColor="text1"/>
        </w:rPr>
        <w:t xml:space="preserve"> </w:t>
      </w:r>
      <w:r w:rsidR="00D03DFB">
        <w:rPr>
          <w:rFonts w:ascii="Arial" w:hAnsi="Arial" w:cs="Arial"/>
          <w:color w:val="000000" w:themeColor="text1"/>
        </w:rPr>
        <w:t xml:space="preserve">as it resounds endlessly throughout all future calculations, or, higher order desires. </w:t>
      </w:r>
    </w:p>
    <w:p w:rsidR="000C64B0" w:rsidRDefault="000C64B0" w:rsidP="00D03DFB">
      <w:pPr>
        <w:spacing w:line="480" w:lineRule="auto"/>
        <w:ind w:firstLine="720"/>
        <w:jc w:val="both"/>
        <w:rPr>
          <w:rFonts w:ascii="Arial" w:hAnsi="Arial" w:cs="Arial"/>
          <w:color w:val="000000" w:themeColor="text1"/>
        </w:rPr>
      </w:pPr>
      <w:r w:rsidRPr="001709C8">
        <w:rPr>
          <w:rFonts w:ascii="Arial" w:hAnsi="Arial" w:cs="Arial"/>
          <w:color w:val="000000" w:themeColor="text1"/>
        </w:rPr>
        <w:t>Cutting off the regress into higher-order desires in this way offers an explanation of our language concerning our will. In giving up smoking, in essence I disown the first-order desire to smoke. I alienate the desire from myself and view it as something other than me. It imposes on my other desires, principally my second-order desire to not want the first-order desire to smoke. In this vein, I can make the ‘analytically puzzling’</w:t>
      </w:r>
      <w:r w:rsidRPr="001709C8">
        <w:rPr>
          <w:rStyle w:val="FootnoteReference"/>
          <w:rFonts w:ascii="Arial" w:hAnsi="Arial" w:cs="Arial"/>
          <w:color w:val="000000" w:themeColor="text1"/>
        </w:rPr>
        <w:footnoteReference w:id="39"/>
      </w:r>
      <w:r w:rsidRPr="001709C8">
        <w:rPr>
          <w:rFonts w:ascii="Arial" w:hAnsi="Arial" w:cs="Arial"/>
          <w:color w:val="000000" w:themeColor="text1"/>
        </w:rPr>
        <w:t xml:space="preserve"> statements such as “I don’t want to smoke” as I reach for a cigarette. </w:t>
      </w:r>
    </w:p>
    <w:p w:rsidR="00006FDB" w:rsidRPr="001709C8" w:rsidRDefault="00006FDB" w:rsidP="000C64B0">
      <w:pPr>
        <w:spacing w:line="480" w:lineRule="auto"/>
        <w:jc w:val="both"/>
        <w:rPr>
          <w:rFonts w:ascii="Arial" w:hAnsi="Arial" w:cs="Arial"/>
          <w:color w:val="000000" w:themeColor="text1"/>
        </w:rPr>
      </w:pPr>
      <w:r>
        <w:rPr>
          <w:rFonts w:ascii="Arial" w:hAnsi="Arial" w:cs="Arial"/>
          <w:color w:val="000000" w:themeColor="text1"/>
        </w:rPr>
        <w:tab/>
        <w:t xml:space="preserve">To what extent can the desire to smoke be alienated from the self? Can we truly disown one desire over another desire due to the hierarchical structure of our wills? In order to flesh out this picture more and to offer a modified Frankfurtian view that takes into account how we can alienate desires from ourselves, we will now turn to Watson’s account of hierarchical free will. In the following conception, the second-order desires are modified, transforming into values that we attribute to our desires. </w:t>
      </w:r>
    </w:p>
    <w:p w:rsidR="000C64B0" w:rsidRPr="001709C8" w:rsidRDefault="000C64B0" w:rsidP="000C64B0">
      <w:pPr>
        <w:spacing w:line="480" w:lineRule="auto"/>
        <w:jc w:val="both"/>
        <w:rPr>
          <w:rFonts w:ascii="Arial" w:hAnsi="Arial" w:cs="Arial"/>
          <w:color w:val="000000" w:themeColor="text1"/>
        </w:rPr>
      </w:pPr>
    </w:p>
    <w:p w:rsidR="00771F74" w:rsidRDefault="00771F74">
      <w:pPr>
        <w:rPr>
          <w:rFonts w:ascii="Arial" w:eastAsiaTheme="majorEastAsia" w:hAnsi="Arial" w:cs="Arial"/>
          <w:color w:val="2F5496" w:themeColor="accent1" w:themeShade="BF"/>
          <w:sz w:val="32"/>
          <w:szCs w:val="32"/>
        </w:rPr>
      </w:pPr>
      <w:r>
        <w:rPr>
          <w:rFonts w:ascii="Arial" w:hAnsi="Arial" w:cs="Arial"/>
        </w:rPr>
        <w:br w:type="page"/>
      </w:r>
    </w:p>
    <w:p w:rsidR="000C64B0" w:rsidRPr="003A5C59" w:rsidRDefault="003420D1" w:rsidP="00006FDB">
      <w:pPr>
        <w:pStyle w:val="Heading1"/>
        <w:rPr>
          <w:rFonts w:ascii="Arial" w:hAnsi="Arial" w:cs="Arial"/>
        </w:rPr>
      </w:pPr>
      <w:bookmarkStart w:id="3" w:name="_Toc515445726"/>
      <w:r>
        <w:rPr>
          <w:rFonts w:ascii="Arial" w:hAnsi="Arial" w:cs="Arial"/>
        </w:rPr>
        <w:lastRenderedPageBreak/>
        <w:t>Values</w:t>
      </w:r>
      <w:bookmarkEnd w:id="3"/>
    </w:p>
    <w:p w:rsidR="00006FDB" w:rsidRDefault="00006FDB" w:rsidP="00006FDB"/>
    <w:p w:rsidR="00006FDB" w:rsidRDefault="00006FDB" w:rsidP="00006FDB"/>
    <w:p w:rsidR="00006FDB" w:rsidRPr="00006FDB" w:rsidRDefault="00006FDB" w:rsidP="00006FDB"/>
    <w:p w:rsidR="006D2699" w:rsidRPr="001709C8" w:rsidRDefault="000C64B0" w:rsidP="00006FDB">
      <w:pPr>
        <w:spacing w:line="480" w:lineRule="auto"/>
        <w:jc w:val="both"/>
        <w:rPr>
          <w:rFonts w:ascii="Arial" w:hAnsi="Arial" w:cs="Arial"/>
          <w:color w:val="000000" w:themeColor="text1"/>
        </w:rPr>
      </w:pPr>
      <w:r w:rsidRPr="001709C8">
        <w:rPr>
          <w:rFonts w:ascii="Arial" w:hAnsi="Arial" w:cs="Arial"/>
          <w:color w:val="000000" w:themeColor="text1"/>
        </w:rPr>
        <w:t>Gary Watson accuses the Frankfurtian account of being ‘insufficient to the task he wants it to perform’.</w:t>
      </w:r>
      <w:r w:rsidRPr="001709C8">
        <w:rPr>
          <w:rStyle w:val="FootnoteReference"/>
          <w:rFonts w:ascii="Arial" w:hAnsi="Arial" w:cs="Arial"/>
          <w:color w:val="000000" w:themeColor="text1"/>
        </w:rPr>
        <w:footnoteReference w:id="40"/>
      </w:r>
      <w:r w:rsidRPr="001709C8">
        <w:rPr>
          <w:rFonts w:ascii="Arial" w:hAnsi="Arial" w:cs="Arial"/>
          <w:color w:val="000000" w:themeColor="text1"/>
        </w:rPr>
        <w:t xml:space="preserve"> In seeking to give an account of how an agent can have two competing desires, Frankfurt attempts to show us how we can alienate some desires and make others more truly our own (despite these desires, in some sense, are part of us and belong to us in some way). </w:t>
      </w:r>
      <w:r w:rsidR="006D2699" w:rsidRPr="001709C8">
        <w:rPr>
          <w:rFonts w:ascii="Arial" w:hAnsi="Arial" w:cs="Arial"/>
          <w:color w:val="000000" w:themeColor="text1"/>
        </w:rPr>
        <w:t>Watson proposes that we alter the Frankfurtian account of freedom of the will to include his analysis of value in the scope of identification with first-order desires.</w:t>
      </w:r>
      <w:r w:rsidR="00F518FC">
        <w:rPr>
          <w:rStyle w:val="FootnoteReference"/>
          <w:rFonts w:ascii="Arial" w:hAnsi="Arial" w:cs="Arial"/>
          <w:color w:val="000000" w:themeColor="text1"/>
        </w:rPr>
        <w:footnoteReference w:id="41"/>
      </w:r>
      <w:r w:rsidR="006D2699" w:rsidRPr="001709C8">
        <w:rPr>
          <w:rFonts w:ascii="Arial" w:hAnsi="Arial" w:cs="Arial"/>
          <w:color w:val="000000" w:themeColor="text1"/>
        </w:rPr>
        <w:t xml:space="preserve"> Watson begins his argument by outlining what he hopes to achieve, namely a ‘distinction between wanting and valuing’.</w:t>
      </w:r>
      <w:r w:rsidR="006D2699" w:rsidRPr="001709C8">
        <w:rPr>
          <w:rStyle w:val="FootnoteReference"/>
          <w:rFonts w:ascii="Arial" w:hAnsi="Arial" w:cs="Arial"/>
          <w:color w:val="000000" w:themeColor="text1"/>
        </w:rPr>
        <w:footnoteReference w:id="42"/>
      </w:r>
      <w:r w:rsidR="006D2699" w:rsidRPr="001709C8">
        <w:rPr>
          <w:rFonts w:ascii="Arial" w:hAnsi="Arial" w:cs="Arial"/>
          <w:color w:val="000000" w:themeColor="text1"/>
        </w:rPr>
        <w:t xml:space="preserve"> Because of this distinction, the hierarchical theory of freedom can deal with problems of unfree action; when a person is unable to get ‘what he most wants, </w:t>
      </w:r>
      <w:r w:rsidR="006D2699" w:rsidRPr="001709C8">
        <w:rPr>
          <w:rFonts w:ascii="Arial" w:hAnsi="Arial" w:cs="Arial"/>
          <w:i/>
          <w:color w:val="000000" w:themeColor="text1"/>
        </w:rPr>
        <w:t>or values’</w:t>
      </w:r>
      <w:r w:rsidR="006D2699" w:rsidRPr="001709C8">
        <w:rPr>
          <w:rFonts w:ascii="Arial" w:hAnsi="Arial" w:cs="Arial"/>
          <w:color w:val="000000" w:themeColor="text1"/>
        </w:rPr>
        <w:t>, and when this inability is because of the person’s ‘motivational system’</w:t>
      </w:r>
      <w:r w:rsidR="006D2699" w:rsidRPr="001709C8">
        <w:rPr>
          <w:rStyle w:val="FootnoteReference"/>
          <w:rFonts w:ascii="Arial" w:hAnsi="Arial" w:cs="Arial"/>
          <w:color w:val="000000" w:themeColor="text1"/>
        </w:rPr>
        <w:footnoteReference w:id="43"/>
      </w:r>
      <w:r w:rsidR="006D2699" w:rsidRPr="001709C8">
        <w:rPr>
          <w:rFonts w:ascii="Arial" w:hAnsi="Arial" w:cs="Arial"/>
          <w:color w:val="000000" w:themeColor="text1"/>
        </w:rPr>
        <w:t xml:space="preserve"> solutions to problems associated with free will become more apparent. Beginning with a comparison between Humean and Platonic reason, Watson draws upon the Platonic conception of reason as providing motivation for an action, as opposed to the colder and more calculating Humean conception that deals with ‘deliberation’</w:t>
      </w:r>
      <w:r w:rsidR="006D2699" w:rsidRPr="001709C8">
        <w:rPr>
          <w:rStyle w:val="FootnoteReference"/>
          <w:rFonts w:ascii="Arial" w:hAnsi="Arial" w:cs="Arial"/>
          <w:color w:val="000000" w:themeColor="text1"/>
        </w:rPr>
        <w:footnoteReference w:id="44"/>
      </w:r>
      <w:r w:rsidR="006D2699" w:rsidRPr="001709C8">
        <w:rPr>
          <w:rFonts w:ascii="Arial" w:hAnsi="Arial" w:cs="Arial"/>
          <w:color w:val="000000" w:themeColor="text1"/>
        </w:rPr>
        <w:t xml:space="preserve"> between values which concern themselves in turn with desires. This contrast between the Humean and Platonic conceptions of value serve to illustrate for Watson that the good, and therefore what we judge good by valuing, is not entirely synonymous with what we desire. </w:t>
      </w:r>
      <w:r w:rsidR="006D2699" w:rsidRPr="001709C8">
        <w:rPr>
          <w:rFonts w:ascii="Arial" w:hAnsi="Arial" w:cs="Arial"/>
          <w:color w:val="000000" w:themeColor="text1"/>
        </w:rPr>
        <w:lastRenderedPageBreak/>
        <w:t>Our objects of value and our objects of desire may vary quite greatly. Watson analyses the statement that we might make “what one most wants” to have two different meanings when interpreted under the Platonic schema; on the one hand it may mean the ‘object of the strongest desire’, or on the other hand ‘what one most values’.</w:t>
      </w:r>
      <w:r w:rsidR="006D2699" w:rsidRPr="001709C8">
        <w:rPr>
          <w:rStyle w:val="FootnoteReference"/>
          <w:rFonts w:ascii="Arial" w:hAnsi="Arial" w:cs="Arial"/>
          <w:color w:val="000000" w:themeColor="text1"/>
        </w:rPr>
        <w:footnoteReference w:id="45"/>
      </w:r>
      <w:r w:rsidR="006D2699" w:rsidRPr="001709C8">
        <w:rPr>
          <w:rFonts w:ascii="Arial" w:hAnsi="Arial" w:cs="Arial"/>
          <w:color w:val="000000" w:themeColor="text1"/>
        </w:rPr>
        <w:t xml:space="preserve"> Reading statements of the nature “what one most wants” in these two ways serves to highlight what one most values and what one most desires can be different, and indeed, competing things; ‘what one desires might not be what one most values, and what one most values may not be what one is finally moved to get’.</w:t>
      </w:r>
      <w:r w:rsidR="006D2699" w:rsidRPr="001709C8">
        <w:rPr>
          <w:rStyle w:val="FootnoteReference"/>
          <w:rFonts w:ascii="Arial" w:hAnsi="Arial" w:cs="Arial"/>
          <w:color w:val="000000" w:themeColor="text1"/>
        </w:rPr>
        <w:footnoteReference w:id="46"/>
      </w:r>
      <w:r w:rsidR="006D2699" w:rsidRPr="001709C8">
        <w:rPr>
          <w:rFonts w:ascii="Arial" w:hAnsi="Arial" w:cs="Arial"/>
          <w:color w:val="000000" w:themeColor="text1"/>
        </w:rPr>
        <w:t xml:space="preserve"> </w:t>
      </w:r>
    </w:p>
    <w:p w:rsidR="006D2699" w:rsidRPr="001709C8" w:rsidRDefault="006D2699" w:rsidP="006D2699">
      <w:pPr>
        <w:spacing w:line="480" w:lineRule="auto"/>
        <w:ind w:firstLine="720"/>
        <w:jc w:val="both"/>
        <w:rPr>
          <w:rFonts w:ascii="Arial" w:hAnsi="Arial" w:cs="Arial"/>
          <w:color w:val="000000" w:themeColor="text1"/>
        </w:rPr>
      </w:pPr>
      <w:r w:rsidRPr="001709C8">
        <w:rPr>
          <w:rFonts w:ascii="Arial" w:hAnsi="Arial" w:cs="Arial"/>
          <w:color w:val="000000" w:themeColor="text1"/>
        </w:rPr>
        <w:t xml:space="preserve">Watson furnishes this account with two examples that are relatively similar to one another. The first cited considers a woman who has a sudden urge to kill her child. The second case cited considers a sportsman, who in his defeat has an urge to physically assault the opponent who has bested him. In both of these cases Watson claims that both would see no value in the actions that they have a desire to perform. Nonetheless, both can still make the claim that the urge to kill ones’ child and the urge to physically assault the person who has bested you at a sporting competition are what they respectively desire. When I consider this in the scope of quitting smoking, it is true that I desire to quench the cravings to some extent, and it is also true that I see no real value in quenching the desire to smoke by smoking. Whether the desire to smoke is effective in action or not, what remains clear is that valuing, or judging good, although linked to desire, is not entirely synonymous with desire and can be radically different. Watson separates the emotions and desires that cause inner turmoil from the evaluation system, </w:t>
      </w:r>
      <w:r w:rsidRPr="001709C8">
        <w:rPr>
          <w:rFonts w:ascii="Arial" w:hAnsi="Arial" w:cs="Arial"/>
          <w:color w:val="000000" w:themeColor="text1"/>
        </w:rPr>
        <w:lastRenderedPageBreak/>
        <w:t>resulting in a conceptual gap between ‘practical judgments’</w:t>
      </w:r>
      <w:r w:rsidRPr="001709C8">
        <w:rPr>
          <w:rStyle w:val="FootnoteReference"/>
          <w:rFonts w:ascii="Arial" w:hAnsi="Arial" w:cs="Arial"/>
          <w:color w:val="000000" w:themeColor="text1"/>
        </w:rPr>
        <w:footnoteReference w:id="47"/>
      </w:r>
      <w:r w:rsidRPr="001709C8">
        <w:rPr>
          <w:rFonts w:ascii="Arial" w:hAnsi="Arial" w:cs="Arial"/>
          <w:color w:val="000000" w:themeColor="text1"/>
        </w:rPr>
        <w:t xml:space="preserve"> that are connected with second-order volitions, and evaluations, which are ‘more prior and of the first-order’.</w:t>
      </w:r>
      <w:r w:rsidRPr="001709C8">
        <w:rPr>
          <w:rStyle w:val="FootnoteReference"/>
          <w:rFonts w:ascii="Arial" w:hAnsi="Arial" w:cs="Arial"/>
          <w:color w:val="000000" w:themeColor="text1"/>
        </w:rPr>
        <w:footnoteReference w:id="48"/>
      </w:r>
    </w:p>
    <w:p w:rsidR="006D2699" w:rsidRPr="001709C8" w:rsidRDefault="006D2699" w:rsidP="006D2699">
      <w:pPr>
        <w:spacing w:line="480" w:lineRule="auto"/>
        <w:ind w:firstLine="720"/>
        <w:jc w:val="both"/>
        <w:rPr>
          <w:rFonts w:ascii="Arial" w:hAnsi="Arial" w:cs="Arial"/>
          <w:color w:val="000000" w:themeColor="text1"/>
        </w:rPr>
      </w:pPr>
      <w:r w:rsidRPr="001709C8">
        <w:rPr>
          <w:rFonts w:ascii="Arial" w:hAnsi="Arial" w:cs="Arial"/>
          <w:color w:val="000000" w:themeColor="text1"/>
        </w:rPr>
        <w:t xml:space="preserve">By reformulating Frankfurt’s theory from freedom residing in forming first-order desires and second-order volitions being the wellspring of freedom into the </w:t>
      </w:r>
      <w:r w:rsidR="00006FDB">
        <w:rPr>
          <w:rFonts w:ascii="Arial" w:hAnsi="Arial" w:cs="Arial"/>
          <w:color w:val="000000" w:themeColor="text1"/>
        </w:rPr>
        <w:t>ability to align an agent’s</w:t>
      </w:r>
      <w:r w:rsidRPr="001709C8">
        <w:rPr>
          <w:rFonts w:ascii="Arial" w:hAnsi="Arial" w:cs="Arial"/>
          <w:color w:val="000000" w:themeColor="text1"/>
        </w:rPr>
        <w:t xml:space="preserve"> desires and values, Watson answers some of the concerns raised by Frankfurt’s </w:t>
      </w:r>
      <w:r w:rsidR="00006FDB">
        <w:rPr>
          <w:rFonts w:ascii="Arial" w:hAnsi="Arial" w:cs="Arial"/>
          <w:color w:val="000000" w:themeColor="text1"/>
        </w:rPr>
        <w:t xml:space="preserve">account by superseding desires with values. Superseding desires with values in this way gives us a mechanism with which we can answer some of the questions we may have about the nature of identifying and alienating our desires. This is a normative picture of freedom, the freedom to live a good life. The next section will look at Susan Wolf’s criticism of Watson and Frankfurt’s position, offering a fuller normative account of freedom for the compatibilist. </w:t>
      </w:r>
    </w:p>
    <w:p w:rsidR="000C64B0" w:rsidRPr="001709C8" w:rsidRDefault="000C64B0" w:rsidP="000C64B0">
      <w:pPr>
        <w:spacing w:line="480" w:lineRule="auto"/>
        <w:jc w:val="both"/>
        <w:rPr>
          <w:rFonts w:ascii="Arial" w:hAnsi="Arial" w:cs="Arial"/>
          <w:color w:val="000000" w:themeColor="text1"/>
        </w:rPr>
      </w:pPr>
    </w:p>
    <w:p w:rsidR="000C64B0" w:rsidRPr="001709C8" w:rsidRDefault="000C64B0" w:rsidP="000C64B0">
      <w:pPr>
        <w:spacing w:line="480" w:lineRule="auto"/>
        <w:jc w:val="both"/>
        <w:rPr>
          <w:rFonts w:ascii="Arial" w:hAnsi="Arial" w:cs="Arial"/>
          <w:color w:val="000000" w:themeColor="text1"/>
        </w:rPr>
      </w:pPr>
    </w:p>
    <w:p w:rsidR="00771F74" w:rsidRDefault="00771F74">
      <w:pPr>
        <w:rPr>
          <w:rFonts w:ascii="Arial" w:eastAsiaTheme="majorEastAsia" w:hAnsi="Arial" w:cs="Arial"/>
          <w:color w:val="2F5496" w:themeColor="accent1" w:themeShade="BF"/>
          <w:sz w:val="32"/>
          <w:szCs w:val="32"/>
        </w:rPr>
      </w:pPr>
      <w:r>
        <w:rPr>
          <w:rFonts w:ascii="Arial" w:hAnsi="Arial" w:cs="Arial"/>
        </w:rPr>
        <w:br w:type="page"/>
      </w:r>
    </w:p>
    <w:p w:rsidR="000C64B0" w:rsidRPr="003A5C59" w:rsidRDefault="003420D1" w:rsidP="00006FDB">
      <w:pPr>
        <w:pStyle w:val="Heading1"/>
        <w:rPr>
          <w:rFonts w:ascii="Arial" w:hAnsi="Arial" w:cs="Arial"/>
        </w:rPr>
      </w:pPr>
      <w:bookmarkStart w:id="4" w:name="_Toc515445727"/>
      <w:r>
        <w:rPr>
          <w:rFonts w:ascii="Arial" w:hAnsi="Arial" w:cs="Arial"/>
        </w:rPr>
        <w:lastRenderedPageBreak/>
        <w:t>Deep</w:t>
      </w:r>
      <w:r w:rsidR="00CD2702">
        <w:rPr>
          <w:rFonts w:ascii="Arial" w:hAnsi="Arial" w:cs="Arial"/>
        </w:rPr>
        <w:t>est Selves</w:t>
      </w:r>
      <w:bookmarkEnd w:id="4"/>
    </w:p>
    <w:p w:rsidR="00006FDB" w:rsidRDefault="00006FDB" w:rsidP="00006FDB"/>
    <w:p w:rsidR="00006FDB" w:rsidRPr="00006FDB" w:rsidRDefault="00006FDB" w:rsidP="00006FDB"/>
    <w:p w:rsidR="006D2699" w:rsidRPr="001709C8" w:rsidRDefault="006D2699" w:rsidP="000C64B0">
      <w:pPr>
        <w:spacing w:line="480" w:lineRule="auto"/>
        <w:jc w:val="both"/>
        <w:rPr>
          <w:rFonts w:ascii="Arial" w:hAnsi="Arial" w:cs="Arial"/>
          <w:color w:val="000000" w:themeColor="text1"/>
        </w:rPr>
      </w:pPr>
      <w:r w:rsidRPr="001709C8">
        <w:rPr>
          <w:rFonts w:ascii="Arial" w:hAnsi="Arial" w:cs="Arial"/>
          <w:color w:val="000000" w:themeColor="text1"/>
        </w:rPr>
        <w:t>Susan Wolf highlights an important consistency between the hierarchical account of desire offered by Frankfurt, and Watson’s reworking of a Frankfurtian account that allows for values to differ from desires. Wolf argues that both accounts can be considered as a ‘deep-self view’.</w:t>
      </w:r>
      <w:r w:rsidRPr="001709C8">
        <w:rPr>
          <w:rStyle w:val="FootnoteReference"/>
          <w:rFonts w:ascii="Arial" w:hAnsi="Arial" w:cs="Arial"/>
          <w:color w:val="000000" w:themeColor="text1"/>
        </w:rPr>
        <w:footnoteReference w:id="49"/>
      </w:r>
      <w:r w:rsidRPr="001709C8">
        <w:rPr>
          <w:rFonts w:ascii="Arial" w:hAnsi="Arial" w:cs="Arial"/>
          <w:color w:val="000000" w:themeColor="text1"/>
        </w:rPr>
        <w:t xml:space="preserve"> What is complicit between the accounts of Frankfurt and Watson is the salient argument contained within both texts. Both offer an interpretation that Wolf and myself hold central to both Watson’s and Frankfurt’s accounts, the interpretation that at the centre of both thesis is the ability for critical self-authorship; as Wolf put is, in both accounts one must be ‘responsible for the self that that performs these actions’.</w:t>
      </w:r>
      <w:r w:rsidRPr="001709C8">
        <w:rPr>
          <w:rStyle w:val="FootnoteReference"/>
          <w:rFonts w:ascii="Arial" w:hAnsi="Arial" w:cs="Arial"/>
          <w:color w:val="000000" w:themeColor="text1"/>
        </w:rPr>
        <w:footnoteReference w:id="50"/>
      </w:r>
      <w:r w:rsidRPr="001709C8">
        <w:rPr>
          <w:rFonts w:ascii="Arial" w:hAnsi="Arial" w:cs="Arial"/>
          <w:color w:val="000000" w:themeColor="text1"/>
        </w:rPr>
        <w:t xml:space="preserve"> In both of the accounts offered so far, Wolf takes it that both arguments present the idea that the key to being responsible for actions is not that our actions are governed by their wills, but that their wills are ‘within control of their </w:t>
      </w:r>
      <w:r w:rsidRPr="001709C8">
        <w:rPr>
          <w:rFonts w:ascii="Arial" w:hAnsi="Arial" w:cs="Arial"/>
          <w:i/>
          <w:color w:val="000000" w:themeColor="text1"/>
        </w:rPr>
        <w:t>selves</w:t>
      </w:r>
      <w:r w:rsidRPr="001709C8">
        <w:rPr>
          <w:rFonts w:ascii="Arial" w:hAnsi="Arial" w:cs="Arial"/>
          <w:color w:val="000000" w:themeColor="text1"/>
        </w:rPr>
        <w:t xml:space="preserve"> in some deeper sense’.</w:t>
      </w:r>
      <w:r w:rsidRPr="001709C8">
        <w:rPr>
          <w:rStyle w:val="FootnoteReference"/>
          <w:rFonts w:ascii="Arial" w:hAnsi="Arial" w:cs="Arial"/>
          <w:color w:val="000000" w:themeColor="text1"/>
        </w:rPr>
        <w:footnoteReference w:id="51"/>
      </w:r>
      <w:r w:rsidRPr="001709C8">
        <w:rPr>
          <w:rFonts w:ascii="Arial" w:hAnsi="Arial" w:cs="Arial"/>
          <w:color w:val="000000" w:themeColor="text1"/>
        </w:rPr>
        <w:t xml:space="preserve"> For Frankfurt, it is the deeper-self that the volitions of the second-order stem from; for Watson, it is the set of values that we give to actions that must govern our wills. </w:t>
      </w:r>
    </w:p>
    <w:p w:rsidR="00232A82" w:rsidRPr="001709C8" w:rsidRDefault="006D2699" w:rsidP="000C64B0">
      <w:pPr>
        <w:spacing w:line="480" w:lineRule="auto"/>
        <w:jc w:val="both"/>
        <w:rPr>
          <w:rFonts w:ascii="Arial" w:hAnsi="Arial" w:cs="Arial"/>
          <w:color w:val="000000" w:themeColor="text1"/>
        </w:rPr>
      </w:pPr>
      <w:r w:rsidRPr="001709C8">
        <w:rPr>
          <w:rFonts w:ascii="Arial" w:hAnsi="Arial" w:cs="Arial"/>
          <w:color w:val="000000" w:themeColor="text1"/>
        </w:rPr>
        <w:tab/>
        <w:t>Wolf develops her analysis of what she terms the deep-self view further, first by exto</w:t>
      </w:r>
      <w:r w:rsidR="00D61D32">
        <w:rPr>
          <w:rFonts w:ascii="Arial" w:hAnsi="Arial" w:cs="Arial"/>
          <w:color w:val="000000" w:themeColor="text1"/>
        </w:rPr>
        <w:t>l</w:t>
      </w:r>
      <w:r w:rsidRPr="001709C8">
        <w:rPr>
          <w:rFonts w:ascii="Arial" w:hAnsi="Arial" w:cs="Arial"/>
          <w:color w:val="000000" w:themeColor="text1"/>
        </w:rPr>
        <w:t>ling its virtues. Firstly, the deep-self view shares with the Frankfurtian style theories the ability to give us explanations for our ‘pretheoretical intuitions’</w:t>
      </w:r>
      <w:r w:rsidRPr="001709C8">
        <w:rPr>
          <w:rStyle w:val="FootnoteReference"/>
          <w:rFonts w:ascii="Arial" w:hAnsi="Arial" w:cs="Arial"/>
          <w:color w:val="000000" w:themeColor="text1"/>
        </w:rPr>
        <w:footnoteReference w:id="52"/>
      </w:r>
      <w:r w:rsidRPr="001709C8">
        <w:rPr>
          <w:rFonts w:ascii="Arial" w:hAnsi="Arial" w:cs="Arial"/>
          <w:color w:val="000000" w:themeColor="text1"/>
        </w:rPr>
        <w:t xml:space="preserve"> about who we hold responsible for their actions. Wolf mentions that ‘kleptomaniacs and victims of hypnosis’</w:t>
      </w:r>
      <w:r w:rsidRPr="001709C8">
        <w:rPr>
          <w:rStyle w:val="FootnoteReference"/>
          <w:rFonts w:ascii="Arial" w:hAnsi="Arial" w:cs="Arial"/>
          <w:color w:val="000000" w:themeColor="text1"/>
        </w:rPr>
        <w:footnoteReference w:id="53"/>
      </w:r>
      <w:r w:rsidRPr="001709C8">
        <w:rPr>
          <w:rFonts w:ascii="Arial" w:hAnsi="Arial" w:cs="Arial"/>
          <w:color w:val="000000" w:themeColor="text1"/>
        </w:rPr>
        <w:t xml:space="preserve"> are ‘</w:t>
      </w:r>
      <w:r w:rsidRPr="001709C8">
        <w:rPr>
          <w:rFonts w:ascii="Arial" w:hAnsi="Arial" w:cs="Arial"/>
          <w:i/>
          <w:color w:val="000000" w:themeColor="text1"/>
        </w:rPr>
        <w:t>alienated’</w:t>
      </w:r>
      <w:r w:rsidRPr="001709C8">
        <w:rPr>
          <w:rStyle w:val="FootnoteReference"/>
          <w:rFonts w:ascii="Arial" w:hAnsi="Arial" w:cs="Arial"/>
          <w:i/>
          <w:color w:val="000000" w:themeColor="text1"/>
        </w:rPr>
        <w:footnoteReference w:id="54"/>
      </w:r>
      <w:r w:rsidRPr="001709C8">
        <w:rPr>
          <w:rFonts w:ascii="Arial" w:hAnsi="Arial" w:cs="Arial"/>
          <w:i/>
          <w:color w:val="000000" w:themeColor="text1"/>
        </w:rPr>
        <w:t xml:space="preserve"> </w:t>
      </w:r>
      <w:r w:rsidRPr="001709C8">
        <w:rPr>
          <w:rFonts w:ascii="Arial" w:hAnsi="Arial" w:cs="Arial"/>
          <w:color w:val="000000" w:themeColor="text1"/>
        </w:rPr>
        <w:t>from their deeper-</w:t>
      </w:r>
      <w:r w:rsidRPr="001709C8">
        <w:rPr>
          <w:rFonts w:ascii="Arial" w:hAnsi="Arial" w:cs="Arial"/>
          <w:color w:val="000000" w:themeColor="text1"/>
        </w:rPr>
        <w:lastRenderedPageBreak/>
        <w:t xml:space="preserve">selves. Animals, very young infants, and machines do not possess this deeper-self. Alienating the deeper-self, or indeed, lacking a deeper self altogether would constitute what we would consider constraint on free-will. Frankfurt’s wanton would lack this deep-self, there would be merely the appearance of a superficial self. If the wanton was only behaving wantonly with respect to certain desires and not others, then we could make the assumption that Wolf’s analysis of Frankfurt’s wanton with respect to wanton behaviour towards certain desires would entail that the desire is being alienated from the deep-self of the agent. To use my example of my attempts at quitting smoking, the desire to smoke does not form or come from my deep-self. This desire is seen as alien to my deep self, and I distance myself from it, both in the way that I speak about that desire and how that desire stands in relation to myself and the identity that I wish to have. When I do not smoke, I refer to myself as a non-smoker, and when I smoke reluctantly to satisfy cravings that I perceive to be alien from myself, I do so reluctantly, saying “I don’t really smoke”, as analytically puzzling as this statement may seem. </w:t>
      </w:r>
    </w:p>
    <w:p w:rsidR="00232A82" w:rsidRPr="001709C8" w:rsidRDefault="00232A82" w:rsidP="000C64B0">
      <w:pPr>
        <w:spacing w:line="480" w:lineRule="auto"/>
        <w:jc w:val="both"/>
        <w:rPr>
          <w:rFonts w:ascii="Arial" w:hAnsi="Arial" w:cs="Arial"/>
          <w:color w:val="000000" w:themeColor="text1"/>
        </w:rPr>
      </w:pPr>
      <w:r w:rsidRPr="001709C8">
        <w:rPr>
          <w:rFonts w:ascii="Arial" w:hAnsi="Arial" w:cs="Arial"/>
          <w:color w:val="000000" w:themeColor="text1"/>
        </w:rPr>
        <w:tab/>
        <w:t xml:space="preserve">Wolf notes that here is no theoretical limit to the deeper-self. Indeed, the deep-self reading of Frankfurt’s hierarchical system of desires gives rise to the same conundrum as the </w:t>
      </w:r>
      <w:r w:rsidRPr="001709C8">
        <w:rPr>
          <w:rFonts w:ascii="Arial" w:hAnsi="Arial" w:cs="Arial"/>
          <w:i/>
          <w:color w:val="000000" w:themeColor="text1"/>
        </w:rPr>
        <w:t>n</w:t>
      </w:r>
      <w:r w:rsidRPr="001709C8">
        <w:rPr>
          <w:rFonts w:ascii="Arial" w:hAnsi="Arial" w:cs="Arial"/>
          <w:color w:val="000000" w:themeColor="text1"/>
          <w:vertAlign w:val="superscript"/>
        </w:rPr>
        <w:t>th</w:t>
      </w:r>
      <w:r w:rsidRPr="001709C8">
        <w:rPr>
          <w:rFonts w:ascii="Arial" w:hAnsi="Arial" w:cs="Arial"/>
          <w:color w:val="000000" w:themeColor="text1"/>
        </w:rPr>
        <w:t>-order desires. There may be an appeal made to a deeper-self than the deep-self, and so on and so forth. The only practical limit to the number of layers of self that could be called upon is a psychological fatigue.</w:t>
      </w:r>
      <w:r w:rsidRPr="001709C8">
        <w:rPr>
          <w:rStyle w:val="FootnoteReference"/>
          <w:rFonts w:ascii="Arial" w:hAnsi="Arial" w:cs="Arial"/>
          <w:color w:val="000000" w:themeColor="text1"/>
        </w:rPr>
        <w:footnoteReference w:id="55"/>
      </w:r>
      <w:r w:rsidRPr="001709C8">
        <w:rPr>
          <w:rFonts w:ascii="Arial" w:hAnsi="Arial" w:cs="Arial"/>
          <w:color w:val="000000" w:themeColor="text1"/>
        </w:rPr>
        <w:t xml:space="preserve"> Forming third-order or even fourth-order desires, or appealing to </w:t>
      </w:r>
      <w:r w:rsidRPr="001709C8">
        <w:rPr>
          <w:rFonts w:ascii="Arial" w:hAnsi="Arial" w:cs="Arial"/>
          <w:i/>
          <w:color w:val="000000" w:themeColor="text1"/>
        </w:rPr>
        <w:t>n</w:t>
      </w:r>
      <w:r w:rsidRPr="001709C8">
        <w:rPr>
          <w:rFonts w:ascii="Arial" w:hAnsi="Arial" w:cs="Arial"/>
          <w:color w:val="000000" w:themeColor="text1"/>
          <w:vertAlign w:val="superscript"/>
        </w:rPr>
        <w:t>th</w:t>
      </w:r>
      <w:r w:rsidRPr="001709C8">
        <w:rPr>
          <w:rFonts w:ascii="Arial" w:hAnsi="Arial" w:cs="Arial"/>
          <w:color w:val="000000" w:themeColor="text1"/>
        </w:rPr>
        <w:t xml:space="preserve"> order deep-selves, although logically infinite, must have some sort of finite ending; not doing so would be super-human, or a mark of insanity. Further still, if we trace back this deep-self and through deeper-selves still, we will come to a point that this </w:t>
      </w:r>
      <w:r w:rsidRPr="001709C8">
        <w:rPr>
          <w:rFonts w:ascii="Arial" w:hAnsi="Arial" w:cs="Arial"/>
          <w:color w:val="000000" w:themeColor="text1"/>
        </w:rPr>
        <w:lastRenderedPageBreak/>
        <w:t xml:space="preserve">deepest-self, should determinism hold true, that this deepest-self is a by-product of causes external to itself.  </w:t>
      </w:r>
      <w:r w:rsidR="001709C8">
        <w:rPr>
          <w:rFonts w:ascii="Arial" w:hAnsi="Arial" w:cs="Arial"/>
          <w:color w:val="000000" w:themeColor="text1"/>
        </w:rPr>
        <w:t>The deepest-</w:t>
      </w:r>
      <w:r w:rsidRPr="001709C8">
        <w:rPr>
          <w:rFonts w:ascii="Arial" w:hAnsi="Arial" w:cs="Arial"/>
          <w:color w:val="000000" w:themeColor="text1"/>
        </w:rPr>
        <w:t>self would not be a cause unto itself, it would just be ‘intermediate links in a causal chain’.</w:t>
      </w:r>
      <w:r w:rsidRPr="001709C8">
        <w:rPr>
          <w:rStyle w:val="FootnoteReference"/>
          <w:rFonts w:ascii="Arial" w:hAnsi="Arial" w:cs="Arial"/>
          <w:color w:val="000000" w:themeColor="text1"/>
        </w:rPr>
        <w:footnoteReference w:id="56"/>
      </w:r>
      <w:r w:rsidRPr="001709C8">
        <w:rPr>
          <w:rFonts w:ascii="Arial" w:hAnsi="Arial" w:cs="Arial"/>
          <w:color w:val="000000" w:themeColor="text1"/>
        </w:rPr>
        <w:t xml:space="preserve"> If determinism does not hold true, Wolf still remains dubious about the deepest-self having ultimate responsibility for the agent’s actions. The deepest-self must, in order to be the loci of responsibility, exist as a ‘prime mover unmoved’,</w:t>
      </w:r>
      <w:r w:rsidRPr="001709C8">
        <w:rPr>
          <w:rStyle w:val="FootnoteReference"/>
          <w:rFonts w:ascii="Arial" w:hAnsi="Arial" w:cs="Arial"/>
          <w:color w:val="000000" w:themeColor="text1"/>
        </w:rPr>
        <w:footnoteReference w:id="57"/>
      </w:r>
      <w:r w:rsidRPr="001709C8">
        <w:rPr>
          <w:rFonts w:ascii="Arial" w:hAnsi="Arial" w:cs="Arial"/>
          <w:color w:val="000000" w:themeColor="text1"/>
        </w:rPr>
        <w:t xml:space="preserve"> it is ‘determined </w:t>
      </w:r>
      <w:r w:rsidRPr="001709C8">
        <w:rPr>
          <w:rFonts w:ascii="Arial" w:hAnsi="Arial" w:cs="Arial"/>
          <w:i/>
          <w:color w:val="000000" w:themeColor="text1"/>
        </w:rPr>
        <w:t xml:space="preserve">by </w:t>
      </w:r>
      <w:r w:rsidRPr="001709C8">
        <w:rPr>
          <w:rFonts w:ascii="Arial" w:hAnsi="Arial" w:cs="Arial"/>
          <w:color w:val="000000" w:themeColor="text1"/>
        </w:rPr>
        <w:t>itself’.</w:t>
      </w:r>
      <w:r w:rsidRPr="001709C8">
        <w:rPr>
          <w:rStyle w:val="FootnoteReference"/>
          <w:rFonts w:ascii="Arial" w:hAnsi="Arial" w:cs="Arial"/>
          <w:color w:val="000000" w:themeColor="text1"/>
        </w:rPr>
        <w:footnoteReference w:id="58"/>
      </w:r>
      <w:r w:rsidRPr="001709C8">
        <w:rPr>
          <w:rFonts w:ascii="Arial" w:hAnsi="Arial" w:cs="Arial"/>
          <w:color w:val="000000" w:themeColor="text1"/>
        </w:rPr>
        <w:t xml:space="preserve"> The deep self is not an author of its own existence under Wolf’s reading, as Wolf puts it, ‘</w:t>
      </w:r>
      <w:r w:rsidRPr="001709C8">
        <w:rPr>
          <w:rFonts w:ascii="Arial" w:hAnsi="Arial" w:cs="Arial"/>
          <w:i/>
          <w:color w:val="000000" w:themeColor="text1"/>
        </w:rPr>
        <w:t>I</w:t>
      </w:r>
      <w:r w:rsidRPr="001709C8">
        <w:rPr>
          <w:rFonts w:ascii="Arial" w:hAnsi="Arial" w:cs="Arial"/>
          <w:color w:val="000000" w:themeColor="text1"/>
        </w:rPr>
        <w:t xml:space="preserve"> am not… responsible for my existence; I am not in control of my deepest self’, given it is the product of either carefully controlled forces or random mutations. </w:t>
      </w:r>
    </w:p>
    <w:p w:rsidR="00232A82" w:rsidRPr="001709C8" w:rsidRDefault="00232A82" w:rsidP="000C64B0">
      <w:pPr>
        <w:spacing w:line="480" w:lineRule="auto"/>
        <w:jc w:val="both"/>
        <w:rPr>
          <w:rFonts w:ascii="Arial" w:hAnsi="Arial" w:cs="Arial"/>
          <w:color w:val="000000" w:themeColor="text1"/>
        </w:rPr>
      </w:pPr>
      <w:r w:rsidRPr="001709C8">
        <w:rPr>
          <w:rFonts w:ascii="Arial" w:hAnsi="Arial" w:cs="Arial"/>
          <w:color w:val="000000" w:themeColor="text1"/>
        </w:rPr>
        <w:tab/>
        <w:t>Echoing the earlier statement that Frankfurt makes, Wolf proposes that there may be one refuge for hierarchical compatibilist accounts of freedom of the will</w:t>
      </w:r>
      <w:r w:rsidR="001709C8" w:rsidRPr="001709C8">
        <w:rPr>
          <w:rFonts w:ascii="Arial" w:hAnsi="Arial" w:cs="Arial"/>
          <w:color w:val="000000" w:themeColor="text1"/>
        </w:rPr>
        <w:t xml:space="preserve">; </w:t>
      </w:r>
      <w:r w:rsidRPr="001709C8">
        <w:rPr>
          <w:rFonts w:ascii="Arial" w:hAnsi="Arial" w:cs="Arial"/>
          <w:color w:val="000000" w:themeColor="text1"/>
        </w:rPr>
        <w:t>a person who is free to do what he or she wants to do, and also free to want what they want to want, then what more freedom could a person possibly want? Wolf suggests that there may be an answer to the seemingly rhetorical question</w:t>
      </w:r>
      <w:r w:rsidR="001709C8" w:rsidRPr="001709C8">
        <w:rPr>
          <w:rFonts w:ascii="Arial" w:hAnsi="Arial" w:cs="Arial"/>
          <w:color w:val="000000" w:themeColor="text1"/>
        </w:rPr>
        <w:t xml:space="preserve"> that Frankfurt proposes, that the deepest-self, the one that is determined by forces outside of the self, must be of a certain type of deep self; the deepest-self must be sane. </w:t>
      </w:r>
    </w:p>
    <w:p w:rsidR="001709C8" w:rsidRDefault="001709C8" w:rsidP="000C64B0">
      <w:pPr>
        <w:spacing w:line="480" w:lineRule="auto"/>
        <w:jc w:val="both"/>
        <w:rPr>
          <w:rFonts w:ascii="Arial" w:hAnsi="Arial" w:cs="Arial"/>
          <w:color w:val="000000" w:themeColor="text1"/>
        </w:rPr>
      </w:pPr>
      <w:r w:rsidRPr="001709C8">
        <w:rPr>
          <w:rFonts w:ascii="Arial" w:hAnsi="Arial" w:cs="Arial"/>
          <w:color w:val="000000" w:themeColor="text1"/>
        </w:rPr>
        <w:tab/>
        <w:t>Wolf’s analysis of th</w:t>
      </w:r>
      <w:r>
        <w:rPr>
          <w:rFonts w:ascii="Arial" w:hAnsi="Arial" w:cs="Arial"/>
          <w:color w:val="000000" w:themeColor="text1"/>
        </w:rPr>
        <w:t xml:space="preserve">e deep-self position offers the suggestion that sanity be a condition required for responsibility in addition to the deep-self being in control of the agent’s desires, and that the desires that the agent’s deep-self wants to be effective, are effective. Wolf offers us the example of </w:t>
      </w:r>
      <w:proofErr w:type="spellStart"/>
      <w:r>
        <w:rPr>
          <w:rFonts w:ascii="Arial" w:hAnsi="Arial" w:cs="Arial"/>
          <w:color w:val="000000" w:themeColor="text1"/>
        </w:rPr>
        <w:t>JoJo</w:t>
      </w:r>
      <w:proofErr w:type="spellEnd"/>
      <w:r>
        <w:rPr>
          <w:rFonts w:ascii="Arial" w:hAnsi="Arial" w:cs="Arial"/>
          <w:color w:val="000000" w:themeColor="text1"/>
        </w:rPr>
        <w:t>,</w:t>
      </w:r>
      <w:r>
        <w:rPr>
          <w:rStyle w:val="FootnoteReference"/>
          <w:rFonts w:ascii="Arial" w:hAnsi="Arial" w:cs="Arial"/>
          <w:color w:val="000000" w:themeColor="text1"/>
        </w:rPr>
        <w:footnoteReference w:id="59"/>
      </w:r>
      <w:r>
        <w:rPr>
          <w:rFonts w:ascii="Arial" w:hAnsi="Arial" w:cs="Arial"/>
          <w:color w:val="000000" w:themeColor="text1"/>
        </w:rPr>
        <w:t xml:space="preserve"> the </w:t>
      </w:r>
      <w:r>
        <w:rPr>
          <w:rFonts w:ascii="Arial" w:hAnsi="Arial" w:cs="Arial"/>
          <w:color w:val="000000" w:themeColor="text1"/>
        </w:rPr>
        <w:lastRenderedPageBreak/>
        <w:t>favorited son of a despotic ruler. The despotic ruler, Jo the 1</w:t>
      </w:r>
      <w:r w:rsidRPr="001709C8">
        <w:rPr>
          <w:rFonts w:ascii="Arial" w:hAnsi="Arial" w:cs="Arial"/>
          <w:color w:val="000000" w:themeColor="text1"/>
          <w:vertAlign w:val="superscript"/>
        </w:rPr>
        <w:t>st</w:t>
      </w:r>
      <w:r>
        <w:rPr>
          <w:rFonts w:ascii="Arial" w:hAnsi="Arial" w:cs="Arial"/>
          <w:color w:val="000000" w:themeColor="text1"/>
        </w:rPr>
        <w:t xml:space="preserve">, gives </w:t>
      </w:r>
      <w:proofErr w:type="spellStart"/>
      <w:r>
        <w:rPr>
          <w:rFonts w:ascii="Arial" w:hAnsi="Arial" w:cs="Arial"/>
          <w:color w:val="000000" w:themeColor="text1"/>
        </w:rPr>
        <w:t>JoJo</w:t>
      </w:r>
      <w:proofErr w:type="spellEnd"/>
      <w:r>
        <w:rPr>
          <w:rFonts w:ascii="Arial" w:hAnsi="Arial" w:cs="Arial"/>
          <w:color w:val="000000" w:themeColor="text1"/>
        </w:rPr>
        <w:t xml:space="preserve"> a ‘special education’,</w:t>
      </w:r>
      <w:r>
        <w:rPr>
          <w:rStyle w:val="FootnoteReference"/>
          <w:rFonts w:ascii="Arial" w:hAnsi="Arial" w:cs="Arial"/>
          <w:color w:val="000000" w:themeColor="text1"/>
        </w:rPr>
        <w:footnoteReference w:id="60"/>
      </w:r>
      <w:r>
        <w:rPr>
          <w:rFonts w:ascii="Arial" w:hAnsi="Arial" w:cs="Arial"/>
          <w:color w:val="000000" w:themeColor="text1"/>
        </w:rPr>
        <w:t xml:space="preserve"> and </w:t>
      </w:r>
      <w:proofErr w:type="spellStart"/>
      <w:r>
        <w:rPr>
          <w:rFonts w:ascii="Arial" w:hAnsi="Arial" w:cs="Arial"/>
          <w:color w:val="000000" w:themeColor="text1"/>
        </w:rPr>
        <w:t>JoJo</w:t>
      </w:r>
      <w:proofErr w:type="spellEnd"/>
      <w:r>
        <w:rPr>
          <w:rFonts w:ascii="Arial" w:hAnsi="Arial" w:cs="Arial"/>
          <w:color w:val="000000" w:themeColor="text1"/>
        </w:rPr>
        <w:t xml:space="preserve"> grows up watching the routine of Jo the 1</w:t>
      </w:r>
      <w:r w:rsidRPr="001709C8">
        <w:rPr>
          <w:rFonts w:ascii="Arial" w:hAnsi="Arial" w:cs="Arial"/>
          <w:color w:val="000000" w:themeColor="text1"/>
          <w:vertAlign w:val="superscript"/>
        </w:rPr>
        <w:t>st</w:t>
      </w:r>
      <w:r>
        <w:rPr>
          <w:rFonts w:ascii="Arial" w:hAnsi="Arial" w:cs="Arial"/>
          <w:color w:val="000000" w:themeColor="text1"/>
        </w:rPr>
        <w:t xml:space="preserve">. </w:t>
      </w:r>
      <w:proofErr w:type="spellStart"/>
      <w:r>
        <w:rPr>
          <w:rFonts w:ascii="Arial" w:hAnsi="Arial" w:cs="Arial"/>
          <w:color w:val="000000" w:themeColor="text1"/>
        </w:rPr>
        <w:t>JoJo</w:t>
      </w:r>
      <w:proofErr w:type="spellEnd"/>
      <w:r>
        <w:rPr>
          <w:rFonts w:ascii="Arial" w:hAnsi="Arial" w:cs="Arial"/>
          <w:color w:val="000000" w:themeColor="text1"/>
        </w:rPr>
        <w:t xml:space="preserve">, in light of his upbringing and treatment by his father, idolises his father as a role model for himself. As an adult, he behaves very much like his father, doing the same things that his father did when </w:t>
      </w:r>
      <w:proofErr w:type="spellStart"/>
      <w:r>
        <w:rPr>
          <w:rFonts w:ascii="Arial" w:hAnsi="Arial" w:cs="Arial"/>
          <w:color w:val="000000" w:themeColor="text1"/>
        </w:rPr>
        <w:t>JoJo</w:t>
      </w:r>
      <w:proofErr w:type="spellEnd"/>
      <w:r>
        <w:rPr>
          <w:rFonts w:ascii="Arial" w:hAnsi="Arial" w:cs="Arial"/>
          <w:color w:val="000000" w:themeColor="text1"/>
        </w:rPr>
        <w:t xml:space="preserve"> observed him. He does these things without coercion from anyone, and when questioned whether he is the sort of person that he wants to be, has the values that he wants and acts on the desires that please him. From this thought experiment, Wolf concludes that under the deepest-</w:t>
      </w:r>
      <w:proofErr w:type="spellStart"/>
      <w:r>
        <w:rPr>
          <w:rFonts w:ascii="Arial" w:hAnsi="Arial" w:cs="Arial"/>
          <w:color w:val="000000" w:themeColor="text1"/>
        </w:rPr>
        <w:t>self conception</w:t>
      </w:r>
      <w:proofErr w:type="spellEnd"/>
      <w:r>
        <w:rPr>
          <w:rFonts w:ascii="Arial" w:hAnsi="Arial" w:cs="Arial"/>
          <w:color w:val="000000" w:themeColor="text1"/>
        </w:rPr>
        <w:t xml:space="preserve"> of requirements for responsibility, we would have to say that </w:t>
      </w:r>
      <w:proofErr w:type="spellStart"/>
      <w:r>
        <w:rPr>
          <w:rFonts w:ascii="Arial" w:hAnsi="Arial" w:cs="Arial"/>
          <w:color w:val="000000" w:themeColor="text1"/>
        </w:rPr>
        <w:t>JoJo</w:t>
      </w:r>
      <w:proofErr w:type="spellEnd"/>
      <w:r>
        <w:rPr>
          <w:rFonts w:ascii="Arial" w:hAnsi="Arial" w:cs="Arial"/>
          <w:color w:val="000000" w:themeColor="text1"/>
        </w:rPr>
        <w:t xml:space="preserve"> acted freely. His desires are effective in action, and they are the desires that </w:t>
      </w:r>
      <w:proofErr w:type="spellStart"/>
      <w:r>
        <w:rPr>
          <w:rFonts w:ascii="Arial" w:hAnsi="Arial" w:cs="Arial"/>
          <w:color w:val="000000" w:themeColor="text1"/>
        </w:rPr>
        <w:t>JoJo</w:t>
      </w:r>
      <w:proofErr w:type="spellEnd"/>
      <w:r>
        <w:rPr>
          <w:rFonts w:ascii="Arial" w:hAnsi="Arial" w:cs="Arial"/>
          <w:color w:val="000000" w:themeColor="text1"/>
        </w:rPr>
        <w:t xml:space="preserve"> wishes are effective in action. His deepest self is satisfied by the values that his volitional desires are exemplary of. Is </w:t>
      </w:r>
      <w:proofErr w:type="spellStart"/>
      <w:r>
        <w:rPr>
          <w:rFonts w:ascii="Arial" w:hAnsi="Arial" w:cs="Arial"/>
          <w:color w:val="000000" w:themeColor="text1"/>
        </w:rPr>
        <w:t>JoJo</w:t>
      </w:r>
      <w:proofErr w:type="spellEnd"/>
      <w:r>
        <w:rPr>
          <w:rFonts w:ascii="Arial" w:hAnsi="Arial" w:cs="Arial"/>
          <w:color w:val="000000" w:themeColor="text1"/>
        </w:rPr>
        <w:t xml:space="preserve"> free then? There seems to be hesitation on the most part to answer this question affirmatively with the deepest-self view alone. Whilst the deep-self view deals with problems such as hypnotic suggestion, addiction, and brainwashing, quite well, it does not deal so well with “</w:t>
      </w:r>
      <w:proofErr w:type="spellStart"/>
      <w:r>
        <w:rPr>
          <w:rFonts w:ascii="Arial" w:hAnsi="Arial" w:cs="Arial"/>
          <w:color w:val="000000" w:themeColor="text1"/>
        </w:rPr>
        <w:t>JoJo</w:t>
      </w:r>
      <w:proofErr w:type="spellEnd"/>
      <w:r>
        <w:rPr>
          <w:rFonts w:ascii="Arial" w:hAnsi="Arial" w:cs="Arial"/>
          <w:color w:val="000000" w:themeColor="text1"/>
        </w:rPr>
        <w:t xml:space="preserve"> cases” such as the one outlined above. </w:t>
      </w:r>
    </w:p>
    <w:p w:rsidR="001709C8" w:rsidRDefault="001709C8" w:rsidP="000C64B0">
      <w:pPr>
        <w:spacing w:line="480" w:lineRule="auto"/>
        <w:jc w:val="both"/>
        <w:rPr>
          <w:rFonts w:ascii="Arial" w:hAnsi="Arial" w:cs="Arial"/>
          <w:color w:val="000000" w:themeColor="text1"/>
        </w:rPr>
      </w:pPr>
      <w:r>
        <w:rPr>
          <w:rFonts w:ascii="Arial" w:hAnsi="Arial" w:cs="Arial"/>
          <w:color w:val="000000" w:themeColor="text1"/>
        </w:rPr>
        <w:tab/>
        <w:t xml:space="preserve">In </w:t>
      </w:r>
      <w:proofErr w:type="spellStart"/>
      <w:r>
        <w:rPr>
          <w:rFonts w:ascii="Arial" w:hAnsi="Arial" w:cs="Arial"/>
          <w:color w:val="000000" w:themeColor="text1"/>
        </w:rPr>
        <w:t>JoJo’s</w:t>
      </w:r>
      <w:proofErr w:type="spellEnd"/>
      <w:r>
        <w:rPr>
          <w:rFonts w:ascii="Arial" w:hAnsi="Arial" w:cs="Arial"/>
          <w:color w:val="000000" w:themeColor="text1"/>
        </w:rPr>
        <w:t xml:space="preserve"> reflective internal analysis of his freedom, he is as free as anyone. His deep-self is firmly in control of his volitions, and he is aware of this reflectively. The external view, however, paints a different picture. The story about his upbringing frames for us the way in which </w:t>
      </w:r>
      <w:proofErr w:type="spellStart"/>
      <w:r>
        <w:rPr>
          <w:rFonts w:ascii="Arial" w:hAnsi="Arial" w:cs="Arial"/>
          <w:color w:val="000000" w:themeColor="text1"/>
        </w:rPr>
        <w:t>JoJo’s</w:t>
      </w:r>
      <w:proofErr w:type="spellEnd"/>
      <w:r>
        <w:rPr>
          <w:rFonts w:ascii="Arial" w:hAnsi="Arial" w:cs="Arial"/>
          <w:color w:val="000000" w:themeColor="text1"/>
        </w:rPr>
        <w:t xml:space="preserve"> deep self was formed; it is alleged that forces external to </w:t>
      </w:r>
      <w:proofErr w:type="spellStart"/>
      <w:r>
        <w:rPr>
          <w:rFonts w:ascii="Arial" w:hAnsi="Arial" w:cs="Arial"/>
          <w:color w:val="000000" w:themeColor="text1"/>
        </w:rPr>
        <w:t>JoJo</w:t>
      </w:r>
      <w:proofErr w:type="spellEnd"/>
      <w:r>
        <w:rPr>
          <w:rFonts w:ascii="Arial" w:hAnsi="Arial" w:cs="Arial"/>
          <w:color w:val="000000" w:themeColor="text1"/>
        </w:rPr>
        <w:t xml:space="preserve"> are responsible for forming and shaping the deep-self of the adult </w:t>
      </w:r>
      <w:proofErr w:type="spellStart"/>
      <w:r>
        <w:rPr>
          <w:rFonts w:ascii="Arial" w:hAnsi="Arial" w:cs="Arial"/>
          <w:color w:val="000000" w:themeColor="text1"/>
        </w:rPr>
        <w:t>JoJo</w:t>
      </w:r>
      <w:proofErr w:type="spellEnd"/>
      <w:r>
        <w:rPr>
          <w:rFonts w:ascii="Arial" w:hAnsi="Arial" w:cs="Arial"/>
          <w:color w:val="000000" w:themeColor="text1"/>
        </w:rPr>
        <w:t xml:space="preserve">. With the externality of these forces, responsibility for the creation of the deep-self seems to slip away somewhat, and we revoke freedom of will from </w:t>
      </w:r>
      <w:proofErr w:type="spellStart"/>
      <w:r>
        <w:rPr>
          <w:rFonts w:ascii="Arial" w:hAnsi="Arial" w:cs="Arial"/>
          <w:color w:val="000000" w:themeColor="text1"/>
        </w:rPr>
        <w:t>JoJo</w:t>
      </w:r>
      <w:proofErr w:type="spellEnd"/>
      <w:r>
        <w:rPr>
          <w:rFonts w:ascii="Arial" w:hAnsi="Arial" w:cs="Arial"/>
          <w:color w:val="000000" w:themeColor="text1"/>
        </w:rPr>
        <w:t xml:space="preserve"> due to the metaphysical worries that were mentioned </w:t>
      </w:r>
      <w:r>
        <w:rPr>
          <w:rFonts w:ascii="Arial" w:hAnsi="Arial" w:cs="Arial"/>
          <w:color w:val="000000" w:themeColor="text1"/>
        </w:rPr>
        <w:lastRenderedPageBreak/>
        <w:t xml:space="preserve">earlier; that the deep-self cannot create itself from nothing, it must be created by forces external to itself. </w:t>
      </w:r>
    </w:p>
    <w:p w:rsidR="001709C8" w:rsidRDefault="001709C8" w:rsidP="000C64B0">
      <w:pPr>
        <w:spacing w:line="480" w:lineRule="auto"/>
        <w:jc w:val="both"/>
        <w:rPr>
          <w:rFonts w:ascii="Arial" w:hAnsi="Arial" w:cs="Arial"/>
          <w:color w:val="000000" w:themeColor="text1"/>
        </w:rPr>
      </w:pPr>
      <w:r>
        <w:rPr>
          <w:rFonts w:ascii="Arial" w:hAnsi="Arial" w:cs="Arial"/>
          <w:color w:val="000000" w:themeColor="text1"/>
        </w:rPr>
        <w:tab/>
        <w:t xml:space="preserve">The case of </w:t>
      </w:r>
      <w:proofErr w:type="spellStart"/>
      <w:r>
        <w:rPr>
          <w:rFonts w:ascii="Arial" w:hAnsi="Arial" w:cs="Arial"/>
          <w:color w:val="000000" w:themeColor="text1"/>
        </w:rPr>
        <w:t>JoJo</w:t>
      </w:r>
      <w:proofErr w:type="spellEnd"/>
      <w:r>
        <w:rPr>
          <w:rFonts w:ascii="Arial" w:hAnsi="Arial" w:cs="Arial"/>
          <w:color w:val="000000" w:themeColor="text1"/>
        </w:rPr>
        <w:t xml:space="preserve"> holds within it serious concerns for our own freedom also. Just like </w:t>
      </w:r>
      <w:proofErr w:type="spellStart"/>
      <w:r>
        <w:rPr>
          <w:rFonts w:ascii="Arial" w:hAnsi="Arial" w:cs="Arial"/>
          <w:color w:val="000000" w:themeColor="text1"/>
        </w:rPr>
        <w:t>JoJo</w:t>
      </w:r>
      <w:proofErr w:type="spellEnd"/>
      <w:r>
        <w:rPr>
          <w:rFonts w:ascii="Arial" w:hAnsi="Arial" w:cs="Arial"/>
          <w:color w:val="000000" w:themeColor="text1"/>
        </w:rPr>
        <w:t xml:space="preserve">, our own deepest-selves are not self-created. They are also products of forces external to us, and as such we are just as free, or even un-free, as </w:t>
      </w:r>
      <w:proofErr w:type="spellStart"/>
      <w:r>
        <w:rPr>
          <w:rFonts w:ascii="Arial" w:hAnsi="Arial" w:cs="Arial"/>
          <w:color w:val="000000" w:themeColor="text1"/>
        </w:rPr>
        <w:t>JoJo</w:t>
      </w:r>
      <w:proofErr w:type="spellEnd"/>
      <w:r>
        <w:rPr>
          <w:rFonts w:ascii="Arial" w:hAnsi="Arial" w:cs="Arial"/>
          <w:color w:val="000000" w:themeColor="text1"/>
        </w:rPr>
        <w:t xml:space="preserve"> himself. The deep-self view requires that our selves are in control of our desires, and that these selves are controlled by the deepest-self. This, however, does not guarantee that we are responsible for our deepest-selves. Instead of postulating extra control from a metaphysically dubious source of a self-creating deep self, Wolf proposes that all we require to get the argument moving past the stalemate highlighted by </w:t>
      </w:r>
      <w:proofErr w:type="spellStart"/>
      <w:r>
        <w:rPr>
          <w:rFonts w:ascii="Arial" w:hAnsi="Arial" w:cs="Arial"/>
          <w:color w:val="000000" w:themeColor="text1"/>
        </w:rPr>
        <w:t>JoJo</w:t>
      </w:r>
      <w:proofErr w:type="spellEnd"/>
      <w:r>
        <w:rPr>
          <w:rFonts w:ascii="Arial" w:hAnsi="Arial" w:cs="Arial"/>
          <w:color w:val="000000" w:themeColor="text1"/>
        </w:rPr>
        <w:t xml:space="preserve"> cases, is to add the condition of sanity, our deepest-self must be sane. For wolf, the condition of sanity requires that the agent’s deep-self must be the product of certain forces and not others. It is helpful at this point to examine the </w:t>
      </w:r>
      <w:proofErr w:type="spellStart"/>
      <w:r>
        <w:rPr>
          <w:rFonts w:ascii="Arial" w:hAnsi="Arial" w:cs="Arial"/>
          <w:color w:val="000000" w:themeColor="text1"/>
        </w:rPr>
        <w:t>M’Naghten</w:t>
      </w:r>
      <w:proofErr w:type="spellEnd"/>
      <w:r>
        <w:rPr>
          <w:rFonts w:ascii="Arial" w:hAnsi="Arial" w:cs="Arial"/>
          <w:color w:val="000000" w:themeColor="text1"/>
        </w:rPr>
        <w:t xml:space="preserve"> rules; the stipulation of what would count as a defence of insanity in law. In order to be considered sane, the person accused of the crime must both know what they are doing and know what they are doing is wrong.</w:t>
      </w:r>
      <w:r>
        <w:rPr>
          <w:rStyle w:val="FootnoteReference"/>
          <w:rFonts w:ascii="Arial" w:hAnsi="Arial" w:cs="Arial"/>
          <w:color w:val="000000" w:themeColor="text1"/>
        </w:rPr>
        <w:footnoteReference w:id="61"/>
      </w:r>
      <w:r>
        <w:rPr>
          <w:rFonts w:ascii="Arial" w:hAnsi="Arial" w:cs="Arial"/>
          <w:color w:val="000000" w:themeColor="text1"/>
        </w:rPr>
        <w:t xml:space="preserve"> To know what one is doing, according to Wolf, is roughly the same as to say that one lives ‘in the real world’.</w:t>
      </w:r>
      <w:r>
        <w:rPr>
          <w:rStyle w:val="FootnoteReference"/>
          <w:rFonts w:ascii="Arial" w:hAnsi="Arial" w:cs="Arial"/>
          <w:color w:val="000000" w:themeColor="text1"/>
        </w:rPr>
        <w:footnoteReference w:id="62"/>
      </w:r>
      <w:r>
        <w:rPr>
          <w:rFonts w:ascii="Arial" w:hAnsi="Arial" w:cs="Arial"/>
          <w:color w:val="000000" w:themeColor="text1"/>
        </w:rPr>
        <w:t xml:space="preserve"> This is to have one’s perceptions and reasoning of the world furnish the self with an accurate conception of the world. In this vein, to know that what one is doing is right or wrong is to have one</w:t>
      </w:r>
      <w:r w:rsidR="00C42FAC">
        <w:rPr>
          <w:rFonts w:ascii="Arial" w:hAnsi="Arial" w:cs="Arial"/>
          <w:color w:val="000000" w:themeColor="text1"/>
        </w:rPr>
        <w:t>’</w:t>
      </w:r>
      <w:r>
        <w:rPr>
          <w:rFonts w:ascii="Arial" w:hAnsi="Arial" w:cs="Arial"/>
          <w:color w:val="000000" w:themeColor="text1"/>
        </w:rPr>
        <w:t xml:space="preserve">s values controlled by forces and processes that grant an accurate conception of the world. Bringing these two observations together, we are left with a very particular and specialized conception of sanity; sanity is to be </w:t>
      </w:r>
      <w:r>
        <w:rPr>
          <w:rFonts w:ascii="Arial" w:hAnsi="Arial" w:cs="Arial"/>
          <w:color w:val="000000" w:themeColor="text1"/>
        </w:rPr>
        <w:lastRenderedPageBreak/>
        <w:t>understood as ‘the minimally sufficient ability cognitively and normatively to recognise and appreciate the world for what it is’.</w:t>
      </w:r>
      <w:r>
        <w:rPr>
          <w:rStyle w:val="FootnoteReference"/>
          <w:rFonts w:ascii="Arial" w:hAnsi="Arial" w:cs="Arial"/>
          <w:color w:val="000000" w:themeColor="text1"/>
        </w:rPr>
        <w:footnoteReference w:id="63"/>
      </w:r>
      <w:r w:rsidR="00C42FAC">
        <w:rPr>
          <w:rFonts w:ascii="Arial" w:hAnsi="Arial" w:cs="Arial"/>
          <w:color w:val="000000" w:themeColor="text1"/>
        </w:rPr>
        <w:t xml:space="preserve"> The conditions that Wolf stipulates must be met in order for an agent to be considered responsible for the agents actions, the agent’s self must be in control of the actions, that self must fall in line with the deep-self, and the deep-self must be sane, that is, to be controlled by forces external to the deep-self that endow the deep-self with the ability to conceive an accurate model of the world, and the accepted values in that world. Under this definition, slave owners from the 1800’s, Germans living under Nazi rule, and indeed </w:t>
      </w:r>
      <w:proofErr w:type="spellStart"/>
      <w:r w:rsidR="00C42FAC">
        <w:rPr>
          <w:rFonts w:ascii="Arial" w:hAnsi="Arial" w:cs="Arial"/>
          <w:color w:val="000000" w:themeColor="text1"/>
        </w:rPr>
        <w:t>JoJo</w:t>
      </w:r>
      <w:proofErr w:type="spellEnd"/>
      <w:r w:rsidR="00C42FAC">
        <w:rPr>
          <w:rFonts w:ascii="Arial" w:hAnsi="Arial" w:cs="Arial"/>
          <w:color w:val="000000" w:themeColor="text1"/>
        </w:rPr>
        <w:t xml:space="preserve">, would not qualify as responsible under this proposed model. Like </w:t>
      </w:r>
      <w:proofErr w:type="spellStart"/>
      <w:r w:rsidR="00C42FAC">
        <w:rPr>
          <w:rFonts w:ascii="Arial" w:hAnsi="Arial" w:cs="Arial"/>
          <w:color w:val="000000" w:themeColor="text1"/>
        </w:rPr>
        <w:t>JoJo</w:t>
      </w:r>
      <w:proofErr w:type="spellEnd"/>
      <w:r w:rsidR="00C42FAC">
        <w:rPr>
          <w:rFonts w:ascii="Arial" w:hAnsi="Arial" w:cs="Arial"/>
          <w:color w:val="000000" w:themeColor="text1"/>
        </w:rPr>
        <w:t xml:space="preserve">, at their deepest level of self, they are unable to appreciate reality for what it is. As Wolf puts it, ‘their deepest-selves are not fully </w:t>
      </w:r>
      <w:r w:rsidR="00C42FAC">
        <w:rPr>
          <w:rFonts w:ascii="Arial" w:hAnsi="Arial" w:cs="Arial"/>
          <w:i/>
          <w:color w:val="000000" w:themeColor="text1"/>
        </w:rPr>
        <w:t>sane</w:t>
      </w:r>
      <w:r w:rsidR="00C42FAC">
        <w:rPr>
          <w:rFonts w:ascii="Arial" w:hAnsi="Arial" w:cs="Arial"/>
          <w:color w:val="000000" w:themeColor="text1"/>
        </w:rPr>
        <w:t>’</w:t>
      </w:r>
      <w:r w:rsidR="00C42FAC" w:rsidRPr="00267BFF">
        <w:rPr>
          <w:rFonts w:ascii="Arial" w:hAnsi="Arial" w:cs="Arial"/>
          <w:color w:val="000000" w:themeColor="text1"/>
        </w:rPr>
        <w:t>.</w:t>
      </w:r>
      <w:r w:rsidR="00C42FAC" w:rsidRPr="00267BFF">
        <w:rPr>
          <w:rStyle w:val="FootnoteReference"/>
          <w:rFonts w:ascii="Arial" w:hAnsi="Arial" w:cs="Arial"/>
          <w:color w:val="000000" w:themeColor="text1"/>
        </w:rPr>
        <w:footnoteReference w:id="64"/>
      </w:r>
      <w:r w:rsidR="00C42FAC">
        <w:rPr>
          <w:rFonts w:ascii="Arial" w:hAnsi="Arial" w:cs="Arial"/>
          <w:color w:val="000000" w:themeColor="text1"/>
        </w:rPr>
        <w:t xml:space="preserve"> Like </w:t>
      </w:r>
      <w:proofErr w:type="spellStart"/>
      <w:r w:rsidR="00C42FAC">
        <w:rPr>
          <w:rFonts w:ascii="Arial" w:hAnsi="Arial" w:cs="Arial"/>
          <w:color w:val="000000" w:themeColor="text1"/>
        </w:rPr>
        <w:t>JoJo</w:t>
      </w:r>
      <w:proofErr w:type="spellEnd"/>
      <w:r w:rsidR="00C42FAC">
        <w:rPr>
          <w:rFonts w:ascii="Arial" w:hAnsi="Arial" w:cs="Arial"/>
          <w:color w:val="000000" w:themeColor="text1"/>
        </w:rPr>
        <w:t xml:space="preserve">, their value system is mistaken, and unavoidably so. </w:t>
      </w:r>
    </w:p>
    <w:p w:rsidR="00C42FAC" w:rsidRDefault="00C42FAC" w:rsidP="000C64B0">
      <w:pPr>
        <w:spacing w:line="480" w:lineRule="auto"/>
        <w:jc w:val="both"/>
        <w:rPr>
          <w:rFonts w:ascii="Arial" w:hAnsi="Arial" w:cs="Arial"/>
          <w:color w:val="000000" w:themeColor="text1"/>
        </w:rPr>
      </w:pPr>
      <w:r>
        <w:rPr>
          <w:rFonts w:ascii="Arial" w:hAnsi="Arial" w:cs="Arial"/>
          <w:color w:val="000000" w:themeColor="text1"/>
        </w:rPr>
        <w:tab/>
        <w:t xml:space="preserve">If the deep-self that </w:t>
      </w:r>
      <w:proofErr w:type="spellStart"/>
      <w:r>
        <w:rPr>
          <w:rFonts w:ascii="Arial" w:hAnsi="Arial" w:cs="Arial"/>
          <w:color w:val="000000" w:themeColor="text1"/>
        </w:rPr>
        <w:t>JoJo</w:t>
      </w:r>
      <w:proofErr w:type="spellEnd"/>
      <w:r>
        <w:rPr>
          <w:rFonts w:ascii="Arial" w:hAnsi="Arial" w:cs="Arial"/>
          <w:color w:val="000000" w:themeColor="text1"/>
        </w:rPr>
        <w:t xml:space="preserve"> came to have was unavoidable, then it follows that our deepest-selves are just as unavoidable. The question then arises, if </w:t>
      </w:r>
      <w:proofErr w:type="spellStart"/>
      <w:r>
        <w:rPr>
          <w:rFonts w:ascii="Arial" w:hAnsi="Arial" w:cs="Arial"/>
          <w:color w:val="000000" w:themeColor="text1"/>
        </w:rPr>
        <w:t>JoJo’s</w:t>
      </w:r>
      <w:proofErr w:type="spellEnd"/>
      <w:r>
        <w:rPr>
          <w:rFonts w:ascii="Arial" w:hAnsi="Arial" w:cs="Arial"/>
          <w:color w:val="000000" w:themeColor="text1"/>
        </w:rPr>
        <w:t xml:space="preserve"> deepest-self was unavoidable, and ours is similarly so, then are we not just as unfree as </w:t>
      </w:r>
      <w:proofErr w:type="spellStart"/>
      <w:r>
        <w:rPr>
          <w:rFonts w:ascii="Arial" w:hAnsi="Arial" w:cs="Arial"/>
          <w:color w:val="000000" w:themeColor="text1"/>
        </w:rPr>
        <w:t>JoJo</w:t>
      </w:r>
      <w:proofErr w:type="spellEnd"/>
      <w:r>
        <w:rPr>
          <w:rFonts w:ascii="Arial" w:hAnsi="Arial" w:cs="Arial"/>
          <w:color w:val="000000" w:themeColor="text1"/>
        </w:rPr>
        <w:t xml:space="preserve">, and similarly, are we unfit to hold responsibility for our deep-selves in just the same way </w:t>
      </w:r>
      <w:proofErr w:type="spellStart"/>
      <w:r>
        <w:rPr>
          <w:rFonts w:ascii="Arial" w:hAnsi="Arial" w:cs="Arial"/>
          <w:color w:val="000000" w:themeColor="text1"/>
        </w:rPr>
        <w:t>JoJo</w:t>
      </w:r>
      <w:proofErr w:type="spellEnd"/>
      <w:r>
        <w:rPr>
          <w:rFonts w:ascii="Arial" w:hAnsi="Arial" w:cs="Arial"/>
          <w:color w:val="000000" w:themeColor="text1"/>
        </w:rPr>
        <w:t xml:space="preserve"> is? Wolf replies to this by pointing out that our deep-selves are sane, our conception of the world and what values are acceptable in this world are not gravely mistaken, like in </w:t>
      </w:r>
      <w:proofErr w:type="spellStart"/>
      <w:r>
        <w:rPr>
          <w:rFonts w:ascii="Arial" w:hAnsi="Arial" w:cs="Arial"/>
          <w:color w:val="000000" w:themeColor="text1"/>
        </w:rPr>
        <w:t>JoJo’s</w:t>
      </w:r>
      <w:proofErr w:type="spellEnd"/>
      <w:r>
        <w:rPr>
          <w:rFonts w:ascii="Arial" w:hAnsi="Arial" w:cs="Arial"/>
          <w:color w:val="000000" w:themeColor="text1"/>
        </w:rPr>
        <w:t xml:space="preserve"> case. Despite not being metaphysically responsible for our deepest-selves, we are held normatively responsible for ourselves. Having the right sort of origin-story of the deepest-self puts us in a position of responsibility, even if it is merely a matter of luck that this sort of sane deep-self has come into existence with the correct attributes that </w:t>
      </w:r>
      <w:r>
        <w:rPr>
          <w:rFonts w:ascii="Arial" w:hAnsi="Arial" w:cs="Arial"/>
          <w:color w:val="000000" w:themeColor="text1"/>
        </w:rPr>
        <w:lastRenderedPageBreak/>
        <w:t xml:space="preserve">afford it an accurate conception of the world and values held normatively in that world. </w:t>
      </w:r>
    </w:p>
    <w:p w:rsidR="00C42FAC" w:rsidRDefault="00C42FAC" w:rsidP="000C64B0">
      <w:pPr>
        <w:spacing w:line="480" w:lineRule="auto"/>
        <w:jc w:val="both"/>
        <w:rPr>
          <w:rFonts w:ascii="Arial" w:hAnsi="Arial" w:cs="Arial"/>
          <w:color w:val="000000" w:themeColor="text1"/>
        </w:rPr>
      </w:pPr>
      <w:r>
        <w:rPr>
          <w:rFonts w:ascii="Arial" w:hAnsi="Arial" w:cs="Arial"/>
          <w:color w:val="000000" w:themeColor="text1"/>
        </w:rPr>
        <w:tab/>
        <w:t>Adding the condition of sanity to the hierarchical approach goes some way towards ridding us of the fear that because the deepest-self is not up to us, then we are not ultimately free in the face of determinism. It moves the reflective, higher-order method of control from the place where it revises the lower order desires, to the realm of correcting the self. In moving the terminology away from reflection and towards correction, the condition of sanity aligns the values of the deep-self to the conception of reality and what those values should be, according to ‘widespread intersubjective experience’.</w:t>
      </w:r>
      <w:r>
        <w:rPr>
          <w:rStyle w:val="FootnoteReference"/>
          <w:rFonts w:ascii="Arial" w:hAnsi="Arial" w:cs="Arial"/>
          <w:color w:val="000000" w:themeColor="text1"/>
        </w:rPr>
        <w:footnoteReference w:id="65"/>
      </w:r>
      <w:r>
        <w:rPr>
          <w:rFonts w:ascii="Arial" w:hAnsi="Arial" w:cs="Arial"/>
          <w:color w:val="000000" w:themeColor="text1"/>
        </w:rPr>
        <w:t xml:space="preserve"> This widespread intersubjective experience serves as a prescriptive element for the normative behaviour of the sane. </w:t>
      </w:r>
      <w:proofErr w:type="spellStart"/>
      <w:r>
        <w:rPr>
          <w:rFonts w:ascii="Arial" w:hAnsi="Arial" w:cs="Arial"/>
          <w:color w:val="000000" w:themeColor="text1"/>
        </w:rPr>
        <w:t>JoJo</w:t>
      </w:r>
      <w:proofErr w:type="spellEnd"/>
      <w:r>
        <w:rPr>
          <w:rFonts w:ascii="Arial" w:hAnsi="Arial" w:cs="Arial"/>
          <w:color w:val="000000" w:themeColor="text1"/>
        </w:rPr>
        <w:t xml:space="preserve"> does not share the same world-view of the people that surround him; the Germans living under Nazi rule did not share the same set of normative behaviours as the rest of Europe. They were, under this specialises sense of sanity that Wolf uses, insane. </w:t>
      </w:r>
    </w:p>
    <w:p w:rsidR="00C42FAC" w:rsidRPr="00C42FAC" w:rsidRDefault="00C42FAC" w:rsidP="000C64B0">
      <w:pPr>
        <w:spacing w:line="480" w:lineRule="auto"/>
        <w:jc w:val="both"/>
        <w:rPr>
          <w:rFonts w:ascii="Arial" w:hAnsi="Arial" w:cs="Arial"/>
          <w:color w:val="000000" w:themeColor="text1"/>
        </w:rPr>
      </w:pPr>
      <w:r>
        <w:rPr>
          <w:rFonts w:ascii="Arial" w:hAnsi="Arial" w:cs="Arial"/>
          <w:color w:val="000000" w:themeColor="text1"/>
        </w:rPr>
        <w:tab/>
        <w:t xml:space="preserve">The suggestion that, because the condition of sanity is normative at its core, then when the acts of an agent do not fall in line with the normative requirements of the society, then evil criminal acts, especially those of the most heinous type, are evidence in themselves of insanity on the part of the agent that commits the act. If pushed further on this, then we would like to say that any deviant act against the values of the society would count towards a claim of insanity. Wolf replies to this by pointing out that it is merely the </w:t>
      </w:r>
      <w:r>
        <w:rPr>
          <w:rFonts w:ascii="Arial" w:hAnsi="Arial" w:cs="Arial"/>
          <w:i/>
          <w:color w:val="000000" w:themeColor="text1"/>
        </w:rPr>
        <w:t>ability</w:t>
      </w:r>
      <w:r>
        <w:rPr>
          <w:rFonts w:ascii="Arial" w:hAnsi="Arial" w:cs="Arial"/>
          <w:color w:val="000000" w:themeColor="text1"/>
        </w:rPr>
        <w:t xml:space="preserve"> to have an accurate conception of the world, not the action of the agent. To be sane is to </w:t>
      </w:r>
      <w:r>
        <w:rPr>
          <w:rFonts w:ascii="Arial" w:hAnsi="Arial" w:cs="Arial"/>
          <w:color w:val="000000" w:themeColor="text1"/>
        </w:rPr>
        <w:lastRenderedPageBreak/>
        <w:t xml:space="preserve">have the ability to have desires conform to the values of the deep-self, those values to be normatively correct, and those desires to be effective in action. </w:t>
      </w:r>
    </w:p>
    <w:p w:rsidR="001709C8" w:rsidRPr="001709C8" w:rsidRDefault="001709C8" w:rsidP="000C64B0">
      <w:pPr>
        <w:spacing w:line="480" w:lineRule="auto"/>
        <w:jc w:val="both"/>
        <w:rPr>
          <w:rFonts w:ascii="Arial" w:hAnsi="Arial" w:cs="Arial"/>
          <w:color w:val="000000" w:themeColor="text1"/>
        </w:rPr>
      </w:pPr>
      <w:r>
        <w:rPr>
          <w:rFonts w:ascii="Arial" w:hAnsi="Arial" w:cs="Arial"/>
          <w:color w:val="000000" w:themeColor="text1"/>
        </w:rPr>
        <w:tab/>
      </w:r>
      <w:r w:rsidR="00006FDB">
        <w:rPr>
          <w:rFonts w:ascii="Arial" w:hAnsi="Arial" w:cs="Arial"/>
          <w:color w:val="000000" w:themeColor="text1"/>
        </w:rPr>
        <w:t xml:space="preserve">Wolf’s position highlights an important factor that is otherwise missed in accounts of compatibilist responsibility, the condition that our view of the world be correct when we act and not mistaken. This normative picture, however, still has concerns attached to it. There is incredible difficulty in giving a descriptive account of the normativity that Wolf proposes we could accept in our conception of free will. Is </w:t>
      </w:r>
      <w:proofErr w:type="spellStart"/>
      <w:r w:rsidR="00006FDB">
        <w:rPr>
          <w:rFonts w:ascii="Arial" w:hAnsi="Arial" w:cs="Arial"/>
          <w:color w:val="000000" w:themeColor="text1"/>
        </w:rPr>
        <w:t>JoJo</w:t>
      </w:r>
      <w:proofErr w:type="spellEnd"/>
      <w:r w:rsidR="00006FDB">
        <w:rPr>
          <w:rFonts w:ascii="Arial" w:hAnsi="Arial" w:cs="Arial"/>
          <w:color w:val="000000" w:themeColor="text1"/>
        </w:rPr>
        <w:t xml:space="preserve"> really insane? Do we really shift all our blame from </w:t>
      </w:r>
      <w:proofErr w:type="spellStart"/>
      <w:r w:rsidR="00006FDB">
        <w:rPr>
          <w:rFonts w:ascii="Arial" w:hAnsi="Arial" w:cs="Arial"/>
          <w:color w:val="000000" w:themeColor="text1"/>
        </w:rPr>
        <w:t>JoJo</w:t>
      </w:r>
      <w:proofErr w:type="spellEnd"/>
      <w:r w:rsidR="00006FDB">
        <w:rPr>
          <w:rFonts w:ascii="Arial" w:hAnsi="Arial" w:cs="Arial"/>
          <w:color w:val="000000" w:themeColor="text1"/>
        </w:rPr>
        <w:t xml:space="preserve">, and on to the circumstances that </w:t>
      </w:r>
      <w:proofErr w:type="spellStart"/>
      <w:r w:rsidR="00006FDB">
        <w:rPr>
          <w:rFonts w:ascii="Arial" w:hAnsi="Arial" w:cs="Arial"/>
          <w:color w:val="000000" w:themeColor="text1"/>
        </w:rPr>
        <w:t>JoJo</w:t>
      </w:r>
      <w:proofErr w:type="spellEnd"/>
      <w:r w:rsidR="00006FDB">
        <w:rPr>
          <w:rFonts w:ascii="Arial" w:hAnsi="Arial" w:cs="Arial"/>
          <w:color w:val="000000" w:themeColor="text1"/>
        </w:rPr>
        <w:t xml:space="preserve"> has found himself in? I would personally have to say that despite </w:t>
      </w:r>
      <w:proofErr w:type="spellStart"/>
      <w:r w:rsidR="00006FDB">
        <w:rPr>
          <w:rFonts w:ascii="Arial" w:hAnsi="Arial" w:cs="Arial"/>
          <w:color w:val="000000" w:themeColor="text1"/>
        </w:rPr>
        <w:t>JoJo’s</w:t>
      </w:r>
      <w:proofErr w:type="spellEnd"/>
      <w:r w:rsidR="00006FDB">
        <w:rPr>
          <w:rFonts w:ascii="Arial" w:hAnsi="Arial" w:cs="Arial"/>
          <w:color w:val="000000" w:themeColor="text1"/>
        </w:rPr>
        <w:t xml:space="preserve"> upbringing, I would not be fully willing to remove all responsibility from </w:t>
      </w:r>
      <w:proofErr w:type="spellStart"/>
      <w:r w:rsidR="00006FDB">
        <w:rPr>
          <w:rFonts w:ascii="Arial" w:hAnsi="Arial" w:cs="Arial"/>
          <w:color w:val="000000" w:themeColor="text1"/>
        </w:rPr>
        <w:t>JoJo</w:t>
      </w:r>
      <w:proofErr w:type="spellEnd"/>
      <w:r w:rsidR="00006FDB">
        <w:rPr>
          <w:rFonts w:ascii="Arial" w:hAnsi="Arial" w:cs="Arial"/>
          <w:color w:val="000000" w:themeColor="text1"/>
        </w:rPr>
        <w:t xml:space="preserve">. At any point </w:t>
      </w:r>
      <w:proofErr w:type="spellStart"/>
      <w:r w:rsidR="00006FDB">
        <w:rPr>
          <w:rFonts w:ascii="Arial" w:hAnsi="Arial" w:cs="Arial"/>
          <w:color w:val="000000" w:themeColor="text1"/>
        </w:rPr>
        <w:t>JoJo</w:t>
      </w:r>
      <w:proofErr w:type="spellEnd"/>
      <w:r w:rsidR="00006FDB">
        <w:rPr>
          <w:rFonts w:ascii="Arial" w:hAnsi="Arial" w:cs="Arial"/>
          <w:color w:val="000000" w:themeColor="text1"/>
        </w:rPr>
        <w:t xml:space="preserve"> could have recognised the suffering he was causing with his actions and could modify his actions. Within the compatibilist accounts that have been explored so far, the deep-self views all seem to have the same problem at their core, namely, that if these actions are entirely determined, then the deep self does not provide the ultimate responsibility for our actions. If our actions are caused by antecedent circumstances that are beyond ourselves, then they are beyond our control. If, however, the world is undetermined, then the door is left ajar. The libertarian perspective is often accused of being intelligible, but I would argue that the compatibilist account is also just as intelligible to the libertarian perspective. In a world that is for the most part determined, yet still has elements of indeterminacy, if indeterminacy is proven to play a role in the biology of human life, then the compatibilists’ entirely determined view of the world is plain wrong. Can the libertarian account be made intelligible? </w:t>
      </w:r>
      <w:r w:rsidR="003A5C59">
        <w:rPr>
          <w:rFonts w:ascii="Arial" w:hAnsi="Arial" w:cs="Arial"/>
          <w:color w:val="000000" w:themeColor="text1"/>
        </w:rPr>
        <w:t xml:space="preserve">If the libertarian account of autonomy can be made intelligible, then the compatibilists’ accounts may be able make </w:t>
      </w:r>
      <w:r w:rsidR="003A5C59">
        <w:rPr>
          <w:rFonts w:ascii="Arial" w:hAnsi="Arial" w:cs="Arial"/>
          <w:color w:val="000000" w:themeColor="text1"/>
        </w:rPr>
        <w:lastRenderedPageBreak/>
        <w:t xml:space="preserve">room for the type of indeterminacy that libertarian views make use of. If the deepest self is undetermined, then a libertarian account may flesh out further what we require for a full account of responsibility. </w:t>
      </w:r>
    </w:p>
    <w:p w:rsidR="000C64B0" w:rsidRPr="001709C8" w:rsidRDefault="000C64B0" w:rsidP="000C64B0">
      <w:pPr>
        <w:spacing w:line="480" w:lineRule="auto"/>
        <w:jc w:val="both"/>
        <w:rPr>
          <w:rFonts w:ascii="Arial" w:hAnsi="Arial" w:cs="Arial"/>
          <w:color w:val="000000" w:themeColor="text1"/>
        </w:rPr>
      </w:pPr>
    </w:p>
    <w:p w:rsidR="00232A82" w:rsidRPr="001709C8" w:rsidRDefault="00232A82">
      <w:pPr>
        <w:rPr>
          <w:rFonts w:ascii="Arial" w:hAnsi="Arial" w:cs="Arial"/>
          <w:color w:val="FF0000"/>
        </w:rPr>
      </w:pPr>
    </w:p>
    <w:p w:rsidR="00771F74" w:rsidRDefault="00771F74">
      <w:pPr>
        <w:rPr>
          <w:rFonts w:ascii="Arial" w:eastAsiaTheme="majorEastAsia" w:hAnsi="Arial" w:cs="Arial"/>
          <w:color w:val="2F5496" w:themeColor="accent1" w:themeShade="BF"/>
          <w:sz w:val="32"/>
          <w:szCs w:val="32"/>
        </w:rPr>
      </w:pPr>
      <w:r>
        <w:rPr>
          <w:rFonts w:ascii="Arial" w:hAnsi="Arial" w:cs="Arial"/>
        </w:rPr>
        <w:br w:type="page"/>
      </w:r>
    </w:p>
    <w:p w:rsidR="00232A82" w:rsidRPr="002E4615" w:rsidRDefault="00FE4527" w:rsidP="003A5C59">
      <w:pPr>
        <w:pStyle w:val="Heading1"/>
        <w:rPr>
          <w:rFonts w:ascii="Arial" w:hAnsi="Arial" w:cs="Arial"/>
        </w:rPr>
      </w:pPr>
      <w:bookmarkStart w:id="5" w:name="_Toc515445728"/>
      <w:r>
        <w:rPr>
          <w:rFonts w:ascii="Arial" w:hAnsi="Arial" w:cs="Arial"/>
        </w:rPr>
        <w:lastRenderedPageBreak/>
        <w:t>Libertarian Freedom</w:t>
      </w:r>
      <w:bookmarkEnd w:id="5"/>
    </w:p>
    <w:p w:rsidR="003A5C59" w:rsidRDefault="003A5C59" w:rsidP="003A5C59"/>
    <w:p w:rsidR="003A5C59" w:rsidRPr="003A5C59" w:rsidRDefault="003A5C59" w:rsidP="003A5C59"/>
    <w:p w:rsidR="00C42FAC" w:rsidRDefault="00C42FAC">
      <w:pPr>
        <w:rPr>
          <w:rFonts w:ascii="Arial" w:hAnsi="Arial" w:cs="Arial"/>
          <w:color w:val="000000" w:themeColor="text1"/>
        </w:rPr>
      </w:pPr>
    </w:p>
    <w:p w:rsidR="009462E4" w:rsidRDefault="009462E4" w:rsidP="00224553">
      <w:pPr>
        <w:spacing w:line="480" w:lineRule="auto"/>
        <w:jc w:val="both"/>
        <w:rPr>
          <w:rFonts w:ascii="Arial" w:hAnsi="Arial" w:cs="Arial"/>
          <w:color w:val="000000" w:themeColor="text1"/>
        </w:rPr>
      </w:pPr>
      <w:r>
        <w:rPr>
          <w:rFonts w:ascii="Arial" w:hAnsi="Arial" w:cs="Arial"/>
          <w:color w:val="000000" w:themeColor="text1"/>
        </w:rPr>
        <w:t>The thesis of determinism, according to Kane, has taken many ‘historical forms’,</w:t>
      </w:r>
      <w:r>
        <w:rPr>
          <w:rStyle w:val="FootnoteReference"/>
          <w:rFonts w:ascii="Arial" w:hAnsi="Arial" w:cs="Arial"/>
          <w:color w:val="000000" w:themeColor="text1"/>
        </w:rPr>
        <w:footnoteReference w:id="66"/>
      </w:r>
      <w:r>
        <w:rPr>
          <w:rFonts w:ascii="Arial" w:hAnsi="Arial" w:cs="Arial"/>
          <w:color w:val="000000" w:themeColor="text1"/>
        </w:rPr>
        <w:t xml:space="preserve"> ranging from </w:t>
      </w:r>
      <w:r w:rsidR="00224553">
        <w:rPr>
          <w:rFonts w:ascii="Arial" w:hAnsi="Arial" w:cs="Arial"/>
          <w:color w:val="000000" w:themeColor="text1"/>
        </w:rPr>
        <w:t>fate, to divine planning, through to the laws of physics and logic. Kane claims that what all these different types of determinism have in common, what lies at their core and threatens the existence of free will, is that given the past events leading up to the present, only one future is possible. The future that happens necessarily follows from the events of the past. This way of interpreting the world seems to not allow for a genuine freedom of the will. Before we continue along this line of thinking, it pays first to question just exactly what it is that we want from free will. Free will seems to involve influencing the world in a certain way. A way that seems as if it is “up to us” in some sense.</w:t>
      </w:r>
      <w:r w:rsidR="00224553">
        <w:rPr>
          <w:rStyle w:val="FootnoteReference"/>
          <w:rFonts w:ascii="Arial" w:hAnsi="Arial" w:cs="Arial"/>
          <w:color w:val="000000" w:themeColor="text1"/>
        </w:rPr>
        <w:footnoteReference w:id="67"/>
      </w:r>
      <w:r w:rsidR="00224553">
        <w:rPr>
          <w:rFonts w:ascii="Arial" w:hAnsi="Arial" w:cs="Arial"/>
          <w:color w:val="000000" w:themeColor="text1"/>
        </w:rPr>
        <w:t xml:space="preserve"> There is something we can do, to choose to act</w:t>
      </w:r>
      <w:r w:rsidR="00940995">
        <w:rPr>
          <w:rFonts w:ascii="Arial" w:hAnsi="Arial" w:cs="Arial"/>
          <w:color w:val="000000" w:themeColor="text1"/>
        </w:rPr>
        <w:t>,</w:t>
      </w:r>
      <w:r w:rsidR="00224553">
        <w:rPr>
          <w:rFonts w:ascii="Arial" w:hAnsi="Arial" w:cs="Arial"/>
          <w:color w:val="000000" w:themeColor="text1"/>
        </w:rPr>
        <w:t xml:space="preserve"> or</w:t>
      </w:r>
      <w:r w:rsidR="00940995">
        <w:rPr>
          <w:rFonts w:ascii="Arial" w:hAnsi="Arial" w:cs="Arial"/>
          <w:color w:val="000000" w:themeColor="text1"/>
        </w:rPr>
        <w:t>,</w:t>
      </w:r>
      <w:r w:rsidR="00224553">
        <w:rPr>
          <w:rFonts w:ascii="Arial" w:hAnsi="Arial" w:cs="Arial"/>
          <w:color w:val="000000" w:themeColor="text1"/>
        </w:rPr>
        <w:t xml:space="preserve"> </w:t>
      </w:r>
      <w:r w:rsidR="00940995">
        <w:rPr>
          <w:rFonts w:ascii="Arial" w:hAnsi="Arial" w:cs="Arial"/>
          <w:color w:val="000000" w:themeColor="text1"/>
        </w:rPr>
        <w:t xml:space="preserve">to </w:t>
      </w:r>
      <w:r w:rsidR="00224553">
        <w:rPr>
          <w:rFonts w:ascii="Arial" w:hAnsi="Arial" w:cs="Arial"/>
          <w:color w:val="000000" w:themeColor="text1"/>
        </w:rPr>
        <w:t xml:space="preserve">choose not to act. We also want this “up to us” to emanate from us. We must be the ultimate well-spring of control of our actions. </w:t>
      </w:r>
    </w:p>
    <w:p w:rsidR="00224553" w:rsidRDefault="00224553" w:rsidP="00224553">
      <w:pPr>
        <w:spacing w:line="480" w:lineRule="auto"/>
        <w:jc w:val="both"/>
        <w:rPr>
          <w:rFonts w:ascii="Arial" w:hAnsi="Arial" w:cs="Arial"/>
          <w:color w:val="000000" w:themeColor="text1"/>
        </w:rPr>
      </w:pPr>
      <w:r>
        <w:rPr>
          <w:rFonts w:ascii="Arial" w:hAnsi="Arial" w:cs="Arial"/>
          <w:color w:val="000000" w:themeColor="text1"/>
        </w:rPr>
        <w:tab/>
        <w:t>In order to illustrate this further, Kane draws upon the example of Jane.</w:t>
      </w:r>
      <w:r>
        <w:rPr>
          <w:rStyle w:val="FootnoteReference"/>
          <w:rFonts w:ascii="Arial" w:hAnsi="Arial" w:cs="Arial"/>
          <w:color w:val="000000" w:themeColor="text1"/>
        </w:rPr>
        <w:footnoteReference w:id="68"/>
      </w:r>
      <w:r>
        <w:rPr>
          <w:rFonts w:ascii="Arial" w:hAnsi="Arial" w:cs="Arial"/>
          <w:color w:val="000000" w:themeColor="text1"/>
        </w:rPr>
        <w:t xml:space="preserve"> Jane has recently graduated and faces a difficult choice; it is a choice that she has deliberated over and has good reasons either way. Does she take the graduates position in the law firm based in New York or Chicago? If we are to genuinely consider Jane free to make this choice, then there must genuinely be more than one possible future open to Jane, one she can pick from. Both must be possible. Kane likens the alternatives open to Jane as a ‘garden of forking paths’.</w:t>
      </w:r>
      <w:r>
        <w:rPr>
          <w:rStyle w:val="FootnoteReference"/>
          <w:rFonts w:ascii="Arial" w:hAnsi="Arial" w:cs="Arial"/>
          <w:color w:val="000000" w:themeColor="text1"/>
        </w:rPr>
        <w:footnoteReference w:id="69"/>
      </w:r>
      <w:r>
        <w:rPr>
          <w:rFonts w:ascii="Arial" w:hAnsi="Arial" w:cs="Arial"/>
          <w:color w:val="000000" w:themeColor="text1"/>
        </w:rPr>
        <w:t xml:space="preserve"> Jane sits at a fork in the path that leads down the garden. Down one </w:t>
      </w:r>
      <w:r>
        <w:rPr>
          <w:rFonts w:ascii="Arial" w:hAnsi="Arial" w:cs="Arial"/>
          <w:color w:val="000000" w:themeColor="text1"/>
        </w:rPr>
        <w:lastRenderedPageBreak/>
        <w:t xml:space="preserve">side, lies Chicago, the other, Ney York. It is up to Jane which path she takes into the future. It is this garden, complete with its forking paths that Kane takes as the essential element to human life. </w:t>
      </w:r>
    </w:p>
    <w:p w:rsidR="00224553" w:rsidRDefault="00224553" w:rsidP="00224553">
      <w:pPr>
        <w:spacing w:line="480" w:lineRule="auto"/>
        <w:jc w:val="both"/>
        <w:rPr>
          <w:rFonts w:ascii="Arial" w:hAnsi="Arial" w:cs="Arial"/>
          <w:color w:val="000000" w:themeColor="text1"/>
        </w:rPr>
      </w:pPr>
      <w:r>
        <w:rPr>
          <w:rFonts w:ascii="Arial" w:hAnsi="Arial" w:cs="Arial"/>
          <w:color w:val="000000" w:themeColor="text1"/>
        </w:rPr>
        <w:tab/>
        <w:t>If the thesis of determinism is held as true, then the garden would have a significantly different landscape to it. There would only be one path from the front to the back, each fork would be removed and only one route through would be possible. Jane, as she walks, would have no choices to make and only one path to follow. The source of Jane’s actions, according to Kane, would be ‘outside her control’.</w:t>
      </w:r>
      <w:r>
        <w:rPr>
          <w:rStyle w:val="FootnoteReference"/>
          <w:rFonts w:ascii="Arial" w:hAnsi="Arial" w:cs="Arial"/>
          <w:color w:val="000000" w:themeColor="text1"/>
        </w:rPr>
        <w:footnoteReference w:id="70"/>
      </w:r>
      <w:r>
        <w:rPr>
          <w:rFonts w:ascii="Arial" w:hAnsi="Arial" w:cs="Arial"/>
          <w:color w:val="000000" w:themeColor="text1"/>
        </w:rPr>
        <w:t xml:space="preserve"> In order to further illustrate how a conflict between free will and determinism can arise, Kane reflects on what we mean by the concepts of responsibility and desserts. We are invited to imagine a scenario where a ‘young man’</w:t>
      </w:r>
      <w:r>
        <w:rPr>
          <w:rStyle w:val="FootnoteReference"/>
          <w:rFonts w:ascii="Arial" w:hAnsi="Arial" w:cs="Arial"/>
          <w:color w:val="000000" w:themeColor="text1"/>
        </w:rPr>
        <w:footnoteReference w:id="71"/>
      </w:r>
      <w:r>
        <w:rPr>
          <w:rFonts w:ascii="Arial" w:hAnsi="Arial" w:cs="Arial"/>
          <w:color w:val="000000" w:themeColor="text1"/>
        </w:rPr>
        <w:t xml:space="preserve"> is on trial for heinous crimes. At first, when we hear about the heinous crimes that the young man is accused of committing, our feelings towards the young man are filled with disgust and resentment. We then find out that as a child, this young man on trial was treated atrociously. Kane claims that a portion of our blame is shifted. The focus moves partly from the young man on trial to the parents and other people who failed him whilst he was in his formative years. The element of blame that is attached to the young man weakens, but, according to Kane, never quite entirely leaves the young man. The question, then, is to what extent is the young man responsible for, even if it is very little. The questions that we are asking are about what Kane terms ‘ultimate responsibility’</w:t>
      </w:r>
      <w:r>
        <w:rPr>
          <w:rStyle w:val="FootnoteReference"/>
          <w:rFonts w:ascii="Arial" w:hAnsi="Arial" w:cs="Arial"/>
          <w:color w:val="000000" w:themeColor="text1"/>
        </w:rPr>
        <w:footnoteReference w:id="72"/>
      </w:r>
      <w:r>
        <w:rPr>
          <w:rFonts w:ascii="Arial" w:hAnsi="Arial" w:cs="Arial"/>
          <w:color w:val="000000" w:themeColor="text1"/>
        </w:rPr>
        <w:t xml:space="preserve"> (UR). Do his genes, his environmental upbringing, and their effect on the young man leave anything over for him to be responsible for? At any point, was the young man </w:t>
      </w:r>
      <w:r>
        <w:rPr>
          <w:rFonts w:ascii="Arial" w:hAnsi="Arial" w:cs="Arial"/>
          <w:color w:val="000000" w:themeColor="text1"/>
        </w:rPr>
        <w:lastRenderedPageBreak/>
        <w:t xml:space="preserve">able to control a decision in his life, or were the factors of his life and upbringing, when taken into account, mean that his life was entirely determined? </w:t>
      </w:r>
    </w:p>
    <w:p w:rsidR="00224553" w:rsidRPr="00224553" w:rsidRDefault="00224553" w:rsidP="00224553">
      <w:pPr>
        <w:spacing w:line="480" w:lineRule="auto"/>
        <w:jc w:val="both"/>
        <w:rPr>
          <w:rFonts w:ascii="Arial" w:hAnsi="Arial" w:cs="Arial"/>
          <w:color w:val="FF0000"/>
        </w:rPr>
      </w:pPr>
      <w:r>
        <w:rPr>
          <w:rFonts w:ascii="Arial" w:hAnsi="Arial" w:cs="Arial"/>
          <w:color w:val="000000" w:themeColor="text1"/>
        </w:rPr>
        <w:tab/>
        <w:t xml:space="preserve">Kane claims that the libertarian perspective is under attack from two major angles. The first is the scientism of the modern age; that the laws of science plus history are entirely determined and therefore predictable given previous knowledge coupled with arbitrary laws. The second direction of the attack is from philosophy. Compatibilists, such as Frankfurt, Watson, and Wolf, as discussed in the previous section, make the claim that </w:t>
      </w:r>
      <w:r w:rsidRPr="003A5C59">
        <w:rPr>
          <w:rFonts w:ascii="Arial" w:hAnsi="Arial" w:cs="Arial"/>
          <w:color w:val="000000" w:themeColor="text1"/>
        </w:rPr>
        <w:t>we can have all the freedom we could possibly want despite the laws of determinism.</w:t>
      </w:r>
      <w:r>
        <w:rPr>
          <w:rFonts w:ascii="Arial" w:hAnsi="Arial" w:cs="Arial"/>
          <w:color w:val="000000" w:themeColor="text1"/>
        </w:rPr>
        <w:t xml:space="preserve"> </w:t>
      </w:r>
      <w:r w:rsidR="002019B3" w:rsidRPr="002019B3">
        <w:rPr>
          <w:rFonts w:ascii="Arial" w:hAnsi="Arial" w:cs="Arial"/>
          <w:color w:val="000000" w:themeColor="text1"/>
        </w:rPr>
        <w:t xml:space="preserve">Is this actually the case? </w:t>
      </w:r>
      <w:r w:rsidR="002019B3">
        <w:rPr>
          <w:rFonts w:ascii="Arial" w:hAnsi="Arial" w:cs="Arial"/>
          <w:color w:val="000000" w:themeColor="text1"/>
        </w:rPr>
        <w:t xml:space="preserve">Do the compatibilists provide us with everything we require from freedom of the will in their account? To be the ultimate designer of one’s life, to reflect and evaluate the decisions that we make and change those decisions with respect to the valuation that we reflectively place upon our actions is important to what we require from freedom. But what still remains is a nagging doubt that the source of our actions, and the genuine option of alternative possibilities. </w:t>
      </w:r>
    </w:p>
    <w:p w:rsidR="00224553" w:rsidRDefault="00224553" w:rsidP="00224553">
      <w:pPr>
        <w:spacing w:line="480" w:lineRule="auto"/>
        <w:jc w:val="both"/>
        <w:rPr>
          <w:rFonts w:ascii="Arial" w:hAnsi="Arial" w:cs="Arial"/>
          <w:color w:val="000000" w:themeColor="text1"/>
        </w:rPr>
      </w:pPr>
      <w:r>
        <w:rPr>
          <w:rFonts w:ascii="Arial" w:hAnsi="Arial" w:cs="Arial"/>
          <w:color w:val="000000" w:themeColor="text1"/>
        </w:rPr>
        <w:tab/>
        <w:t>The accusation from science may be understood as follows: Either free will is intelligible, or it is impossible given our scientific understanding of the world. Kane tells us that the traditional method of the libertarian, in reply to this problem, has been to invoke ‘transempirical power centers, immaterial egos, noumenal selves outside space and time, unmoved movers, uncaused causes, and other unusual forms of agency’.</w:t>
      </w:r>
      <w:r>
        <w:rPr>
          <w:rStyle w:val="FootnoteReference"/>
          <w:rFonts w:ascii="Arial" w:hAnsi="Arial" w:cs="Arial"/>
          <w:color w:val="000000" w:themeColor="text1"/>
        </w:rPr>
        <w:footnoteReference w:id="73"/>
      </w:r>
      <w:r>
        <w:rPr>
          <w:rFonts w:ascii="Arial" w:hAnsi="Arial" w:cs="Arial"/>
          <w:color w:val="000000" w:themeColor="text1"/>
        </w:rPr>
        <w:t xml:space="preserve"> These things certainly do have an element of mysticism to their metaphysical existence when taken into account from a scientific world-view. </w:t>
      </w:r>
    </w:p>
    <w:p w:rsidR="00224553" w:rsidRDefault="00224553" w:rsidP="00224553">
      <w:pPr>
        <w:spacing w:line="480" w:lineRule="auto"/>
        <w:jc w:val="both"/>
        <w:rPr>
          <w:rFonts w:ascii="Arial" w:hAnsi="Arial" w:cs="Arial"/>
          <w:color w:val="000000" w:themeColor="text1"/>
        </w:rPr>
      </w:pPr>
      <w:r>
        <w:rPr>
          <w:rFonts w:ascii="Arial" w:hAnsi="Arial" w:cs="Arial"/>
          <w:color w:val="000000" w:themeColor="text1"/>
        </w:rPr>
        <w:lastRenderedPageBreak/>
        <w:tab/>
        <w:t>The attack from the compatibilists tasks the libertarians to show that firstly, free will is incompatible with determinism, we can call this the ‘Compatibility Problem’.</w:t>
      </w:r>
      <w:r>
        <w:rPr>
          <w:rStyle w:val="FootnoteReference"/>
          <w:rFonts w:ascii="Arial" w:hAnsi="Arial" w:cs="Arial"/>
          <w:color w:val="000000" w:themeColor="text1"/>
        </w:rPr>
        <w:footnoteReference w:id="74"/>
      </w:r>
      <w:r>
        <w:rPr>
          <w:rFonts w:ascii="Arial" w:hAnsi="Arial" w:cs="Arial"/>
          <w:color w:val="000000" w:themeColor="text1"/>
        </w:rPr>
        <w:t xml:space="preserve"> Secondly, the libertarian needs to show how an indeterminist account of free will can be made intelligible, given our knowledge of the scientific laws of the world. This can be termed the ‘Intelligibility Problem’.</w:t>
      </w:r>
      <w:r>
        <w:rPr>
          <w:rStyle w:val="FootnoteReference"/>
          <w:rFonts w:ascii="Arial" w:hAnsi="Arial" w:cs="Arial"/>
          <w:color w:val="000000" w:themeColor="text1"/>
        </w:rPr>
        <w:footnoteReference w:id="75"/>
      </w:r>
    </w:p>
    <w:p w:rsidR="00224553" w:rsidRDefault="00224553" w:rsidP="00224553">
      <w:pPr>
        <w:spacing w:line="480" w:lineRule="auto"/>
        <w:jc w:val="both"/>
        <w:rPr>
          <w:rFonts w:ascii="Arial" w:hAnsi="Arial" w:cs="Arial"/>
          <w:color w:val="000000" w:themeColor="text1"/>
        </w:rPr>
      </w:pPr>
      <w:r>
        <w:rPr>
          <w:rFonts w:ascii="Arial" w:hAnsi="Arial" w:cs="Arial"/>
          <w:color w:val="000000" w:themeColor="text1"/>
        </w:rPr>
        <w:tab/>
        <w:t>Given the popularity of the compatibilist’s position in contemporary philosophy, a reliance our intuitions about forking paths and alternative possibilities would not be enough to justify a belief in an undetermined free will. A libertarian must provide better reasons for supporting an incompatiblist view of free will and determinism. The ‘consequences argument’</w:t>
      </w:r>
      <w:r>
        <w:rPr>
          <w:rStyle w:val="FootnoteReference"/>
          <w:rFonts w:ascii="Arial" w:hAnsi="Arial" w:cs="Arial"/>
          <w:color w:val="000000" w:themeColor="text1"/>
        </w:rPr>
        <w:footnoteReference w:id="76"/>
      </w:r>
      <w:r>
        <w:rPr>
          <w:rFonts w:ascii="Arial" w:hAnsi="Arial" w:cs="Arial"/>
          <w:color w:val="000000" w:themeColor="text1"/>
        </w:rPr>
        <w:t xml:space="preserve"> is reported to show how determinism is incompatible with free will. The argument has been stated by Kane as follows:</w:t>
      </w:r>
    </w:p>
    <w:p w:rsidR="002019B3" w:rsidRDefault="002019B3" w:rsidP="00267BFF">
      <w:pPr>
        <w:ind w:left="709" w:right="1223"/>
        <w:jc w:val="both"/>
        <w:rPr>
          <w:rFonts w:ascii="Arial" w:hAnsi="Arial" w:cs="Arial"/>
          <w:color w:val="000000" w:themeColor="text1"/>
        </w:rPr>
      </w:pPr>
    </w:p>
    <w:p w:rsidR="00224553" w:rsidRDefault="00224553" w:rsidP="00267BFF">
      <w:pPr>
        <w:ind w:left="709" w:right="1223"/>
        <w:jc w:val="both"/>
        <w:rPr>
          <w:rFonts w:ascii="Arial" w:hAnsi="Arial" w:cs="Arial"/>
          <w:color w:val="000000" w:themeColor="text1"/>
        </w:rPr>
      </w:pPr>
      <w:r>
        <w:rPr>
          <w:rFonts w:ascii="Arial" w:hAnsi="Arial" w:cs="Arial"/>
          <w:color w:val="000000" w:themeColor="text1"/>
        </w:rPr>
        <w:tab/>
        <w:t>‘(1) There is nothing we can now do to change the past.</w:t>
      </w:r>
    </w:p>
    <w:p w:rsidR="00224553" w:rsidRDefault="00224553" w:rsidP="00267BFF">
      <w:pPr>
        <w:ind w:left="709" w:right="1223"/>
        <w:jc w:val="both"/>
        <w:rPr>
          <w:rFonts w:ascii="Arial" w:hAnsi="Arial" w:cs="Arial"/>
          <w:color w:val="000000" w:themeColor="text1"/>
        </w:rPr>
      </w:pPr>
      <w:r>
        <w:rPr>
          <w:rFonts w:ascii="Arial" w:hAnsi="Arial" w:cs="Arial"/>
          <w:color w:val="000000" w:themeColor="text1"/>
        </w:rPr>
        <w:tab/>
        <w:t>(2) There is nothing we can now do to change the laws of nature.</w:t>
      </w:r>
    </w:p>
    <w:p w:rsidR="00224553" w:rsidRDefault="00224553" w:rsidP="00267BFF">
      <w:pPr>
        <w:ind w:left="709" w:right="1223"/>
        <w:jc w:val="both"/>
        <w:rPr>
          <w:rFonts w:ascii="Arial" w:hAnsi="Arial" w:cs="Arial"/>
          <w:color w:val="000000" w:themeColor="text1"/>
        </w:rPr>
      </w:pPr>
      <w:r>
        <w:rPr>
          <w:rFonts w:ascii="Arial" w:hAnsi="Arial" w:cs="Arial"/>
          <w:color w:val="000000" w:themeColor="text1"/>
        </w:rPr>
        <w:tab/>
        <w:t xml:space="preserve">(3) There is nothing we can now do to change the past and the laws of nature. </w:t>
      </w:r>
    </w:p>
    <w:p w:rsidR="00224553" w:rsidRDefault="00224553" w:rsidP="00267BFF">
      <w:pPr>
        <w:ind w:left="709" w:right="1223"/>
        <w:jc w:val="both"/>
        <w:rPr>
          <w:rFonts w:ascii="Arial" w:hAnsi="Arial" w:cs="Arial"/>
          <w:color w:val="000000" w:themeColor="text1"/>
        </w:rPr>
      </w:pPr>
      <w:r>
        <w:rPr>
          <w:rFonts w:ascii="Arial" w:hAnsi="Arial" w:cs="Arial"/>
          <w:color w:val="000000" w:themeColor="text1"/>
        </w:rPr>
        <w:t xml:space="preserve">(4) If determinism is true, our present actions are necessary consequences of the past and the laws of nature. (That is, it </w:t>
      </w:r>
      <w:r>
        <w:rPr>
          <w:rFonts w:ascii="Arial" w:hAnsi="Arial" w:cs="Arial"/>
          <w:i/>
          <w:color w:val="000000" w:themeColor="text1"/>
        </w:rPr>
        <w:t>must</w:t>
      </w:r>
      <w:r>
        <w:rPr>
          <w:rFonts w:ascii="Arial" w:hAnsi="Arial" w:cs="Arial"/>
          <w:color w:val="000000" w:themeColor="text1"/>
        </w:rPr>
        <w:t xml:space="preserve"> be the case, given the past and the laws of nature, our present actions occur.)</w:t>
      </w:r>
    </w:p>
    <w:p w:rsidR="00224553" w:rsidRDefault="00224553" w:rsidP="00267BFF">
      <w:pPr>
        <w:ind w:left="709" w:right="1223"/>
        <w:jc w:val="both"/>
        <w:rPr>
          <w:rFonts w:ascii="Arial" w:hAnsi="Arial" w:cs="Arial"/>
          <w:color w:val="000000" w:themeColor="text1"/>
        </w:rPr>
      </w:pPr>
      <w:r>
        <w:rPr>
          <w:rFonts w:ascii="Arial" w:hAnsi="Arial" w:cs="Arial"/>
          <w:color w:val="000000" w:themeColor="text1"/>
        </w:rPr>
        <w:t>(5) Therefore, there is nothing we can now do to change the fact our present actions occur’</w:t>
      </w:r>
      <w:r>
        <w:rPr>
          <w:rStyle w:val="FootnoteReference"/>
          <w:rFonts w:ascii="Arial" w:hAnsi="Arial" w:cs="Arial"/>
          <w:color w:val="000000" w:themeColor="text1"/>
        </w:rPr>
        <w:footnoteReference w:id="77"/>
      </w:r>
    </w:p>
    <w:p w:rsidR="00224553" w:rsidRDefault="00224553" w:rsidP="00224553">
      <w:pPr>
        <w:jc w:val="both"/>
        <w:rPr>
          <w:rFonts w:ascii="Arial" w:hAnsi="Arial" w:cs="Arial"/>
          <w:color w:val="000000" w:themeColor="text1"/>
        </w:rPr>
      </w:pPr>
    </w:p>
    <w:p w:rsidR="00224553" w:rsidRDefault="00224553" w:rsidP="00224553">
      <w:pPr>
        <w:spacing w:line="480" w:lineRule="auto"/>
        <w:jc w:val="both"/>
        <w:rPr>
          <w:rFonts w:ascii="Arial" w:hAnsi="Arial" w:cs="Arial"/>
          <w:color w:val="000000" w:themeColor="text1"/>
        </w:rPr>
      </w:pPr>
    </w:p>
    <w:p w:rsidR="00224553" w:rsidRDefault="00224553" w:rsidP="00224553">
      <w:pPr>
        <w:spacing w:line="480" w:lineRule="auto"/>
        <w:jc w:val="both"/>
        <w:rPr>
          <w:rFonts w:ascii="Arial" w:hAnsi="Arial" w:cs="Arial"/>
          <w:color w:val="000000" w:themeColor="text1"/>
        </w:rPr>
      </w:pPr>
      <w:r>
        <w:rPr>
          <w:rFonts w:ascii="Arial" w:hAnsi="Arial" w:cs="Arial"/>
          <w:color w:val="000000" w:themeColor="text1"/>
        </w:rPr>
        <w:t>This argument amounts to the statement that we ‘</w:t>
      </w:r>
      <w:r w:rsidRPr="00224553">
        <w:rPr>
          <w:rFonts w:ascii="Arial" w:hAnsi="Arial" w:cs="Arial"/>
          <w:i/>
          <w:color w:val="000000" w:themeColor="text1"/>
        </w:rPr>
        <w:t>cannot now do otherwise</w:t>
      </w:r>
      <w:r>
        <w:rPr>
          <w:rFonts w:ascii="Arial" w:hAnsi="Arial" w:cs="Arial"/>
          <w:i/>
          <w:color w:val="000000" w:themeColor="text1"/>
        </w:rPr>
        <w:t>’</w:t>
      </w:r>
      <w:r>
        <w:rPr>
          <w:rFonts w:ascii="Arial" w:hAnsi="Arial" w:cs="Arial"/>
          <w:color w:val="000000" w:themeColor="text1"/>
        </w:rPr>
        <w:t xml:space="preserve"> than what our present actions are. What we are left with, is if the thesis of determinism holds true, then no one can do otherwise. If our conception of free will requires </w:t>
      </w:r>
      <w:r>
        <w:rPr>
          <w:rFonts w:ascii="Arial" w:hAnsi="Arial" w:cs="Arial"/>
          <w:color w:val="000000" w:themeColor="text1"/>
        </w:rPr>
        <w:lastRenderedPageBreak/>
        <w:t xml:space="preserve">that we do indeed have a genuine option to do otherwise, then we cannot possibly have free will in light of the consequences argument. </w:t>
      </w:r>
    </w:p>
    <w:p w:rsidR="00224553" w:rsidRDefault="00224553" w:rsidP="00224553">
      <w:pPr>
        <w:spacing w:line="480" w:lineRule="auto"/>
        <w:jc w:val="both"/>
        <w:rPr>
          <w:rFonts w:ascii="Arial" w:hAnsi="Arial" w:cs="Arial"/>
          <w:color w:val="000000" w:themeColor="text1"/>
        </w:rPr>
      </w:pPr>
      <w:r>
        <w:rPr>
          <w:rFonts w:ascii="Arial" w:hAnsi="Arial" w:cs="Arial"/>
          <w:color w:val="000000" w:themeColor="text1"/>
        </w:rPr>
        <w:tab/>
        <w:t>The most common point of attack against this argument is against its fifth premise, that there is nothing we can do now to change the fact that our present actions occur. The inference that leads to the fifth premise is referred to by Kane as the ‘Transfer of Powerlessness Principle’.</w:t>
      </w:r>
      <w:r>
        <w:rPr>
          <w:rStyle w:val="FootnoteReference"/>
          <w:rFonts w:ascii="Arial" w:hAnsi="Arial" w:cs="Arial"/>
          <w:color w:val="000000" w:themeColor="text1"/>
        </w:rPr>
        <w:footnoteReference w:id="78"/>
      </w:r>
      <w:r>
        <w:rPr>
          <w:rFonts w:ascii="Arial" w:hAnsi="Arial" w:cs="Arial"/>
          <w:color w:val="000000" w:themeColor="text1"/>
        </w:rPr>
        <w:t xml:space="preserve"> Loosely put, the premise is a form of the following argument: If there is nothing anyone can do to change </w:t>
      </w:r>
      <w:r>
        <w:rPr>
          <w:rFonts w:ascii="Arial" w:hAnsi="Arial" w:cs="Arial"/>
          <w:i/>
          <w:color w:val="000000" w:themeColor="text1"/>
        </w:rPr>
        <w:t>x,</w:t>
      </w:r>
      <w:r>
        <w:rPr>
          <w:rFonts w:ascii="Arial" w:hAnsi="Arial" w:cs="Arial"/>
          <w:color w:val="000000" w:themeColor="text1"/>
        </w:rPr>
        <w:t xml:space="preserve"> and </w:t>
      </w:r>
      <w:r>
        <w:rPr>
          <w:rFonts w:ascii="Arial" w:hAnsi="Arial" w:cs="Arial"/>
          <w:i/>
          <w:color w:val="000000" w:themeColor="text1"/>
        </w:rPr>
        <w:t>y</w:t>
      </w:r>
      <w:r>
        <w:rPr>
          <w:rFonts w:ascii="Arial" w:hAnsi="Arial" w:cs="Arial"/>
          <w:color w:val="000000" w:themeColor="text1"/>
        </w:rPr>
        <w:t xml:space="preserve"> is a necessary consequence of </w:t>
      </w:r>
      <w:r>
        <w:rPr>
          <w:rFonts w:ascii="Arial" w:hAnsi="Arial" w:cs="Arial"/>
          <w:i/>
          <w:color w:val="000000" w:themeColor="text1"/>
        </w:rPr>
        <w:t>x</w:t>
      </w:r>
      <w:r>
        <w:rPr>
          <w:rFonts w:ascii="Arial" w:hAnsi="Arial" w:cs="Arial"/>
          <w:color w:val="000000" w:themeColor="text1"/>
        </w:rPr>
        <w:t xml:space="preserve">, then there is nothing anyone can do to change </w:t>
      </w:r>
      <w:r>
        <w:rPr>
          <w:rFonts w:ascii="Arial" w:hAnsi="Arial" w:cs="Arial"/>
          <w:i/>
          <w:color w:val="000000" w:themeColor="text1"/>
        </w:rPr>
        <w:t>y</w:t>
      </w:r>
      <w:r>
        <w:rPr>
          <w:rFonts w:ascii="Arial" w:hAnsi="Arial" w:cs="Arial"/>
          <w:color w:val="000000" w:themeColor="text1"/>
        </w:rPr>
        <w:t xml:space="preserve">. The point of attack on this inference to the fifth premise has focused around what exactly we mean by “can”. “Can”, in this case, can loosely be reformulated as “have the power to” or “has the ability to”. Despite the notorious metaphysical difficulties with notions about power, Kane states that the compatibilist would reformulate “has the power to” as roughly “if the person wanted to do it or tried to do it they could”. Take for example a man attempting to jump over a barrier. Under this interpretation of “can” or “has the power to”, the agent, when he or she says “I can jump over this barrier”, would mean “if I wanted to or attempted to, I could jump over this barrier”. </w:t>
      </w:r>
    </w:p>
    <w:p w:rsidR="00224553" w:rsidRDefault="00224553" w:rsidP="00224553">
      <w:pPr>
        <w:spacing w:line="480" w:lineRule="auto"/>
        <w:jc w:val="both"/>
        <w:rPr>
          <w:rFonts w:ascii="Arial" w:hAnsi="Arial" w:cs="Arial"/>
          <w:color w:val="FF0000"/>
        </w:rPr>
      </w:pPr>
      <w:r>
        <w:rPr>
          <w:rFonts w:ascii="Arial" w:hAnsi="Arial" w:cs="Arial"/>
          <w:color w:val="000000" w:themeColor="text1"/>
        </w:rPr>
        <w:tab/>
        <w:t>Kane interestingly notes that under the compatibilist’s interpretation, the first few premises of the consequences argument are true, but the compatibilist interpretation yields the conclusion as false. The agent could have easily jumped the barrier if the wanted or tried to, the “can” or “have the power to”. The reason that the first few premises come out as true, and the final conclusion as false in the consequences argument is that the jump to the conclusion, the transfer of powerlessness, has failed under the compatibilist interpretation of “can”.</w:t>
      </w:r>
      <w:r w:rsidR="00940995">
        <w:rPr>
          <w:rFonts w:ascii="Arial" w:hAnsi="Arial" w:cs="Arial"/>
          <w:color w:val="000000" w:themeColor="text1"/>
        </w:rPr>
        <w:t xml:space="preserve"> Given </w:t>
      </w:r>
      <w:r w:rsidR="00940995">
        <w:rPr>
          <w:rFonts w:ascii="Arial" w:hAnsi="Arial" w:cs="Arial"/>
          <w:color w:val="000000" w:themeColor="text1"/>
        </w:rPr>
        <w:lastRenderedPageBreak/>
        <w:t>that we are powerless to change the laws of nature and the history of the world, and the laws of nature are entirely determining, then the inability to change history and the laws of nature does not transfer, under the compatibilist’s interpretation of “can”, to an inability to perform an action; the ability to jump the fence, under the compatibilist interpretation merely requires that the ability to jump the fence should the agent have wanted to do so, despite the inability to change the laws of nature and history.</w:t>
      </w:r>
      <w:r>
        <w:rPr>
          <w:rFonts w:ascii="Arial" w:hAnsi="Arial" w:cs="Arial"/>
          <w:color w:val="000000" w:themeColor="text1"/>
        </w:rPr>
        <w:t xml:space="preserve"> </w:t>
      </w:r>
      <w:r w:rsidR="00940995">
        <w:rPr>
          <w:rFonts w:ascii="Arial" w:hAnsi="Arial" w:cs="Arial"/>
          <w:color w:val="000000" w:themeColor="text1"/>
        </w:rPr>
        <w:t xml:space="preserve">The conclusion, that there is nothing we can do now to change our actions given the laws of nature and history, is plainly false under the compatibilist’s interpretation, given that “can” merely means that the ability to do differently, not the possibility to do differently is open. </w:t>
      </w:r>
    </w:p>
    <w:p w:rsidR="00940995" w:rsidRDefault="00940995" w:rsidP="00224553">
      <w:pPr>
        <w:spacing w:line="480" w:lineRule="auto"/>
        <w:jc w:val="both"/>
        <w:rPr>
          <w:rFonts w:ascii="Arial" w:hAnsi="Arial" w:cs="Arial"/>
          <w:color w:val="000000" w:themeColor="text1"/>
        </w:rPr>
      </w:pPr>
      <w:r>
        <w:rPr>
          <w:rFonts w:ascii="Arial" w:hAnsi="Arial" w:cs="Arial"/>
          <w:color w:val="FF0000"/>
        </w:rPr>
        <w:tab/>
      </w:r>
      <w:r>
        <w:rPr>
          <w:rFonts w:ascii="Arial" w:hAnsi="Arial" w:cs="Arial"/>
          <w:color w:val="000000" w:themeColor="text1"/>
        </w:rPr>
        <w:t>At this point in the argument, the compatibilist camp stands accused by the libertarian of begging the question in their interpretation of “can”. The compatibilist interprets “can” in a way that is compatible with the thesis of determinism. The compatibilist’s reply is near identical, they accuse the libertarian of also begging the question in their undetermined analysis of “can”.</w:t>
      </w:r>
      <w:r>
        <w:rPr>
          <w:rStyle w:val="FootnoteReference"/>
          <w:rFonts w:ascii="Arial" w:hAnsi="Arial" w:cs="Arial"/>
          <w:color w:val="000000" w:themeColor="text1"/>
        </w:rPr>
        <w:footnoteReference w:id="79"/>
      </w:r>
      <w:r>
        <w:rPr>
          <w:rFonts w:ascii="Arial" w:hAnsi="Arial" w:cs="Arial"/>
          <w:color w:val="000000" w:themeColor="text1"/>
        </w:rPr>
        <w:t xml:space="preserve"> </w:t>
      </w:r>
    </w:p>
    <w:p w:rsidR="00940995" w:rsidRDefault="00940995" w:rsidP="00224553">
      <w:pPr>
        <w:spacing w:line="480" w:lineRule="auto"/>
        <w:jc w:val="both"/>
        <w:rPr>
          <w:rFonts w:ascii="Arial" w:hAnsi="Arial" w:cs="Arial"/>
          <w:color w:val="000000" w:themeColor="text1"/>
        </w:rPr>
      </w:pPr>
      <w:r>
        <w:rPr>
          <w:rFonts w:ascii="Arial" w:hAnsi="Arial" w:cs="Arial"/>
          <w:color w:val="000000" w:themeColor="text1"/>
        </w:rPr>
        <w:tab/>
        <w:t>Kane holds that this philosophical impasse between the compatibilists and the libertarians is symptomatic of a deeper problem, that the consequences argument is ‘</w:t>
      </w:r>
      <w:r>
        <w:rPr>
          <w:rFonts w:ascii="Arial" w:hAnsi="Arial" w:cs="Arial"/>
          <w:i/>
          <w:color w:val="000000" w:themeColor="text1"/>
        </w:rPr>
        <w:t>too thin a basis’</w:t>
      </w:r>
      <w:r>
        <w:rPr>
          <w:rStyle w:val="FootnoteReference"/>
          <w:rFonts w:ascii="Arial" w:hAnsi="Arial" w:cs="Arial"/>
          <w:i/>
          <w:color w:val="000000" w:themeColor="text1"/>
        </w:rPr>
        <w:footnoteReference w:id="80"/>
      </w:r>
      <w:r>
        <w:rPr>
          <w:rFonts w:ascii="Arial" w:hAnsi="Arial" w:cs="Arial"/>
          <w:i/>
          <w:color w:val="000000" w:themeColor="text1"/>
        </w:rPr>
        <w:t xml:space="preserve"> </w:t>
      </w:r>
      <w:r>
        <w:rPr>
          <w:rFonts w:ascii="Arial" w:hAnsi="Arial" w:cs="Arial"/>
          <w:color w:val="000000" w:themeColor="text1"/>
        </w:rPr>
        <w:t xml:space="preserve">to support the claim that free will is incompatible with determinism. Recall the opening section of Kane’s argument, the availability of alternative possibilities, as has just been discussed, only gives us half of what we require in order to possess what the incompatiblist would label genuine free will. The libertarian position also requires that the source of our actions emanates from </w:t>
      </w:r>
      <w:r>
        <w:rPr>
          <w:rFonts w:ascii="Arial" w:hAnsi="Arial" w:cs="Arial"/>
          <w:i/>
          <w:color w:val="000000" w:themeColor="text1"/>
        </w:rPr>
        <w:t>us</w:t>
      </w:r>
      <w:r>
        <w:rPr>
          <w:rFonts w:ascii="Arial" w:hAnsi="Arial" w:cs="Arial"/>
          <w:color w:val="000000" w:themeColor="text1"/>
        </w:rPr>
        <w:t>. The compatibilists mentioned previously would assign this to the deep-</w:t>
      </w:r>
      <w:r>
        <w:rPr>
          <w:rFonts w:ascii="Arial" w:hAnsi="Arial" w:cs="Arial"/>
          <w:color w:val="000000" w:themeColor="text1"/>
        </w:rPr>
        <w:lastRenderedPageBreak/>
        <w:t xml:space="preserve">self, or as identification with second-order desires, or the setting of values. </w:t>
      </w:r>
      <w:r w:rsidR="002019B3">
        <w:rPr>
          <w:rFonts w:ascii="Arial" w:hAnsi="Arial" w:cs="Arial"/>
          <w:color w:val="000000" w:themeColor="text1"/>
        </w:rPr>
        <w:t xml:space="preserve">The libertarian position that is explored here posits that in some way, our actions are up to us, not down to mere chance as the compatibilist might suggest. </w:t>
      </w:r>
      <w:r>
        <w:rPr>
          <w:rFonts w:ascii="Arial" w:hAnsi="Arial" w:cs="Arial"/>
          <w:color w:val="000000" w:themeColor="text1"/>
        </w:rPr>
        <w:t>Kane introduces the notion of ‘Ultimate Responsibility’,</w:t>
      </w:r>
      <w:r>
        <w:rPr>
          <w:rStyle w:val="FootnoteReference"/>
          <w:rFonts w:ascii="Arial" w:hAnsi="Arial" w:cs="Arial"/>
          <w:color w:val="000000" w:themeColor="text1"/>
        </w:rPr>
        <w:footnoteReference w:id="81"/>
      </w:r>
      <w:r>
        <w:rPr>
          <w:rFonts w:ascii="Arial" w:hAnsi="Arial" w:cs="Arial"/>
          <w:color w:val="000000" w:themeColor="text1"/>
        </w:rPr>
        <w:t xml:space="preserve"> ‘</w:t>
      </w:r>
      <w:r>
        <w:rPr>
          <w:rFonts w:ascii="Arial" w:hAnsi="Arial" w:cs="Arial"/>
          <w:i/>
          <w:color w:val="000000" w:themeColor="text1"/>
        </w:rPr>
        <w:t>To be ultimately responsible for an action, an agent must be responsible for anything that is a sufficient cause or motive for the actions occurring’.</w:t>
      </w:r>
      <w:r>
        <w:rPr>
          <w:rStyle w:val="FootnoteReference"/>
          <w:rFonts w:ascii="Arial" w:hAnsi="Arial" w:cs="Arial"/>
          <w:i/>
          <w:color w:val="000000" w:themeColor="text1"/>
        </w:rPr>
        <w:footnoteReference w:id="82"/>
      </w:r>
      <w:r>
        <w:rPr>
          <w:rFonts w:ascii="Arial" w:hAnsi="Arial" w:cs="Arial"/>
          <w:color w:val="000000" w:themeColor="text1"/>
        </w:rPr>
        <w:t xml:space="preserve"> If, when an agent makes a choice to perform an action, and that action is sufficiently explained by the agent’s character and motives, then at some point in the past, the agent must be in some way responsible for forming the character that the agent is today and responsible for the motives that the agent possesses. It is important to note at this stage of the argument that UR does not require that alternative possibilities be available for every action. UR only requires that at some point, there must have been genuine alternative possibilities in the history of the agent’s self-formation. These moments where genuine alternative possibilities are open to us in the formation of our characters and motives are termed by Kane as ‘self-forming actions’ (SFA’s).</w:t>
      </w:r>
      <w:r>
        <w:rPr>
          <w:rStyle w:val="FootnoteReference"/>
          <w:rFonts w:ascii="Arial" w:hAnsi="Arial" w:cs="Arial"/>
          <w:color w:val="000000" w:themeColor="text1"/>
        </w:rPr>
        <w:footnoteReference w:id="83"/>
      </w:r>
      <w:r>
        <w:rPr>
          <w:rFonts w:ascii="Arial" w:hAnsi="Arial" w:cs="Arial"/>
          <w:color w:val="000000" w:themeColor="text1"/>
        </w:rPr>
        <w:t xml:space="preserve"> </w:t>
      </w:r>
    </w:p>
    <w:p w:rsidR="00940995" w:rsidRDefault="00940995" w:rsidP="00224553">
      <w:pPr>
        <w:spacing w:line="480" w:lineRule="auto"/>
        <w:jc w:val="both"/>
        <w:rPr>
          <w:rFonts w:ascii="Arial" w:hAnsi="Arial" w:cs="Arial"/>
          <w:color w:val="000000" w:themeColor="text1"/>
        </w:rPr>
      </w:pPr>
      <w:r>
        <w:rPr>
          <w:rFonts w:ascii="Arial" w:hAnsi="Arial" w:cs="Arial"/>
          <w:color w:val="000000" w:themeColor="text1"/>
        </w:rPr>
        <w:tab/>
        <w:t>In order to demonstrate the requirement of SFA’s for responsibility, Kane draws on Dennett’s example of Martin Luther.</w:t>
      </w:r>
      <w:r>
        <w:rPr>
          <w:rStyle w:val="FootnoteReference"/>
          <w:rFonts w:ascii="Arial" w:hAnsi="Arial" w:cs="Arial"/>
          <w:color w:val="000000" w:themeColor="text1"/>
        </w:rPr>
        <w:footnoteReference w:id="84"/>
      </w:r>
      <w:r>
        <w:rPr>
          <w:rFonts w:ascii="Arial" w:hAnsi="Arial" w:cs="Arial"/>
          <w:color w:val="000000" w:themeColor="text1"/>
        </w:rPr>
        <w:t xml:space="preserve"> When Luther famously broke with the Roman Catholic tradition, his immortal words “Here I stand, I can do no other” take responsibility for his actions despite him being unable to do otherwise under the compatibilist’s interpretation. The suggestion by the compatibilist is that free will and responsibility do not require the existence of alternative possibilities. </w:t>
      </w:r>
      <w:r>
        <w:rPr>
          <w:rFonts w:ascii="Arial" w:hAnsi="Arial" w:cs="Arial"/>
          <w:color w:val="000000" w:themeColor="text1"/>
        </w:rPr>
        <w:lastRenderedPageBreak/>
        <w:t xml:space="preserve">However, as Kane has pointed out with the consequences argument, this undermines the conclusion of the argument, however, it does avoid debates about what “could have done otherwise” means, given that alternative possibilities would not be a requirement under the compatibilists account. Interpreting Luther’s actions under the libertarian account, furnished by UR, yields a somewhat different explanation. Because UR does not require alternative possibilities for every action, we can grant Luther his claim that he could “do no other” whilst maintaining that Luther does hold responsibility for his actions.  As long as Luther formed his character earlier in his historical timeline, through a SFA, then we can legitimately make the claim that Luther is indeed responsible for his actions, despite, at that precise moment in time, could not have done other than what he did. The nature and virtue of the SFA is that it has made him who he was at that moment when he performed the action. </w:t>
      </w:r>
    </w:p>
    <w:p w:rsidR="00940995" w:rsidRDefault="00940995" w:rsidP="002125B5">
      <w:pPr>
        <w:spacing w:line="480" w:lineRule="auto"/>
        <w:jc w:val="both"/>
        <w:rPr>
          <w:rFonts w:ascii="Arial" w:hAnsi="Arial" w:cs="Arial"/>
          <w:color w:val="000000" w:themeColor="text1"/>
        </w:rPr>
      </w:pPr>
      <w:r>
        <w:rPr>
          <w:rFonts w:ascii="Arial" w:hAnsi="Arial" w:cs="Arial"/>
          <w:color w:val="000000" w:themeColor="text1"/>
        </w:rPr>
        <w:tab/>
        <w:t>The incompatibility between free will and determinism is highlighted by the conditions required for UR. Alternative possibilities by themselves are not sufficient to make the case for an incompatiblist account of free will and responsibility without the addition of UR, when we add the conditions of UR to the incompatiblist account, together with the SFA’s that UR entails, the libertarian perspective is furnished with quite a formidable arsenal of explanation. Without the addition of undetermined points in an agent</w:t>
      </w:r>
      <w:r w:rsidR="002019B3">
        <w:rPr>
          <w:rFonts w:ascii="Arial" w:hAnsi="Arial" w:cs="Arial"/>
          <w:color w:val="000000" w:themeColor="text1"/>
        </w:rPr>
        <w:t>’</w:t>
      </w:r>
      <w:r>
        <w:rPr>
          <w:rFonts w:ascii="Arial" w:hAnsi="Arial" w:cs="Arial"/>
          <w:color w:val="000000" w:themeColor="text1"/>
        </w:rPr>
        <w:t>s life that are responsible for the formation of the character and motives of the agent, the</w:t>
      </w:r>
      <w:r w:rsidR="002125B5">
        <w:rPr>
          <w:rFonts w:ascii="Arial" w:hAnsi="Arial" w:cs="Arial"/>
          <w:color w:val="000000" w:themeColor="text1"/>
        </w:rPr>
        <w:t>n</w:t>
      </w:r>
      <w:r>
        <w:rPr>
          <w:rFonts w:ascii="Arial" w:hAnsi="Arial" w:cs="Arial"/>
          <w:color w:val="000000" w:themeColor="text1"/>
        </w:rPr>
        <w:t xml:space="preserve"> an infinite regress of causality occurs, and we end up with causes of our behaviour that originate outside of us and before we were even born, let alone be able to form wills of our own. SFA’s require that at least some of our actions must require that they do not </w:t>
      </w:r>
      <w:r>
        <w:rPr>
          <w:rFonts w:ascii="Arial" w:hAnsi="Arial" w:cs="Arial"/>
          <w:color w:val="000000" w:themeColor="text1"/>
        </w:rPr>
        <w:lastRenderedPageBreak/>
        <w:t>have ‘</w:t>
      </w:r>
      <w:r>
        <w:rPr>
          <w:rFonts w:ascii="Arial" w:hAnsi="Arial" w:cs="Arial"/>
          <w:i/>
          <w:color w:val="000000" w:themeColor="text1"/>
        </w:rPr>
        <w:t>sufficient</w:t>
      </w:r>
      <w:r>
        <w:rPr>
          <w:rFonts w:ascii="Arial" w:hAnsi="Arial" w:cs="Arial"/>
          <w:color w:val="000000" w:themeColor="text1"/>
        </w:rPr>
        <w:t>’</w:t>
      </w:r>
      <w:r>
        <w:rPr>
          <w:rStyle w:val="FootnoteReference"/>
          <w:rFonts w:ascii="Arial" w:hAnsi="Arial" w:cs="Arial"/>
          <w:color w:val="000000" w:themeColor="text1"/>
        </w:rPr>
        <w:footnoteReference w:id="85"/>
      </w:r>
      <w:r>
        <w:rPr>
          <w:rFonts w:ascii="Arial" w:hAnsi="Arial" w:cs="Arial"/>
          <w:color w:val="000000" w:themeColor="text1"/>
        </w:rPr>
        <w:t xml:space="preserve"> causes, that is to say, they must be undetermined. </w:t>
      </w:r>
      <w:r w:rsidR="002125B5">
        <w:rPr>
          <w:rFonts w:ascii="Arial" w:hAnsi="Arial" w:cs="Arial"/>
          <w:color w:val="000000" w:themeColor="text1"/>
        </w:rPr>
        <w:t>This ‘window’</w:t>
      </w:r>
      <w:r w:rsidR="002125B5">
        <w:rPr>
          <w:rStyle w:val="FootnoteReference"/>
          <w:rFonts w:ascii="Arial" w:hAnsi="Arial" w:cs="Arial"/>
          <w:color w:val="000000" w:themeColor="text1"/>
        </w:rPr>
        <w:footnoteReference w:id="86"/>
      </w:r>
      <w:r w:rsidR="002125B5">
        <w:rPr>
          <w:rFonts w:ascii="Arial" w:hAnsi="Arial" w:cs="Arial"/>
          <w:color w:val="000000" w:themeColor="text1"/>
        </w:rPr>
        <w:t xml:space="preserve"> of indeterminacy that would in a way cut off the determining force of the agent’s history. </w:t>
      </w:r>
    </w:p>
    <w:p w:rsidR="00940995" w:rsidRDefault="00940995" w:rsidP="00224553">
      <w:pPr>
        <w:spacing w:line="480" w:lineRule="auto"/>
        <w:jc w:val="both"/>
        <w:rPr>
          <w:rFonts w:ascii="Arial" w:hAnsi="Arial" w:cs="Arial"/>
          <w:color w:val="000000" w:themeColor="text1"/>
        </w:rPr>
      </w:pPr>
      <w:r>
        <w:rPr>
          <w:rFonts w:ascii="Arial" w:hAnsi="Arial" w:cs="Arial"/>
          <w:color w:val="000000" w:themeColor="text1"/>
        </w:rPr>
        <w:tab/>
        <w:t>The debate about the compatibility of free will and determinism can be more fruitful in its endeavour by altering the focus. By moving away from discussions surrounding the feasibility of alternative possibilities and towards questions about UR, we may get closer to a better answer to our questions concerning responsibility. The shift in focus from alternative possibilities to UR, we move our focus from terms such as “power,” “ability,” and “can,” to terms such as “sources,” “grounds,” and “reasons”.</w:t>
      </w:r>
      <w:r>
        <w:rPr>
          <w:rStyle w:val="FootnoteReference"/>
          <w:rFonts w:ascii="Arial" w:hAnsi="Arial" w:cs="Arial"/>
          <w:color w:val="000000" w:themeColor="text1"/>
        </w:rPr>
        <w:footnoteReference w:id="87"/>
      </w:r>
      <w:r>
        <w:rPr>
          <w:rFonts w:ascii="Arial" w:hAnsi="Arial" w:cs="Arial"/>
          <w:color w:val="000000" w:themeColor="text1"/>
        </w:rPr>
        <w:t xml:space="preserve"> We move from asking questions about whether there are genuine alternative possibilities, or more than one path in the garden, towards motives and purposes of walking the path that the agent does. When one enquires as to where the motives of the agent come from, we are enquiring about the traditional conception of free will; are we truly responsible for the formations of our characters and motives, or is something else responsible? </w:t>
      </w:r>
    </w:p>
    <w:p w:rsidR="00940995" w:rsidRDefault="00940995" w:rsidP="00224553">
      <w:pPr>
        <w:spacing w:line="480" w:lineRule="auto"/>
        <w:jc w:val="both"/>
        <w:rPr>
          <w:rFonts w:ascii="Arial" w:hAnsi="Arial" w:cs="Arial"/>
          <w:color w:val="000000" w:themeColor="text1"/>
        </w:rPr>
      </w:pPr>
      <w:r>
        <w:rPr>
          <w:rFonts w:ascii="Arial" w:hAnsi="Arial" w:cs="Arial"/>
          <w:color w:val="000000" w:themeColor="text1"/>
        </w:rPr>
        <w:tab/>
        <w:t>In order to help us understand the connection of alternative possibilities to UR, Kane provides us with a few ‘Austin-style examples’.</w:t>
      </w:r>
      <w:r>
        <w:rPr>
          <w:rStyle w:val="FootnoteReference"/>
          <w:rFonts w:ascii="Arial" w:hAnsi="Arial" w:cs="Arial"/>
          <w:color w:val="000000" w:themeColor="text1"/>
        </w:rPr>
        <w:footnoteReference w:id="88"/>
      </w:r>
      <w:r>
        <w:rPr>
          <w:rFonts w:ascii="Arial" w:hAnsi="Arial" w:cs="Arial"/>
          <w:color w:val="000000" w:themeColor="text1"/>
        </w:rPr>
        <w:t xml:space="preserve"> The first involves J. L. Austin, as he is attempting to make a putt. As he swings the club, a</w:t>
      </w:r>
      <w:r w:rsidR="002019B3">
        <w:rPr>
          <w:rFonts w:ascii="Arial" w:hAnsi="Arial" w:cs="Arial"/>
          <w:color w:val="000000" w:themeColor="text1"/>
        </w:rPr>
        <w:t xml:space="preserve"> twitch occurs in his arm and</w:t>
      </w:r>
      <w:r>
        <w:rPr>
          <w:rFonts w:ascii="Arial" w:hAnsi="Arial" w:cs="Arial"/>
          <w:color w:val="000000" w:themeColor="text1"/>
        </w:rPr>
        <w:t xml:space="preserve"> </w:t>
      </w:r>
      <w:r w:rsidR="002019B3">
        <w:rPr>
          <w:rFonts w:ascii="Arial" w:hAnsi="Arial" w:cs="Arial"/>
          <w:color w:val="000000" w:themeColor="text1"/>
        </w:rPr>
        <w:t>missing</w:t>
      </w:r>
      <w:r>
        <w:rPr>
          <w:rFonts w:ascii="Arial" w:hAnsi="Arial" w:cs="Arial"/>
          <w:color w:val="000000" w:themeColor="text1"/>
        </w:rPr>
        <w:t xml:space="preserve"> the putt</w:t>
      </w:r>
      <w:r w:rsidR="002019B3">
        <w:rPr>
          <w:rFonts w:ascii="Arial" w:hAnsi="Arial" w:cs="Arial"/>
          <w:color w:val="000000" w:themeColor="text1"/>
        </w:rPr>
        <w:t xml:space="preserve"> occurs</w:t>
      </w:r>
      <w:r>
        <w:rPr>
          <w:rFonts w:ascii="Arial" w:hAnsi="Arial" w:cs="Arial"/>
          <w:color w:val="000000" w:themeColor="text1"/>
        </w:rPr>
        <w:t xml:space="preserve">. The twitch is supposed to be down to chance. Kane posits that it may be down to quantum indeterminacy in the brain, perhaps random quantum jumps between energy states in a neuron in Austin’s brain caused his arm to twitch randomly. The second example involves an </w:t>
      </w:r>
      <w:r>
        <w:rPr>
          <w:rFonts w:ascii="Arial" w:hAnsi="Arial" w:cs="Arial"/>
          <w:color w:val="000000" w:themeColor="text1"/>
        </w:rPr>
        <w:lastRenderedPageBreak/>
        <w:t>assassin, making an attempt on the life of the prime minister. Due to another twitch, and for the same reasons that Austin misses his putt, the assassin misses his target, hitting the secretary of the prime minister instead, killing him. The third example involves Kane himself, and a vending machine. Due to a twitch, Kane pushes the wrong button and ends up with the wrong product. In each of the examples, there are genuine alternative possibilities, given that the actions were undetermined due to the quantum jumps. The acts in these Austin-style examples, despite being undetermined, could not possibly be considered a free act. The miss by Austin, Kane, and the assassin, was not a free choice made by any of the three. The miss was clearly down to the agent, we can say that missing was something that the agent did. If the source of our actions is undetermined, and the actions come from us, this still does not capture what the libertarian requires from free will. To have free will, we must not only be the source of our actions, we must also be the source that the will comes from when the action is performed. We require ultimate responsibility. Ultimate responsibility requires that the will be set by us in some way, through a choice we have made in the past when forming the will. Events like these are responsible in forming our motives for our actions. What concerns both us and Kane is that, much like freedom of action requires that we are able to do otherwise, freedom of will requires that we could have chosen otherwise ‘</w:t>
      </w:r>
      <w:r>
        <w:rPr>
          <w:rFonts w:ascii="Arial" w:hAnsi="Arial" w:cs="Arial"/>
          <w:i/>
          <w:color w:val="000000" w:themeColor="text1"/>
        </w:rPr>
        <w:t xml:space="preserve">voluntarily </w:t>
      </w:r>
      <w:r>
        <w:rPr>
          <w:rFonts w:ascii="Arial" w:hAnsi="Arial" w:cs="Arial"/>
          <w:color w:val="000000" w:themeColor="text1"/>
        </w:rPr>
        <w:t xml:space="preserve">(or </w:t>
      </w:r>
      <w:r>
        <w:rPr>
          <w:rFonts w:ascii="Arial" w:hAnsi="Arial" w:cs="Arial"/>
          <w:i/>
          <w:color w:val="000000" w:themeColor="text1"/>
        </w:rPr>
        <w:t>willingly</w:t>
      </w:r>
      <w:r>
        <w:rPr>
          <w:rFonts w:ascii="Arial" w:hAnsi="Arial" w:cs="Arial"/>
          <w:color w:val="000000" w:themeColor="text1"/>
        </w:rPr>
        <w:t xml:space="preserve">), </w:t>
      </w:r>
      <w:r>
        <w:rPr>
          <w:rFonts w:ascii="Arial" w:hAnsi="Arial" w:cs="Arial"/>
          <w:i/>
          <w:color w:val="000000" w:themeColor="text1"/>
        </w:rPr>
        <w:t>intentionally</w:t>
      </w:r>
      <w:r>
        <w:rPr>
          <w:rFonts w:ascii="Arial" w:hAnsi="Arial" w:cs="Arial"/>
          <w:color w:val="000000" w:themeColor="text1"/>
        </w:rPr>
        <w:t>, and</w:t>
      </w:r>
      <w:r>
        <w:rPr>
          <w:rFonts w:ascii="Arial" w:hAnsi="Arial" w:cs="Arial"/>
          <w:i/>
          <w:color w:val="000000" w:themeColor="text1"/>
        </w:rPr>
        <w:t xml:space="preserve"> rationally</w:t>
      </w:r>
      <w:r>
        <w:rPr>
          <w:rFonts w:ascii="Arial" w:hAnsi="Arial" w:cs="Arial"/>
          <w:color w:val="000000" w:themeColor="text1"/>
        </w:rPr>
        <w:t>’.</w:t>
      </w:r>
      <w:r>
        <w:rPr>
          <w:rStyle w:val="FootnoteReference"/>
          <w:rFonts w:ascii="Arial" w:hAnsi="Arial" w:cs="Arial"/>
          <w:color w:val="000000" w:themeColor="text1"/>
        </w:rPr>
        <w:footnoteReference w:id="89"/>
      </w:r>
      <w:r>
        <w:rPr>
          <w:rFonts w:ascii="Arial" w:hAnsi="Arial" w:cs="Arial"/>
          <w:color w:val="000000" w:themeColor="text1"/>
        </w:rPr>
        <w:t xml:space="preserve"> These are termed by Kane as the ‘</w:t>
      </w:r>
      <w:r>
        <w:rPr>
          <w:rFonts w:ascii="Arial" w:hAnsi="Arial" w:cs="Arial"/>
          <w:i/>
          <w:color w:val="000000" w:themeColor="text1"/>
        </w:rPr>
        <w:t>plurality conditions</w:t>
      </w:r>
      <w:r>
        <w:rPr>
          <w:rFonts w:ascii="Arial" w:hAnsi="Arial" w:cs="Arial"/>
          <w:color w:val="000000" w:themeColor="text1"/>
        </w:rPr>
        <w:t>’</w:t>
      </w:r>
      <w:r>
        <w:rPr>
          <w:rStyle w:val="FootnoteReference"/>
          <w:rFonts w:ascii="Arial" w:hAnsi="Arial" w:cs="Arial"/>
          <w:color w:val="000000" w:themeColor="text1"/>
        </w:rPr>
        <w:footnoteReference w:id="90"/>
      </w:r>
      <w:r>
        <w:rPr>
          <w:rFonts w:ascii="Arial" w:hAnsi="Arial" w:cs="Arial"/>
          <w:color w:val="000000" w:themeColor="text1"/>
        </w:rPr>
        <w:t xml:space="preserve"> of free will. In order to illustrate more fully what we mean by the plurality conditions, let us revisit the Austin-style example of the assassin again, except with a twist. Imagine </w:t>
      </w:r>
      <w:r>
        <w:rPr>
          <w:rFonts w:ascii="Arial" w:hAnsi="Arial" w:cs="Arial"/>
          <w:color w:val="000000" w:themeColor="text1"/>
        </w:rPr>
        <w:lastRenderedPageBreak/>
        <w:t xml:space="preserve">that, just as the assassin goes to squeeze the trigger of the rifle, the assassin has genuine pangs of guilt and seriously considers if he is to carry on his mission. The assassin now has more than one motive for his actions. Whether he decides to kill his target or not, he has good reasons for either option. Both to kill the target and to refrain from killing the target would be voluntary decisions, they would be intentional decisions, and both options are backed up by good reasons for the assassin. The will setting action that occurs when the assassin makes his choice (a choice that could be down to indeterminacy) satisfies the plurality conditions. To sum up, free will requires that we are ultimately responsible for our wills as well as our actions. To be ultimately responsible for our actions, we must be responsible for the setting of our wills at some point in time. The setting of our wills entails that at least some of our actions must satisfy the plurality conditions, and that alternative possibilities be open to us at that point. </w:t>
      </w:r>
    </w:p>
    <w:p w:rsidR="00940995" w:rsidRDefault="00940995" w:rsidP="00224553">
      <w:pPr>
        <w:spacing w:line="480" w:lineRule="auto"/>
        <w:jc w:val="both"/>
        <w:rPr>
          <w:rFonts w:ascii="Arial" w:hAnsi="Arial" w:cs="Arial"/>
          <w:color w:val="000000" w:themeColor="text1"/>
        </w:rPr>
      </w:pPr>
      <w:r>
        <w:rPr>
          <w:rFonts w:ascii="Arial" w:hAnsi="Arial" w:cs="Arial"/>
          <w:color w:val="000000" w:themeColor="text1"/>
        </w:rPr>
        <w:tab/>
        <w:t xml:space="preserve">Turning next to the intelligibility problem, the libertarian is tasked with forging a conception of freedom of the will that is intelligible to us, given our understanding of the world. The libertarian must conceive of a free will that we can make sense of; entities such as “uncaused causers” or “unmoved movers” will not provide us with a coherent position to take. It is one thing to show that free will is incompatible with the thesis of determinism, and quite another to show that incompatiblist free will can be intelligible and reconcilable with a modern scientific worldview. Indeed, indeterminism seems to require chance, and the spontaneous nature of chance does not offer us a mechanism of control. Chance would seem to undermine free will, rather than offer support to it. Free will, under this sort of conception does not seem compatible with either determinism or indeterminism. There is no responsible choice present, given that such choices </w:t>
      </w:r>
      <w:r>
        <w:rPr>
          <w:rFonts w:ascii="Arial" w:hAnsi="Arial" w:cs="Arial"/>
          <w:color w:val="000000" w:themeColor="text1"/>
        </w:rPr>
        <w:lastRenderedPageBreak/>
        <w:t>seem to be a matter of luck. Take the example of John that Kane provides to further illustrate his point; John had been deliberating between visiting two states, Hawaii and Colorado. After deliberation on this choice, John decides that he would want to visit Hawaii. If indeterminism is the case, and John’s decision is undetermined, then given an identical history, John’s choice may have fallen either way. Whether John visits Colorado or Hawaii seems to be a ‘fluke’,</w:t>
      </w:r>
      <w:r>
        <w:rPr>
          <w:rStyle w:val="FootnoteReference"/>
          <w:rFonts w:ascii="Arial" w:hAnsi="Arial" w:cs="Arial"/>
          <w:color w:val="000000" w:themeColor="text1"/>
        </w:rPr>
        <w:footnoteReference w:id="91"/>
      </w:r>
      <w:r>
        <w:rPr>
          <w:rFonts w:ascii="Arial" w:hAnsi="Arial" w:cs="Arial"/>
          <w:color w:val="000000" w:themeColor="text1"/>
        </w:rPr>
        <w:t xml:space="preserve"> and if he decides to visit Colorado, despite having decided to visit Hawaii, then this choice would seem irrational to say the least. The decision to visit Colorado would be capricious, random, and arbitrary, not a free choice. </w:t>
      </w:r>
    </w:p>
    <w:p w:rsidR="00940995" w:rsidRDefault="00940995" w:rsidP="00224553">
      <w:pPr>
        <w:spacing w:line="480" w:lineRule="auto"/>
        <w:jc w:val="both"/>
        <w:rPr>
          <w:rFonts w:ascii="Arial" w:hAnsi="Arial" w:cs="Arial"/>
          <w:color w:val="000000" w:themeColor="text1"/>
        </w:rPr>
      </w:pPr>
      <w:r>
        <w:rPr>
          <w:rFonts w:ascii="Arial" w:hAnsi="Arial" w:cs="Arial"/>
          <w:color w:val="000000" w:themeColor="text1"/>
        </w:rPr>
        <w:tab/>
        <w:t>The traditional reply of the libertarian would be at this point to posit a metaphysical oddity, “uncaused causers” and such, as mentioned previously. Strategies such as this are ‘extra factor</w:t>
      </w:r>
      <w:r w:rsidRPr="00940995">
        <w:rPr>
          <w:rFonts w:ascii="Arial" w:hAnsi="Arial" w:cs="Arial"/>
          <w:color w:val="000000" w:themeColor="text1"/>
        </w:rPr>
        <w:t xml:space="preserve"> </w:t>
      </w:r>
      <w:r>
        <w:rPr>
          <w:rFonts w:ascii="Arial" w:hAnsi="Arial" w:cs="Arial"/>
          <w:color w:val="000000" w:themeColor="text1"/>
        </w:rPr>
        <w:t>strategies’,</w:t>
      </w:r>
      <w:r>
        <w:rPr>
          <w:rStyle w:val="FootnoteReference"/>
          <w:rFonts w:ascii="Arial" w:hAnsi="Arial" w:cs="Arial"/>
          <w:color w:val="000000" w:themeColor="text1"/>
        </w:rPr>
        <w:footnoteReference w:id="92"/>
      </w:r>
      <w:r>
        <w:rPr>
          <w:rFonts w:ascii="Arial" w:hAnsi="Arial" w:cs="Arial"/>
          <w:color w:val="000000" w:themeColor="text1"/>
        </w:rPr>
        <w:t xml:space="preserve"> and are the source of the accusation that the libertarian resorts to what Peter Strawson terms ‘panicky metaphysics’.</w:t>
      </w:r>
      <w:r>
        <w:rPr>
          <w:rStyle w:val="FootnoteReference"/>
          <w:rFonts w:ascii="Arial" w:hAnsi="Arial" w:cs="Arial"/>
          <w:color w:val="000000" w:themeColor="text1"/>
        </w:rPr>
        <w:footnoteReference w:id="93"/>
      </w:r>
      <w:r w:rsidR="00267BFF">
        <w:rPr>
          <w:rFonts w:ascii="Arial" w:hAnsi="Arial" w:cs="Arial"/>
          <w:color w:val="000000" w:themeColor="text1"/>
        </w:rPr>
        <w:t xml:space="preserve"> These extra factor strategies posit that in an undetermined world, given the exact same history coupled with the extra factor strategy leads to alternative possibilities and more than one future open to the agent. Metaphysically dubious agents open the libertarian position to unnecessary attack, primarily the accusation of mysticism is levied against such positions, given that such an entity cannot be readily accepted into the scientific picture of what an undetermined world would look like.</w:t>
      </w:r>
      <w:r w:rsidR="00267BFF">
        <w:rPr>
          <w:rStyle w:val="FootnoteReference"/>
          <w:rFonts w:ascii="Arial" w:hAnsi="Arial" w:cs="Arial"/>
          <w:color w:val="000000" w:themeColor="text1"/>
        </w:rPr>
        <w:footnoteReference w:id="94"/>
      </w:r>
      <w:r w:rsidR="00267BFF">
        <w:rPr>
          <w:rFonts w:ascii="Arial" w:hAnsi="Arial" w:cs="Arial"/>
          <w:color w:val="000000" w:themeColor="text1"/>
        </w:rPr>
        <w:t xml:space="preserve"> </w:t>
      </w:r>
    </w:p>
    <w:p w:rsidR="00267BFF" w:rsidRDefault="00267BFF" w:rsidP="00224553">
      <w:pPr>
        <w:spacing w:line="480" w:lineRule="auto"/>
        <w:jc w:val="both"/>
        <w:rPr>
          <w:rFonts w:ascii="Arial" w:hAnsi="Arial" w:cs="Arial"/>
          <w:color w:val="000000" w:themeColor="text1"/>
        </w:rPr>
      </w:pPr>
      <w:r>
        <w:rPr>
          <w:rFonts w:ascii="Arial" w:hAnsi="Arial" w:cs="Arial"/>
          <w:color w:val="000000" w:themeColor="text1"/>
        </w:rPr>
        <w:tab/>
        <w:t xml:space="preserve">Instead of positing metaphysically dubious entities, Kane instead claims that quantum indeterminacy in neural networks provide the type of indeterminism </w:t>
      </w:r>
      <w:r>
        <w:rPr>
          <w:rFonts w:ascii="Arial" w:hAnsi="Arial" w:cs="Arial"/>
          <w:color w:val="000000" w:themeColor="text1"/>
        </w:rPr>
        <w:lastRenderedPageBreak/>
        <w:t>required, and this can be made intelligible, and the source of freedom of the will. In the formation of our wills and characters (SFA’s) that occur when there is genuine tension between two choices,</w:t>
      </w:r>
      <w:r w:rsidR="00F518FC">
        <w:rPr>
          <w:rStyle w:val="FootnoteReference"/>
          <w:rFonts w:ascii="Arial" w:hAnsi="Arial" w:cs="Arial"/>
          <w:color w:val="000000" w:themeColor="text1"/>
        </w:rPr>
        <w:footnoteReference w:id="95"/>
      </w:r>
      <w:r>
        <w:rPr>
          <w:rFonts w:ascii="Arial" w:hAnsi="Arial" w:cs="Arial"/>
          <w:color w:val="000000" w:themeColor="text1"/>
        </w:rPr>
        <w:t xml:space="preserve"> two competing neural networks give us the feeling of being torn in a decision. ‘Micro-indeterminacies at the neural level’</w:t>
      </w:r>
      <w:r>
        <w:rPr>
          <w:rStyle w:val="FootnoteReference"/>
          <w:rFonts w:ascii="Arial" w:hAnsi="Arial" w:cs="Arial"/>
          <w:color w:val="000000" w:themeColor="text1"/>
        </w:rPr>
        <w:footnoteReference w:id="96"/>
      </w:r>
      <w:r>
        <w:rPr>
          <w:rFonts w:ascii="Arial" w:hAnsi="Arial" w:cs="Arial"/>
          <w:color w:val="000000" w:themeColor="text1"/>
        </w:rPr>
        <w:t xml:space="preserve"> cause the tension felt with such decisions. Such indeterminacy, and which neural network winning being undetermined, give us genuine alternative possibilities. When the choice is made and the undetermined becomes determined exercise of the freedom of the will occurs as part of making the undetermined determined as part of making the choice. Imagine a businesswoman is on her way to a critical meeting.</w:t>
      </w:r>
      <w:r>
        <w:rPr>
          <w:rStyle w:val="FootnoteReference"/>
          <w:rFonts w:ascii="Arial" w:hAnsi="Arial" w:cs="Arial"/>
          <w:color w:val="000000" w:themeColor="text1"/>
        </w:rPr>
        <w:footnoteReference w:id="97"/>
      </w:r>
      <w:r>
        <w:rPr>
          <w:rFonts w:ascii="Arial" w:hAnsi="Arial" w:cs="Arial"/>
          <w:color w:val="000000" w:themeColor="text1"/>
        </w:rPr>
        <w:t xml:space="preserve"> Attending this meeting will benefit her career immensely. On her way, she walks past an alley, in which an assault is taking place. The businesswoman now has an inner struggle between her impulses to help and her important meeting and its associated career benefits. One neural network is driving her towards helping, and another is directing her towards going to the meeting. She has very good reasons for whichever action is taken, both comply with the plurality conditions mentioned previously. Due to both neural networks being undetermined by undetermined quantum events, we can say that genuine alternative possibilities are open to the businesswoman. Moreover, the source of both actions would be the agent, both actions would be intentional and the agent would claim that both actions originate from her, unlike in the Austin style cases mentioned earlier. In this example, the agent sets her will by which ever action she does. A choice is made to either stop or carry on. In performing the action, </w:t>
      </w:r>
      <w:r>
        <w:rPr>
          <w:rFonts w:ascii="Arial" w:hAnsi="Arial" w:cs="Arial"/>
          <w:color w:val="000000" w:themeColor="text1"/>
        </w:rPr>
        <w:lastRenderedPageBreak/>
        <w:t>we let one set of motivations win out over another ‘</w:t>
      </w:r>
      <w:r>
        <w:rPr>
          <w:rFonts w:ascii="Arial" w:hAnsi="Arial" w:cs="Arial"/>
          <w:i/>
          <w:color w:val="000000" w:themeColor="text1"/>
        </w:rPr>
        <w:t>by deciding’</w:t>
      </w:r>
      <w:r>
        <w:rPr>
          <w:rFonts w:ascii="Arial" w:hAnsi="Arial" w:cs="Arial"/>
          <w:color w:val="000000" w:themeColor="text1"/>
        </w:rPr>
        <w:t>.</w:t>
      </w:r>
      <w:r>
        <w:rPr>
          <w:rStyle w:val="FootnoteReference"/>
          <w:rFonts w:ascii="Arial" w:hAnsi="Arial" w:cs="Arial"/>
          <w:color w:val="000000" w:themeColor="text1"/>
        </w:rPr>
        <w:footnoteReference w:id="98"/>
      </w:r>
      <w:r>
        <w:rPr>
          <w:rFonts w:ascii="Arial" w:hAnsi="Arial" w:cs="Arial"/>
          <w:color w:val="000000" w:themeColor="text1"/>
        </w:rPr>
        <w:t xml:space="preserve"> Indeterminism poses, in this case, no threat to our rationality or voluntariness of our actions according to Kane.</w:t>
      </w:r>
    </w:p>
    <w:p w:rsidR="00267BFF" w:rsidRDefault="00267BFF" w:rsidP="00224553">
      <w:pPr>
        <w:spacing w:line="480" w:lineRule="auto"/>
        <w:jc w:val="both"/>
        <w:rPr>
          <w:rFonts w:ascii="Arial" w:hAnsi="Arial" w:cs="Arial"/>
          <w:color w:val="000000" w:themeColor="text1"/>
        </w:rPr>
      </w:pPr>
      <w:r>
        <w:rPr>
          <w:rFonts w:ascii="Arial" w:hAnsi="Arial" w:cs="Arial"/>
          <w:color w:val="000000" w:themeColor="text1"/>
        </w:rPr>
        <w:tab/>
        <w:t xml:space="preserve">Just as indeterminism poses no threat in this case to the rationality or voluntariness of our actions, Kane also argues that in does not necessarily undermine our notions of control and responsibility. Imagine we are attempting to solve a mathematical problem. Quantum indeterminacy in our brains in this scenario act as background noise against which an undetermined neural network that is attempting to solve the mathematical problem must struggle to overcome. Success in this scenario is undetermined, due to the undetermined nature of the brain. If we are successful in solving the problem, we are responsible for solving the problem despite its success being undetermined. This example is much like the earlier mentioned Austin style examples. If the assassin hits his target or Austin hits his putt, they are responsible for their success despite the success being undetermined. Indeterminism in light of these examples shows that it does not necessarily undermine responsibility. The Austin style examples and the mathematical problem examples do not give us everything we require for free will, given that they are not instances of SFA’s such as the businesswoman’s. </w:t>
      </w:r>
      <w:r w:rsidR="00006FDB">
        <w:rPr>
          <w:rFonts w:ascii="Arial" w:hAnsi="Arial" w:cs="Arial"/>
          <w:color w:val="000000" w:themeColor="text1"/>
        </w:rPr>
        <w:t xml:space="preserve">The major difference between the case of the businesswoman and Austin style examples is that the businesswoman has conflicting motives, and the Austin style examples have only the singular motive of completing the action that they intended on doing. </w:t>
      </w:r>
    </w:p>
    <w:p w:rsidR="00006FDB" w:rsidRDefault="00006FDB" w:rsidP="00224553">
      <w:pPr>
        <w:spacing w:line="480" w:lineRule="auto"/>
        <w:jc w:val="both"/>
        <w:rPr>
          <w:rFonts w:ascii="Arial" w:hAnsi="Arial" w:cs="Arial"/>
          <w:color w:val="000000" w:themeColor="text1"/>
        </w:rPr>
      </w:pPr>
      <w:r>
        <w:rPr>
          <w:rFonts w:ascii="Arial" w:hAnsi="Arial" w:cs="Arial"/>
          <w:color w:val="000000" w:themeColor="text1"/>
        </w:rPr>
        <w:tab/>
        <w:t xml:space="preserve">In cases where there are two conflicting motives, and the motives are the result of two competing undetermined neural networks, the obstacle that needs </w:t>
      </w:r>
      <w:r>
        <w:rPr>
          <w:rFonts w:ascii="Arial" w:hAnsi="Arial" w:cs="Arial"/>
          <w:color w:val="000000" w:themeColor="text1"/>
        </w:rPr>
        <w:lastRenderedPageBreak/>
        <w:t>to be overcome is the agents will herself. The combination of the chaos of the neural network coupled with indeterminacy at the quantum level in the neural network, when one network wins out over another, it is much like the mathematical problem mentioned earlier, if we hold the agent responsible for solving the mathematical problem, we would have to say that the agent is responsible for ‘</w:t>
      </w:r>
      <w:r>
        <w:rPr>
          <w:rFonts w:ascii="Arial" w:hAnsi="Arial" w:cs="Arial"/>
          <w:i/>
          <w:color w:val="000000" w:themeColor="text1"/>
        </w:rPr>
        <w:t>whichever outcome is chosen’</w:t>
      </w:r>
      <w:r>
        <w:rPr>
          <w:rFonts w:ascii="Arial" w:hAnsi="Arial" w:cs="Arial"/>
          <w:color w:val="000000" w:themeColor="text1"/>
        </w:rPr>
        <w:t>,</w:t>
      </w:r>
      <w:r>
        <w:rPr>
          <w:rStyle w:val="FootnoteReference"/>
          <w:rFonts w:ascii="Arial" w:hAnsi="Arial" w:cs="Arial"/>
          <w:color w:val="000000" w:themeColor="text1"/>
        </w:rPr>
        <w:footnoteReference w:id="99"/>
      </w:r>
      <w:r>
        <w:rPr>
          <w:rFonts w:ascii="Arial" w:hAnsi="Arial" w:cs="Arial"/>
          <w:color w:val="000000" w:themeColor="text1"/>
        </w:rPr>
        <w:t xml:space="preserve"> whether the businesswoman stops or continues, she would be responsible. When the conditions for SFAs are met, control is exercised then and there in the act of deciding. The ‘parallel processing’</w:t>
      </w:r>
      <w:r>
        <w:rPr>
          <w:rStyle w:val="FootnoteReference"/>
          <w:rFonts w:ascii="Arial" w:hAnsi="Arial" w:cs="Arial"/>
          <w:color w:val="000000" w:themeColor="text1"/>
        </w:rPr>
        <w:footnoteReference w:id="100"/>
      </w:r>
      <w:r>
        <w:rPr>
          <w:rFonts w:ascii="Arial" w:hAnsi="Arial" w:cs="Arial"/>
          <w:color w:val="000000" w:themeColor="text1"/>
        </w:rPr>
        <w:t xml:space="preserve"> that occurs as the two neural networks exert ‘</w:t>
      </w:r>
      <w:r>
        <w:rPr>
          <w:rFonts w:ascii="Arial" w:hAnsi="Arial" w:cs="Arial"/>
          <w:i/>
          <w:color w:val="000000" w:themeColor="text1"/>
        </w:rPr>
        <w:t>plural voluntary control’.</w:t>
      </w:r>
      <w:r w:rsidRPr="00006FDB">
        <w:rPr>
          <w:rStyle w:val="FootnoteReference"/>
          <w:rFonts w:ascii="Arial" w:hAnsi="Arial" w:cs="Arial"/>
          <w:color w:val="000000" w:themeColor="text1"/>
        </w:rPr>
        <w:footnoteReference w:id="101"/>
      </w:r>
      <w:r>
        <w:rPr>
          <w:rFonts w:ascii="Arial" w:hAnsi="Arial" w:cs="Arial"/>
          <w:color w:val="000000" w:themeColor="text1"/>
        </w:rPr>
        <w:t xml:space="preserve"> </w:t>
      </w:r>
    </w:p>
    <w:p w:rsidR="00006FDB" w:rsidRPr="00006FDB" w:rsidRDefault="00006FDB" w:rsidP="00224553">
      <w:pPr>
        <w:spacing w:line="480" w:lineRule="auto"/>
        <w:jc w:val="both"/>
        <w:rPr>
          <w:rFonts w:ascii="Arial" w:hAnsi="Arial" w:cs="Arial"/>
          <w:color w:val="000000" w:themeColor="text1"/>
        </w:rPr>
      </w:pPr>
      <w:r>
        <w:rPr>
          <w:rFonts w:ascii="Arial" w:hAnsi="Arial" w:cs="Arial"/>
          <w:color w:val="000000" w:themeColor="text1"/>
        </w:rPr>
        <w:tab/>
        <w:t>Under Kane’s conception of free will, indeterminism can be held as consistent with nondeterministic and probabilistic causation. Indeterminism merely rules out an entirely deterministic causal world. It is a mistake to say that this type of causation can be mere chance. Indeterminism cannot be properly separated from acts of will, ‘the effort and the indeterminism are fused’</w:t>
      </w:r>
      <w:r>
        <w:rPr>
          <w:rStyle w:val="FootnoteReference"/>
          <w:rFonts w:ascii="Arial" w:hAnsi="Arial" w:cs="Arial"/>
          <w:color w:val="000000" w:themeColor="text1"/>
        </w:rPr>
        <w:footnoteReference w:id="102"/>
      </w:r>
      <w:r>
        <w:rPr>
          <w:rFonts w:ascii="Arial" w:hAnsi="Arial" w:cs="Arial"/>
          <w:color w:val="000000" w:themeColor="text1"/>
        </w:rPr>
        <w:t xml:space="preserve"> and cannot be separated. The effort of the will is not prior to the intervention of chance, the indeterminism is a property of the choice. The choice is not a result of chance, it is a direct result of the businesswoman’s efforts. </w:t>
      </w:r>
    </w:p>
    <w:p w:rsidR="00C42FAC" w:rsidRPr="00C42FAC" w:rsidRDefault="00C42FAC">
      <w:pPr>
        <w:rPr>
          <w:rFonts w:ascii="Arial" w:hAnsi="Arial" w:cs="Arial"/>
          <w:color w:val="000000" w:themeColor="text1"/>
        </w:rPr>
      </w:pPr>
    </w:p>
    <w:p w:rsidR="00A71A02" w:rsidRPr="001709C8" w:rsidRDefault="00A71A02">
      <w:pPr>
        <w:rPr>
          <w:rFonts w:ascii="Arial" w:hAnsi="Arial" w:cs="Arial"/>
          <w:color w:val="FF0000"/>
        </w:rPr>
      </w:pPr>
    </w:p>
    <w:p w:rsidR="00771F74" w:rsidRDefault="00771F74">
      <w:pPr>
        <w:rPr>
          <w:rFonts w:ascii="Arial" w:eastAsiaTheme="majorEastAsia" w:hAnsi="Arial" w:cs="Arial"/>
          <w:color w:val="2F5496" w:themeColor="accent1" w:themeShade="BF"/>
          <w:sz w:val="32"/>
          <w:szCs w:val="32"/>
        </w:rPr>
      </w:pPr>
      <w:r>
        <w:rPr>
          <w:rFonts w:ascii="Arial" w:hAnsi="Arial" w:cs="Arial"/>
        </w:rPr>
        <w:br w:type="page"/>
      </w:r>
    </w:p>
    <w:p w:rsidR="00A71A02" w:rsidRPr="00F07A8B" w:rsidRDefault="00737F0A" w:rsidP="00F07A8B">
      <w:pPr>
        <w:pStyle w:val="Heading1"/>
        <w:rPr>
          <w:rFonts w:ascii="Arial" w:hAnsi="Arial" w:cs="Arial"/>
        </w:rPr>
      </w:pPr>
      <w:bookmarkStart w:id="6" w:name="_Toc515445729"/>
      <w:r w:rsidRPr="00F07A8B">
        <w:rPr>
          <w:rFonts w:ascii="Arial" w:hAnsi="Arial" w:cs="Arial"/>
        </w:rPr>
        <w:lastRenderedPageBreak/>
        <w:t>Remarks</w:t>
      </w:r>
      <w:bookmarkEnd w:id="6"/>
    </w:p>
    <w:p w:rsidR="00737F0A" w:rsidRDefault="00737F0A">
      <w:pPr>
        <w:rPr>
          <w:rFonts w:ascii="Arial" w:hAnsi="Arial" w:cs="Arial"/>
          <w:color w:val="FF0000"/>
        </w:rPr>
      </w:pPr>
    </w:p>
    <w:p w:rsidR="00F07A8B" w:rsidRDefault="00F07A8B" w:rsidP="00737F0A">
      <w:pPr>
        <w:spacing w:line="480" w:lineRule="auto"/>
        <w:jc w:val="both"/>
        <w:rPr>
          <w:rFonts w:ascii="Arial" w:hAnsi="Arial" w:cs="Arial"/>
          <w:color w:val="000000" w:themeColor="text1"/>
        </w:rPr>
      </w:pPr>
    </w:p>
    <w:p w:rsidR="00737F0A" w:rsidRDefault="00737F0A" w:rsidP="00737F0A">
      <w:pPr>
        <w:spacing w:line="480" w:lineRule="auto"/>
        <w:jc w:val="both"/>
        <w:rPr>
          <w:rFonts w:ascii="Arial" w:hAnsi="Arial" w:cs="Arial"/>
          <w:color w:val="000000" w:themeColor="text1"/>
        </w:rPr>
      </w:pPr>
      <w:r w:rsidRPr="00737F0A">
        <w:rPr>
          <w:rFonts w:ascii="Arial" w:hAnsi="Arial" w:cs="Arial"/>
          <w:color w:val="000000" w:themeColor="text1"/>
        </w:rPr>
        <w:t>So far</w:t>
      </w:r>
      <w:r>
        <w:rPr>
          <w:rFonts w:ascii="Arial" w:hAnsi="Arial" w:cs="Arial"/>
          <w:color w:val="000000" w:themeColor="text1"/>
        </w:rPr>
        <w:t xml:space="preserve">, I have argued that the Frankfurtian account is an insufficient conception of free will. There are problems with the way in which identification with desires is pictured in the Frankfurtian account, adding values in the way Watson describes to the framework goes some way towards strengthening the structure, but there are still further issues with the deep-self views. If the deepest self is gravely and unavoidably mistaken about the publicly accepted range of values to hold about our desires to perform actions, then the freedom we would otherwise grant to those actions slips away. If the source of our values is unavoidably mistaken, then responsibility for the actions that result from those values is revoked. </w:t>
      </w:r>
    </w:p>
    <w:p w:rsidR="00737F0A" w:rsidRDefault="00737F0A" w:rsidP="00737F0A">
      <w:pPr>
        <w:spacing w:line="480" w:lineRule="auto"/>
        <w:jc w:val="both"/>
        <w:rPr>
          <w:rFonts w:ascii="Arial" w:hAnsi="Arial" w:cs="Arial"/>
          <w:color w:val="000000" w:themeColor="text1"/>
        </w:rPr>
      </w:pPr>
      <w:r>
        <w:rPr>
          <w:rFonts w:ascii="Arial" w:hAnsi="Arial" w:cs="Arial"/>
          <w:color w:val="000000" w:themeColor="text1"/>
        </w:rPr>
        <w:tab/>
        <w:t xml:space="preserve">What I would argue, is that we would revoke responsibility not by the degree that </w:t>
      </w:r>
      <w:proofErr w:type="spellStart"/>
      <w:r>
        <w:rPr>
          <w:rFonts w:ascii="Arial" w:hAnsi="Arial" w:cs="Arial"/>
          <w:color w:val="000000" w:themeColor="text1"/>
        </w:rPr>
        <w:t>JoJo</w:t>
      </w:r>
      <w:proofErr w:type="spellEnd"/>
      <w:r>
        <w:rPr>
          <w:rFonts w:ascii="Arial" w:hAnsi="Arial" w:cs="Arial"/>
          <w:color w:val="000000" w:themeColor="text1"/>
        </w:rPr>
        <w:t xml:space="preserve"> was mistaken about the values of the subjects of his kingdom, but by the amount of SFA’s available to </w:t>
      </w:r>
      <w:proofErr w:type="spellStart"/>
      <w:r>
        <w:rPr>
          <w:rFonts w:ascii="Arial" w:hAnsi="Arial" w:cs="Arial"/>
          <w:color w:val="000000" w:themeColor="text1"/>
        </w:rPr>
        <w:t>JoJo</w:t>
      </w:r>
      <w:proofErr w:type="spellEnd"/>
      <w:r>
        <w:rPr>
          <w:rFonts w:ascii="Arial" w:hAnsi="Arial" w:cs="Arial"/>
          <w:color w:val="000000" w:themeColor="text1"/>
        </w:rPr>
        <w:t xml:space="preserve">. If </w:t>
      </w:r>
      <w:proofErr w:type="spellStart"/>
      <w:r>
        <w:rPr>
          <w:rFonts w:ascii="Arial" w:hAnsi="Arial" w:cs="Arial"/>
          <w:color w:val="000000" w:themeColor="text1"/>
        </w:rPr>
        <w:t>JoJo</w:t>
      </w:r>
      <w:proofErr w:type="spellEnd"/>
      <w:r>
        <w:rPr>
          <w:rFonts w:ascii="Arial" w:hAnsi="Arial" w:cs="Arial"/>
          <w:color w:val="000000" w:themeColor="text1"/>
        </w:rPr>
        <w:t xml:space="preserve"> had a lack of genuine alternative possibilities in his upbringing</w:t>
      </w:r>
      <w:r w:rsidR="00B11F1F">
        <w:rPr>
          <w:rFonts w:ascii="Arial" w:hAnsi="Arial" w:cs="Arial"/>
          <w:color w:val="000000" w:themeColor="text1"/>
        </w:rPr>
        <w:t>,</w:t>
      </w:r>
      <w:r>
        <w:rPr>
          <w:rFonts w:ascii="Arial" w:hAnsi="Arial" w:cs="Arial"/>
          <w:color w:val="000000" w:themeColor="text1"/>
        </w:rPr>
        <w:t xml:space="preserve"> (which I would suggest is a plausible reading of Wolf’</w:t>
      </w:r>
      <w:r w:rsidR="00B11F1F">
        <w:rPr>
          <w:rFonts w:ascii="Arial" w:hAnsi="Arial" w:cs="Arial"/>
          <w:color w:val="000000" w:themeColor="text1"/>
        </w:rPr>
        <w:t xml:space="preserve">s example) then we would not say that </w:t>
      </w:r>
      <w:proofErr w:type="spellStart"/>
      <w:r w:rsidR="00B11F1F">
        <w:rPr>
          <w:rFonts w:ascii="Arial" w:hAnsi="Arial" w:cs="Arial"/>
          <w:color w:val="000000" w:themeColor="text1"/>
        </w:rPr>
        <w:t>JoJo</w:t>
      </w:r>
      <w:proofErr w:type="spellEnd"/>
      <w:r w:rsidR="00B11F1F">
        <w:rPr>
          <w:rFonts w:ascii="Arial" w:hAnsi="Arial" w:cs="Arial"/>
          <w:color w:val="000000" w:themeColor="text1"/>
        </w:rPr>
        <w:t xml:space="preserve"> was free. Kane’s libertarian argument accepts the conclusions of the sane deep-self view, and for a similar reason to Wolf, the source of the formation of the character did not allow for </w:t>
      </w:r>
      <w:proofErr w:type="spellStart"/>
      <w:r w:rsidR="00B11F1F">
        <w:rPr>
          <w:rFonts w:ascii="Arial" w:hAnsi="Arial" w:cs="Arial"/>
          <w:color w:val="000000" w:themeColor="text1"/>
        </w:rPr>
        <w:t>JoJo</w:t>
      </w:r>
      <w:proofErr w:type="spellEnd"/>
      <w:r w:rsidR="00B11F1F">
        <w:rPr>
          <w:rFonts w:ascii="Arial" w:hAnsi="Arial" w:cs="Arial"/>
          <w:color w:val="000000" w:themeColor="text1"/>
        </w:rPr>
        <w:t xml:space="preserve"> to turn out any other way than he did. For the libertarian, it is because of a lack of sufficient SFA’s, for Wolf, it is because of the conditions of sanity. What I am suggesting here, is that the concerns about the conditions of sanity are concerns about whether a person has had a sufficient amount of SFA’s to be considered authors of their own selves. </w:t>
      </w:r>
    </w:p>
    <w:p w:rsidR="00B11F1F" w:rsidRDefault="00B11F1F" w:rsidP="00737F0A">
      <w:pPr>
        <w:spacing w:line="480" w:lineRule="auto"/>
        <w:jc w:val="both"/>
        <w:rPr>
          <w:rFonts w:ascii="Arial" w:hAnsi="Arial" w:cs="Arial"/>
          <w:color w:val="000000" w:themeColor="text1"/>
        </w:rPr>
      </w:pPr>
      <w:r>
        <w:rPr>
          <w:rFonts w:ascii="Arial" w:hAnsi="Arial" w:cs="Arial"/>
          <w:color w:val="000000" w:themeColor="text1"/>
        </w:rPr>
        <w:lastRenderedPageBreak/>
        <w:tab/>
        <w:t xml:space="preserve">The setting of our values by our deepest-selves through an appropriate amount of </w:t>
      </w:r>
      <w:r w:rsidR="00EC4727">
        <w:rPr>
          <w:rFonts w:ascii="Arial" w:hAnsi="Arial" w:cs="Arial"/>
          <w:color w:val="000000" w:themeColor="text1"/>
        </w:rPr>
        <w:t>SFA’s leaves</w:t>
      </w:r>
      <w:r>
        <w:rPr>
          <w:rFonts w:ascii="Arial" w:hAnsi="Arial" w:cs="Arial"/>
          <w:color w:val="000000" w:themeColor="text1"/>
        </w:rPr>
        <w:t xml:space="preserve"> enough room for us to be self-edited or self-authored. </w:t>
      </w:r>
      <w:r w:rsidR="00EC4727">
        <w:rPr>
          <w:rFonts w:ascii="Arial" w:hAnsi="Arial" w:cs="Arial"/>
          <w:color w:val="000000" w:themeColor="text1"/>
        </w:rPr>
        <w:t xml:space="preserve">Adding SFA’s to the picture stops the potential regress to </w:t>
      </w:r>
      <w:r w:rsidR="00EC4727">
        <w:rPr>
          <w:rFonts w:ascii="Arial" w:hAnsi="Arial" w:cs="Arial"/>
          <w:i/>
          <w:color w:val="000000" w:themeColor="text1"/>
        </w:rPr>
        <w:t>n</w:t>
      </w:r>
      <w:r w:rsidR="00EC4727">
        <w:rPr>
          <w:rFonts w:ascii="Arial" w:hAnsi="Arial" w:cs="Arial"/>
          <w:color w:val="000000" w:themeColor="text1"/>
          <w:vertAlign w:val="superscript"/>
        </w:rPr>
        <w:t>th</w:t>
      </w:r>
      <w:r w:rsidR="00EC4727">
        <w:rPr>
          <w:rFonts w:ascii="Arial" w:hAnsi="Arial" w:cs="Arial"/>
          <w:color w:val="000000" w:themeColor="text1"/>
        </w:rPr>
        <w:t xml:space="preserve"> order deeper-selves by providing an event where a genuine alternative possibility is open, and the conditions for ultimate responsibility are satisfied under Kane’s conception of free will. </w:t>
      </w:r>
    </w:p>
    <w:p w:rsidR="00EC4727" w:rsidRDefault="00EC4727" w:rsidP="00737F0A">
      <w:pPr>
        <w:spacing w:line="480" w:lineRule="auto"/>
        <w:jc w:val="both"/>
        <w:rPr>
          <w:rFonts w:ascii="Arial" w:hAnsi="Arial" w:cs="Arial"/>
          <w:color w:val="000000" w:themeColor="text1"/>
        </w:rPr>
      </w:pPr>
      <w:r>
        <w:rPr>
          <w:rFonts w:ascii="Arial" w:hAnsi="Arial" w:cs="Arial"/>
          <w:color w:val="000000" w:themeColor="text1"/>
        </w:rPr>
        <w:tab/>
        <w:t xml:space="preserve">Revisiting the case of Frankfurt’s wanton, we can interpret the wanton as a person who has never had any SFA’s. Their indifference to their desires is exemplary of a distinct lack of events in their life where a genuine SFA is present. What is interesting to consider is whether, if Kane’s indeterminacy is false, we are all wanton in all our actions. Without genuine SFA’s that rely on the indeterminism of the world, we would all lack the moments in our life where we would be ultimately responsible for the formations of our values or higher order desires. Our deepest selves would not be up to us, forces outside of our control would be responsible for who we are. The transfer of powerlessness principle shows that we would be unfree in a determined world, the compatibilist interpretation of the </w:t>
      </w:r>
      <w:r w:rsidR="00853E02">
        <w:rPr>
          <w:rFonts w:ascii="Arial" w:hAnsi="Arial" w:cs="Arial"/>
          <w:color w:val="000000" w:themeColor="text1"/>
        </w:rPr>
        <w:t>nature of “can” causes the transfer of powerlessness to fail.</w:t>
      </w:r>
      <w:r>
        <w:rPr>
          <w:rFonts w:ascii="Arial" w:hAnsi="Arial" w:cs="Arial"/>
          <w:color w:val="000000" w:themeColor="text1"/>
        </w:rPr>
        <w:t xml:space="preserve"> Under Kane’s conception, the argument that we are powerless to change the future would not occur, as the world is not determined. </w:t>
      </w:r>
    </w:p>
    <w:p w:rsidR="00853E02" w:rsidRDefault="00853E02" w:rsidP="00737F0A">
      <w:pPr>
        <w:spacing w:line="480" w:lineRule="auto"/>
        <w:jc w:val="both"/>
        <w:rPr>
          <w:rFonts w:ascii="Arial" w:hAnsi="Arial" w:cs="Arial"/>
          <w:color w:val="000000" w:themeColor="text1"/>
        </w:rPr>
      </w:pPr>
      <w:r>
        <w:rPr>
          <w:rFonts w:ascii="Arial" w:hAnsi="Arial" w:cs="Arial"/>
          <w:color w:val="000000" w:themeColor="text1"/>
        </w:rPr>
        <w:tab/>
        <w:t xml:space="preserve">Rather than viewing Wolf’s kleptomaniac as alienated from their deepest-self, we can make the claim under Kane’s libertarian position that her brain is faulty in the relevant way to being a kleptomaniac. The kleptomaniac’s behaviour can be determined entirely with respect to their stealing, as all the libertarian account provided requires is that </w:t>
      </w:r>
      <w:r>
        <w:rPr>
          <w:rFonts w:ascii="Arial" w:hAnsi="Arial" w:cs="Arial"/>
          <w:i/>
          <w:color w:val="000000" w:themeColor="text1"/>
        </w:rPr>
        <w:t>some</w:t>
      </w:r>
      <w:r>
        <w:rPr>
          <w:rFonts w:ascii="Arial" w:hAnsi="Arial" w:cs="Arial"/>
          <w:color w:val="000000" w:themeColor="text1"/>
        </w:rPr>
        <w:t xml:space="preserve"> actions be SFA’s during the agent’s </w:t>
      </w:r>
      <w:r>
        <w:rPr>
          <w:rFonts w:ascii="Arial" w:hAnsi="Arial" w:cs="Arial"/>
          <w:color w:val="000000" w:themeColor="text1"/>
        </w:rPr>
        <w:lastRenderedPageBreak/>
        <w:t xml:space="preserve">history. These may not necessarily be related to the kleptomaniac’s theft habit at all. </w:t>
      </w:r>
    </w:p>
    <w:p w:rsidR="00853E02" w:rsidRDefault="00853E02" w:rsidP="00737F0A">
      <w:pPr>
        <w:spacing w:line="480" w:lineRule="auto"/>
        <w:jc w:val="both"/>
        <w:rPr>
          <w:rFonts w:ascii="Arial" w:hAnsi="Arial" w:cs="Arial"/>
          <w:color w:val="000000" w:themeColor="text1"/>
        </w:rPr>
      </w:pPr>
      <w:r>
        <w:rPr>
          <w:rFonts w:ascii="Arial" w:hAnsi="Arial" w:cs="Arial"/>
          <w:color w:val="000000" w:themeColor="text1"/>
        </w:rPr>
        <w:tab/>
        <w:t>Self-critical formation of our characters, I would argue, is an essential part of being considered free in our wills to be responsible for our actions. Frankfurt, Watson, and Wolf’s compatibilist accounts all require this basic feature. Where the libertarian account of Kane is added to the picture, we can make better sense of the deep-self views. We can view the condition of sanity not as a normative condition, but as a potentially empirical question. Do SFA’s, as Kane describes them ex</w:t>
      </w:r>
      <w:r w:rsidR="001505C3">
        <w:rPr>
          <w:rFonts w:ascii="Arial" w:hAnsi="Arial" w:cs="Arial"/>
          <w:color w:val="000000" w:themeColor="text1"/>
        </w:rPr>
        <w:t>ist, can they be shown to occur, say with a sufficiently complex set of scientific apparatus?</w:t>
      </w:r>
    </w:p>
    <w:p w:rsidR="001505C3" w:rsidRDefault="001505C3" w:rsidP="00737F0A">
      <w:pPr>
        <w:spacing w:line="480" w:lineRule="auto"/>
        <w:jc w:val="both"/>
        <w:rPr>
          <w:rFonts w:ascii="Arial" w:hAnsi="Arial" w:cs="Arial"/>
          <w:color w:val="000000" w:themeColor="text1"/>
        </w:rPr>
      </w:pPr>
      <w:r>
        <w:rPr>
          <w:rFonts w:ascii="Arial" w:hAnsi="Arial" w:cs="Arial"/>
          <w:color w:val="000000" w:themeColor="text1"/>
        </w:rPr>
        <w:tab/>
        <w:t xml:space="preserve">SFA’s, although good candidates for our free will, may still be accused of playing with dice to an extent. Whether one side of the neural tug-of-war wins over the other or </w:t>
      </w:r>
      <w:r>
        <w:rPr>
          <w:rFonts w:ascii="Arial" w:hAnsi="Arial" w:cs="Arial"/>
          <w:i/>
          <w:color w:val="000000" w:themeColor="text1"/>
        </w:rPr>
        <w:t>vice versa</w:t>
      </w:r>
      <w:r>
        <w:rPr>
          <w:rFonts w:ascii="Arial" w:hAnsi="Arial" w:cs="Arial"/>
          <w:color w:val="000000" w:themeColor="text1"/>
        </w:rPr>
        <w:t>, is essentially still up to chance and not us. In this sense, we could argue that chance diminishes the control we have, rather than provide us with any. Kane replies by attending back to the Austin-style examples. The assassin that shoots at the prime minister is undetermined with respect to whether he will hit his target or not. Despite the appearance of chance diminishing the likelihood that the assassin will miss the target, if he hits the target and kills the prime minister then he is still held fully responsible for his actions despite the element of chance involved. As Kane states, ‘</w:t>
      </w:r>
      <w:r w:rsidR="00966883">
        <w:rPr>
          <w:rFonts w:ascii="Arial" w:hAnsi="Arial" w:cs="Arial"/>
          <w:color w:val="000000" w:themeColor="text1"/>
        </w:rPr>
        <w:t>diminished control… does not entail</w:t>
      </w:r>
      <w:r>
        <w:rPr>
          <w:rFonts w:ascii="Arial" w:hAnsi="Arial" w:cs="Arial"/>
          <w:color w:val="000000" w:themeColor="text1"/>
        </w:rPr>
        <w:t xml:space="preserve"> diminished responsibility’</w:t>
      </w:r>
      <w:r w:rsidR="00966883">
        <w:rPr>
          <w:rFonts w:ascii="Arial" w:hAnsi="Arial" w:cs="Arial"/>
          <w:color w:val="000000" w:themeColor="text1"/>
        </w:rPr>
        <w:t>.</w:t>
      </w:r>
      <w:r w:rsidR="00966883">
        <w:rPr>
          <w:rStyle w:val="FootnoteReference"/>
          <w:rFonts w:ascii="Arial" w:hAnsi="Arial" w:cs="Arial"/>
          <w:color w:val="000000" w:themeColor="text1"/>
        </w:rPr>
        <w:footnoteReference w:id="103"/>
      </w:r>
      <w:r w:rsidR="00966883">
        <w:rPr>
          <w:rFonts w:ascii="Arial" w:hAnsi="Arial" w:cs="Arial"/>
          <w:color w:val="000000" w:themeColor="text1"/>
        </w:rPr>
        <w:t xml:space="preserve"> Indeterminism does diminish control wherever it presents itself, it is this diminishing of control that the will must overcome. With the businesswoman, during her SFA, the indeterminism of each neural network is serving as an inhibitor to her performing that action. If this resistance to her will </w:t>
      </w:r>
      <w:r w:rsidR="00966883">
        <w:rPr>
          <w:rFonts w:ascii="Arial" w:hAnsi="Arial" w:cs="Arial"/>
          <w:color w:val="000000" w:themeColor="text1"/>
        </w:rPr>
        <w:lastRenderedPageBreak/>
        <w:t xml:space="preserve">was not present, then the businesswoman would not be free, she would have no tear of her values or deep-selves, she would have good and sufficient reasons for the action that she performs. It is because indeterminism poses a risk to the realisation of our wills to be effective in action that there are alternative possibilities open to us. </w:t>
      </w:r>
    </w:p>
    <w:p w:rsidR="002D617D" w:rsidRDefault="00966883" w:rsidP="00737F0A">
      <w:pPr>
        <w:spacing w:line="480" w:lineRule="auto"/>
        <w:jc w:val="both"/>
        <w:rPr>
          <w:rFonts w:ascii="Arial" w:hAnsi="Arial" w:cs="Arial"/>
          <w:color w:val="000000" w:themeColor="text1"/>
        </w:rPr>
      </w:pPr>
      <w:r>
        <w:rPr>
          <w:rFonts w:ascii="Arial" w:hAnsi="Arial" w:cs="Arial"/>
          <w:color w:val="000000" w:themeColor="text1"/>
        </w:rPr>
        <w:tab/>
        <w:t>The charge of the businesswoman’s decision being arbitrary because of the indeterminacy of her choice not being “up to her”, but up to indeterminacy still stands against this libertarian picture of SFA’s. This is where the deep-self views are complimentary to Kane’s libertarian perspective. Although the businesswoman did not have ‘sufficient or conclusive’</w:t>
      </w:r>
      <w:r>
        <w:rPr>
          <w:rStyle w:val="FootnoteReference"/>
          <w:rFonts w:ascii="Arial" w:hAnsi="Arial" w:cs="Arial"/>
          <w:color w:val="000000" w:themeColor="text1"/>
        </w:rPr>
        <w:footnoteReference w:id="104"/>
      </w:r>
      <w:r>
        <w:rPr>
          <w:rFonts w:ascii="Arial" w:hAnsi="Arial" w:cs="Arial"/>
          <w:color w:val="000000" w:themeColor="text1"/>
        </w:rPr>
        <w:t xml:space="preserve"> reasons for choosing one way or another, </w:t>
      </w:r>
      <w:r w:rsidR="002D617D">
        <w:rPr>
          <w:rFonts w:ascii="Arial" w:hAnsi="Arial" w:cs="Arial"/>
          <w:color w:val="000000" w:themeColor="text1"/>
        </w:rPr>
        <w:t xml:space="preserve">Kane replies that the charge of being arbitrary is unfounded, as the businesswoman had very good reasons for her actions. If she is asked about if she is responsible for her actions, much like the deep-self view, she identifies herself with her actions, and in doing so, takes responsibility through her choice in the SFA. Identification of the SFA as part of the formation of the deep-self stops the decision being arbitrary, we adopt one set of reasons as our own, and the other as the difficulty in the exercise of free will. </w:t>
      </w:r>
    </w:p>
    <w:p w:rsidR="002D617D" w:rsidRDefault="002D617D" w:rsidP="00737F0A">
      <w:pPr>
        <w:spacing w:line="480" w:lineRule="auto"/>
        <w:jc w:val="both"/>
        <w:rPr>
          <w:rFonts w:ascii="Arial" w:hAnsi="Arial" w:cs="Arial"/>
          <w:color w:val="000000" w:themeColor="text1"/>
        </w:rPr>
      </w:pPr>
      <w:r>
        <w:rPr>
          <w:rFonts w:ascii="Arial" w:hAnsi="Arial" w:cs="Arial"/>
          <w:color w:val="000000" w:themeColor="text1"/>
        </w:rPr>
        <w:tab/>
        <w:t xml:space="preserve">I am in agreement with Manuel Vargas when he </w:t>
      </w:r>
      <w:r w:rsidR="0002799B">
        <w:rPr>
          <w:rFonts w:ascii="Arial" w:hAnsi="Arial" w:cs="Arial"/>
          <w:color w:val="000000" w:themeColor="text1"/>
        </w:rPr>
        <w:t>claims that Kane’s position avoids ‘unnecessarily baroque’</w:t>
      </w:r>
      <w:r w:rsidR="0002799B">
        <w:rPr>
          <w:rStyle w:val="FootnoteReference"/>
          <w:rFonts w:ascii="Arial" w:hAnsi="Arial" w:cs="Arial"/>
          <w:color w:val="000000" w:themeColor="text1"/>
        </w:rPr>
        <w:footnoteReference w:id="105"/>
      </w:r>
      <w:r w:rsidR="0002799B">
        <w:rPr>
          <w:rFonts w:ascii="Arial" w:hAnsi="Arial" w:cs="Arial"/>
          <w:color w:val="000000" w:themeColor="text1"/>
        </w:rPr>
        <w:t xml:space="preserve"> metaphysical conception of free will. What Kane does is turn the metaphysical questions we have about the agent and the amount and type of control they exert to empirical questions about the state of affairs relating to the brain and indeterminism. Given a sufficiently complex set of scientific apparatus, Kane could be shown to be either correct in his ideas of </w:t>
      </w:r>
      <w:r w:rsidR="0002799B">
        <w:rPr>
          <w:rFonts w:ascii="Arial" w:hAnsi="Arial" w:cs="Arial"/>
          <w:color w:val="000000" w:themeColor="text1"/>
        </w:rPr>
        <w:lastRenderedPageBreak/>
        <w:t>how indeterminacy in neural networks provide us with the freedom that we are seeking, the kind worth wanting, of Kane can be shown to be incorrect, and the case for the libertarian will have to be completely re-constructed again if it wishes to avoid metaphysically dubious notions of agent causality. I, much like Vargas, could be convinced entirely of Kane’s position if empirical evidence can be provided about indeterminacy occurring ‘in exactly all the right spots’.</w:t>
      </w:r>
      <w:r w:rsidR="0002799B">
        <w:rPr>
          <w:rStyle w:val="FootnoteReference"/>
          <w:rFonts w:ascii="Arial" w:hAnsi="Arial" w:cs="Arial"/>
          <w:color w:val="000000" w:themeColor="text1"/>
        </w:rPr>
        <w:footnoteReference w:id="106"/>
      </w:r>
    </w:p>
    <w:p w:rsidR="0002799B" w:rsidRDefault="0002799B" w:rsidP="00737F0A">
      <w:pPr>
        <w:spacing w:line="480" w:lineRule="auto"/>
        <w:jc w:val="both"/>
        <w:rPr>
          <w:rFonts w:ascii="Arial" w:hAnsi="Arial" w:cs="Arial"/>
          <w:color w:val="000000" w:themeColor="text1"/>
        </w:rPr>
      </w:pPr>
      <w:r>
        <w:rPr>
          <w:rFonts w:ascii="Arial" w:hAnsi="Arial" w:cs="Arial"/>
          <w:color w:val="000000" w:themeColor="text1"/>
        </w:rPr>
        <w:tab/>
        <w:t xml:space="preserve">Metaphysically, Kane’s position retains the advantages of the compatibilists’ position by not positing some sort of agent causality of the nature of an “unmoved mover”. Instead, it only posits things that are consistent with the commonly held scientific beliefs about the world. Doing so in what I would consider a verifiable empirical matter. This strength is also its biggest weakness, in the sense that it can also be shown </w:t>
      </w:r>
      <w:r w:rsidR="00F07A8B">
        <w:rPr>
          <w:rFonts w:ascii="Arial" w:hAnsi="Arial" w:cs="Arial"/>
          <w:color w:val="000000" w:themeColor="text1"/>
        </w:rPr>
        <w:t xml:space="preserve">demonstrably to be plainly false just as easily as it can be demonstrated to be true. Kane makes the presence of alternative possibilities, and how they can be interwoven into our picture of free will quite intelligible. But intelligible is not synonymous with correct. </w:t>
      </w:r>
    </w:p>
    <w:p w:rsidR="00771F74" w:rsidRDefault="00771F74" w:rsidP="00737F0A">
      <w:pPr>
        <w:spacing w:line="480" w:lineRule="auto"/>
        <w:jc w:val="both"/>
        <w:rPr>
          <w:rFonts w:ascii="Arial" w:hAnsi="Arial" w:cs="Arial"/>
          <w:color w:val="000000" w:themeColor="text1"/>
        </w:rPr>
      </w:pPr>
    </w:p>
    <w:p w:rsidR="00771F74" w:rsidRDefault="00771F74">
      <w:pPr>
        <w:rPr>
          <w:rFonts w:ascii="Arial" w:eastAsiaTheme="majorEastAsia" w:hAnsi="Arial" w:cs="Arial"/>
          <w:color w:val="2F5496" w:themeColor="accent1" w:themeShade="BF"/>
          <w:sz w:val="32"/>
          <w:szCs w:val="32"/>
        </w:rPr>
      </w:pPr>
      <w:r>
        <w:rPr>
          <w:rFonts w:ascii="Arial" w:hAnsi="Arial" w:cs="Arial"/>
        </w:rPr>
        <w:br w:type="page"/>
      </w:r>
    </w:p>
    <w:p w:rsidR="00771F74" w:rsidRPr="00771F74" w:rsidRDefault="00771F74" w:rsidP="00771F74">
      <w:pPr>
        <w:pStyle w:val="Heading1"/>
        <w:rPr>
          <w:rFonts w:ascii="Arial" w:hAnsi="Arial" w:cs="Arial"/>
        </w:rPr>
      </w:pPr>
      <w:bookmarkStart w:id="7" w:name="_Toc515445730"/>
      <w:r w:rsidRPr="00771F74">
        <w:rPr>
          <w:rFonts w:ascii="Arial" w:hAnsi="Arial" w:cs="Arial"/>
        </w:rPr>
        <w:lastRenderedPageBreak/>
        <w:t>Bibliography</w:t>
      </w:r>
      <w:bookmarkEnd w:id="7"/>
    </w:p>
    <w:p w:rsidR="00A71A02" w:rsidRDefault="00A71A02">
      <w:pPr>
        <w:rPr>
          <w:rFonts w:ascii="Arial" w:hAnsi="Arial" w:cs="Arial"/>
          <w:color w:val="FF0000"/>
        </w:rPr>
      </w:pPr>
    </w:p>
    <w:p w:rsidR="00AD7AAA" w:rsidRDefault="00AD7AAA">
      <w:pPr>
        <w:rPr>
          <w:rFonts w:ascii="Arial" w:hAnsi="Arial" w:cs="Arial"/>
          <w:color w:val="000000" w:themeColor="text1"/>
        </w:rPr>
      </w:pPr>
    </w:p>
    <w:p w:rsidR="00AD7AAA" w:rsidRDefault="00AD7AAA">
      <w:pPr>
        <w:rPr>
          <w:rFonts w:ascii="Arial" w:hAnsi="Arial" w:cs="Arial"/>
          <w:color w:val="000000" w:themeColor="text1"/>
        </w:rPr>
      </w:pPr>
      <w:proofErr w:type="spellStart"/>
      <w:r>
        <w:rPr>
          <w:rFonts w:ascii="Arial" w:hAnsi="Arial" w:cs="Arial"/>
          <w:color w:val="000000" w:themeColor="text1"/>
        </w:rPr>
        <w:t>Baggini</w:t>
      </w:r>
      <w:proofErr w:type="spellEnd"/>
      <w:r>
        <w:rPr>
          <w:rFonts w:ascii="Arial" w:hAnsi="Arial" w:cs="Arial"/>
          <w:color w:val="000000" w:themeColor="text1"/>
        </w:rPr>
        <w:t xml:space="preserve">, J., </w:t>
      </w:r>
      <w:r w:rsidRPr="00AD7AAA">
        <w:rPr>
          <w:rFonts w:ascii="Arial" w:hAnsi="Arial" w:cs="Arial"/>
          <w:i/>
          <w:color w:val="000000" w:themeColor="text1"/>
        </w:rPr>
        <w:t xml:space="preserve">Freedom Regained; The Possibility of Free Will, </w:t>
      </w:r>
      <w:r w:rsidRPr="00AD7AAA">
        <w:rPr>
          <w:rFonts w:ascii="Arial" w:hAnsi="Arial" w:cs="Arial"/>
          <w:color w:val="000000" w:themeColor="text1"/>
        </w:rPr>
        <w:t xml:space="preserve">(London: </w:t>
      </w:r>
      <w:proofErr w:type="spellStart"/>
      <w:r w:rsidRPr="00AD7AAA">
        <w:rPr>
          <w:rFonts w:ascii="Arial" w:hAnsi="Arial" w:cs="Arial"/>
          <w:color w:val="000000" w:themeColor="text1"/>
        </w:rPr>
        <w:t>Granta</w:t>
      </w:r>
      <w:proofErr w:type="spellEnd"/>
      <w:r w:rsidRPr="00AD7AAA">
        <w:rPr>
          <w:rFonts w:ascii="Arial" w:hAnsi="Arial" w:cs="Arial"/>
          <w:color w:val="000000" w:themeColor="text1"/>
        </w:rPr>
        <w:t xml:space="preserve"> Publications, 2016)</w:t>
      </w:r>
    </w:p>
    <w:p w:rsidR="00AD7AAA" w:rsidRDefault="00AD7AAA">
      <w:pPr>
        <w:rPr>
          <w:rFonts w:ascii="Arial" w:hAnsi="Arial" w:cs="Arial"/>
          <w:color w:val="000000" w:themeColor="text1"/>
        </w:rPr>
      </w:pPr>
    </w:p>
    <w:p w:rsidR="00AD7AAA" w:rsidRDefault="00AD7AAA">
      <w:pPr>
        <w:rPr>
          <w:rFonts w:ascii="Arial" w:hAnsi="Arial" w:cs="Arial"/>
          <w:color w:val="000000" w:themeColor="text1"/>
        </w:rPr>
      </w:pPr>
      <w:r>
        <w:rPr>
          <w:rFonts w:ascii="Arial" w:hAnsi="Arial" w:cs="Arial"/>
          <w:color w:val="000000" w:themeColor="text1"/>
        </w:rPr>
        <w:t xml:space="preserve">Frankfurt, H. G., ‘Freedom of the Will and the Concept of a Person’, </w:t>
      </w:r>
      <w:r>
        <w:rPr>
          <w:rFonts w:ascii="Arial" w:hAnsi="Arial" w:cs="Arial"/>
          <w:i/>
          <w:color w:val="000000" w:themeColor="text1"/>
        </w:rPr>
        <w:t xml:space="preserve">the Journal of Philosophy, </w:t>
      </w:r>
      <w:r>
        <w:rPr>
          <w:rFonts w:ascii="Arial" w:hAnsi="Arial" w:cs="Arial"/>
          <w:color w:val="000000" w:themeColor="text1"/>
        </w:rPr>
        <w:t>Vol. 68 (1) (Jan 14</w:t>
      </w:r>
      <w:r w:rsidRPr="00AD7AAA">
        <w:rPr>
          <w:rFonts w:ascii="Arial" w:hAnsi="Arial" w:cs="Arial"/>
          <w:color w:val="000000" w:themeColor="text1"/>
          <w:vertAlign w:val="superscript"/>
        </w:rPr>
        <w:t>th</w:t>
      </w:r>
      <w:r>
        <w:rPr>
          <w:rFonts w:ascii="Arial" w:hAnsi="Arial" w:cs="Arial"/>
          <w:color w:val="000000" w:themeColor="text1"/>
        </w:rPr>
        <w:t>, 1971) pp.5-20</w:t>
      </w:r>
    </w:p>
    <w:p w:rsidR="00147146" w:rsidRDefault="00147146">
      <w:pPr>
        <w:rPr>
          <w:rFonts w:ascii="Arial" w:hAnsi="Arial" w:cs="Arial"/>
          <w:color w:val="000000" w:themeColor="text1"/>
        </w:rPr>
      </w:pPr>
    </w:p>
    <w:p w:rsidR="00147146" w:rsidRDefault="00147146">
      <w:pPr>
        <w:rPr>
          <w:rFonts w:ascii="Arial" w:hAnsi="Arial" w:cs="Arial"/>
          <w:color w:val="000000" w:themeColor="text1"/>
        </w:rPr>
      </w:pPr>
      <w:r>
        <w:rPr>
          <w:rFonts w:ascii="Arial" w:hAnsi="Arial" w:cs="Arial"/>
          <w:color w:val="000000" w:themeColor="text1"/>
        </w:rPr>
        <w:t>Frankfurt, H. G., ‘Freedom of the Will and the Concept of a Person’,</w:t>
      </w:r>
      <w:r>
        <w:rPr>
          <w:rFonts w:ascii="Arial" w:hAnsi="Arial" w:cs="Arial"/>
          <w:color w:val="000000" w:themeColor="text1"/>
        </w:rPr>
        <w:t xml:space="preserve"> in </w:t>
      </w:r>
      <w:r>
        <w:rPr>
          <w:rFonts w:ascii="Arial" w:hAnsi="Arial" w:cs="Arial"/>
          <w:i/>
          <w:color w:val="000000" w:themeColor="text1"/>
        </w:rPr>
        <w:t>The I</w:t>
      </w:r>
      <w:r w:rsidRPr="00147146">
        <w:rPr>
          <w:rFonts w:ascii="Arial" w:hAnsi="Arial" w:cs="Arial"/>
          <w:i/>
          <w:color w:val="000000" w:themeColor="text1"/>
        </w:rPr>
        <w:t>mportance of What We Care About</w:t>
      </w:r>
      <w:r>
        <w:rPr>
          <w:rFonts w:ascii="Arial" w:hAnsi="Arial" w:cs="Arial"/>
          <w:color w:val="000000" w:themeColor="text1"/>
        </w:rPr>
        <w:t xml:space="preserve"> (Cambridge: Cambridge University Press, 1998)</w:t>
      </w:r>
    </w:p>
    <w:p w:rsidR="00147146" w:rsidRDefault="00147146">
      <w:pPr>
        <w:rPr>
          <w:rFonts w:ascii="Arial" w:hAnsi="Arial" w:cs="Arial"/>
          <w:color w:val="000000" w:themeColor="text1"/>
        </w:rPr>
      </w:pPr>
    </w:p>
    <w:p w:rsidR="00147146" w:rsidRDefault="00147146" w:rsidP="00147146">
      <w:pPr>
        <w:rPr>
          <w:rFonts w:ascii="Arial" w:hAnsi="Arial" w:cs="Arial"/>
          <w:color w:val="000000" w:themeColor="text1"/>
        </w:rPr>
      </w:pPr>
      <w:r>
        <w:rPr>
          <w:rFonts w:ascii="Arial" w:hAnsi="Arial" w:cs="Arial"/>
          <w:color w:val="000000" w:themeColor="text1"/>
        </w:rPr>
        <w:t>Frankfurt, H. G.,</w:t>
      </w:r>
      <w:r>
        <w:rPr>
          <w:rFonts w:ascii="Arial" w:hAnsi="Arial" w:cs="Arial"/>
          <w:color w:val="000000" w:themeColor="text1"/>
        </w:rPr>
        <w:t xml:space="preserve"> ‘Identification and Wholeheartedness’, </w:t>
      </w:r>
      <w:r>
        <w:rPr>
          <w:rFonts w:ascii="Arial" w:hAnsi="Arial" w:cs="Arial"/>
          <w:color w:val="000000" w:themeColor="text1"/>
        </w:rPr>
        <w:t xml:space="preserve">in </w:t>
      </w:r>
      <w:r>
        <w:rPr>
          <w:rFonts w:ascii="Arial" w:hAnsi="Arial" w:cs="Arial"/>
          <w:i/>
          <w:color w:val="000000" w:themeColor="text1"/>
        </w:rPr>
        <w:t>The I</w:t>
      </w:r>
      <w:r w:rsidRPr="00147146">
        <w:rPr>
          <w:rFonts w:ascii="Arial" w:hAnsi="Arial" w:cs="Arial"/>
          <w:i/>
          <w:color w:val="000000" w:themeColor="text1"/>
        </w:rPr>
        <w:t>mportance of What We Care About</w:t>
      </w:r>
      <w:r>
        <w:rPr>
          <w:rFonts w:ascii="Arial" w:hAnsi="Arial" w:cs="Arial"/>
          <w:color w:val="000000" w:themeColor="text1"/>
        </w:rPr>
        <w:t xml:space="preserve"> (Cambridge: Cambridge University Press, 1998)</w:t>
      </w:r>
    </w:p>
    <w:p w:rsidR="00147146" w:rsidRPr="00AD7AAA" w:rsidRDefault="00147146">
      <w:pPr>
        <w:rPr>
          <w:rFonts w:ascii="Arial" w:hAnsi="Arial" w:cs="Arial"/>
          <w:color w:val="000000" w:themeColor="text1"/>
        </w:rPr>
      </w:pPr>
    </w:p>
    <w:p w:rsidR="00AD7AAA" w:rsidRDefault="00AD7AAA">
      <w:pPr>
        <w:rPr>
          <w:rFonts w:ascii="Arial" w:hAnsi="Arial" w:cs="Arial"/>
          <w:color w:val="000000" w:themeColor="text1"/>
        </w:rPr>
      </w:pPr>
    </w:p>
    <w:p w:rsidR="00771F74" w:rsidRDefault="00AD7AAA">
      <w:pPr>
        <w:rPr>
          <w:rFonts w:ascii="Arial" w:hAnsi="Arial" w:cs="Arial"/>
          <w:color w:val="000000" w:themeColor="text1"/>
        </w:rPr>
      </w:pPr>
      <w:r w:rsidRPr="00AD7AAA">
        <w:rPr>
          <w:rFonts w:ascii="Arial" w:hAnsi="Arial" w:cs="Arial"/>
          <w:color w:val="000000" w:themeColor="text1"/>
        </w:rPr>
        <w:t>Kane, R.</w:t>
      </w:r>
      <w:r>
        <w:rPr>
          <w:rFonts w:ascii="Arial" w:hAnsi="Arial" w:cs="Arial"/>
          <w:color w:val="000000" w:themeColor="text1"/>
        </w:rPr>
        <w:t xml:space="preserve">, </w:t>
      </w:r>
      <w:r w:rsidRPr="00AD7AAA">
        <w:rPr>
          <w:rFonts w:ascii="Arial" w:hAnsi="Arial" w:cs="Arial"/>
          <w:i/>
          <w:color w:val="000000" w:themeColor="text1"/>
        </w:rPr>
        <w:t>A Contemporary Introduction to Free Will</w:t>
      </w:r>
      <w:r w:rsidRPr="00AD7AAA">
        <w:rPr>
          <w:rFonts w:ascii="Arial" w:hAnsi="Arial" w:cs="Arial"/>
          <w:color w:val="000000" w:themeColor="text1"/>
        </w:rPr>
        <w:t xml:space="preserve"> (Oxford: Oxford University Press, 2005</w:t>
      </w:r>
      <w:r>
        <w:rPr>
          <w:rFonts w:ascii="Arial" w:hAnsi="Arial" w:cs="Arial"/>
          <w:color w:val="000000" w:themeColor="text1"/>
        </w:rPr>
        <w:t>)</w:t>
      </w:r>
    </w:p>
    <w:p w:rsidR="00147146" w:rsidRDefault="00147146">
      <w:pPr>
        <w:rPr>
          <w:rFonts w:ascii="Arial" w:hAnsi="Arial" w:cs="Arial"/>
          <w:color w:val="000000" w:themeColor="text1"/>
        </w:rPr>
      </w:pPr>
    </w:p>
    <w:p w:rsidR="00147146" w:rsidRDefault="00147146">
      <w:pPr>
        <w:rPr>
          <w:rFonts w:ascii="Arial" w:hAnsi="Arial" w:cs="Arial"/>
          <w:color w:val="000000" w:themeColor="text1"/>
        </w:rPr>
      </w:pPr>
      <w:r>
        <w:rPr>
          <w:rFonts w:ascii="Arial" w:hAnsi="Arial" w:cs="Arial"/>
          <w:color w:val="000000" w:themeColor="text1"/>
        </w:rPr>
        <w:t xml:space="preserve">Kane, R., </w:t>
      </w:r>
      <w:r w:rsidRPr="00147146">
        <w:rPr>
          <w:rFonts w:ascii="Arial" w:hAnsi="Arial" w:cs="Arial"/>
          <w:color w:val="000000" w:themeColor="text1"/>
        </w:rPr>
        <w:t xml:space="preserve">‘Free Will: New Directions for an Ancient Problem’, in </w:t>
      </w:r>
      <w:r w:rsidRPr="00147146">
        <w:rPr>
          <w:rFonts w:ascii="Arial" w:hAnsi="Arial" w:cs="Arial"/>
          <w:i/>
          <w:color w:val="000000" w:themeColor="text1"/>
        </w:rPr>
        <w:t>Free Will</w:t>
      </w:r>
      <w:r w:rsidRPr="00147146">
        <w:rPr>
          <w:rFonts w:ascii="Arial" w:hAnsi="Arial" w:cs="Arial"/>
          <w:color w:val="000000" w:themeColor="text1"/>
        </w:rPr>
        <w:t>, ed. Robert Kane (Oxford: Blackwell Publishing, 2002)</w:t>
      </w:r>
    </w:p>
    <w:p w:rsidR="00AD7AAA" w:rsidRDefault="00AD7AAA">
      <w:pPr>
        <w:rPr>
          <w:rFonts w:ascii="Arial" w:hAnsi="Arial" w:cs="Arial"/>
          <w:color w:val="000000" w:themeColor="text1"/>
        </w:rPr>
      </w:pPr>
    </w:p>
    <w:p w:rsidR="00AD7AAA" w:rsidRDefault="00AD7AAA">
      <w:pPr>
        <w:rPr>
          <w:rFonts w:ascii="Arial" w:hAnsi="Arial" w:cs="Arial"/>
          <w:color w:val="000000" w:themeColor="text1"/>
        </w:rPr>
      </w:pPr>
      <w:r>
        <w:rPr>
          <w:rFonts w:ascii="Arial" w:hAnsi="Arial" w:cs="Arial"/>
          <w:color w:val="000000" w:themeColor="text1"/>
        </w:rPr>
        <w:t xml:space="preserve">Kane, R., </w:t>
      </w:r>
      <w:r w:rsidRPr="00AD7AAA">
        <w:rPr>
          <w:rFonts w:ascii="Arial" w:hAnsi="Arial" w:cs="Arial"/>
          <w:color w:val="000000" w:themeColor="text1"/>
        </w:rPr>
        <w:t xml:space="preserve">‘Introduction: The Contours of Contemporary Free Will Debates’, in </w:t>
      </w:r>
      <w:r w:rsidRPr="00AD7AAA">
        <w:rPr>
          <w:rFonts w:ascii="Arial" w:hAnsi="Arial" w:cs="Arial"/>
          <w:i/>
          <w:color w:val="000000" w:themeColor="text1"/>
        </w:rPr>
        <w:t xml:space="preserve">The Oxford Handbook of Free Will, </w:t>
      </w:r>
      <w:r w:rsidRPr="00AD7AAA">
        <w:rPr>
          <w:rFonts w:ascii="Arial" w:hAnsi="Arial" w:cs="Arial"/>
          <w:color w:val="000000" w:themeColor="text1"/>
        </w:rPr>
        <w:t>ed. Robert Kane (Oxford: Oxford University Press, 2002)</w:t>
      </w:r>
    </w:p>
    <w:p w:rsidR="00147146" w:rsidRDefault="00147146">
      <w:pPr>
        <w:rPr>
          <w:rFonts w:ascii="Arial" w:hAnsi="Arial" w:cs="Arial"/>
          <w:color w:val="000000" w:themeColor="text1"/>
        </w:rPr>
      </w:pPr>
    </w:p>
    <w:p w:rsidR="00147146" w:rsidRDefault="00147146">
      <w:pPr>
        <w:rPr>
          <w:rFonts w:ascii="Arial" w:hAnsi="Arial" w:cs="Arial"/>
          <w:color w:val="000000" w:themeColor="text1"/>
        </w:rPr>
      </w:pPr>
      <w:r>
        <w:rPr>
          <w:rFonts w:ascii="Arial" w:hAnsi="Arial" w:cs="Arial"/>
          <w:color w:val="000000" w:themeColor="text1"/>
        </w:rPr>
        <w:t xml:space="preserve">Kane, R., </w:t>
      </w:r>
      <w:r w:rsidRPr="00147146">
        <w:rPr>
          <w:rFonts w:ascii="Arial" w:hAnsi="Arial" w:cs="Arial"/>
          <w:color w:val="000000" w:themeColor="text1"/>
        </w:rPr>
        <w:t xml:space="preserve">‘Libertarianism’, in John Martin Fischer et al., </w:t>
      </w:r>
      <w:r w:rsidRPr="00147146">
        <w:rPr>
          <w:rFonts w:ascii="Arial" w:hAnsi="Arial" w:cs="Arial"/>
          <w:i/>
          <w:color w:val="000000" w:themeColor="text1"/>
        </w:rPr>
        <w:t>Four Views on Free Will</w:t>
      </w:r>
      <w:r w:rsidRPr="00147146">
        <w:rPr>
          <w:rFonts w:ascii="Arial" w:hAnsi="Arial" w:cs="Arial"/>
          <w:color w:val="000000" w:themeColor="text1"/>
        </w:rPr>
        <w:t>, (Oxford: Blackwell Publishing, 2007)</w:t>
      </w:r>
    </w:p>
    <w:p w:rsidR="00AD7AAA" w:rsidRDefault="00AD7AAA">
      <w:pPr>
        <w:rPr>
          <w:rFonts w:ascii="Arial" w:hAnsi="Arial" w:cs="Arial"/>
          <w:color w:val="000000" w:themeColor="text1"/>
        </w:rPr>
      </w:pPr>
    </w:p>
    <w:p w:rsidR="00AD7AAA" w:rsidRDefault="00AD7AAA">
      <w:pPr>
        <w:rPr>
          <w:rFonts w:ascii="Arial" w:hAnsi="Arial" w:cs="Arial"/>
          <w:color w:val="000000" w:themeColor="text1"/>
        </w:rPr>
      </w:pPr>
      <w:r>
        <w:rPr>
          <w:rFonts w:ascii="Arial" w:hAnsi="Arial" w:cs="Arial"/>
          <w:color w:val="000000" w:themeColor="text1"/>
        </w:rPr>
        <w:t xml:space="preserve">McKenna, M., and Coates, J. D., </w:t>
      </w:r>
      <w:r w:rsidRPr="00AD7AAA">
        <w:rPr>
          <w:rFonts w:ascii="Arial" w:hAnsi="Arial" w:cs="Arial"/>
          <w:color w:val="000000" w:themeColor="text1"/>
        </w:rPr>
        <w:t xml:space="preserve">‘Compatibilism’, </w:t>
      </w:r>
      <w:r w:rsidRPr="00AD7AAA">
        <w:rPr>
          <w:rFonts w:ascii="Arial" w:hAnsi="Arial" w:cs="Arial"/>
          <w:i/>
          <w:color w:val="000000" w:themeColor="text1"/>
        </w:rPr>
        <w:t xml:space="preserve">The Stanford </w:t>
      </w:r>
      <w:proofErr w:type="spellStart"/>
      <w:r w:rsidRPr="00AD7AAA">
        <w:rPr>
          <w:rFonts w:ascii="Arial" w:hAnsi="Arial" w:cs="Arial"/>
          <w:i/>
          <w:color w:val="000000" w:themeColor="text1"/>
        </w:rPr>
        <w:t>Encyclopedia</w:t>
      </w:r>
      <w:proofErr w:type="spellEnd"/>
      <w:r w:rsidRPr="00AD7AAA">
        <w:rPr>
          <w:rFonts w:ascii="Arial" w:hAnsi="Arial" w:cs="Arial"/>
          <w:i/>
          <w:color w:val="000000" w:themeColor="text1"/>
        </w:rPr>
        <w:t xml:space="preserve"> of Philosophy</w:t>
      </w:r>
      <w:r w:rsidRPr="00AD7AAA">
        <w:rPr>
          <w:rFonts w:ascii="Arial" w:hAnsi="Arial" w:cs="Arial"/>
          <w:color w:val="000000" w:themeColor="text1"/>
        </w:rPr>
        <w:t xml:space="preserve"> (Winter 2016 Edition), Stanford University, Edward N. Zalta (ed.), URL = </w:t>
      </w:r>
      <w:hyperlink r:id="rId7" w:history="1">
        <w:r w:rsidRPr="00AD7AAA">
          <w:rPr>
            <w:rStyle w:val="Hyperlink"/>
            <w:rFonts w:ascii="Arial" w:hAnsi="Arial" w:cs="Arial"/>
          </w:rPr>
          <w:t>https://plato.stanford.edu/archives/win2016/entries/compatibilism/</w:t>
        </w:r>
      </w:hyperlink>
      <w:r w:rsidRPr="00AD7AAA">
        <w:rPr>
          <w:rFonts w:ascii="Arial" w:hAnsi="Arial" w:cs="Arial"/>
          <w:color w:val="000000" w:themeColor="text1"/>
        </w:rPr>
        <w:t xml:space="preserve"> [Accessed 20</w:t>
      </w:r>
      <w:r w:rsidRPr="00AD7AAA">
        <w:rPr>
          <w:rFonts w:ascii="Arial" w:hAnsi="Arial" w:cs="Arial"/>
          <w:color w:val="000000" w:themeColor="text1"/>
          <w:vertAlign w:val="superscript"/>
        </w:rPr>
        <w:t>th</w:t>
      </w:r>
      <w:r>
        <w:rPr>
          <w:rFonts w:ascii="Arial" w:hAnsi="Arial" w:cs="Arial"/>
          <w:color w:val="000000" w:themeColor="text1"/>
        </w:rPr>
        <w:t xml:space="preserve"> March 2018]</w:t>
      </w:r>
    </w:p>
    <w:p w:rsidR="00AD7AAA" w:rsidRDefault="00AD7AAA">
      <w:pPr>
        <w:rPr>
          <w:rFonts w:ascii="Arial" w:hAnsi="Arial" w:cs="Arial"/>
          <w:color w:val="000000" w:themeColor="text1"/>
        </w:rPr>
      </w:pPr>
    </w:p>
    <w:p w:rsidR="00AD7AAA" w:rsidRDefault="00AD7AAA">
      <w:pPr>
        <w:rPr>
          <w:rFonts w:ascii="Arial" w:hAnsi="Arial" w:cs="Arial"/>
          <w:color w:val="000000" w:themeColor="text1"/>
        </w:rPr>
      </w:pPr>
      <w:r>
        <w:rPr>
          <w:rFonts w:ascii="Arial" w:hAnsi="Arial" w:cs="Arial"/>
          <w:color w:val="000000" w:themeColor="text1"/>
        </w:rPr>
        <w:t xml:space="preserve">Norris, C., </w:t>
      </w:r>
      <w:r w:rsidRPr="00AD7AAA">
        <w:rPr>
          <w:rFonts w:ascii="Arial" w:hAnsi="Arial" w:cs="Arial"/>
          <w:color w:val="000000" w:themeColor="text1"/>
        </w:rPr>
        <w:t xml:space="preserve">‘Frankfurt on Second-Order Desires and the Concept of a Person’, </w:t>
      </w:r>
      <w:r w:rsidRPr="00AD7AAA">
        <w:rPr>
          <w:rFonts w:ascii="Arial" w:hAnsi="Arial" w:cs="Arial"/>
          <w:i/>
          <w:color w:val="000000" w:themeColor="text1"/>
        </w:rPr>
        <w:t xml:space="preserve">Prolegomena, </w:t>
      </w:r>
      <w:r w:rsidRPr="00AD7AAA">
        <w:rPr>
          <w:rFonts w:ascii="Arial" w:hAnsi="Arial" w:cs="Arial"/>
          <w:color w:val="000000" w:themeColor="text1"/>
        </w:rPr>
        <w:t>Vol. 9 (2) (2010) pp.199-242</w:t>
      </w:r>
    </w:p>
    <w:p w:rsidR="00AD7AAA" w:rsidRDefault="00AD7AAA">
      <w:pPr>
        <w:rPr>
          <w:rFonts w:ascii="Arial" w:hAnsi="Arial" w:cs="Arial"/>
          <w:color w:val="000000" w:themeColor="text1"/>
        </w:rPr>
      </w:pPr>
    </w:p>
    <w:p w:rsidR="00AD7AAA" w:rsidRDefault="00AD7AAA">
      <w:pPr>
        <w:rPr>
          <w:rFonts w:ascii="Arial" w:hAnsi="Arial" w:cs="Arial"/>
          <w:color w:val="000000" w:themeColor="text1"/>
        </w:rPr>
      </w:pPr>
      <w:r>
        <w:rPr>
          <w:rFonts w:ascii="Arial" w:hAnsi="Arial" w:cs="Arial"/>
          <w:color w:val="000000" w:themeColor="text1"/>
        </w:rPr>
        <w:t xml:space="preserve">Oshana, M. A. L., </w:t>
      </w:r>
      <w:r w:rsidRPr="00AD7AAA">
        <w:rPr>
          <w:rFonts w:ascii="Arial" w:hAnsi="Arial" w:cs="Arial"/>
          <w:color w:val="000000" w:themeColor="text1"/>
        </w:rPr>
        <w:t xml:space="preserve">‘Wanton Responsibility’, </w:t>
      </w:r>
      <w:r w:rsidRPr="00AD7AAA">
        <w:rPr>
          <w:rFonts w:ascii="Arial" w:hAnsi="Arial" w:cs="Arial"/>
          <w:i/>
          <w:color w:val="000000" w:themeColor="text1"/>
        </w:rPr>
        <w:t>The Journal of Ethics</w:t>
      </w:r>
      <w:r w:rsidRPr="00AD7AAA">
        <w:rPr>
          <w:rFonts w:ascii="Arial" w:hAnsi="Arial" w:cs="Arial"/>
          <w:color w:val="000000" w:themeColor="text1"/>
        </w:rPr>
        <w:t>, Vol. 2 (3) (1998) pp. 261-276</w:t>
      </w:r>
    </w:p>
    <w:p w:rsidR="00147146" w:rsidRDefault="00147146">
      <w:pPr>
        <w:rPr>
          <w:rFonts w:ascii="Arial" w:hAnsi="Arial" w:cs="Arial"/>
          <w:color w:val="000000" w:themeColor="text1"/>
        </w:rPr>
      </w:pPr>
    </w:p>
    <w:p w:rsidR="00147146" w:rsidRPr="00AD7AAA" w:rsidRDefault="00147146">
      <w:pPr>
        <w:rPr>
          <w:rFonts w:ascii="Arial" w:hAnsi="Arial" w:cs="Arial"/>
          <w:color w:val="000000" w:themeColor="text1"/>
        </w:rPr>
      </w:pPr>
      <w:r>
        <w:rPr>
          <w:rFonts w:ascii="Arial" w:hAnsi="Arial" w:cs="Arial"/>
          <w:color w:val="000000" w:themeColor="text1"/>
        </w:rPr>
        <w:t xml:space="preserve">Strawson, P., </w:t>
      </w:r>
      <w:r w:rsidRPr="00147146">
        <w:rPr>
          <w:rFonts w:ascii="Arial" w:hAnsi="Arial" w:cs="Arial"/>
          <w:color w:val="000000" w:themeColor="text1"/>
        </w:rPr>
        <w:t xml:space="preserve">‘Freedom and Resentment’, in </w:t>
      </w:r>
      <w:r w:rsidRPr="00147146">
        <w:rPr>
          <w:rFonts w:ascii="Arial" w:hAnsi="Arial" w:cs="Arial"/>
          <w:i/>
          <w:color w:val="000000" w:themeColor="text1"/>
        </w:rPr>
        <w:t>Free Will</w:t>
      </w:r>
      <w:r w:rsidRPr="00147146">
        <w:rPr>
          <w:rFonts w:ascii="Arial" w:hAnsi="Arial" w:cs="Arial"/>
          <w:color w:val="000000" w:themeColor="text1"/>
        </w:rPr>
        <w:t>, 2</w:t>
      </w:r>
      <w:r w:rsidRPr="00147146">
        <w:rPr>
          <w:rFonts w:ascii="Arial" w:hAnsi="Arial" w:cs="Arial"/>
          <w:color w:val="000000" w:themeColor="text1"/>
          <w:vertAlign w:val="superscript"/>
        </w:rPr>
        <w:t>nd</w:t>
      </w:r>
      <w:r w:rsidRPr="00147146">
        <w:rPr>
          <w:rFonts w:ascii="Arial" w:hAnsi="Arial" w:cs="Arial"/>
          <w:color w:val="000000" w:themeColor="text1"/>
        </w:rPr>
        <w:t xml:space="preserve"> edn. ed. Gary Watson (Oxford: Oxford University Press, 2003)</w:t>
      </w:r>
    </w:p>
    <w:p w:rsidR="00AD7AAA" w:rsidRDefault="00AD7AAA">
      <w:pPr>
        <w:rPr>
          <w:rFonts w:ascii="Arial" w:hAnsi="Arial" w:cs="Arial"/>
          <w:color w:val="FF0000"/>
        </w:rPr>
      </w:pPr>
    </w:p>
    <w:p w:rsidR="00771F74" w:rsidRPr="00AD7AAA" w:rsidRDefault="00AD7AAA">
      <w:pPr>
        <w:rPr>
          <w:rFonts w:ascii="Arial" w:hAnsi="Arial" w:cs="Arial"/>
        </w:rPr>
      </w:pPr>
      <w:r w:rsidRPr="00AD7AAA">
        <w:rPr>
          <w:rFonts w:ascii="Arial" w:hAnsi="Arial" w:cs="Arial"/>
          <w:i/>
        </w:rPr>
        <w:t xml:space="preserve">The Oxford Companion to Philosophy, </w:t>
      </w:r>
      <w:r w:rsidRPr="00AD7AAA">
        <w:rPr>
          <w:rFonts w:ascii="Arial" w:hAnsi="Arial" w:cs="Arial"/>
        </w:rPr>
        <w:t xml:space="preserve">ed. Ted </w:t>
      </w:r>
      <w:proofErr w:type="spellStart"/>
      <w:r w:rsidRPr="00AD7AAA">
        <w:rPr>
          <w:rFonts w:ascii="Arial" w:hAnsi="Arial" w:cs="Arial"/>
        </w:rPr>
        <w:t>Honderich</w:t>
      </w:r>
      <w:proofErr w:type="spellEnd"/>
      <w:r w:rsidRPr="00AD7AAA">
        <w:rPr>
          <w:rFonts w:ascii="Arial" w:hAnsi="Arial" w:cs="Arial"/>
        </w:rPr>
        <w:t xml:space="preserve"> (Oxford: Oxford University Press, 1995)</w:t>
      </w:r>
    </w:p>
    <w:p w:rsidR="00AD7AAA" w:rsidRDefault="00AD7AAA"/>
    <w:p w:rsidR="00147146" w:rsidRDefault="00147146">
      <w:pPr>
        <w:rPr>
          <w:rFonts w:ascii="Arial" w:hAnsi="Arial" w:cs="Arial"/>
        </w:rPr>
      </w:pPr>
      <w:r w:rsidRPr="00147146">
        <w:rPr>
          <w:rFonts w:ascii="Arial" w:hAnsi="Arial" w:cs="Arial"/>
        </w:rPr>
        <w:t xml:space="preserve">Watson, G., </w:t>
      </w:r>
      <w:r>
        <w:rPr>
          <w:rFonts w:ascii="Arial" w:hAnsi="Arial" w:cs="Arial"/>
        </w:rPr>
        <w:t>‘</w:t>
      </w:r>
      <w:r w:rsidRPr="00147146">
        <w:rPr>
          <w:rFonts w:ascii="Arial" w:hAnsi="Arial" w:cs="Arial"/>
        </w:rPr>
        <w:t xml:space="preserve">Free Agency’, in </w:t>
      </w:r>
      <w:r w:rsidRPr="00147146">
        <w:rPr>
          <w:rFonts w:ascii="Arial" w:hAnsi="Arial" w:cs="Arial"/>
          <w:i/>
        </w:rPr>
        <w:t>Free Will</w:t>
      </w:r>
      <w:r w:rsidRPr="00147146">
        <w:rPr>
          <w:rFonts w:ascii="Arial" w:hAnsi="Arial" w:cs="Arial"/>
        </w:rPr>
        <w:t>, 2</w:t>
      </w:r>
      <w:r w:rsidRPr="00147146">
        <w:rPr>
          <w:rFonts w:ascii="Arial" w:hAnsi="Arial" w:cs="Arial"/>
          <w:vertAlign w:val="superscript"/>
        </w:rPr>
        <w:t>nd</w:t>
      </w:r>
      <w:r w:rsidRPr="00147146">
        <w:rPr>
          <w:rFonts w:ascii="Arial" w:hAnsi="Arial" w:cs="Arial"/>
        </w:rPr>
        <w:t xml:space="preserve"> edn. ed. Gary Watson (Oxford: Oxford University Press, 2003)</w:t>
      </w:r>
    </w:p>
    <w:p w:rsidR="00147146" w:rsidRDefault="00147146">
      <w:pPr>
        <w:rPr>
          <w:rFonts w:ascii="Arial" w:hAnsi="Arial" w:cs="Arial"/>
        </w:rPr>
      </w:pPr>
    </w:p>
    <w:p w:rsidR="00147146" w:rsidRDefault="00147146">
      <w:pPr>
        <w:rPr>
          <w:rFonts w:ascii="Arial" w:hAnsi="Arial" w:cs="Arial"/>
        </w:rPr>
      </w:pPr>
      <w:r>
        <w:rPr>
          <w:rFonts w:ascii="Arial" w:hAnsi="Arial" w:cs="Arial"/>
        </w:rPr>
        <w:lastRenderedPageBreak/>
        <w:t xml:space="preserve">Wolf, S., </w:t>
      </w:r>
      <w:r w:rsidRPr="00147146">
        <w:rPr>
          <w:rFonts w:ascii="Arial" w:hAnsi="Arial" w:cs="Arial"/>
        </w:rPr>
        <w:t xml:space="preserve">‘Sanity and the Metaphysics of Responsibility’, </w:t>
      </w:r>
      <w:r w:rsidRPr="00147146">
        <w:rPr>
          <w:rFonts w:ascii="Arial" w:hAnsi="Arial" w:cs="Arial"/>
          <w:i/>
        </w:rPr>
        <w:t>Free Will</w:t>
      </w:r>
      <w:r w:rsidRPr="00147146">
        <w:rPr>
          <w:rFonts w:ascii="Arial" w:hAnsi="Arial" w:cs="Arial"/>
        </w:rPr>
        <w:t>, 2</w:t>
      </w:r>
      <w:r w:rsidRPr="00147146">
        <w:rPr>
          <w:rFonts w:ascii="Arial" w:hAnsi="Arial" w:cs="Arial"/>
          <w:vertAlign w:val="superscript"/>
        </w:rPr>
        <w:t>nd</w:t>
      </w:r>
      <w:r w:rsidRPr="00147146">
        <w:rPr>
          <w:rFonts w:ascii="Arial" w:hAnsi="Arial" w:cs="Arial"/>
        </w:rPr>
        <w:t xml:space="preserve"> edn. ed. Gary Watson (Oxford: Oxford University Press, 2003</w:t>
      </w:r>
      <w:r>
        <w:rPr>
          <w:rFonts w:ascii="Arial" w:hAnsi="Arial" w:cs="Arial"/>
        </w:rPr>
        <w:t>)</w:t>
      </w:r>
    </w:p>
    <w:p w:rsidR="00147146" w:rsidRDefault="00147146">
      <w:pPr>
        <w:rPr>
          <w:rFonts w:ascii="Arial" w:hAnsi="Arial" w:cs="Arial"/>
        </w:rPr>
      </w:pPr>
    </w:p>
    <w:p w:rsidR="00147146" w:rsidRPr="00147146" w:rsidRDefault="00147146">
      <w:pPr>
        <w:rPr>
          <w:rFonts w:ascii="Arial" w:hAnsi="Arial" w:cs="Arial"/>
        </w:rPr>
      </w:pPr>
    </w:p>
    <w:p w:rsidR="00AD7AAA" w:rsidRPr="001709C8" w:rsidRDefault="00AD7AAA">
      <w:pPr>
        <w:rPr>
          <w:rFonts w:ascii="Arial" w:hAnsi="Arial" w:cs="Arial"/>
          <w:color w:val="FF0000"/>
        </w:rPr>
      </w:pPr>
    </w:p>
    <w:sectPr w:rsidR="00AD7AAA" w:rsidRPr="001709C8" w:rsidSect="00956666">
      <w:pgSz w:w="11900" w:h="16820"/>
      <w:pgMar w:top="1440" w:right="1134" w:bottom="1440" w:left="226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4D82" w:rsidRDefault="00B74D82" w:rsidP="00682EB6">
      <w:r>
        <w:separator/>
      </w:r>
    </w:p>
  </w:endnote>
  <w:endnote w:type="continuationSeparator" w:id="0">
    <w:p w:rsidR="00B74D82" w:rsidRDefault="00B74D82" w:rsidP="00682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4D82" w:rsidRDefault="00B74D82" w:rsidP="00682EB6">
      <w:r>
        <w:separator/>
      </w:r>
    </w:p>
  </w:footnote>
  <w:footnote w:type="continuationSeparator" w:id="0">
    <w:p w:rsidR="00B74D82" w:rsidRDefault="00B74D82" w:rsidP="00682EB6">
      <w:r>
        <w:continuationSeparator/>
      </w:r>
    </w:p>
  </w:footnote>
  <w:footnote w:id="1">
    <w:p w:rsidR="0032152E" w:rsidRPr="00D96502" w:rsidRDefault="0032152E">
      <w:pPr>
        <w:pStyle w:val="FootnoteText"/>
      </w:pPr>
      <w:r>
        <w:rPr>
          <w:rStyle w:val="FootnoteReference"/>
        </w:rPr>
        <w:footnoteRef/>
      </w:r>
      <w:r>
        <w:t xml:space="preserve"> </w:t>
      </w:r>
      <w:r w:rsidR="00D96502">
        <w:rPr>
          <w:i/>
        </w:rPr>
        <w:t xml:space="preserve">The Oxford Companion to Philosophy, </w:t>
      </w:r>
      <w:r w:rsidR="00D96502">
        <w:t xml:space="preserve">ed. Ted </w:t>
      </w:r>
      <w:proofErr w:type="spellStart"/>
      <w:r w:rsidR="00D96502">
        <w:t>Honderich</w:t>
      </w:r>
      <w:proofErr w:type="spellEnd"/>
      <w:r w:rsidR="00AD7AAA">
        <w:t xml:space="preserve"> (Oxford: Oxford University Press, 1995) p.292</w:t>
      </w:r>
    </w:p>
  </w:footnote>
  <w:footnote w:id="2">
    <w:p w:rsidR="0032152E" w:rsidRDefault="0032152E">
      <w:pPr>
        <w:pStyle w:val="FootnoteText"/>
      </w:pPr>
      <w:r>
        <w:rPr>
          <w:rStyle w:val="FootnoteReference"/>
        </w:rPr>
        <w:footnoteRef/>
      </w:r>
      <w:r>
        <w:t xml:space="preserve"> Robert Kane, </w:t>
      </w:r>
      <w:r>
        <w:rPr>
          <w:i/>
        </w:rPr>
        <w:t>A Contemporary Introduction to Free Will</w:t>
      </w:r>
      <w:r>
        <w:t xml:space="preserve"> (Oxford: Oxford University Press, 2005), p.1</w:t>
      </w:r>
    </w:p>
  </w:footnote>
  <w:footnote w:id="3">
    <w:p w:rsidR="0032152E" w:rsidRPr="005B1D07" w:rsidRDefault="0032152E">
      <w:pPr>
        <w:pStyle w:val="FootnoteText"/>
      </w:pPr>
      <w:r>
        <w:rPr>
          <w:rStyle w:val="FootnoteReference"/>
        </w:rPr>
        <w:footnoteRef/>
      </w:r>
      <w:r>
        <w:t xml:space="preserve"> Julian </w:t>
      </w:r>
      <w:proofErr w:type="spellStart"/>
      <w:r>
        <w:t>Baggini</w:t>
      </w:r>
      <w:proofErr w:type="spellEnd"/>
      <w:r>
        <w:t xml:space="preserve">, </w:t>
      </w:r>
      <w:r>
        <w:rPr>
          <w:i/>
        </w:rPr>
        <w:t xml:space="preserve">Freedom Regained; The Possibility of Free Will, </w:t>
      </w:r>
      <w:r>
        <w:t xml:space="preserve">(London: </w:t>
      </w:r>
      <w:proofErr w:type="spellStart"/>
      <w:r>
        <w:t>Granta</w:t>
      </w:r>
      <w:proofErr w:type="spellEnd"/>
      <w:r>
        <w:t xml:space="preserve"> Publications, 2016)</w:t>
      </w:r>
    </w:p>
  </w:footnote>
  <w:footnote w:id="4">
    <w:p w:rsidR="0032152E" w:rsidRPr="000725A6" w:rsidRDefault="0032152E">
      <w:pPr>
        <w:pStyle w:val="FootnoteText"/>
      </w:pPr>
      <w:r>
        <w:rPr>
          <w:rStyle w:val="FootnoteReference"/>
        </w:rPr>
        <w:footnoteRef/>
      </w:r>
      <w:r>
        <w:t xml:space="preserve"> Robert Kane, ‘Introduction: The Contours of Contemporary Free Will Debates’, in </w:t>
      </w:r>
      <w:r>
        <w:rPr>
          <w:i/>
        </w:rPr>
        <w:t xml:space="preserve">The Oxford Handbook of Free Will, </w:t>
      </w:r>
      <w:r>
        <w:t>ed. Robert Kane (Oxford: Oxford University Press, 2002) p.5</w:t>
      </w:r>
    </w:p>
  </w:footnote>
  <w:footnote w:id="5">
    <w:p w:rsidR="0032152E" w:rsidRPr="001A1B57" w:rsidRDefault="0032152E">
      <w:pPr>
        <w:pStyle w:val="FootnoteText"/>
      </w:pPr>
      <w:r>
        <w:rPr>
          <w:rStyle w:val="FootnoteReference"/>
        </w:rPr>
        <w:footnoteRef/>
      </w:r>
      <w:r>
        <w:t xml:space="preserve"> Christopher Norris, ‘Frankfurt on Second-Order Desires and the Concept of a Person’, </w:t>
      </w:r>
      <w:r>
        <w:rPr>
          <w:i/>
        </w:rPr>
        <w:t xml:space="preserve">Prolegomena, </w:t>
      </w:r>
      <w:r>
        <w:t>Vol. 9 (2) (2010) pp.199-242 (199)</w:t>
      </w:r>
    </w:p>
  </w:footnote>
  <w:footnote w:id="6">
    <w:p w:rsidR="0032152E" w:rsidRPr="00BA0AAE" w:rsidRDefault="0032152E">
      <w:pPr>
        <w:pStyle w:val="FootnoteText"/>
      </w:pPr>
      <w:r>
        <w:rPr>
          <w:rStyle w:val="FootnoteReference"/>
        </w:rPr>
        <w:footnoteRef/>
      </w:r>
      <w:r>
        <w:t xml:space="preserve"> Harry G. Frankfurt, ‘Freedom of the Will and the Concept of a Person’, </w:t>
      </w:r>
      <w:r>
        <w:rPr>
          <w:i/>
        </w:rPr>
        <w:t xml:space="preserve">The Journal of Philosophy, </w:t>
      </w:r>
      <w:r>
        <w:t>Vol. 68 (1) (Jan 14</w:t>
      </w:r>
      <w:r w:rsidRPr="00BA0AAE">
        <w:rPr>
          <w:vertAlign w:val="superscript"/>
        </w:rPr>
        <w:t>th</w:t>
      </w:r>
      <w:r>
        <w:t>, 1971) pp.5-20</w:t>
      </w:r>
    </w:p>
  </w:footnote>
  <w:footnote w:id="7">
    <w:p w:rsidR="0032152E" w:rsidRDefault="0032152E">
      <w:pPr>
        <w:pStyle w:val="FootnoteText"/>
      </w:pPr>
      <w:r>
        <w:rPr>
          <w:rStyle w:val="FootnoteReference"/>
        </w:rPr>
        <w:footnoteRef/>
      </w:r>
      <w:r>
        <w:t xml:space="preserve"> Ibid. p.7</w:t>
      </w:r>
    </w:p>
  </w:footnote>
  <w:footnote w:id="8">
    <w:p w:rsidR="0032152E" w:rsidRDefault="0032152E">
      <w:pPr>
        <w:pStyle w:val="FootnoteText"/>
      </w:pPr>
      <w:r>
        <w:rPr>
          <w:rStyle w:val="FootnoteReference"/>
        </w:rPr>
        <w:footnoteRef/>
      </w:r>
      <w:r>
        <w:t xml:space="preserve"> Ibid.</w:t>
      </w:r>
    </w:p>
  </w:footnote>
  <w:footnote w:id="9">
    <w:p w:rsidR="0032152E" w:rsidRDefault="0032152E">
      <w:pPr>
        <w:pStyle w:val="FootnoteText"/>
      </w:pPr>
      <w:r>
        <w:rPr>
          <w:rStyle w:val="FootnoteReference"/>
        </w:rPr>
        <w:footnoteRef/>
      </w:r>
      <w:r>
        <w:t xml:space="preserve"> Ibid. p.6</w:t>
      </w:r>
    </w:p>
  </w:footnote>
  <w:footnote w:id="10">
    <w:p w:rsidR="0032152E" w:rsidRDefault="0032152E">
      <w:pPr>
        <w:pStyle w:val="FootnoteText"/>
      </w:pPr>
      <w:r>
        <w:rPr>
          <w:rStyle w:val="FootnoteReference"/>
        </w:rPr>
        <w:footnoteRef/>
      </w:r>
      <w:r>
        <w:t xml:space="preserve"> Ibid. </w:t>
      </w:r>
    </w:p>
  </w:footnote>
  <w:footnote w:id="11">
    <w:p w:rsidR="0032152E" w:rsidRDefault="0032152E">
      <w:pPr>
        <w:pStyle w:val="FootnoteText"/>
      </w:pPr>
      <w:r>
        <w:rPr>
          <w:rStyle w:val="FootnoteReference"/>
        </w:rPr>
        <w:footnoteRef/>
      </w:r>
      <w:r>
        <w:t xml:space="preserve"> Michael McKenna and Justin D. Coates, ‘Compatibilism’</w:t>
      </w:r>
      <w:r w:rsidRPr="00867CC9">
        <w:t xml:space="preserve">, </w:t>
      </w:r>
      <w:r w:rsidRPr="00867CC9">
        <w:rPr>
          <w:i/>
        </w:rPr>
        <w:t xml:space="preserve">The Stanford </w:t>
      </w:r>
      <w:proofErr w:type="spellStart"/>
      <w:r w:rsidRPr="00867CC9">
        <w:rPr>
          <w:i/>
        </w:rPr>
        <w:t>Encyclopedia</w:t>
      </w:r>
      <w:proofErr w:type="spellEnd"/>
      <w:r w:rsidRPr="00867CC9">
        <w:rPr>
          <w:i/>
        </w:rPr>
        <w:t xml:space="preserve"> of Philosophy</w:t>
      </w:r>
      <w:r w:rsidRPr="00867CC9">
        <w:t xml:space="preserve"> (Winter 2016 Edition), </w:t>
      </w:r>
      <w:r>
        <w:t xml:space="preserve">Stanford University, </w:t>
      </w:r>
      <w:r w:rsidRPr="00867CC9">
        <w:t xml:space="preserve">Edward N. Zalta (ed.), URL = </w:t>
      </w:r>
      <w:hyperlink r:id="rId1" w:history="1">
        <w:r w:rsidRPr="00A212E9">
          <w:rPr>
            <w:rStyle w:val="Hyperlink"/>
          </w:rPr>
          <w:t>https://plato.stanford.edu/archives/win2016/entries/compatibilism/</w:t>
        </w:r>
      </w:hyperlink>
      <w:r>
        <w:t xml:space="preserve"> [Accessed 20</w:t>
      </w:r>
      <w:r w:rsidRPr="00867CC9">
        <w:rPr>
          <w:vertAlign w:val="superscript"/>
        </w:rPr>
        <w:t>th</w:t>
      </w:r>
      <w:r w:rsidR="00AD7AAA">
        <w:t xml:space="preserve"> March 2018]</w:t>
      </w:r>
      <w:r>
        <w:t xml:space="preserve"> §5.2</w:t>
      </w:r>
    </w:p>
  </w:footnote>
  <w:footnote w:id="12">
    <w:p w:rsidR="0032152E" w:rsidRDefault="0032152E">
      <w:pPr>
        <w:pStyle w:val="FootnoteText"/>
      </w:pPr>
      <w:r>
        <w:rPr>
          <w:rStyle w:val="FootnoteReference"/>
        </w:rPr>
        <w:footnoteRef/>
      </w:r>
      <w:r>
        <w:t xml:space="preserve"> Harry G. Frankfurt, ‘Freedom of the Will and the Concept of a Person’, p.7-8</w:t>
      </w:r>
    </w:p>
  </w:footnote>
  <w:footnote w:id="13">
    <w:p w:rsidR="0032152E" w:rsidRDefault="0032152E">
      <w:pPr>
        <w:pStyle w:val="FootnoteText"/>
      </w:pPr>
      <w:r>
        <w:rPr>
          <w:rStyle w:val="FootnoteReference"/>
        </w:rPr>
        <w:footnoteRef/>
      </w:r>
      <w:r>
        <w:t xml:space="preserve"> Ibid. p.8</w:t>
      </w:r>
    </w:p>
  </w:footnote>
  <w:footnote w:id="14">
    <w:p w:rsidR="0032152E" w:rsidRDefault="0032152E">
      <w:pPr>
        <w:pStyle w:val="FootnoteText"/>
      </w:pPr>
      <w:r>
        <w:rPr>
          <w:rStyle w:val="FootnoteReference"/>
        </w:rPr>
        <w:footnoteRef/>
      </w:r>
      <w:r>
        <w:t xml:space="preserve"> Ibid.</w:t>
      </w:r>
    </w:p>
  </w:footnote>
  <w:footnote w:id="15">
    <w:p w:rsidR="0032152E" w:rsidRPr="00851EB2" w:rsidRDefault="0032152E">
      <w:pPr>
        <w:pStyle w:val="FootnoteText"/>
      </w:pPr>
      <w:r>
        <w:rPr>
          <w:rStyle w:val="FootnoteReference"/>
        </w:rPr>
        <w:footnoteRef/>
      </w:r>
      <w:r>
        <w:t xml:space="preserve"> Robert Kane, </w:t>
      </w:r>
      <w:r>
        <w:rPr>
          <w:i/>
        </w:rPr>
        <w:t>A Contemporary Introduction to Free Will</w:t>
      </w:r>
      <w:r>
        <w:t>, p.94</w:t>
      </w:r>
    </w:p>
  </w:footnote>
  <w:footnote w:id="16">
    <w:p w:rsidR="0032152E" w:rsidRDefault="0032152E">
      <w:pPr>
        <w:pStyle w:val="FootnoteText"/>
      </w:pPr>
      <w:r>
        <w:rPr>
          <w:rStyle w:val="FootnoteReference"/>
        </w:rPr>
        <w:footnoteRef/>
      </w:r>
      <w:r>
        <w:t xml:space="preserve"> Harry G. Frankfurt, ‘Freedom of the Will and the Concept of a Person’, pp.7-8 (p.10 §II)</w:t>
      </w:r>
    </w:p>
  </w:footnote>
  <w:footnote w:id="17">
    <w:p w:rsidR="0032152E" w:rsidRDefault="0032152E">
      <w:pPr>
        <w:pStyle w:val="FootnoteText"/>
      </w:pPr>
      <w:r>
        <w:rPr>
          <w:rStyle w:val="FootnoteReference"/>
        </w:rPr>
        <w:footnoteRef/>
      </w:r>
      <w:r>
        <w:t xml:space="preserve"> Ibid.</w:t>
      </w:r>
    </w:p>
  </w:footnote>
  <w:footnote w:id="18">
    <w:p w:rsidR="0032152E" w:rsidRDefault="0032152E">
      <w:pPr>
        <w:pStyle w:val="FootnoteText"/>
      </w:pPr>
      <w:r>
        <w:rPr>
          <w:rStyle w:val="FootnoteReference"/>
        </w:rPr>
        <w:footnoteRef/>
      </w:r>
      <w:r>
        <w:t xml:space="preserve"> Ibid. p.11</w:t>
      </w:r>
    </w:p>
  </w:footnote>
  <w:footnote w:id="19">
    <w:p w:rsidR="0032152E" w:rsidRDefault="0032152E">
      <w:pPr>
        <w:pStyle w:val="FootnoteText"/>
      </w:pPr>
      <w:r>
        <w:rPr>
          <w:rStyle w:val="FootnoteReference"/>
        </w:rPr>
        <w:footnoteRef/>
      </w:r>
      <w:r>
        <w:t xml:space="preserve"> Ibid. </w:t>
      </w:r>
    </w:p>
  </w:footnote>
  <w:footnote w:id="20">
    <w:p w:rsidR="0032152E" w:rsidRDefault="0032152E">
      <w:pPr>
        <w:pStyle w:val="FootnoteText"/>
      </w:pPr>
      <w:r>
        <w:rPr>
          <w:rStyle w:val="FootnoteReference"/>
        </w:rPr>
        <w:footnoteRef/>
      </w:r>
      <w:r>
        <w:t xml:space="preserve"> Robert Kane, </w:t>
      </w:r>
      <w:r>
        <w:rPr>
          <w:i/>
        </w:rPr>
        <w:t xml:space="preserve">A Contemporary Introduction to Free Will, </w:t>
      </w:r>
      <w:r w:rsidRPr="00F518FC">
        <w:t>p.95</w:t>
      </w:r>
    </w:p>
  </w:footnote>
  <w:footnote w:id="21">
    <w:p w:rsidR="0032152E" w:rsidRDefault="0032152E">
      <w:pPr>
        <w:pStyle w:val="FootnoteText"/>
      </w:pPr>
      <w:r>
        <w:rPr>
          <w:rStyle w:val="FootnoteReference"/>
        </w:rPr>
        <w:footnoteRef/>
      </w:r>
      <w:r>
        <w:t xml:space="preserve"> Michael McKenna and Justin D. Coates, ‘Compatibilism’</w:t>
      </w:r>
      <w:r w:rsidRPr="00867CC9">
        <w:t>,</w:t>
      </w:r>
      <w:r>
        <w:t xml:space="preserve"> §5.2.1</w:t>
      </w:r>
    </w:p>
  </w:footnote>
  <w:footnote w:id="22">
    <w:p w:rsidR="0032152E" w:rsidRPr="00106A2D" w:rsidRDefault="0032152E">
      <w:pPr>
        <w:pStyle w:val="FootnoteText"/>
      </w:pPr>
      <w:r>
        <w:rPr>
          <w:rStyle w:val="FootnoteReference"/>
        </w:rPr>
        <w:footnoteRef/>
      </w:r>
      <w:r>
        <w:t xml:space="preserve"> </w:t>
      </w:r>
      <w:r w:rsidRPr="00C9459F">
        <w:t>Marina A. L. Oshana</w:t>
      </w:r>
      <w:r>
        <w:t>, ‘</w:t>
      </w:r>
      <w:r w:rsidRPr="00C9459F">
        <w:t>Wanton Responsibility</w:t>
      </w:r>
      <w:r>
        <w:t xml:space="preserve">’, </w:t>
      </w:r>
      <w:r w:rsidRPr="00D02840">
        <w:rPr>
          <w:i/>
        </w:rPr>
        <w:t>The Journal of Ethics</w:t>
      </w:r>
      <w:r>
        <w:t>, Vol. 2 (</w:t>
      </w:r>
      <w:r w:rsidRPr="00D02840">
        <w:t>3</w:t>
      </w:r>
      <w:r>
        <w:t>)</w:t>
      </w:r>
      <w:r w:rsidRPr="00D02840">
        <w:t xml:space="preserve"> (1998)</w:t>
      </w:r>
      <w:r>
        <w:t xml:space="preserve"> </w:t>
      </w:r>
      <w:r w:rsidRPr="00106A2D">
        <w:t>pp. 261-276</w:t>
      </w:r>
      <w:r>
        <w:t xml:space="preserve"> (261)</w:t>
      </w:r>
    </w:p>
  </w:footnote>
  <w:footnote w:id="23">
    <w:p w:rsidR="0032152E" w:rsidRPr="00BB72E9" w:rsidRDefault="0032152E">
      <w:pPr>
        <w:pStyle w:val="FootnoteText"/>
      </w:pPr>
      <w:r>
        <w:rPr>
          <w:rStyle w:val="FootnoteReference"/>
        </w:rPr>
        <w:footnoteRef/>
      </w:r>
      <w:r>
        <w:t xml:space="preserve"> Ibid. </w:t>
      </w:r>
    </w:p>
  </w:footnote>
  <w:footnote w:id="24">
    <w:p w:rsidR="0032152E" w:rsidRDefault="0032152E">
      <w:pPr>
        <w:pStyle w:val="FootnoteText"/>
      </w:pPr>
      <w:r>
        <w:rPr>
          <w:rStyle w:val="FootnoteReference"/>
        </w:rPr>
        <w:footnoteRef/>
      </w:r>
      <w:r>
        <w:t xml:space="preserve"> Harry G. Frankfurt, ‘Freedom of the Will and the Concept of a Person’, p.11</w:t>
      </w:r>
    </w:p>
  </w:footnote>
  <w:footnote w:id="25">
    <w:p w:rsidR="0032152E" w:rsidRDefault="0032152E">
      <w:pPr>
        <w:pStyle w:val="FootnoteText"/>
      </w:pPr>
      <w:r>
        <w:rPr>
          <w:rStyle w:val="FootnoteReference"/>
        </w:rPr>
        <w:footnoteRef/>
      </w:r>
      <w:r>
        <w:t xml:space="preserve"> Ibid. </w:t>
      </w:r>
    </w:p>
  </w:footnote>
  <w:footnote w:id="26">
    <w:p w:rsidR="0032152E" w:rsidRDefault="0032152E">
      <w:pPr>
        <w:pStyle w:val="FootnoteText"/>
      </w:pPr>
      <w:r>
        <w:rPr>
          <w:rStyle w:val="FootnoteReference"/>
        </w:rPr>
        <w:footnoteRef/>
      </w:r>
      <w:r>
        <w:t xml:space="preserve"> Ibid. p.12</w:t>
      </w:r>
    </w:p>
  </w:footnote>
  <w:footnote w:id="27">
    <w:p w:rsidR="0032152E" w:rsidRDefault="0032152E">
      <w:pPr>
        <w:pStyle w:val="FootnoteText"/>
      </w:pPr>
      <w:r>
        <w:rPr>
          <w:rStyle w:val="FootnoteReference"/>
        </w:rPr>
        <w:footnoteRef/>
      </w:r>
      <w:r>
        <w:t xml:space="preserve"> Ibid. p.12</w:t>
      </w:r>
    </w:p>
  </w:footnote>
  <w:footnote w:id="28">
    <w:p w:rsidR="0032152E" w:rsidRDefault="0032152E">
      <w:pPr>
        <w:pStyle w:val="FootnoteText"/>
      </w:pPr>
      <w:r>
        <w:rPr>
          <w:rStyle w:val="FootnoteReference"/>
        </w:rPr>
        <w:footnoteRef/>
      </w:r>
      <w:r>
        <w:t xml:space="preserve"> Ibid. </w:t>
      </w:r>
    </w:p>
  </w:footnote>
  <w:footnote w:id="29">
    <w:p w:rsidR="0032152E" w:rsidRDefault="0032152E">
      <w:pPr>
        <w:pStyle w:val="FootnoteText"/>
      </w:pPr>
      <w:r>
        <w:rPr>
          <w:rStyle w:val="FootnoteReference"/>
        </w:rPr>
        <w:footnoteRef/>
      </w:r>
      <w:r>
        <w:t xml:space="preserve"> Ibid. p.13</w:t>
      </w:r>
    </w:p>
  </w:footnote>
  <w:footnote w:id="30">
    <w:p w:rsidR="0032152E" w:rsidRDefault="0032152E">
      <w:pPr>
        <w:pStyle w:val="FootnoteText"/>
      </w:pPr>
      <w:r>
        <w:rPr>
          <w:rStyle w:val="FootnoteReference"/>
        </w:rPr>
        <w:footnoteRef/>
      </w:r>
      <w:r>
        <w:t xml:space="preserve"> Ibid. </w:t>
      </w:r>
    </w:p>
  </w:footnote>
  <w:footnote w:id="31">
    <w:p w:rsidR="0032152E" w:rsidRDefault="0032152E">
      <w:pPr>
        <w:pStyle w:val="FootnoteText"/>
      </w:pPr>
      <w:r>
        <w:rPr>
          <w:rStyle w:val="FootnoteReference"/>
        </w:rPr>
        <w:footnoteRef/>
      </w:r>
      <w:r>
        <w:t xml:space="preserve"> Ibid. p.14</w:t>
      </w:r>
    </w:p>
  </w:footnote>
  <w:footnote w:id="32">
    <w:p w:rsidR="0032152E" w:rsidRDefault="0032152E">
      <w:pPr>
        <w:pStyle w:val="FootnoteText"/>
      </w:pPr>
      <w:r>
        <w:rPr>
          <w:rStyle w:val="FootnoteReference"/>
        </w:rPr>
        <w:footnoteRef/>
      </w:r>
      <w:r>
        <w:t xml:space="preserve"> Ibid. p.15</w:t>
      </w:r>
    </w:p>
  </w:footnote>
  <w:footnote w:id="33">
    <w:p w:rsidR="0032152E" w:rsidRDefault="0032152E">
      <w:pPr>
        <w:pStyle w:val="FootnoteText"/>
      </w:pPr>
      <w:r>
        <w:rPr>
          <w:rStyle w:val="FootnoteReference"/>
        </w:rPr>
        <w:footnoteRef/>
      </w:r>
      <w:r>
        <w:t xml:space="preserve"> Ibid.</w:t>
      </w:r>
    </w:p>
  </w:footnote>
  <w:footnote w:id="34">
    <w:p w:rsidR="0032152E" w:rsidRDefault="0032152E">
      <w:pPr>
        <w:pStyle w:val="FootnoteText"/>
      </w:pPr>
      <w:r>
        <w:rPr>
          <w:rStyle w:val="FootnoteReference"/>
        </w:rPr>
        <w:footnoteRef/>
      </w:r>
      <w:r>
        <w:t xml:space="preserve"> Ibid.</w:t>
      </w:r>
    </w:p>
  </w:footnote>
  <w:footnote w:id="35">
    <w:p w:rsidR="0032152E" w:rsidRDefault="0032152E">
      <w:pPr>
        <w:pStyle w:val="FootnoteText"/>
      </w:pPr>
      <w:r>
        <w:rPr>
          <w:rStyle w:val="FootnoteReference"/>
        </w:rPr>
        <w:footnoteRef/>
      </w:r>
      <w:r>
        <w:t xml:space="preserve"> Ibid.</w:t>
      </w:r>
    </w:p>
  </w:footnote>
  <w:footnote w:id="36">
    <w:p w:rsidR="0032152E" w:rsidRPr="000C64B0" w:rsidRDefault="0032152E">
      <w:pPr>
        <w:pStyle w:val="FootnoteText"/>
      </w:pPr>
      <w:r>
        <w:rPr>
          <w:rStyle w:val="FootnoteReference"/>
        </w:rPr>
        <w:footnoteRef/>
      </w:r>
      <w:r>
        <w:t xml:space="preserve"> Harry G Frankfurt, ’Freedom of the Will and the Concept of a Person’, </w:t>
      </w:r>
      <w:r>
        <w:rPr>
          <w:i/>
        </w:rPr>
        <w:t xml:space="preserve">The Importance of What We Care About, </w:t>
      </w:r>
      <w:r>
        <w:t>(Cambridge: Cambridge University Press, 1998) p.21</w:t>
      </w:r>
    </w:p>
  </w:footnote>
  <w:footnote w:id="37">
    <w:p w:rsidR="0032152E" w:rsidRPr="00D03DFB" w:rsidRDefault="0032152E">
      <w:pPr>
        <w:pStyle w:val="FootnoteText"/>
      </w:pPr>
      <w:r>
        <w:rPr>
          <w:rStyle w:val="FootnoteReference"/>
        </w:rPr>
        <w:footnoteRef/>
      </w:r>
      <w:r>
        <w:t xml:space="preserve"> Harry G. Frankfurt, ‘Identification and Wholeheartedness’, in </w:t>
      </w:r>
      <w:r>
        <w:rPr>
          <w:i/>
        </w:rPr>
        <w:t xml:space="preserve">The Importance of What We Care About, </w:t>
      </w:r>
      <w:r>
        <w:t>(Cambridge: Cambridge University Press, 1998) p.168</w:t>
      </w:r>
    </w:p>
  </w:footnote>
  <w:footnote w:id="38">
    <w:p w:rsidR="0032152E" w:rsidRDefault="0032152E">
      <w:pPr>
        <w:pStyle w:val="FootnoteText"/>
      </w:pPr>
      <w:r>
        <w:rPr>
          <w:rStyle w:val="FootnoteReference"/>
        </w:rPr>
        <w:footnoteRef/>
      </w:r>
      <w:r>
        <w:t xml:space="preserve"> Ibid. p.</w:t>
      </w:r>
    </w:p>
  </w:footnote>
  <w:footnote w:id="39">
    <w:p w:rsidR="0032152E" w:rsidRDefault="0032152E">
      <w:pPr>
        <w:pStyle w:val="FootnoteText"/>
      </w:pPr>
      <w:r>
        <w:rPr>
          <w:rStyle w:val="FootnoteReference"/>
        </w:rPr>
        <w:footnoteRef/>
      </w:r>
      <w:r>
        <w:t xml:space="preserve"> Harry G. Frankfurt, ‘Freedom of the Will and the Concept of a Person’, p.13</w:t>
      </w:r>
    </w:p>
  </w:footnote>
  <w:footnote w:id="40">
    <w:p w:rsidR="0032152E" w:rsidRPr="000C64B0" w:rsidRDefault="0032152E">
      <w:pPr>
        <w:pStyle w:val="FootnoteText"/>
      </w:pPr>
      <w:r>
        <w:rPr>
          <w:rStyle w:val="FootnoteReference"/>
        </w:rPr>
        <w:footnoteRef/>
      </w:r>
      <w:r>
        <w:t xml:space="preserve"> Gary Watson, ‘Free Agency’, in </w:t>
      </w:r>
      <w:r>
        <w:rPr>
          <w:i/>
        </w:rPr>
        <w:t>Free Will</w:t>
      </w:r>
      <w:r>
        <w:t>, 2</w:t>
      </w:r>
      <w:r w:rsidRPr="006D2699">
        <w:rPr>
          <w:vertAlign w:val="superscript"/>
        </w:rPr>
        <w:t>nd</w:t>
      </w:r>
      <w:r>
        <w:t xml:space="preserve"> edn. ed. Gary Watson (Oxford: Oxford University Press, 2003) p.348</w:t>
      </w:r>
    </w:p>
  </w:footnote>
  <w:footnote w:id="41">
    <w:p w:rsidR="0032152E" w:rsidRPr="00F518FC" w:rsidRDefault="0032152E">
      <w:pPr>
        <w:pStyle w:val="FootnoteText"/>
      </w:pPr>
      <w:r>
        <w:rPr>
          <w:rStyle w:val="FootnoteReference"/>
        </w:rPr>
        <w:footnoteRef/>
      </w:r>
      <w:r>
        <w:t xml:space="preserve"> Robert Kane, </w:t>
      </w:r>
      <w:r>
        <w:rPr>
          <w:i/>
        </w:rPr>
        <w:t>A Contemporary Introduction to Free Will</w:t>
      </w:r>
      <w:r>
        <w:t>, p.98</w:t>
      </w:r>
    </w:p>
  </w:footnote>
  <w:footnote w:id="42">
    <w:p w:rsidR="0032152E" w:rsidRDefault="0032152E">
      <w:pPr>
        <w:pStyle w:val="FootnoteText"/>
      </w:pPr>
      <w:r>
        <w:rPr>
          <w:rStyle w:val="FootnoteReference"/>
        </w:rPr>
        <w:footnoteRef/>
      </w:r>
      <w:r>
        <w:t xml:space="preserve"> Gary Watson, ‘Free Agency’, p.338</w:t>
      </w:r>
    </w:p>
  </w:footnote>
  <w:footnote w:id="43">
    <w:p w:rsidR="0032152E" w:rsidRDefault="0032152E">
      <w:pPr>
        <w:pStyle w:val="FootnoteText"/>
      </w:pPr>
      <w:r>
        <w:rPr>
          <w:rStyle w:val="FootnoteReference"/>
        </w:rPr>
        <w:footnoteRef/>
      </w:r>
      <w:r>
        <w:t xml:space="preserve"> Ibid.</w:t>
      </w:r>
    </w:p>
  </w:footnote>
  <w:footnote w:id="44">
    <w:p w:rsidR="0032152E" w:rsidRDefault="0032152E">
      <w:pPr>
        <w:pStyle w:val="FootnoteText"/>
      </w:pPr>
      <w:r>
        <w:rPr>
          <w:rStyle w:val="FootnoteReference"/>
        </w:rPr>
        <w:footnoteRef/>
      </w:r>
      <w:r>
        <w:t xml:space="preserve"> Ibid. p.339</w:t>
      </w:r>
    </w:p>
  </w:footnote>
  <w:footnote w:id="45">
    <w:p w:rsidR="0032152E" w:rsidRDefault="0032152E">
      <w:pPr>
        <w:pStyle w:val="FootnoteText"/>
      </w:pPr>
      <w:r>
        <w:rPr>
          <w:rStyle w:val="FootnoteReference"/>
        </w:rPr>
        <w:footnoteRef/>
      </w:r>
      <w:r>
        <w:t xml:space="preserve"> Ibid. p.341</w:t>
      </w:r>
    </w:p>
  </w:footnote>
  <w:footnote w:id="46">
    <w:p w:rsidR="0032152E" w:rsidRDefault="0032152E">
      <w:pPr>
        <w:pStyle w:val="FootnoteText"/>
      </w:pPr>
      <w:r>
        <w:rPr>
          <w:rStyle w:val="FootnoteReference"/>
        </w:rPr>
        <w:footnoteRef/>
      </w:r>
      <w:r>
        <w:t xml:space="preserve"> Ibid.</w:t>
      </w:r>
    </w:p>
  </w:footnote>
  <w:footnote w:id="47">
    <w:p w:rsidR="0032152E" w:rsidRDefault="0032152E">
      <w:pPr>
        <w:pStyle w:val="FootnoteText"/>
      </w:pPr>
      <w:r>
        <w:rPr>
          <w:rStyle w:val="FootnoteReference"/>
        </w:rPr>
        <w:footnoteRef/>
      </w:r>
      <w:r>
        <w:t xml:space="preserve"> Ibid. p.350</w:t>
      </w:r>
    </w:p>
  </w:footnote>
  <w:footnote w:id="48">
    <w:p w:rsidR="0032152E" w:rsidRDefault="0032152E">
      <w:pPr>
        <w:pStyle w:val="FootnoteText"/>
      </w:pPr>
      <w:r>
        <w:rPr>
          <w:rStyle w:val="FootnoteReference"/>
        </w:rPr>
        <w:footnoteRef/>
      </w:r>
      <w:r>
        <w:t xml:space="preserve"> Ibid. </w:t>
      </w:r>
    </w:p>
  </w:footnote>
  <w:footnote w:id="49">
    <w:p w:rsidR="0032152E" w:rsidRPr="006D2699" w:rsidRDefault="0032152E">
      <w:pPr>
        <w:pStyle w:val="FootnoteText"/>
        <w:rPr>
          <w:i/>
        </w:rPr>
      </w:pPr>
      <w:r>
        <w:rPr>
          <w:rStyle w:val="FootnoteReference"/>
        </w:rPr>
        <w:footnoteRef/>
      </w:r>
      <w:r>
        <w:t xml:space="preserve"> Susan Wolf, ‘Sanity and the Metaphysics of Responsibility’, </w:t>
      </w:r>
      <w:r>
        <w:rPr>
          <w:i/>
        </w:rPr>
        <w:t>Free Will</w:t>
      </w:r>
      <w:r>
        <w:t>, 2</w:t>
      </w:r>
      <w:r w:rsidRPr="006D2699">
        <w:rPr>
          <w:vertAlign w:val="superscript"/>
        </w:rPr>
        <w:t>nd</w:t>
      </w:r>
      <w:r>
        <w:t xml:space="preserve"> edn. ed. Gary Watson (Oxford: Oxford University Press, 2003) p.376</w:t>
      </w:r>
    </w:p>
  </w:footnote>
  <w:footnote w:id="50">
    <w:p w:rsidR="0032152E" w:rsidRDefault="0032152E">
      <w:pPr>
        <w:pStyle w:val="FootnoteText"/>
      </w:pPr>
      <w:r>
        <w:rPr>
          <w:rStyle w:val="FootnoteReference"/>
        </w:rPr>
        <w:footnoteRef/>
      </w:r>
      <w:r>
        <w:t xml:space="preserve"> Ibid. p.375</w:t>
      </w:r>
    </w:p>
  </w:footnote>
  <w:footnote w:id="51">
    <w:p w:rsidR="0032152E" w:rsidRDefault="0032152E">
      <w:pPr>
        <w:pStyle w:val="FootnoteText"/>
      </w:pPr>
      <w:r>
        <w:rPr>
          <w:rStyle w:val="FootnoteReference"/>
        </w:rPr>
        <w:footnoteRef/>
      </w:r>
      <w:r>
        <w:t xml:space="preserve"> Ibid.</w:t>
      </w:r>
    </w:p>
  </w:footnote>
  <w:footnote w:id="52">
    <w:p w:rsidR="0032152E" w:rsidRDefault="0032152E">
      <w:pPr>
        <w:pStyle w:val="FootnoteText"/>
      </w:pPr>
      <w:r>
        <w:rPr>
          <w:rStyle w:val="FootnoteReference"/>
        </w:rPr>
        <w:footnoteRef/>
      </w:r>
      <w:r>
        <w:t xml:space="preserve"> Ibid. p.376</w:t>
      </w:r>
    </w:p>
  </w:footnote>
  <w:footnote w:id="53">
    <w:p w:rsidR="0032152E" w:rsidRDefault="0032152E">
      <w:pPr>
        <w:pStyle w:val="FootnoteText"/>
      </w:pPr>
      <w:r>
        <w:rPr>
          <w:rStyle w:val="FootnoteReference"/>
        </w:rPr>
        <w:footnoteRef/>
      </w:r>
      <w:r>
        <w:t xml:space="preserve"> Ibid.</w:t>
      </w:r>
    </w:p>
  </w:footnote>
  <w:footnote w:id="54">
    <w:p w:rsidR="0032152E" w:rsidRDefault="0032152E">
      <w:pPr>
        <w:pStyle w:val="FootnoteText"/>
      </w:pPr>
      <w:r>
        <w:rPr>
          <w:rStyle w:val="FootnoteReference"/>
        </w:rPr>
        <w:footnoteRef/>
      </w:r>
      <w:r>
        <w:t xml:space="preserve"> Ibid.</w:t>
      </w:r>
    </w:p>
  </w:footnote>
  <w:footnote w:id="55">
    <w:p w:rsidR="0032152E" w:rsidRDefault="0032152E">
      <w:pPr>
        <w:pStyle w:val="FootnoteText"/>
      </w:pPr>
      <w:r>
        <w:rPr>
          <w:rStyle w:val="FootnoteReference"/>
        </w:rPr>
        <w:footnoteRef/>
      </w:r>
      <w:r>
        <w:t xml:space="preserve"> Ibid. p.377</w:t>
      </w:r>
    </w:p>
  </w:footnote>
  <w:footnote w:id="56">
    <w:p w:rsidR="0032152E" w:rsidRDefault="0032152E">
      <w:pPr>
        <w:pStyle w:val="FootnoteText"/>
      </w:pPr>
      <w:r>
        <w:rPr>
          <w:rStyle w:val="FootnoteReference"/>
        </w:rPr>
        <w:footnoteRef/>
      </w:r>
      <w:r>
        <w:t xml:space="preserve"> Ibid. p.378</w:t>
      </w:r>
    </w:p>
  </w:footnote>
  <w:footnote w:id="57">
    <w:p w:rsidR="0032152E" w:rsidRDefault="0032152E">
      <w:pPr>
        <w:pStyle w:val="FootnoteText"/>
      </w:pPr>
      <w:r>
        <w:rPr>
          <w:rStyle w:val="FootnoteReference"/>
        </w:rPr>
        <w:footnoteRef/>
      </w:r>
      <w:r>
        <w:t xml:space="preserve"> Ibid. </w:t>
      </w:r>
    </w:p>
  </w:footnote>
  <w:footnote w:id="58">
    <w:p w:rsidR="0032152E" w:rsidRDefault="0032152E">
      <w:pPr>
        <w:pStyle w:val="FootnoteText"/>
      </w:pPr>
      <w:r>
        <w:rPr>
          <w:rStyle w:val="FootnoteReference"/>
        </w:rPr>
        <w:footnoteRef/>
      </w:r>
      <w:r>
        <w:t xml:space="preserve"> Ibid.</w:t>
      </w:r>
    </w:p>
  </w:footnote>
  <w:footnote w:id="59">
    <w:p w:rsidR="0032152E" w:rsidRDefault="0032152E">
      <w:pPr>
        <w:pStyle w:val="FootnoteText"/>
      </w:pPr>
      <w:r>
        <w:rPr>
          <w:rStyle w:val="FootnoteReference"/>
        </w:rPr>
        <w:footnoteRef/>
      </w:r>
      <w:r>
        <w:t xml:space="preserve"> Ibid. pp.379-380.</w:t>
      </w:r>
    </w:p>
  </w:footnote>
  <w:footnote w:id="60">
    <w:p w:rsidR="0032152E" w:rsidRDefault="0032152E">
      <w:pPr>
        <w:pStyle w:val="FootnoteText"/>
      </w:pPr>
      <w:r>
        <w:rPr>
          <w:rStyle w:val="FootnoteReference"/>
        </w:rPr>
        <w:footnoteRef/>
      </w:r>
      <w:r>
        <w:t xml:space="preserve"> Ibid. p.379</w:t>
      </w:r>
    </w:p>
  </w:footnote>
  <w:footnote w:id="61">
    <w:p w:rsidR="0032152E" w:rsidRDefault="0032152E">
      <w:pPr>
        <w:pStyle w:val="FootnoteText"/>
      </w:pPr>
      <w:r>
        <w:rPr>
          <w:rStyle w:val="FootnoteReference"/>
        </w:rPr>
        <w:footnoteRef/>
      </w:r>
      <w:r>
        <w:t xml:space="preserve"> Ibid. p.381</w:t>
      </w:r>
    </w:p>
  </w:footnote>
  <w:footnote w:id="62">
    <w:p w:rsidR="0032152E" w:rsidRDefault="0032152E">
      <w:pPr>
        <w:pStyle w:val="FootnoteText"/>
      </w:pPr>
      <w:r>
        <w:rPr>
          <w:rStyle w:val="FootnoteReference"/>
        </w:rPr>
        <w:footnoteRef/>
      </w:r>
      <w:r>
        <w:t xml:space="preserve"> Ibid. </w:t>
      </w:r>
    </w:p>
  </w:footnote>
  <w:footnote w:id="63">
    <w:p w:rsidR="0032152E" w:rsidRDefault="0032152E">
      <w:pPr>
        <w:pStyle w:val="FootnoteText"/>
      </w:pPr>
      <w:r>
        <w:rPr>
          <w:rStyle w:val="FootnoteReference"/>
        </w:rPr>
        <w:footnoteRef/>
      </w:r>
      <w:r>
        <w:t xml:space="preserve"> Ibid. </w:t>
      </w:r>
    </w:p>
  </w:footnote>
  <w:footnote w:id="64">
    <w:p w:rsidR="0032152E" w:rsidRDefault="0032152E">
      <w:pPr>
        <w:pStyle w:val="FootnoteText"/>
      </w:pPr>
      <w:r>
        <w:rPr>
          <w:rStyle w:val="FootnoteReference"/>
        </w:rPr>
        <w:footnoteRef/>
      </w:r>
      <w:r>
        <w:t xml:space="preserve"> Ibid. p.383</w:t>
      </w:r>
    </w:p>
  </w:footnote>
  <w:footnote w:id="65">
    <w:p w:rsidR="0032152E" w:rsidRDefault="0032152E">
      <w:pPr>
        <w:pStyle w:val="FootnoteText"/>
      </w:pPr>
      <w:r>
        <w:rPr>
          <w:rStyle w:val="FootnoteReference"/>
        </w:rPr>
        <w:footnoteRef/>
      </w:r>
      <w:r>
        <w:t xml:space="preserve"> Ibid. p.386</w:t>
      </w:r>
    </w:p>
  </w:footnote>
  <w:footnote w:id="66">
    <w:p w:rsidR="0032152E" w:rsidRDefault="0032152E">
      <w:pPr>
        <w:pStyle w:val="FootnoteText"/>
      </w:pPr>
      <w:r>
        <w:rPr>
          <w:rStyle w:val="FootnoteReference"/>
        </w:rPr>
        <w:footnoteRef/>
      </w:r>
      <w:r>
        <w:t xml:space="preserve"> Robert Kane, ‘Libertarianism’, in John Martin Fischer et al., </w:t>
      </w:r>
      <w:r w:rsidRPr="009462E4">
        <w:rPr>
          <w:i/>
        </w:rPr>
        <w:t>Four Views on Free Will</w:t>
      </w:r>
      <w:r>
        <w:t>, (Oxford: Blackwell Publishing, 2007) p.5</w:t>
      </w:r>
    </w:p>
  </w:footnote>
  <w:footnote w:id="67">
    <w:p w:rsidR="0032152E" w:rsidRDefault="0032152E">
      <w:pPr>
        <w:pStyle w:val="FootnoteText"/>
      </w:pPr>
      <w:r>
        <w:rPr>
          <w:rStyle w:val="FootnoteReference"/>
        </w:rPr>
        <w:footnoteRef/>
      </w:r>
      <w:r>
        <w:t xml:space="preserve"> Ibid. </w:t>
      </w:r>
    </w:p>
  </w:footnote>
  <w:footnote w:id="68">
    <w:p w:rsidR="0032152E" w:rsidRDefault="0032152E">
      <w:pPr>
        <w:pStyle w:val="FootnoteText"/>
      </w:pPr>
      <w:r>
        <w:rPr>
          <w:rStyle w:val="FootnoteReference"/>
        </w:rPr>
        <w:footnoteRef/>
      </w:r>
      <w:r>
        <w:t xml:space="preserve"> Ibid. p.6 </w:t>
      </w:r>
    </w:p>
  </w:footnote>
  <w:footnote w:id="69">
    <w:p w:rsidR="0032152E" w:rsidRDefault="0032152E">
      <w:pPr>
        <w:pStyle w:val="FootnoteText"/>
      </w:pPr>
      <w:r>
        <w:rPr>
          <w:rStyle w:val="FootnoteReference"/>
        </w:rPr>
        <w:footnoteRef/>
      </w:r>
      <w:r>
        <w:t xml:space="preserve"> Ibid. </w:t>
      </w:r>
    </w:p>
  </w:footnote>
  <w:footnote w:id="70">
    <w:p w:rsidR="0032152E" w:rsidRDefault="0032152E">
      <w:pPr>
        <w:pStyle w:val="FootnoteText"/>
      </w:pPr>
      <w:r>
        <w:rPr>
          <w:rStyle w:val="FootnoteReference"/>
        </w:rPr>
        <w:footnoteRef/>
      </w:r>
      <w:r>
        <w:t xml:space="preserve"> Ibid.</w:t>
      </w:r>
    </w:p>
  </w:footnote>
  <w:footnote w:id="71">
    <w:p w:rsidR="0032152E" w:rsidRDefault="0032152E">
      <w:pPr>
        <w:pStyle w:val="FootnoteText"/>
      </w:pPr>
      <w:r>
        <w:rPr>
          <w:rStyle w:val="FootnoteReference"/>
        </w:rPr>
        <w:footnoteRef/>
      </w:r>
      <w:r>
        <w:t xml:space="preserve"> Ibid.</w:t>
      </w:r>
    </w:p>
  </w:footnote>
  <w:footnote w:id="72">
    <w:p w:rsidR="0032152E" w:rsidRDefault="0032152E">
      <w:pPr>
        <w:pStyle w:val="FootnoteText"/>
      </w:pPr>
      <w:r>
        <w:rPr>
          <w:rStyle w:val="FootnoteReference"/>
        </w:rPr>
        <w:footnoteRef/>
      </w:r>
      <w:r>
        <w:t xml:space="preserve"> Ibid. p.7</w:t>
      </w:r>
    </w:p>
  </w:footnote>
  <w:footnote w:id="73">
    <w:p w:rsidR="0032152E" w:rsidRDefault="0032152E">
      <w:pPr>
        <w:pStyle w:val="FootnoteText"/>
      </w:pPr>
      <w:r>
        <w:rPr>
          <w:rStyle w:val="FootnoteReference"/>
        </w:rPr>
        <w:footnoteRef/>
      </w:r>
      <w:r>
        <w:t xml:space="preserve"> Ibid. p.9</w:t>
      </w:r>
    </w:p>
  </w:footnote>
  <w:footnote w:id="74">
    <w:p w:rsidR="0032152E" w:rsidRDefault="0032152E">
      <w:pPr>
        <w:pStyle w:val="FootnoteText"/>
      </w:pPr>
      <w:r>
        <w:rPr>
          <w:rStyle w:val="FootnoteReference"/>
        </w:rPr>
        <w:footnoteRef/>
      </w:r>
      <w:r>
        <w:t xml:space="preserve"> Ibid. </w:t>
      </w:r>
    </w:p>
  </w:footnote>
  <w:footnote w:id="75">
    <w:p w:rsidR="0032152E" w:rsidRDefault="0032152E">
      <w:pPr>
        <w:pStyle w:val="FootnoteText"/>
      </w:pPr>
      <w:r>
        <w:rPr>
          <w:rStyle w:val="FootnoteReference"/>
        </w:rPr>
        <w:footnoteRef/>
      </w:r>
      <w:r>
        <w:t xml:space="preserve"> Ibid. </w:t>
      </w:r>
    </w:p>
  </w:footnote>
  <w:footnote w:id="76">
    <w:p w:rsidR="0032152E" w:rsidRDefault="0032152E">
      <w:pPr>
        <w:pStyle w:val="FootnoteText"/>
      </w:pPr>
      <w:r>
        <w:rPr>
          <w:rStyle w:val="FootnoteReference"/>
        </w:rPr>
        <w:footnoteRef/>
      </w:r>
      <w:r>
        <w:t xml:space="preserve"> Ibid. p.10</w:t>
      </w:r>
    </w:p>
  </w:footnote>
  <w:footnote w:id="77">
    <w:p w:rsidR="0032152E" w:rsidRDefault="0032152E">
      <w:pPr>
        <w:pStyle w:val="FootnoteText"/>
      </w:pPr>
      <w:r>
        <w:rPr>
          <w:rStyle w:val="FootnoteReference"/>
        </w:rPr>
        <w:footnoteRef/>
      </w:r>
      <w:r>
        <w:t xml:space="preserve"> Ibid.</w:t>
      </w:r>
    </w:p>
  </w:footnote>
  <w:footnote w:id="78">
    <w:p w:rsidR="0032152E" w:rsidRDefault="0032152E">
      <w:pPr>
        <w:pStyle w:val="FootnoteText"/>
      </w:pPr>
      <w:r>
        <w:rPr>
          <w:rStyle w:val="FootnoteReference"/>
        </w:rPr>
        <w:footnoteRef/>
      </w:r>
      <w:r>
        <w:t xml:space="preserve"> Ibid. p.11</w:t>
      </w:r>
    </w:p>
  </w:footnote>
  <w:footnote w:id="79">
    <w:p w:rsidR="0032152E" w:rsidRDefault="0032152E">
      <w:pPr>
        <w:pStyle w:val="FootnoteText"/>
      </w:pPr>
      <w:r>
        <w:rPr>
          <w:rStyle w:val="FootnoteReference"/>
        </w:rPr>
        <w:footnoteRef/>
      </w:r>
      <w:r>
        <w:t xml:space="preserve"> Ibid. p.13</w:t>
      </w:r>
    </w:p>
  </w:footnote>
  <w:footnote w:id="80">
    <w:p w:rsidR="0032152E" w:rsidRDefault="0032152E">
      <w:pPr>
        <w:pStyle w:val="FootnoteText"/>
      </w:pPr>
      <w:r>
        <w:rPr>
          <w:rStyle w:val="FootnoteReference"/>
        </w:rPr>
        <w:footnoteRef/>
      </w:r>
      <w:r>
        <w:t xml:space="preserve"> Ibid.</w:t>
      </w:r>
    </w:p>
  </w:footnote>
  <w:footnote w:id="81">
    <w:p w:rsidR="0032152E" w:rsidRDefault="0032152E">
      <w:pPr>
        <w:pStyle w:val="FootnoteText"/>
      </w:pPr>
      <w:r>
        <w:rPr>
          <w:rStyle w:val="FootnoteReference"/>
        </w:rPr>
        <w:footnoteRef/>
      </w:r>
      <w:r>
        <w:t xml:space="preserve"> Ibid. p.14</w:t>
      </w:r>
    </w:p>
  </w:footnote>
  <w:footnote w:id="82">
    <w:p w:rsidR="0032152E" w:rsidRDefault="0032152E">
      <w:pPr>
        <w:pStyle w:val="FootnoteText"/>
      </w:pPr>
      <w:r>
        <w:rPr>
          <w:rStyle w:val="FootnoteReference"/>
        </w:rPr>
        <w:footnoteRef/>
      </w:r>
      <w:r>
        <w:t xml:space="preserve"> Ibid.</w:t>
      </w:r>
    </w:p>
  </w:footnote>
  <w:footnote w:id="83">
    <w:p w:rsidR="0032152E" w:rsidRDefault="0032152E">
      <w:pPr>
        <w:pStyle w:val="FootnoteText"/>
      </w:pPr>
      <w:r>
        <w:rPr>
          <w:rStyle w:val="FootnoteReference"/>
        </w:rPr>
        <w:footnoteRef/>
      </w:r>
      <w:r>
        <w:t xml:space="preserve"> Ibid.</w:t>
      </w:r>
    </w:p>
  </w:footnote>
  <w:footnote w:id="84">
    <w:p w:rsidR="0032152E" w:rsidRDefault="0032152E">
      <w:pPr>
        <w:pStyle w:val="FootnoteText"/>
      </w:pPr>
      <w:r>
        <w:rPr>
          <w:rStyle w:val="FootnoteReference"/>
        </w:rPr>
        <w:footnoteRef/>
      </w:r>
      <w:r>
        <w:t xml:space="preserve"> Ibid. pp.14-15</w:t>
      </w:r>
    </w:p>
  </w:footnote>
  <w:footnote w:id="85">
    <w:p w:rsidR="0032152E" w:rsidRDefault="0032152E">
      <w:pPr>
        <w:pStyle w:val="FootnoteText"/>
      </w:pPr>
      <w:r>
        <w:rPr>
          <w:rStyle w:val="FootnoteReference"/>
        </w:rPr>
        <w:footnoteRef/>
      </w:r>
      <w:r>
        <w:t xml:space="preserve"> Ibid. p.16</w:t>
      </w:r>
    </w:p>
  </w:footnote>
  <w:footnote w:id="86">
    <w:p w:rsidR="002125B5" w:rsidRDefault="002125B5">
      <w:pPr>
        <w:pStyle w:val="FootnoteText"/>
      </w:pPr>
      <w:r>
        <w:rPr>
          <w:rStyle w:val="FootnoteReference"/>
        </w:rPr>
        <w:footnoteRef/>
      </w:r>
      <w:r>
        <w:t xml:space="preserve"> </w:t>
      </w:r>
      <w:r>
        <w:t xml:space="preserve">Robert Kane, ‘Free Will: New Directions for an Ancient Problem’, in </w:t>
      </w:r>
      <w:r>
        <w:rPr>
          <w:i/>
        </w:rPr>
        <w:t>Free Will</w:t>
      </w:r>
      <w:r>
        <w:t>, ed. Robert Kane (Oxford: Blackwell Publishing, 2002)</w:t>
      </w:r>
      <w:r>
        <w:t xml:space="preserve"> p.228</w:t>
      </w:r>
    </w:p>
  </w:footnote>
  <w:footnote w:id="87">
    <w:p w:rsidR="0032152E" w:rsidRDefault="0032152E">
      <w:pPr>
        <w:pStyle w:val="FootnoteText"/>
      </w:pPr>
      <w:r>
        <w:rPr>
          <w:rStyle w:val="FootnoteReference"/>
        </w:rPr>
        <w:footnoteRef/>
      </w:r>
      <w:r>
        <w:t xml:space="preserve"> </w:t>
      </w:r>
      <w:r w:rsidR="002125B5">
        <w:t>Robert Kane, ‘Libertarianism’,</w:t>
      </w:r>
      <w:r w:rsidR="002125B5">
        <w:t xml:space="preserve"> p.16</w:t>
      </w:r>
    </w:p>
  </w:footnote>
  <w:footnote w:id="88">
    <w:p w:rsidR="0032152E" w:rsidRDefault="0032152E">
      <w:pPr>
        <w:pStyle w:val="FootnoteText"/>
      </w:pPr>
      <w:r>
        <w:rPr>
          <w:rStyle w:val="FootnoteReference"/>
        </w:rPr>
        <w:footnoteRef/>
      </w:r>
      <w:r>
        <w:t xml:space="preserve"> Ibid. p.17</w:t>
      </w:r>
    </w:p>
  </w:footnote>
  <w:footnote w:id="89">
    <w:p w:rsidR="0032152E" w:rsidRDefault="0032152E">
      <w:pPr>
        <w:pStyle w:val="FootnoteText"/>
      </w:pPr>
      <w:r>
        <w:rPr>
          <w:rStyle w:val="FootnoteReference"/>
        </w:rPr>
        <w:footnoteRef/>
      </w:r>
      <w:r>
        <w:t xml:space="preserve"> Ibid. p.20</w:t>
      </w:r>
    </w:p>
  </w:footnote>
  <w:footnote w:id="90">
    <w:p w:rsidR="0032152E" w:rsidRDefault="0032152E">
      <w:pPr>
        <w:pStyle w:val="FootnoteText"/>
      </w:pPr>
      <w:r>
        <w:rPr>
          <w:rStyle w:val="FootnoteReference"/>
        </w:rPr>
        <w:footnoteRef/>
      </w:r>
      <w:r>
        <w:t xml:space="preserve"> Ibid.</w:t>
      </w:r>
    </w:p>
  </w:footnote>
  <w:footnote w:id="91">
    <w:p w:rsidR="0032152E" w:rsidRDefault="0032152E">
      <w:pPr>
        <w:pStyle w:val="FootnoteText"/>
      </w:pPr>
      <w:r>
        <w:rPr>
          <w:rStyle w:val="FootnoteReference"/>
        </w:rPr>
        <w:footnoteRef/>
      </w:r>
      <w:r>
        <w:t xml:space="preserve"> Ibid. p.23</w:t>
      </w:r>
    </w:p>
  </w:footnote>
  <w:footnote w:id="92">
    <w:p w:rsidR="0032152E" w:rsidRDefault="0032152E">
      <w:pPr>
        <w:pStyle w:val="FootnoteText"/>
      </w:pPr>
      <w:r>
        <w:rPr>
          <w:rStyle w:val="FootnoteReference"/>
        </w:rPr>
        <w:footnoteRef/>
      </w:r>
      <w:r>
        <w:t xml:space="preserve"> Ibid. p.25</w:t>
      </w:r>
    </w:p>
  </w:footnote>
  <w:footnote w:id="93">
    <w:p w:rsidR="0032152E" w:rsidRDefault="0032152E">
      <w:pPr>
        <w:pStyle w:val="FootnoteText"/>
      </w:pPr>
      <w:r>
        <w:rPr>
          <w:rStyle w:val="FootnoteReference"/>
        </w:rPr>
        <w:footnoteRef/>
      </w:r>
      <w:r>
        <w:t xml:space="preserve"> Peter Strawson, ‘Freedom and Resentment’, in </w:t>
      </w:r>
      <w:r>
        <w:rPr>
          <w:i/>
        </w:rPr>
        <w:t>Free Will</w:t>
      </w:r>
      <w:r>
        <w:t>, 2</w:t>
      </w:r>
      <w:r w:rsidRPr="006D2699">
        <w:rPr>
          <w:vertAlign w:val="superscript"/>
        </w:rPr>
        <w:t>nd</w:t>
      </w:r>
      <w:r>
        <w:t xml:space="preserve"> edn. ed. Gary Watson (Oxford: Oxford University Press, 2003) p.93</w:t>
      </w:r>
    </w:p>
  </w:footnote>
  <w:footnote w:id="94">
    <w:p w:rsidR="0032152E" w:rsidRDefault="0032152E">
      <w:pPr>
        <w:pStyle w:val="FootnoteText"/>
      </w:pPr>
      <w:r>
        <w:rPr>
          <w:rStyle w:val="FootnoteReference"/>
        </w:rPr>
        <w:footnoteRef/>
      </w:r>
      <w:r>
        <w:t xml:space="preserve"> Robert Kane, ‘Libertarianism’, p.25</w:t>
      </w:r>
    </w:p>
  </w:footnote>
  <w:footnote w:id="95">
    <w:p w:rsidR="0032152E" w:rsidRPr="00F518FC" w:rsidRDefault="0032152E">
      <w:pPr>
        <w:pStyle w:val="FootnoteText"/>
      </w:pPr>
      <w:r>
        <w:rPr>
          <w:rStyle w:val="FootnoteReference"/>
        </w:rPr>
        <w:footnoteRef/>
      </w:r>
      <w:r>
        <w:t xml:space="preserve"> Robert Kane, ‘Free Will: New Directions for an Ancient Problem’, p.228</w:t>
      </w:r>
    </w:p>
  </w:footnote>
  <w:footnote w:id="96">
    <w:p w:rsidR="0032152E" w:rsidRDefault="0032152E">
      <w:pPr>
        <w:pStyle w:val="FootnoteText"/>
      </w:pPr>
      <w:r>
        <w:rPr>
          <w:rStyle w:val="FootnoteReference"/>
        </w:rPr>
        <w:footnoteRef/>
      </w:r>
      <w:r>
        <w:t xml:space="preserve"> Robert Kane, ‘Libertarianism’, p.26</w:t>
      </w:r>
    </w:p>
  </w:footnote>
  <w:footnote w:id="97">
    <w:p w:rsidR="0032152E" w:rsidRDefault="0032152E">
      <w:pPr>
        <w:pStyle w:val="FootnoteText"/>
      </w:pPr>
      <w:r>
        <w:rPr>
          <w:rStyle w:val="FootnoteReference"/>
        </w:rPr>
        <w:footnoteRef/>
      </w:r>
      <w:r>
        <w:t xml:space="preserve"> Ibid.</w:t>
      </w:r>
    </w:p>
  </w:footnote>
  <w:footnote w:id="98">
    <w:p w:rsidR="0032152E" w:rsidRDefault="0032152E">
      <w:pPr>
        <w:pStyle w:val="FootnoteText"/>
      </w:pPr>
      <w:r>
        <w:rPr>
          <w:rStyle w:val="FootnoteReference"/>
        </w:rPr>
        <w:footnoteRef/>
      </w:r>
      <w:r>
        <w:t xml:space="preserve"> Ibid. p.27</w:t>
      </w:r>
    </w:p>
  </w:footnote>
  <w:footnote w:id="99">
    <w:p w:rsidR="0032152E" w:rsidRDefault="0032152E">
      <w:pPr>
        <w:pStyle w:val="FootnoteText"/>
      </w:pPr>
      <w:r>
        <w:rPr>
          <w:rStyle w:val="FootnoteReference"/>
        </w:rPr>
        <w:footnoteRef/>
      </w:r>
      <w:r>
        <w:t xml:space="preserve"> Ibid. p.29</w:t>
      </w:r>
    </w:p>
  </w:footnote>
  <w:footnote w:id="100">
    <w:p w:rsidR="0032152E" w:rsidRDefault="0032152E">
      <w:pPr>
        <w:pStyle w:val="FootnoteText"/>
      </w:pPr>
      <w:r>
        <w:rPr>
          <w:rStyle w:val="FootnoteReference"/>
        </w:rPr>
        <w:footnoteRef/>
      </w:r>
      <w:r>
        <w:t xml:space="preserve"> Ibid. p.28</w:t>
      </w:r>
    </w:p>
  </w:footnote>
  <w:footnote w:id="101">
    <w:p w:rsidR="0032152E" w:rsidRDefault="0032152E">
      <w:pPr>
        <w:pStyle w:val="FootnoteText"/>
      </w:pPr>
      <w:r>
        <w:rPr>
          <w:rStyle w:val="FootnoteReference"/>
        </w:rPr>
        <w:footnoteRef/>
      </w:r>
      <w:r>
        <w:t xml:space="preserve"> Ibid. p.30</w:t>
      </w:r>
    </w:p>
  </w:footnote>
  <w:footnote w:id="102">
    <w:p w:rsidR="0032152E" w:rsidRDefault="0032152E">
      <w:pPr>
        <w:pStyle w:val="FootnoteText"/>
      </w:pPr>
      <w:r>
        <w:rPr>
          <w:rStyle w:val="FootnoteReference"/>
        </w:rPr>
        <w:footnoteRef/>
      </w:r>
      <w:r>
        <w:t xml:space="preserve"> Ibid. p.31</w:t>
      </w:r>
    </w:p>
  </w:footnote>
  <w:footnote w:id="103">
    <w:p w:rsidR="0032152E" w:rsidRDefault="0032152E">
      <w:pPr>
        <w:pStyle w:val="FootnoteText"/>
      </w:pPr>
      <w:r>
        <w:rPr>
          <w:rStyle w:val="FootnoteReference"/>
        </w:rPr>
        <w:footnoteRef/>
      </w:r>
      <w:r>
        <w:t xml:space="preserve"> Ibid. p.38</w:t>
      </w:r>
    </w:p>
  </w:footnote>
  <w:footnote w:id="104">
    <w:p w:rsidR="0032152E" w:rsidRDefault="0032152E">
      <w:pPr>
        <w:pStyle w:val="FootnoteText"/>
      </w:pPr>
      <w:r>
        <w:rPr>
          <w:rStyle w:val="FootnoteReference"/>
        </w:rPr>
        <w:footnoteRef/>
      </w:r>
      <w:r>
        <w:t xml:space="preserve"> Ibid. p.41</w:t>
      </w:r>
    </w:p>
  </w:footnote>
  <w:footnote w:id="105">
    <w:p w:rsidR="0032152E" w:rsidRDefault="0032152E">
      <w:pPr>
        <w:pStyle w:val="FootnoteText"/>
      </w:pPr>
      <w:r>
        <w:rPr>
          <w:rStyle w:val="FootnoteReference"/>
        </w:rPr>
        <w:footnoteRef/>
      </w:r>
      <w:r>
        <w:t xml:space="preserve"> Manuel Vargas, ‘Response to Kane, Fischer and </w:t>
      </w:r>
      <w:proofErr w:type="spellStart"/>
      <w:r>
        <w:t>Pereboom</w:t>
      </w:r>
      <w:proofErr w:type="spellEnd"/>
      <w:r>
        <w:t xml:space="preserve">’, in John Martin Fischer et al., </w:t>
      </w:r>
      <w:r w:rsidRPr="009462E4">
        <w:rPr>
          <w:i/>
        </w:rPr>
        <w:t>Four Views on Free Will</w:t>
      </w:r>
      <w:r>
        <w:t>, (Oxford: Blackwell Publishing, 2007) p.205</w:t>
      </w:r>
    </w:p>
  </w:footnote>
  <w:footnote w:id="106">
    <w:p w:rsidR="0032152E" w:rsidRDefault="0032152E">
      <w:pPr>
        <w:pStyle w:val="FootnoteText"/>
      </w:pPr>
      <w:r>
        <w:rPr>
          <w:rStyle w:val="FootnoteReference"/>
        </w:rPr>
        <w:footnoteRef/>
      </w:r>
      <w:r>
        <w:t xml:space="preserve"> Ibid.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41E"/>
    <w:rsid w:val="00006FDB"/>
    <w:rsid w:val="0002799B"/>
    <w:rsid w:val="000449D3"/>
    <w:rsid w:val="000725A6"/>
    <w:rsid w:val="000C64B0"/>
    <w:rsid w:val="000E7E3C"/>
    <w:rsid w:val="00106A2D"/>
    <w:rsid w:val="00132EFF"/>
    <w:rsid w:val="00147146"/>
    <w:rsid w:val="001505C3"/>
    <w:rsid w:val="001709C8"/>
    <w:rsid w:val="001A1B57"/>
    <w:rsid w:val="001F4C89"/>
    <w:rsid w:val="002019B3"/>
    <w:rsid w:val="002125B5"/>
    <w:rsid w:val="00224553"/>
    <w:rsid w:val="00232A82"/>
    <w:rsid w:val="0025148B"/>
    <w:rsid w:val="002553AB"/>
    <w:rsid w:val="002562AD"/>
    <w:rsid w:val="00267BFF"/>
    <w:rsid w:val="00285DAE"/>
    <w:rsid w:val="002A1A01"/>
    <w:rsid w:val="002A3972"/>
    <w:rsid w:val="002D617D"/>
    <w:rsid w:val="002E4615"/>
    <w:rsid w:val="002F7F7B"/>
    <w:rsid w:val="003051E7"/>
    <w:rsid w:val="0032152E"/>
    <w:rsid w:val="0033241E"/>
    <w:rsid w:val="00333437"/>
    <w:rsid w:val="003420D1"/>
    <w:rsid w:val="00354FF9"/>
    <w:rsid w:val="0037684E"/>
    <w:rsid w:val="00395140"/>
    <w:rsid w:val="003A5C59"/>
    <w:rsid w:val="003C3452"/>
    <w:rsid w:val="003F0F20"/>
    <w:rsid w:val="003F658E"/>
    <w:rsid w:val="0044229C"/>
    <w:rsid w:val="00442F51"/>
    <w:rsid w:val="00443D62"/>
    <w:rsid w:val="005170D9"/>
    <w:rsid w:val="00547B1E"/>
    <w:rsid w:val="005B1D07"/>
    <w:rsid w:val="005C664B"/>
    <w:rsid w:val="005E2B1E"/>
    <w:rsid w:val="00605BB3"/>
    <w:rsid w:val="00682EB6"/>
    <w:rsid w:val="0069456E"/>
    <w:rsid w:val="006D2699"/>
    <w:rsid w:val="00721D6D"/>
    <w:rsid w:val="00737F0A"/>
    <w:rsid w:val="0074122F"/>
    <w:rsid w:val="00771F74"/>
    <w:rsid w:val="00776FB4"/>
    <w:rsid w:val="00784EA8"/>
    <w:rsid w:val="00793FF9"/>
    <w:rsid w:val="007C3736"/>
    <w:rsid w:val="007F0B4B"/>
    <w:rsid w:val="00851EB2"/>
    <w:rsid w:val="00853E02"/>
    <w:rsid w:val="00867CC9"/>
    <w:rsid w:val="008A1049"/>
    <w:rsid w:val="008A360F"/>
    <w:rsid w:val="008E3338"/>
    <w:rsid w:val="008F780F"/>
    <w:rsid w:val="00926A09"/>
    <w:rsid w:val="00940995"/>
    <w:rsid w:val="009462E4"/>
    <w:rsid w:val="00956666"/>
    <w:rsid w:val="00966883"/>
    <w:rsid w:val="00970B89"/>
    <w:rsid w:val="00982100"/>
    <w:rsid w:val="009D1F25"/>
    <w:rsid w:val="00A62037"/>
    <w:rsid w:val="00A63D15"/>
    <w:rsid w:val="00A71A02"/>
    <w:rsid w:val="00A761B2"/>
    <w:rsid w:val="00AD7AAA"/>
    <w:rsid w:val="00B03683"/>
    <w:rsid w:val="00B11F1F"/>
    <w:rsid w:val="00B20F72"/>
    <w:rsid w:val="00B43002"/>
    <w:rsid w:val="00B470F3"/>
    <w:rsid w:val="00B74D82"/>
    <w:rsid w:val="00B97970"/>
    <w:rsid w:val="00BA0AAE"/>
    <w:rsid w:val="00BB72E9"/>
    <w:rsid w:val="00BE5F8E"/>
    <w:rsid w:val="00C37C54"/>
    <w:rsid w:val="00C42FAC"/>
    <w:rsid w:val="00C9459F"/>
    <w:rsid w:val="00CB0CD7"/>
    <w:rsid w:val="00CD2702"/>
    <w:rsid w:val="00CE68D6"/>
    <w:rsid w:val="00D02840"/>
    <w:rsid w:val="00D03DFB"/>
    <w:rsid w:val="00D303CC"/>
    <w:rsid w:val="00D375BA"/>
    <w:rsid w:val="00D61D32"/>
    <w:rsid w:val="00D96502"/>
    <w:rsid w:val="00DD1387"/>
    <w:rsid w:val="00E22758"/>
    <w:rsid w:val="00E53496"/>
    <w:rsid w:val="00E70948"/>
    <w:rsid w:val="00EA43EB"/>
    <w:rsid w:val="00EC4727"/>
    <w:rsid w:val="00EF32A2"/>
    <w:rsid w:val="00F06C78"/>
    <w:rsid w:val="00F07A8B"/>
    <w:rsid w:val="00F47CD4"/>
    <w:rsid w:val="00F518FC"/>
    <w:rsid w:val="00FD4224"/>
    <w:rsid w:val="00FE4527"/>
    <w:rsid w:val="00FE5A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7D362"/>
  <w14:defaultImageDpi w14:val="32767"/>
  <w15:chartTrackingRefBased/>
  <w15:docId w15:val="{F0549BDB-4FDF-7646-AB3D-F3F3225EF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0C64B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82EB6"/>
    <w:rPr>
      <w:sz w:val="20"/>
      <w:szCs w:val="20"/>
    </w:rPr>
  </w:style>
  <w:style w:type="character" w:customStyle="1" w:styleId="FootnoteTextChar">
    <w:name w:val="Footnote Text Char"/>
    <w:basedOn w:val="DefaultParagraphFont"/>
    <w:link w:val="FootnoteText"/>
    <w:uiPriority w:val="99"/>
    <w:semiHidden/>
    <w:rsid w:val="00682EB6"/>
    <w:rPr>
      <w:sz w:val="20"/>
      <w:szCs w:val="20"/>
    </w:rPr>
  </w:style>
  <w:style w:type="character" w:styleId="FootnoteReference">
    <w:name w:val="footnote reference"/>
    <w:basedOn w:val="DefaultParagraphFont"/>
    <w:uiPriority w:val="99"/>
    <w:semiHidden/>
    <w:unhideWhenUsed/>
    <w:rsid w:val="00682EB6"/>
    <w:rPr>
      <w:vertAlign w:val="superscript"/>
    </w:rPr>
  </w:style>
  <w:style w:type="character" w:styleId="Hyperlink">
    <w:name w:val="Hyperlink"/>
    <w:basedOn w:val="DefaultParagraphFont"/>
    <w:uiPriority w:val="99"/>
    <w:unhideWhenUsed/>
    <w:rsid w:val="00867CC9"/>
    <w:rPr>
      <w:color w:val="0563C1" w:themeColor="hyperlink"/>
      <w:u w:val="single"/>
    </w:rPr>
  </w:style>
  <w:style w:type="character" w:styleId="UnresolvedMention">
    <w:name w:val="Unresolved Mention"/>
    <w:basedOn w:val="DefaultParagraphFont"/>
    <w:uiPriority w:val="99"/>
    <w:rsid w:val="00867CC9"/>
    <w:rPr>
      <w:color w:val="808080"/>
      <w:shd w:val="clear" w:color="auto" w:fill="E6E6E6"/>
    </w:rPr>
  </w:style>
  <w:style w:type="character" w:styleId="FollowedHyperlink">
    <w:name w:val="FollowedHyperlink"/>
    <w:basedOn w:val="DefaultParagraphFont"/>
    <w:uiPriority w:val="99"/>
    <w:semiHidden/>
    <w:unhideWhenUsed/>
    <w:rsid w:val="00C9459F"/>
    <w:rPr>
      <w:color w:val="954F72" w:themeColor="followedHyperlink"/>
      <w:u w:val="single"/>
    </w:rPr>
  </w:style>
  <w:style w:type="character" w:customStyle="1" w:styleId="Heading1Char">
    <w:name w:val="Heading 1 Char"/>
    <w:basedOn w:val="DefaultParagraphFont"/>
    <w:link w:val="Heading1"/>
    <w:uiPriority w:val="9"/>
    <w:rsid w:val="000C64B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C64B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0C64B0"/>
    <w:pPr>
      <w:spacing w:before="120"/>
    </w:pPr>
    <w:rPr>
      <w:rFonts w:cstheme="minorHAnsi"/>
      <w:b/>
      <w:bCs/>
      <w:i/>
      <w:iCs/>
    </w:rPr>
  </w:style>
  <w:style w:type="paragraph" w:styleId="TOC2">
    <w:name w:val="toc 2"/>
    <w:basedOn w:val="Normal"/>
    <w:next w:val="Normal"/>
    <w:autoRedefine/>
    <w:uiPriority w:val="39"/>
    <w:semiHidden/>
    <w:unhideWhenUsed/>
    <w:rsid w:val="000C64B0"/>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0C64B0"/>
    <w:pPr>
      <w:ind w:left="480"/>
    </w:pPr>
    <w:rPr>
      <w:rFonts w:cstheme="minorHAnsi"/>
      <w:sz w:val="20"/>
      <w:szCs w:val="20"/>
    </w:rPr>
  </w:style>
  <w:style w:type="paragraph" w:styleId="TOC4">
    <w:name w:val="toc 4"/>
    <w:basedOn w:val="Normal"/>
    <w:next w:val="Normal"/>
    <w:autoRedefine/>
    <w:uiPriority w:val="39"/>
    <w:semiHidden/>
    <w:unhideWhenUsed/>
    <w:rsid w:val="000C64B0"/>
    <w:pPr>
      <w:ind w:left="720"/>
    </w:pPr>
    <w:rPr>
      <w:rFonts w:cstheme="minorHAnsi"/>
      <w:sz w:val="20"/>
      <w:szCs w:val="20"/>
    </w:rPr>
  </w:style>
  <w:style w:type="paragraph" w:styleId="TOC5">
    <w:name w:val="toc 5"/>
    <w:basedOn w:val="Normal"/>
    <w:next w:val="Normal"/>
    <w:autoRedefine/>
    <w:uiPriority w:val="39"/>
    <w:semiHidden/>
    <w:unhideWhenUsed/>
    <w:rsid w:val="000C64B0"/>
    <w:pPr>
      <w:ind w:left="960"/>
    </w:pPr>
    <w:rPr>
      <w:rFonts w:cstheme="minorHAnsi"/>
      <w:sz w:val="20"/>
      <w:szCs w:val="20"/>
    </w:rPr>
  </w:style>
  <w:style w:type="paragraph" w:styleId="TOC6">
    <w:name w:val="toc 6"/>
    <w:basedOn w:val="Normal"/>
    <w:next w:val="Normal"/>
    <w:autoRedefine/>
    <w:uiPriority w:val="39"/>
    <w:semiHidden/>
    <w:unhideWhenUsed/>
    <w:rsid w:val="000C64B0"/>
    <w:pPr>
      <w:ind w:left="1200"/>
    </w:pPr>
    <w:rPr>
      <w:rFonts w:cstheme="minorHAnsi"/>
      <w:sz w:val="20"/>
      <w:szCs w:val="20"/>
    </w:rPr>
  </w:style>
  <w:style w:type="paragraph" w:styleId="TOC7">
    <w:name w:val="toc 7"/>
    <w:basedOn w:val="Normal"/>
    <w:next w:val="Normal"/>
    <w:autoRedefine/>
    <w:uiPriority w:val="39"/>
    <w:semiHidden/>
    <w:unhideWhenUsed/>
    <w:rsid w:val="000C64B0"/>
    <w:pPr>
      <w:ind w:left="1440"/>
    </w:pPr>
    <w:rPr>
      <w:rFonts w:cstheme="minorHAnsi"/>
      <w:sz w:val="20"/>
      <w:szCs w:val="20"/>
    </w:rPr>
  </w:style>
  <w:style w:type="paragraph" w:styleId="TOC8">
    <w:name w:val="toc 8"/>
    <w:basedOn w:val="Normal"/>
    <w:next w:val="Normal"/>
    <w:autoRedefine/>
    <w:uiPriority w:val="39"/>
    <w:semiHidden/>
    <w:unhideWhenUsed/>
    <w:rsid w:val="000C64B0"/>
    <w:pPr>
      <w:ind w:left="1680"/>
    </w:pPr>
    <w:rPr>
      <w:rFonts w:cstheme="minorHAnsi"/>
      <w:sz w:val="20"/>
      <w:szCs w:val="20"/>
    </w:rPr>
  </w:style>
  <w:style w:type="paragraph" w:styleId="TOC9">
    <w:name w:val="toc 9"/>
    <w:basedOn w:val="Normal"/>
    <w:next w:val="Normal"/>
    <w:autoRedefine/>
    <w:uiPriority w:val="39"/>
    <w:semiHidden/>
    <w:unhideWhenUsed/>
    <w:rsid w:val="000C64B0"/>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60520">
      <w:bodyDiv w:val="1"/>
      <w:marLeft w:val="0"/>
      <w:marRight w:val="0"/>
      <w:marTop w:val="0"/>
      <w:marBottom w:val="0"/>
      <w:divBdr>
        <w:top w:val="none" w:sz="0" w:space="0" w:color="auto"/>
        <w:left w:val="none" w:sz="0" w:space="0" w:color="auto"/>
        <w:bottom w:val="none" w:sz="0" w:space="0" w:color="auto"/>
        <w:right w:val="none" w:sz="0" w:space="0" w:color="auto"/>
      </w:divBdr>
    </w:div>
    <w:div w:id="208539472">
      <w:bodyDiv w:val="1"/>
      <w:marLeft w:val="0"/>
      <w:marRight w:val="0"/>
      <w:marTop w:val="0"/>
      <w:marBottom w:val="0"/>
      <w:divBdr>
        <w:top w:val="none" w:sz="0" w:space="0" w:color="auto"/>
        <w:left w:val="none" w:sz="0" w:space="0" w:color="auto"/>
        <w:bottom w:val="none" w:sz="0" w:space="0" w:color="auto"/>
        <w:right w:val="none" w:sz="0" w:space="0" w:color="auto"/>
      </w:divBdr>
    </w:div>
    <w:div w:id="257643166">
      <w:bodyDiv w:val="1"/>
      <w:marLeft w:val="0"/>
      <w:marRight w:val="0"/>
      <w:marTop w:val="0"/>
      <w:marBottom w:val="0"/>
      <w:divBdr>
        <w:top w:val="none" w:sz="0" w:space="0" w:color="auto"/>
        <w:left w:val="none" w:sz="0" w:space="0" w:color="auto"/>
        <w:bottom w:val="none" w:sz="0" w:space="0" w:color="auto"/>
        <w:right w:val="none" w:sz="0" w:space="0" w:color="auto"/>
      </w:divBdr>
    </w:div>
    <w:div w:id="378211192">
      <w:bodyDiv w:val="1"/>
      <w:marLeft w:val="0"/>
      <w:marRight w:val="0"/>
      <w:marTop w:val="0"/>
      <w:marBottom w:val="0"/>
      <w:divBdr>
        <w:top w:val="none" w:sz="0" w:space="0" w:color="auto"/>
        <w:left w:val="none" w:sz="0" w:space="0" w:color="auto"/>
        <w:bottom w:val="none" w:sz="0" w:space="0" w:color="auto"/>
        <w:right w:val="none" w:sz="0" w:space="0" w:color="auto"/>
      </w:divBdr>
    </w:div>
    <w:div w:id="444276956">
      <w:bodyDiv w:val="1"/>
      <w:marLeft w:val="0"/>
      <w:marRight w:val="0"/>
      <w:marTop w:val="0"/>
      <w:marBottom w:val="0"/>
      <w:divBdr>
        <w:top w:val="none" w:sz="0" w:space="0" w:color="auto"/>
        <w:left w:val="none" w:sz="0" w:space="0" w:color="auto"/>
        <w:bottom w:val="none" w:sz="0" w:space="0" w:color="auto"/>
        <w:right w:val="none" w:sz="0" w:space="0" w:color="auto"/>
      </w:divBdr>
    </w:div>
    <w:div w:id="576329626">
      <w:bodyDiv w:val="1"/>
      <w:marLeft w:val="0"/>
      <w:marRight w:val="0"/>
      <w:marTop w:val="0"/>
      <w:marBottom w:val="0"/>
      <w:divBdr>
        <w:top w:val="none" w:sz="0" w:space="0" w:color="auto"/>
        <w:left w:val="none" w:sz="0" w:space="0" w:color="auto"/>
        <w:bottom w:val="none" w:sz="0" w:space="0" w:color="auto"/>
        <w:right w:val="none" w:sz="0" w:space="0" w:color="auto"/>
      </w:divBdr>
    </w:div>
    <w:div w:id="926839259">
      <w:bodyDiv w:val="1"/>
      <w:marLeft w:val="0"/>
      <w:marRight w:val="0"/>
      <w:marTop w:val="0"/>
      <w:marBottom w:val="0"/>
      <w:divBdr>
        <w:top w:val="none" w:sz="0" w:space="0" w:color="auto"/>
        <w:left w:val="none" w:sz="0" w:space="0" w:color="auto"/>
        <w:bottom w:val="none" w:sz="0" w:space="0" w:color="auto"/>
        <w:right w:val="none" w:sz="0" w:space="0" w:color="auto"/>
      </w:divBdr>
    </w:div>
    <w:div w:id="993489927">
      <w:bodyDiv w:val="1"/>
      <w:marLeft w:val="0"/>
      <w:marRight w:val="0"/>
      <w:marTop w:val="0"/>
      <w:marBottom w:val="0"/>
      <w:divBdr>
        <w:top w:val="none" w:sz="0" w:space="0" w:color="auto"/>
        <w:left w:val="none" w:sz="0" w:space="0" w:color="auto"/>
        <w:bottom w:val="none" w:sz="0" w:space="0" w:color="auto"/>
        <w:right w:val="none" w:sz="0" w:space="0" w:color="auto"/>
      </w:divBdr>
    </w:div>
    <w:div w:id="1021395860">
      <w:bodyDiv w:val="1"/>
      <w:marLeft w:val="0"/>
      <w:marRight w:val="0"/>
      <w:marTop w:val="0"/>
      <w:marBottom w:val="0"/>
      <w:divBdr>
        <w:top w:val="none" w:sz="0" w:space="0" w:color="auto"/>
        <w:left w:val="none" w:sz="0" w:space="0" w:color="auto"/>
        <w:bottom w:val="none" w:sz="0" w:space="0" w:color="auto"/>
        <w:right w:val="none" w:sz="0" w:space="0" w:color="auto"/>
      </w:divBdr>
    </w:div>
    <w:div w:id="1132746372">
      <w:bodyDiv w:val="1"/>
      <w:marLeft w:val="0"/>
      <w:marRight w:val="0"/>
      <w:marTop w:val="0"/>
      <w:marBottom w:val="0"/>
      <w:divBdr>
        <w:top w:val="none" w:sz="0" w:space="0" w:color="auto"/>
        <w:left w:val="none" w:sz="0" w:space="0" w:color="auto"/>
        <w:bottom w:val="none" w:sz="0" w:space="0" w:color="auto"/>
        <w:right w:val="none" w:sz="0" w:space="0" w:color="auto"/>
      </w:divBdr>
    </w:div>
    <w:div w:id="1167746639">
      <w:bodyDiv w:val="1"/>
      <w:marLeft w:val="0"/>
      <w:marRight w:val="0"/>
      <w:marTop w:val="0"/>
      <w:marBottom w:val="0"/>
      <w:divBdr>
        <w:top w:val="none" w:sz="0" w:space="0" w:color="auto"/>
        <w:left w:val="none" w:sz="0" w:space="0" w:color="auto"/>
        <w:bottom w:val="none" w:sz="0" w:space="0" w:color="auto"/>
        <w:right w:val="none" w:sz="0" w:space="0" w:color="auto"/>
      </w:divBdr>
    </w:div>
    <w:div w:id="1392147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lato.stanford.edu/archives/win2016/entries/compatibilis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plato.stanford.edu/archives/win2016/entries/compatibil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3E9EEC-FC3B-F542-A500-299015298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2792</TotalTime>
  <Pages>47</Pages>
  <Words>11955</Words>
  <Characters>59776</Characters>
  <Application>Microsoft Office Word</Application>
  <DocSecurity>0</DocSecurity>
  <Lines>948</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Jones</dc:creator>
  <cp:keywords/>
  <dc:description/>
  <cp:lastModifiedBy>Daniel Jones</cp:lastModifiedBy>
  <cp:revision>38</cp:revision>
  <dcterms:created xsi:type="dcterms:W3CDTF">2018-03-03T22:12:00Z</dcterms:created>
  <dcterms:modified xsi:type="dcterms:W3CDTF">2018-05-30T11:13:00Z</dcterms:modified>
</cp:coreProperties>
</file>