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EAD3AF" w14:paraId="6A96B1AD" wp14:textId="33D7F47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72"/>
          <w:szCs w:val="72"/>
          <w:lang w:val="en-GB"/>
        </w:rPr>
        <w:t xml:space="preserve">Strategic management for SMEs: Academic report </w:t>
      </w:r>
    </w:p>
    <w:p xmlns:wp14="http://schemas.microsoft.com/office/word/2010/wordml" w:rsidP="0EEAD3AF" w14:paraId="2BE99319" wp14:textId="7358BEE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0EEAD3AF" w14:paraId="6F728A30" wp14:textId="2A8796D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72"/>
          <w:szCs w:val="72"/>
          <w:lang w:val="en-GB"/>
        </w:rPr>
        <w:t xml:space="preserve">Blakenhall Neighbourhood Nursery </w:t>
      </w:r>
    </w:p>
    <w:p xmlns:wp14="http://schemas.microsoft.com/office/word/2010/wordml" w:rsidP="0EEAD3AF" w14:paraId="321ADB8B" wp14:textId="4D03D93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0EEAD3AF" w14:paraId="439D0B50" wp14:textId="4E98489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72"/>
          <w:szCs w:val="72"/>
          <w:lang w:val="en-GB"/>
        </w:rPr>
        <w:t xml:space="preserve">By </w:t>
      </w:r>
    </w:p>
    <w:p xmlns:wp14="http://schemas.microsoft.com/office/word/2010/wordml" w:rsidP="0EEAD3AF" w14:paraId="6E6D28A3" wp14:textId="1D7E847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72"/>
          <w:szCs w:val="72"/>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72"/>
          <w:szCs w:val="72"/>
          <w:lang w:val="en-GB"/>
        </w:rPr>
        <w:t xml:space="preserve">Kareena Campbell – 1912149 </w:t>
      </w:r>
    </w:p>
    <w:p xmlns:wp14="http://schemas.microsoft.com/office/word/2010/wordml" w:rsidP="0EEAD3AF" w14:paraId="45164105" wp14:textId="3CC39F6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0EEAD3AF" w14:paraId="2E30A127" wp14:textId="5C27C7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72"/>
          <w:szCs w:val="72"/>
          <w:lang w:val="en-GB"/>
        </w:rPr>
        <w:t xml:space="preserve">Dr. Richmond Lamptey </w:t>
      </w:r>
    </w:p>
    <w:p xmlns:wp14="http://schemas.microsoft.com/office/word/2010/wordml" w:rsidP="0EEAD3AF" w14:paraId="11D07CFF" wp14:textId="64FDCD0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7798B8D7" wp14:textId="562367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49131F8D" wp14:textId="05761A3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2FD2331F" wp14:textId="6601FB6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3940CD2C" wp14:textId="00A0E4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52337CF4" wp14:textId="746C5A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3BF9A3A2" wp14:textId="298AAEA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EEAD3AF" w14:paraId="57AFCFFC" wp14:textId="4207912F">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36"/>
          <w:szCs w:val="36"/>
          <w:lang w:val="en-GB"/>
        </w:rPr>
      </w:pPr>
    </w:p>
    <w:p xmlns:wp14="http://schemas.microsoft.com/office/word/2010/wordml" w:rsidP="0EEAD3AF" w14:paraId="180C665C" wp14:textId="4DA09B8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1"/>
          <w:bCs w:val="1"/>
          <w:i w:val="0"/>
          <w:iCs w:val="0"/>
          <w:caps w:val="0"/>
          <w:smallCaps w:val="0"/>
          <w:noProof w:val="0"/>
          <w:color w:val="000000" w:themeColor="text1" w:themeTint="FF" w:themeShade="FF"/>
          <w:sz w:val="36"/>
          <w:szCs w:val="36"/>
          <w:lang w:val="en-GB"/>
        </w:rPr>
        <w:t xml:space="preserve">Table of contents </w:t>
      </w:r>
    </w:p>
    <w:p xmlns:wp14="http://schemas.microsoft.com/office/word/2010/wordml" w:rsidP="0EEAD3AF" w14:paraId="090C9811" wp14:textId="52144EF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1. Introduction                                                                   Page 3</w:t>
      </w:r>
    </w:p>
    <w:p xmlns:wp14="http://schemas.microsoft.com/office/word/2010/wordml" w:rsidP="0EEAD3AF" w14:paraId="3460D74E" wp14:textId="33883EC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2. BNNs current strategic direction                                Page 3-5</w:t>
      </w:r>
    </w:p>
    <w:p xmlns:wp14="http://schemas.microsoft.com/office/word/2010/wordml" w:rsidP="0EEAD3AF" w14:paraId="37D6B7FC" wp14:textId="647C21D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Vision, mission and objectives </w:t>
      </w:r>
    </w:p>
    <w:p xmlns:wp14="http://schemas.microsoft.com/office/word/2010/wordml" w:rsidP="0EEAD3AF" w14:paraId="3AB0EBAA" wp14:textId="6FE6C77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Strategic management process </w:t>
      </w:r>
    </w:p>
    <w:p xmlns:wp14="http://schemas.microsoft.com/office/word/2010/wordml" w:rsidP="0EEAD3AF" w14:paraId="78869E99" wp14:textId="388DA57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3. Porters five forces analysis                                          Page 5-8</w:t>
      </w:r>
    </w:p>
    <w:p xmlns:wp14="http://schemas.microsoft.com/office/word/2010/wordml" w:rsidP="0EEAD3AF" w14:paraId="76A11381" wp14:textId="4C0849D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0EEAD3AF" w14:paraId="6F286E9E" wp14:textId="71A85D1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PESTLE Analysis                                                               Page 7-8</w:t>
      </w:r>
    </w:p>
    <w:p xmlns:wp14="http://schemas.microsoft.com/office/word/2010/wordml" w:rsidP="0EEAD3AF" w14:paraId="470067B8" wp14:textId="0C3963C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SWOT Analysis                                                                 Page 8</w:t>
      </w:r>
    </w:p>
    <w:p xmlns:wp14="http://schemas.microsoft.com/office/word/2010/wordml" w:rsidP="0EEAD3AF" w14:paraId="142EC486" wp14:textId="5692EC4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VRIO                                                                                 Page 9-11                             - Value chain                                                                  Page 11-12</w:t>
      </w:r>
    </w:p>
    <w:p xmlns:wp14="http://schemas.microsoft.com/office/word/2010/wordml" w:rsidP="0EEAD3AF" w14:paraId="5DBDFEFC" wp14:textId="60855F8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4. BNNs stakeholders' analysis                                   Page 11-13</w:t>
      </w:r>
    </w:p>
    <w:p xmlns:wp14="http://schemas.microsoft.com/office/word/2010/wordml" w:rsidP="0EEAD3AF" w14:paraId="03085CBF" wp14:textId="784D08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Summary </w:t>
      </w:r>
    </w:p>
    <w:p xmlns:wp14="http://schemas.microsoft.com/office/word/2010/wordml" w:rsidP="0EEAD3AF" w14:paraId="41A6AF30" wp14:textId="79026A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0EEAD3AF" w14:paraId="416B24B0" wp14:textId="4DEE0F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5. Strategic growth choices for SMEs                      Page 13-14</w:t>
      </w:r>
    </w:p>
    <w:p xmlns:wp14="http://schemas.microsoft.com/office/word/2010/wordml" w:rsidP="0EEAD3AF" w14:paraId="46D60BD9" wp14:textId="0ED559E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6. Challenges faced by SMEs                                     Page 14-16</w:t>
      </w:r>
    </w:p>
    <w:p xmlns:wp14="http://schemas.microsoft.com/office/word/2010/wordml" w:rsidP="0EEAD3AF" w14:paraId="6FB71B32" wp14:textId="2CE0093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0EEAD3AF" w14:paraId="214377F6" wp14:textId="0839915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7. Conclusion                                                                Page 16</w:t>
      </w:r>
    </w:p>
    <w:p xmlns:wp14="http://schemas.microsoft.com/office/word/2010/wordml" w:rsidP="0EEAD3AF" w14:paraId="3C32A66B" wp14:textId="1714F5C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0EEAD3AF" w:rsidR="0EEAD3AF">
        <w:rPr>
          <w:rFonts w:ascii="Calibri" w:hAnsi="Calibri" w:eastAsia="Calibri" w:cs="Calibri"/>
          <w:b w:val="0"/>
          <w:bCs w:val="0"/>
          <w:i w:val="0"/>
          <w:iCs w:val="0"/>
          <w:caps w:val="0"/>
          <w:smallCaps w:val="0"/>
          <w:noProof w:val="0"/>
          <w:color w:val="000000" w:themeColor="text1" w:themeTint="FF" w:themeShade="FF"/>
          <w:sz w:val="36"/>
          <w:szCs w:val="36"/>
          <w:lang w:val="en-GB"/>
        </w:rPr>
        <w:t>8. Reference list                                                           Page 17-18</w:t>
      </w:r>
    </w:p>
    <w:p xmlns:wp14="http://schemas.microsoft.com/office/word/2010/wordml" w:rsidP="0EEAD3AF" w14:paraId="3884A989" wp14:textId="015499B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0EEAD3AF" w14:paraId="471F8C39" wp14:textId="6EC3CDF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0EEAD3AF" w14:paraId="38DFB0B8" wp14:textId="25C987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0EEAD3AF" w14:paraId="73005694" wp14:textId="327E1A0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 xml:space="preserve">1.Introduction </w:t>
      </w:r>
    </w:p>
    <w:p xmlns:wp14="http://schemas.microsoft.com/office/word/2010/wordml" w:rsidP="0EEAD3AF" w14:paraId="10903349" wp14:textId="4031AE7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An SME is a “small to medium sized enterprise, a company with no more than 250 employees” and a turnover of less than £50 million or balance sheet total less than £43 million (simple business, 2021). A micro business has 0-9 employees, small business 10-49 and a medium sized business has 50-249 employees within it. There are currently 5.7 million SMEs in the UK, and are considered by (FCDO, 2022) to be the engine of growth in our economy, helping to find solutions and creating more jobs as well as driving innovation and greater productivity. Due to the impact upon our economy that SMEs have, the UK Government have made steps to improve opportunities for SMEs by increasing the target from 25% to 33% by the current year from 2010 (FCDO, 2022) </w:t>
      </w:r>
    </w:p>
    <w:p xmlns:wp14="http://schemas.microsoft.com/office/word/2010/wordml" w:rsidP="0EEAD3AF" w14:paraId="575637E8" wp14:textId="60BB915B">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2.Critically appraise the organisations current strategic direction</w:t>
      </w:r>
    </w:p>
    <w:p xmlns:wp14="http://schemas.microsoft.com/office/word/2010/wordml" w:rsidP="0EEAD3AF" w14:paraId="0C60A583" wp14:textId="3CF789B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The chosen SME business for this academic report is Blakenhall Neighbourhood Nursery, it is a small business consisting of 35 employees, run by a management team and GNG board of 4 directors who control the decision-making process, policies, and procedures and HR processes. The business was purpose built in 2005, with the vision to provide a high-quality setting in a low-income area to help close the gap and contribute to the development of young children in those crucial early years. Blakenhall Neighbourhood Nursery is a 50-place childcare setting in the Blakenhall area of Wolverhampton, offering places to children aged between 0-5 years. </w:t>
      </w:r>
    </w:p>
    <w:p xmlns:wp14="http://schemas.microsoft.com/office/word/2010/wordml" w:rsidP="0EEAD3AF" w14:paraId="0E5A3C00" wp14:textId="1A47284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BNN Mission statement </w:t>
      </w:r>
    </w:p>
    <w:p xmlns:wp14="http://schemas.microsoft.com/office/word/2010/wordml" w:rsidP="0EEAD3AF" w14:paraId="2B6F9FBB" wp14:textId="0E84DEC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“To meet the needs of children and their families by providing high quality service which gives families that essential support, guidance and care in those early years.”</w:t>
      </w:r>
    </w:p>
    <w:p xmlns:wp14="http://schemas.microsoft.com/office/word/2010/wordml" w:rsidP="0EEAD3AF" w14:paraId="528C1C82" wp14:textId="1B1CA3F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BNN Vision statement </w:t>
      </w:r>
    </w:p>
    <w:p xmlns:wp14="http://schemas.microsoft.com/office/word/2010/wordml" w:rsidP="0EEAD3AF" w14:paraId="3B04FE2F" wp14:textId="733741D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“To be inclusive, dynamic and flexible in providing a childcare service to the local and wider community.” </w:t>
      </w:r>
    </w:p>
    <w:p xmlns:wp14="http://schemas.microsoft.com/office/word/2010/wordml" w:rsidP="0EEAD3AF" w14:paraId="2AC8AFA1" wp14:textId="2CD049F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Objectives</w:t>
      </w:r>
    </w:p>
    <w:p xmlns:wp14="http://schemas.microsoft.com/office/word/2010/wordml" w:rsidP="0EEAD3AF" w14:paraId="5556B249" wp14:textId="4E0CE85C">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To develop partnerships with parents, schools, local businesses, and agencies </w:t>
      </w:r>
    </w:p>
    <w:p xmlns:wp14="http://schemas.microsoft.com/office/word/2010/wordml" w:rsidP="0EEAD3AF" w14:paraId="5F05E90F" wp14:textId="2AE5C479">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Reflect the diversity of our community and to be culturally sensitive to all </w:t>
      </w:r>
    </w:p>
    <w:p xmlns:wp14="http://schemas.microsoft.com/office/word/2010/wordml" w:rsidP="0EEAD3AF" w14:paraId="5C0A67A8" wp14:textId="5C811D20">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Enhance the lives of children by understanding the individual needs of each child and actively promote the development of a positive self-image to enable all children to feel valued </w:t>
      </w:r>
    </w:p>
    <w:p xmlns:wp14="http://schemas.microsoft.com/office/word/2010/wordml" w:rsidP="0EEAD3AF" w14:paraId="18468822" wp14:textId="49B794DC">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Celebrate the achievements of children, staff, parents/carers and community</w:t>
      </w:r>
    </w:p>
    <w:p xmlns:wp14="http://schemas.microsoft.com/office/word/2010/wordml" w:rsidP="0EEAD3AF" w14:paraId="210503E1" wp14:textId="2748269A">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Promote a friendly, comfortable and happy environment </w:t>
      </w:r>
    </w:p>
    <w:p xmlns:wp14="http://schemas.microsoft.com/office/word/2010/wordml" w:rsidP="0EEAD3AF" w14:paraId="72B6DC7C" wp14:textId="2A77E02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BNN strategic direction </w:t>
      </w:r>
    </w:p>
    <w:p xmlns:wp14="http://schemas.microsoft.com/office/word/2010/wordml" w:rsidP="0EEAD3AF" w14:paraId="4E466884" wp14:textId="46897DAF">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Barney &amp; Hesterly (2018) defined strategy as methods that are used by a company to gain leverage over competitors, by adapting a good strategy through applying the strategic management process it is said to increase the likelihood of achievement. BNN’s current business-level strategies focus on both the internal and external environment as their objectives highlight not only building within the company but also being aware of the community around them and the affect it can have upon the business by creating partnerships, as the environment, people, production methods and finances all play a role in strategic management (Lynch, 2018), each of their strategies are aimed to create sustainability within the industry and have been adapted over the 17 years. </w:t>
      </w:r>
    </w:p>
    <w:p xmlns:wp14="http://schemas.microsoft.com/office/word/2010/wordml" w:rsidP="0EEAD3AF" w14:paraId="0F991801" wp14:textId="1B79942B">
      <w:pPr>
        <w:pStyle w:val="ListParagraph"/>
        <w:numPr>
          <w:ilvl w:val="0"/>
          <w:numId w:val="16"/>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Current strategies </w:t>
      </w:r>
    </w:p>
    <w:p xmlns:wp14="http://schemas.microsoft.com/office/word/2010/wordml" w:rsidP="0EEAD3AF" w14:paraId="2DEE62F2" wp14:textId="1BFC78B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One of the strategies in place focuses on improving the overall business performance through continuous training of employees and offering a pay rate above the national minimum wage, effectively maximising the value of the business in alignment with the mission of providing a high-quality service by ensuring they employee and develop staff to be skilled and knowledgeable. Another angle is the implementation of digital resources to improve transaction processes and allow the business to be more efficient eventually going paper-free investing income in resources and equipment. BNN currently use digital platforms such as WhatsApp, Facebook, and a digital app to communicate with parents/service users which provided effective communication methods. BNN also strategize using cost evaluation to maintain competitive advantage by offering the cheapest childcare rates in the area and offer discounts to NHS workers and keyworkers throughout the Covid-19 pandemic, this strategy has contributed to the full capacity of childcare within the setting. The organisation has created a website to broadly market the business and extend their reach in the market, alongside working with the community to build rapport, supporting equality and inclusion as mentioned in their objectives they frequently invite health care professionals in, visit local churches, gurdwaras and food banks to connect with the community around them.</w:t>
      </w:r>
    </w:p>
    <w:p xmlns:wp14="http://schemas.microsoft.com/office/word/2010/wordml" w:rsidP="0EEAD3AF" w14:paraId="2A518EDC" wp14:textId="6596CB93">
      <w:pPr>
        <w:pStyle w:val="ListParagraph"/>
        <w:numPr>
          <w:ilvl w:val="0"/>
          <w:numId w:val="17"/>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Strategic management process </w:t>
      </w:r>
    </w:p>
    <w:p xmlns:wp14="http://schemas.microsoft.com/office/word/2010/wordml" w:rsidP="0EEAD3AF" w14:paraId="5F84066E" wp14:textId="0272BE5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BNN have an effective strategic management process in place which reflects on their mission, vision, and objectives, it is questionable whether the strategies are temporary and could affect the longevity of the business, such as being the lowest priced in the area, although it does give advantage it could also become detrimental if other providers are adapting similar techniques whilst offering more flexibility and value to meet the needs of parents/carers. It is evident that BNN are aware of the importance of external stakeholders, but a good mission statement could also include the further core values on how they aim to stand out from others such as encouraging innovation and engaging in staff development, clearly stating why they are a niche company (Indeed, 2021). The application of the balanced score card as a part of the strategic management process, gives managers a balanced representation of financial and operational measures and how these internal activities can drive financial performance (Kaplan &amp; Norton, 1992). </w:t>
      </w:r>
    </w:p>
    <w:p xmlns:wp14="http://schemas.microsoft.com/office/word/2010/wordml" w:rsidP="0EEAD3AF" w14:paraId="42F3EE13" wp14:textId="747FA3D3">
      <w:pPr>
        <w:spacing w:after="160" w:line="360"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0EEAD3AF">
        <w:drawing>
          <wp:inline xmlns:wp14="http://schemas.microsoft.com/office/word/2010/wordprocessingDrawing" wp14:editId="592F0C23" wp14:anchorId="25E16F88">
            <wp:extent cx="4171950" cy="2085975"/>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95c1996dd4f94bdb">
                      <a:extLst>
                        <a:ext xmlns:a="http://schemas.openxmlformats.org/drawingml/2006/main" uri="{28A0092B-C50C-407E-A947-70E740481C1C}">
                          <a14:useLocalDpi val="0"/>
                        </a:ext>
                      </a:extLst>
                    </a:blip>
                    <a:stretch>
                      <a:fillRect/>
                    </a:stretch>
                  </pic:blipFill>
                  <pic:spPr>
                    <a:xfrm>
                      <a:off x="0" y="0"/>
                      <a:ext cx="4171950" cy="2085975"/>
                    </a:xfrm>
                    <a:prstGeom prst="rect">
                      <a:avLst/>
                    </a:prstGeom>
                  </pic:spPr>
                </pic:pic>
              </a:graphicData>
            </a:graphic>
          </wp:inline>
        </w:drawing>
      </w:r>
    </w:p>
    <w:p xmlns:wp14="http://schemas.microsoft.com/office/word/2010/wordml" w:rsidP="0EEAD3AF" w14:paraId="50390A38" wp14:textId="4A7774A0">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Figure 1.0 - strategic management process (JKUAT, 2019) source:</w:t>
      </w:r>
      <w:r w:rsidRPr="0EEAD3AF" w:rsidR="0EEAD3AF">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hyperlink r:id="Rce55b1394c46432b">
        <w:r w:rsidRPr="0EEAD3AF" w:rsidR="0EEAD3AF">
          <w:rPr>
            <w:rStyle w:val="Hyperlink"/>
            <w:rFonts w:ascii="Arial" w:hAnsi="Arial" w:eastAsia="Arial" w:cs="Arial"/>
            <w:b w:val="0"/>
            <w:bCs w:val="0"/>
            <w:i w:val="0"/>
            <w:iCs w:val="0"/>
            <w:caps w:val="0"/>
            <w:smallCaps w:val="0"/>
            <w:strike w:val="0"/>
            <w:dstrike w:val="0"/>
            <w:noProof w:val="0"/>
            <w:sz w:val="22"/>
            <w:szCs w:val="22"/>
            <w:lang w:val="en-GB"/>
          </w:rPr>
          <w:t>http://discover.jkuat.ac.ke/course-of-the-week-strategic-management/</w:t>
        </w:r>
      </w:hyperlink>
    </w:p>
    <w:p xmlns:wp14="http://schemas.microsoft.com/office/word/2010/wordml" w:rsidP="0EEAD3AF" w14:paraId="7616576A" wp14:textId="1724ECAD">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1DAE4C9C" wp14:textId="54222B89">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3.Porters five forces analysis</w:t>
      </w:r>
    </w:p>
    <w:p xmlns:wp14="http://schemas.microsoft.com/office/word/2010/wordml" w:rsidP="0EEAD3AF" w14:paraId="154DE2EC" wp14:textId="3A5B01C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Summary </w:t>
      </w:r>
    </w:p>
    <w:p xmlns:wp14="http://schemas.microsoft.com/office/word/2010/wordml" w:rsidP="0EEAD3AF" w14:paraId="10D8412C" wp14:textId="004C673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porters five forces (1979) analysis tool is to give BNN the beneficial information needed by thoroughly assessing the external factors and furthermore supports strategic management methods, creating the ability to minimise the effects that the external environment can have upon the business and analysing whether the strategic direction is suitable based on the findings from the five areas within the analysis, categorising the strengths of each force in order to prioritise the focus and effectively strategize against negative effects. </w:t>
      </w:r>
    </w:p>
    <w:p xmlns:wp14="http://schemas.microsoft.com/office/word/2010/wordml" w:rsidP="0EEAD3AF" w14:paraId="3A1C3CA8" wp14:textId="6E78B42B">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Competitive rivalry </w:t>
      </w:r>
    </w:p>
    <w:p xmlns:wp14="http://schemas.microsoft.com/office/word/2010/wordml" w:rsidP="0EEAD3AF" w14:paraId="554E24CD" wp14:textId="4126186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High number of childcare providers – Strong force </w:t>
      </w:r>
    </w:p>
    <w:p xmlns:wp14="http://schemas.microsoft.com/office/word/2010/wordml" w:rsidP="0EEAD3AF" w14:paraId="12CD7C69" wp14:textId="640B4B0F">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0EEAD3AF" w14:paraId="43CC84E3" wp14:textId="3C60C78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Aggressiveness of rivals – Moderate force </w:t>
      </w:r>
    </w:p>
    <w:p xmlns:wp14="http://schemas.microsoft.com/office/word/2010/wordml" w:rsidP="0EEAD3AF" w14:paraId="756462CA" wp14:textId="46D7E48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In BNN circumstance, competitive rivalry is a strong force due to their being 8 competing childcare providers and 1 nursery school within a 2-mile radius, this means that competition is at large as those in the area may choose a setting than has a shorter commute, particularly for non-drivers, a setting that has more availability and flexibility to meet their needs, familiarity or has an outstanding OFSTED rating, these are the recognisable factors that increase the force of competitive rivalry. Low switching costs are also an element of competitive rivalry that strengthens the force, as it is easy for parents/carers to switch to another childcare provider as there are no withdrawal fees included within BNN contract. Aggressiveness of providers is recognised as a moderate force as rivals do not use aggressive strategies to advertise and market their settings more than BNN’s strategies.</w:t>
      </w:r>
    </w:p>
    <w:p xmlns:wp14="http://schemas.microsoft.com/office/word/2010/wordml" w:rsidP="0EEAD3AF" w14:paraId="470ACCE4" wp14:textId="51572E36">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Bargaining power of suppliers</w:t>
      </w:r>
    </w:p>
    <w:p xmlns:wp14="http://schemas.microsoft.com/office/word/2010/wordml" w:rsidP="0EEAD3AF" w14:paraId="74FC46A1" wp14:textId="52B7154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Considerable number of suppliers – weak force </w:t>
      </w:r>
    </w:p>
    <w:p xmlns:wp14="http://schemas.microsoft.com/office/word/2010/wordml" w:rsidP="0EEAD3AF" w14:paraId="1131866D" wp14:textId="186E37B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High supply for business – moderate force </w:t>
      </w:r>
    </w:p>
    <w:p xmlns:wp14="http://schemas.microsoft.com/office/word/2010/wordml" w:rsidP="0EEAD3AF" w14:paraId="63EF7D4F" wp14:textId="1634727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Low switching costs – weak force</w:t>
      </w:r>
    </w:p>
    <w:p xmlns:wp14="http://schemas.microsoft.com/office/word/2010/wordml" w:rsidP="0EEAD3AF" w14:paraId="5C2F5458" wp14:textId="6E872BD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Many materials are essential for the running of BNN which in effect causes suppliers to have an influence upon the business, but in this case this force is considered weaker due to the multiple suppliers available. In relation to the weekly food supply provided for BNN, there are many available supermarket chains that can distribute in adequate time such as Asda, Tesco, Sainsburys and Morrisons, so it is easy for the business to switch between suppliers at any time, such goes for resources there are a considerable number of suppliers such as Amazon, Argos, Smyths and Hobbycraft that also provide resources outside of companies that supply specifically for childcare settings. On the other hand, gas and electric, as well as PPE suppliers such as PHS become a moderate force due to the high supply needed it increases their bargaining power through contract prices the inflation of gas prices and a higher demand during Covid-19 in PPE equipment allows the bargaining power to be slightly more dominant but still not a strong force as there are other suppliers available. </w:t>
      </w:r>
    </w:p>
    <w:p xmlns:wp14="http://schemas.microsoft.com/office/word/2010/wordml" w:rsidP="0EEAD3AF" w14:paraId="482CB0AE" wp14:textId="78AD70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Although this is a weaker force, it is still important that managers effectively strategize the use of suppliers, so it is cost effective for the business and does not become a stronger external force.</w:t>
      </w:r>
    </w:p>
    <w:p xmlns:wp14="http://schemas.microsoft.com/office/word/2010/wordml" w:rsidP="0EEAD3AF" w14:paraId="3D609251" wp14:textId="323B25E5">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Bargaining power of customers </w:t>
      </w:r>
    </w:p>
    <w:p xmlns:wp14="http://schemas.microsoft.com/office/word/2010/wordml" w:rsidP="0EEAD3AF" w14:paraId="7150E0C7" wp14:textId="4110E9C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Large number of childcare providers – Strong force </w:t>
      </w:r>
    </w:p>
    <w:p xmlns:wp14="http://schemas.microsoft.com/office/word/2010/wordml" w:rsidP="0EEAD3AF" w14:paraId="213E2A91" wp14:textId="0A22204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0EEAD3AF" w14:paraId="53F0CDB6" wp14:textId="111A320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Customers are crucial stakeholders in the business and have the power to influence its success based on their decisions. It is important to keep parents/carers satisfied with the quality of services provided, any dissatisfaction gives them leverage and increases their bargaining power if they feel they can find better elsewhere. Competitors and substitutes strengthen this factor, as well as capacity available, with BNN being a 50-place setting, other larger settings create less limitations for adjustments therefore intensifying the influence of external competitors. </w:t>
      </w:r>
    </w:p>
    <w:p xmlns:wp14="http://schemas.microsoft.com/office/word/2010/wordml" w:rsidP="0EEAD3AF" w14:paraId="5273E837" wp14:textId="5CA318F3">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Threat of new entrants </w:t>
      </w:r>
    </w:p>
    <w:p xmlns:wp14="http://schemas.microsoft.com/office/word/2010/wordml" w:rsidP="0EEAD3AF" w14:paraId="141C441F" wp14:textId="451A06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Easy entrance into the sector – weak force </w:t>
      </w:r>
    </w:p>
    <w:p xmlns:wp14="http://schemas.microsoft.com/office/word/2010/wordml" w:rsidP="0EEAD3AF" w14:paraId="623E82C0" wp14:textId="012E361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Excessive cost of development – weak force</w:t>
      </w:r>
    </w:p>
    <w:p xmlns:wp14="http://schemas.microsoft.com/office/word/2010/wordml" w:rsidP="0EEAD3AF" w14:paraId="24C08736" wp14:textId="13237FC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Low switching costs – moderate force</w:t>
      </w:r>
    </w:p>
    <w:p xmlns:wp14="http://schemas.microsoft.com/office/word/2010/wordml" w:rsidP="0EEAD3AF" w14:paraId="095BEA97" wp14:textId="5566618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Entrance into the early years industry is not a quick and easy step, there are various requirements that need to be met which result in excessive costs such as planning permission/lease, health and safety, building regulations, OFSTED inspections, recruitment processes, training, adhering to ratio requirements whilst then gaining customers to sustain the business but having scanned their external environment may quickly become stable. Franchise settings cause a higher threat than a brand-new setting as they would already have some customer loyalty and a brand name, also the consideration of low switching costs to a new provider proves this to be a force to remain mindful of in the event of a new entrant.</w:t>
      </w:r>
    </w:p>
    <w:p xmlns:wp14="http://schemas.microsoft.com/office/word/2010/wordml" w:rsidP="0EEAD3AF" w14:paraId="74839FF3" wp14:textId="2A30081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Threat of substitutes </w:t>
      </w:r>
    </w:p>
    <w:p xmlns:wp14="http://schemas.microsoft.com/office/word/2010/wordml" w:rsidP="0EEAD3AF" w14:paraId="451AF1FF" wp14:textId="5B09DF1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High availability of substitutes – Strong force </w:t>
      </w:r>
    </w:p>
    <w:p xmlns:wp14="http://schemas.microsoft.com/office/word/2010/wordml" w:rsidP="0EEAD3AF" w14:paraId="1B8D2201" wp14:textId="2439EAF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0EEAD3AF" w14:paraId="67213D89" wp14:textId="7DB16EF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In the early years sector, there are multiple substitutes that may be more cost-effective and flexible for parents/carers. Childminders, nannies, family members/friends, and religious groups are all factors when considering alternatives that will also offer a similar service following the same curriculum meeting performance expectations whilst at a cheaper cost and meeting the needs of families e.g., earlier drop-offs and later pick-ups, making the disadvantages less of a factor in comparison to its advantages. It is also feasible to switch to a substitute which may contribute to its attractiveness to parents/carers particularly in relation to the cost-of-living rise, therefore making it more of a threat. </w:t>
      </w:r>
    </w:p>
    <w:p xmlns:wp14="http://schemas.microsoft.com/office/word/2010/wordml" w:rsidP="0EEAD3AF" w14:paraId="0BD3595A" wp14:textId="7E8EE1B6">
      <w:pPr>
        <w:pStyle w:val="ListParagraph"/>
        <w:numPr>
          <w:ilvl w:val="0"/>
          <w:numId w:val="15"/>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Recommendations </w:t>
      </w:r>
    </w:p>
    <w:p xmlns:wp14="http://schemas.microsoft.com/office/word/2010/wordml" w:rsidP="0EEAD3AF" w14:paraId="63E5E075" wp14:textId="29D58D9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After critically analysing the five forces, to minimalize the negative impact of the strong forces BNN need to prioritise competitive rivalry, bargaining power of customers and threat of substitutes as they all demonstrate themselves to be a strong force against the company's external environment. Although the bargaining power of suppliers and threat of new entrants impact upon the business, it shows to be to a decreased magnitude. It is recommended that BNN implement strategic methods to increase the aggressiveness of marketing through new technologies, it is said that this can enhance small business competitive advantage and help to combat competitive forces (, organise more involvement of parents/carers and increase training of staff allowing everyone to feel valued and demonstrate loyalty in effect generating a positive image, and resources to obtain outstanding rating and demonstrate a higher level of care and knowledge so service users are less likely to use substitutes or switch to another provider. </w:t>
      </w:r>
    </w:p>
    <w:p xmlns:wp14="http://schemas.microsoft.com/office/word/2010/wordml" w:rsidP="0EEAD3AF" w14:paraId="40818CE1" wp14:textId="4FECB6D6">
      <w:pPr>
        <w:pStyle w:val="ListParagraph"/>
        <w:numPr>
          <w:ilvl w:val="0"/>
          <w:numId w:val="1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Pestle analysis </w:t>
      </w:r>
    </w:p>
    <w:p xmlns:wp14="http://schemas.microsoft.com/office/word/2010/wordml" w:rsidP="0EEAD3AF" w14:paraId="4FD719E2" wp14:textId="60206A3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The pestle analysis framework is useful for any organisation to conduct a general environmental assessment, to predict potential outcomes whether being proactive or reactive based on the degree of turbulence and changeability it can have upon the business (Lynch, 2018) </w:t>
      </w:r>
    </w:p>
    <w:tbl>
      <w:tblPr>
        <w:tblStyle w:val="TableGrid"/>
        <w:tblW w:w="0" w:type="auto"/>
        <w:tblLayout w:type="fixed"/>
        <w:tblLook w:val="06A0" w:firstRow="1" w:lastRow="0" w:firstColumn="1" w:lastColumn="0" w:noHBand="1" w:noVBand="1"/>
      </w:tblPr>
      <w:tblGrid>
        <w:gridCol w:w="3000"/>
        <w:gridCol w:w="3000"/>
        <w:gridCol w:w="3000"/>
      </w:tblGrid>
      <w:tr w:rsidR="0EEAD3AF" w:rsidTr="0EEAD3AF" w14:paraId="4E2169AF">
        <w:tc>
          <w:tcPr>
            <w:tcW w:w="3000" w:type="dxa"/>
            <w:tcMar/>
            <w:vAlign w:val="top"/>
          </w:tcPr>
          <w:p w:rsidR="0EEAD3AF" w:rsidP="0EEAD3AF" w:rsidRDefault="0EEAD3AF" w14:paraId="3472F37B" w14:textId="61EF20BA">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Political </w:t>
            </w:r>
          </w:p>
          <w:p w:rsidR="0EEAD3AF" w:rsidP="0EEAD3AF" w:rsidRDefault="0EEAD3AF" w14:paraId="3EFEAB3E" w14:textId="49ED2A1D">
            <w:pPr>
              <w:pStyle w:val="ListParagraph"/>
              <w:numPr>
                <w:ilvl w:val="0"/>
                <w:numId w:val="3"/>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Employment law</w:t>
            </w:r>
          </w:p>
          <w:p w:rsidR="0EEAD3AF" w:rsidP="0EEAD3AF" w:rsidRDefault="0EEAD3AF" w14:paraId="3B1237FA" w14:textId="70DE9450">
            <w:pPr>
              <w:pStyle w:val="ListParagraph"/>
              <w:numPr>
                <w:ilvl w:val="0"/>
                <w:numId w:val="3"/>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Brexit </w:t>
            </w:r>
          </w:p>
          <w:p w:rsidR="0EEAD3AF" w:rsidP="0EEAD3AF" w:rsidRDefault="0EEAD3AF" w14:paraId="0AA8D05B" w14:textId="411E321D">
            <w:pPr>
              <w:pStyle w:val="ListParagraph"/>
              <w:numPr>
                <w:ilvl w:val="0"/>
                <w:numId w:val="3"/>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Taxation</w:t>
            </w:r>
          </w:p>
          <w:p w:rsidR="0EEAD3AF" w:rsidP="0EEAD3AF" w:rsidRDefault="0EEAD3AF" w14:paraId="6C64C2FF" w14:textId="42EE60B8">
            <w:pPr>
              <w:spacing w:line="259" w:lineRule="auto"/>
              <w:jc w:val="left"/>
              <w:rPr>
                <w:rFonts w:ascii="Arial" w:hAnsi="Arial" w:eastAsia="Arial" w:cs="Arial"/>
                <w:b w:val="0"/>
                <w:bCs w:val="0"/>
                <w:i w:val="0"/>
                <w:iCs w:val="0"/>
                <w:sz w:val="22"/>
                <w:szCs w:val="22"/>
              </w:rPr>
            </w:pPr>
          </w:p>
        </w:tc>
        <w:tc>
          <w:tcPr>
            <w:tcW w:w="3000" w:type="dxa"/>
            <w:tcMar/>
            <w:vAlign w:val="top"/>
          </w:tcPr>
          <w:p w:rsidR="0EEAD3AF" w:rsidP="0EEAD3AF" w:rsidRDefault="0EEAD3AF" w14:paraId="1FF910D5" w14:textId="61C485C2">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Economic </w:t>
            </w:r>
          </w:p>
          <w:p w:rsidR="0EEAD3AF" w:rsidP="0EEAD3AF" w:rsidRDefault="0EEAD3AF" w14:paraId="402F1B80" w14:textId="78D8009D">
            <w:pPr>
              <w:pStyle w:val="ListParagraph"/>
              <w:numPr>
                <w:ilvl w:val="0"/>
                <w:numId w:val="4"/>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Unemployment </w:t>
            </w:r>
          </w:p>
          <w:p w:rsidR="0EEAD3AF" w:rsidP="0EEAD3AF" w:rsidRDefault="0EEAD3AF" w14:paraId="454DEA6E" w14:textId="2F6B7889">
            <w:pPr>
              <w:pStyle w:val="ListParagraph"/>
              <w:numPr>
                <w:ilvl w:val="0"/>
                <w:numId w:val="4"/>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Disposable income</w:t>
            </w:r>
          </w:p>
          <w:p w:rsidR="0EEAD3AF" w:rsidP="0EEAD3AF" w:rsidRDefault="0EEAD3AF" w14:paraId="7A5C509E" w14:textId="2001ED9E">
            <w:pPr>
              <w:pStyle w:val="ListParagraph"/>
              <w:numPr>
                <w:ilvl w:val="0"/>
                <w:numId w:val="4"/>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Inflation (up 2.1%) (ONS,2022) </w:t>
            </w:r>
          </w:p>
          <w:p w:rsidR="0EEAD3AF" w:rsidP="0EEAD3AF" w:rsidRDefault="0EEAD3AF" w14:paraId="070E1A5A" w14:textId="55487325">
            <w:pPr>
              <w:spacing w:line="259" w:lineRule="auto"/>
              <w:ind w:left="0"/>
              <w:jc w:val="left"/>
              <w:rPr>
                <w:rFonts w:ascii="Arial" w:hAnsi="Arial" w:eastAsia="Arial" w:cs="Arial"/>
                <w:b w:val="0"/>
                <w:bCs w:val="0"/>
                <w:i w:val="0"/>
                <w:iCs w:val="0"/>
                <w:sz w:val="22"/>
                <w:szCs w:val="22"/>
              </w:rPr>
            </w:pPr>
          </w:p>
        </w:tc>
        <w:tc>
          <w:tcPr>
            <w:tcW w:w="3000" w:type="dxa"/>
            <w:tcMar/>
            <w:vAlign w:val="top"/>
          </w:tcPr>
          <w:p w:rsidR="0EEAD3AF" w:rsidP="0EEAD3AF" w:rsidRDefault="0EEAD3AF" w14:paraId="2029C965" w14:textId="6C09D301">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Sociological </w:t>
            </w:r>
          </w:p>
          <w:p w:rsidR="0EEAD3AF" w:rsidP="0EEAD3AF" w:rsidRDefault="0EEAD3AF" w14:paraId="26E81B9F" w14:textId="4FFEFFD7">
            <w:pPr>
              <w:pStyle w:val="ListParagraph"/>
              <w:numPr>
                <w:ilvl w:val="0"/>
                <w:numId w:val="5"/>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Lifestyle changes </w:t>
            </w:r>
          </w:p>
          <w:p w:rsidR="0EEAD3AF" w:rsidP="0EEAD3AF" w:rsidRDefault="0EEAD3AF" w14:paraId="603EABBE" w14:textId="62567296">
            <w:pPr>
              <w:pStyle w:val="ListParagraph"/>
              <w:numPr>
                <w:ilvl w:val="0"/>
                <w:numId w:val="5"/>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Demographic changes </w:t>
            </w:r>
          </w:p>
          <w:p w:rsidR="0EEAD3AF" w:rsidP="0EEAD3AF" w:rsidRDefault="0EEAD3AF" w14:paraId="0A78C759" w14:textId="7B202A6B">
            <w:pPr>
              <w:pStyle w:val="ListParagraph"/>
              <w:numPr>
                <w:ilvl w:val="0"/>
                <w:numId w:val="5"/>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Home-schooling </w:t>
            </w:r>
          </w:p>
        </w:tc>
      </w:tr>
      <w:tr w:rsidR="0EEAD3AF" w:rsidTr="0EEAD3AF" w14:paraId="22836F19">
        <w:tc>
          <w:tcPr>
            <w:tcW w:w="3000" w:type="dxa"/>
            <w:tcMar/>
            <w:vAlign w:val="top"/>
          </w:tcPr>
          <w:p w:rsidR="0EEAD3AF" w:rsidP="0EEAD3AF" w:rsidRDefault="0EEAD3AF" w14:paraId="37C333A0" w14:textId="66C39FC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Technological </w:t>
            </w:r>
          </w:p>
          <w:p w:rsidR="0EEAD3AF" w:rsidP="0EEAD3AF" w:rsidRDefault="0EEAD3AF" w14:paraId="70F616F5" w14:textId="57CD4404">
            <w:pPr>
              <w:pStyle w:val="ListParagraph"/>
              <w:numPr>
                <w:ilvl w:val="0"/>
                <w:numId w:val="6"/>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Keeping up with speed of technology changes </w:t>
            </w:r>
          </w:p>
          <w:p w:rsidR="0EEAD3AF" w:rsidP="0EEAD3AF" w:rsidRDefault="0EEAD3AF" w14:paraId="07ADB958" w14:textId="34B02B49">
            <w:pPr>
              <w:pStyle w:val="ListParagraph"/>
              <w:numPr>
                <w:ilvl w:val="0"/>
                <w:numId w:val="6"/>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Developments of innovation in new technologies</w:t>
            </w:r>
          </w:p>
          <w:p w:rsidR="0EEAD3AF" w:rsidP="0EEAD3AF" w:rsidRDefault="0EEAD3AF" w14:paraId="22527431" w14:textId="56DAD630">
            <w:pPr>
              <w:pStyle w:val="ListParagraph"/>
              <w:numPr>
                <w:ilvl w:val="0"/>
                <w:numId w:val="6"/>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Data protection</w:t>
            </w:r>
          </w:p>
          <w:p w:rsidR="0EEAD3AF" w:rsidP="0EEAD3AF" w:rsidRDefault="0EEAD3AF" w14:paraId="2096C11D" w14:textId="7078344A">
            <w:pPr>
              <w:spacing w:line="259" w:lineRule="auto"/>
              <w:jc w:val="left"/>
              <w:rPr>
                <w:rFonts w:ascii="Arial" w:hAnsi="Arial" w:eastAsia="Arial" w:cs="Arial"/>
                <w:b w:val="0"/>
                <w:bCs w:val="0"/>
                <w:i w:val="0"/>
                <w:iCs w:val="0"/>
                <w:sz w:val="22"/>
                <w:szCs w:val="22"/>
              </w:rPr>
            </w:pPr>
          </w:p>
        </w:tc>
        <w:tc>
          <w:tcPr>
            <w:tcW w:w="3000" w:type="dxa"/>
            <w:tcMar/>
            <w:vAlign w:val="top"/>
          </w:tcPr>
          <w:p w:rsidR="0EEAD3AF" w:rsidP="0EEAD3AF" w:rsidRDefault="0EEAD3AF" w14:paraId="1848737B" w14:textId="36F19CC7">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Environmental </w:t>
            </w:r>
          </w:p>
          <w:p w:rsidR="0EEAD3AF" w:rsidP="0EEAD3AF" w:rsidRDefault="0EEAD3AF" w14:paraId="4D1D8E02" w14:textId="2F0C2FED">
            <w:pPr>
              <w:pStyle w:val="ListParagraph"/>
              <w:numPr>
                <w:ilvl w:val="0"/>
                <w:numId w:val="7"/>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Waste disposal</w:t>
            </w:r>
          </w:p>
          <w:p w:rsidR="0EEAD3AF" w:rsidP="0EEAD3AF" w:rsidRDefault="0EEAD3AF" w14:paraId="0A22824A" w14:textId="09F22DBF">
            <w:pPr>
              <w:pStyle w:val="ListParagraph"/>
              <w:numPr>
                <w:ilvl w:val="0"/>
                <w:numId w:val="7"/>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“green” effects </w:t>
            </w:r>
          </w:p>
          <w:p w:rsidR="0EEAD3AF" w:rsidP="0EEAD3AF" w:rsidRDefault="0EEAD3AF" w14:paraId="333417DF" w14:textId="67CDDAEF">
            <w:pPr>
              <w:pStyle w:val="ListParagraph"/>
              <w:numPr>
                <w:ilvl w:val="0"/>
                <w:numId w:val="7"/>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Covid-19 effects</w:t>
            </w:r>
          </w:p>
          <w:p w:rsidR="0EEAD3AF" w:rsidP="0EEAD3AF" w:rsidRDefault="0EEAD3AF" w14:paraId="7DBA8C66" w14:textId="5EAFB151">
            <w:pPr>
              <w:pStyle w:val="ListParagraph"/>
              <w:numPr>
                <w:ilvl w:val="0"/>
                <w:numId w:val="7"/>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Extreme weather conditions </w:t>
            </w:r>
          </w:p>
        </w:tc>
        <w:tc>
          <w:tcPr>
            <w:tcW w:w="3000" w:type="dxa"/>
            <w:tcMar/>
            <w:vAlign w:val="top"/>
          </w:tcPr>
          <w:p w:rsidR="0EEAD3AF" w:rsidP="0EEAD3AF" w:rsidRDefault="0EEAD3AF" w14:paraId="7A8044FA" w14:textId="14ACF01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Legal </w:t>
            </w:r>
          </w:p>
          <w:p w:rsidR="0EEAD3AF" w:rsidP="0EEAD3AF" w:rsidRDefault="0EEAD3AF" w14:paraId="7C34C65D" w14:textId="0C453CD1">
            <w:pPr>
              <w:pStyle w:val="ListParagraph"/>
              <w:numPr>
                <w:ilvl w:val="0"/>
                <w:numId w:val="8"/>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Government regulations </w:t>
            </w:r>
          </w:p>
          <w:p w:rsidR="0EEAD3AF" w:rsidP="0EEAD3AF" w:rsidRDefault="0EEAD3AF" w14:paraId="335B97BF" w14:textId="7F471C62">
            <w:pPr>
              <w:pStyle w:val="ListParagraph"/>
              <w:numPr>
                <w:ilvl w:val="0"/>
                <w:numId w:val="8"/>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OFSTED regulations </w:t>
            </w:r>
          </w:p>
          <w:p w:rsidR="0EEAD3AF" w:rsidP="0EEAD3AF" w:rsidRDefault="0EEAD3AF" w14:paraId="7A93E5B4" w14:textId="33BE5C38">
            <w:pPr>
              <w:pStyle w:val="ListParagraph"/>
              <w:numPr>
                <w:ilvl w:val="0"/>
                <w:numId w:val="8"/>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Employment laws </w:t>
            </w:r>
          </w:p>
          <w:p w:rsidR="0EEAD3AF" w:rsidP="0EEAD3AF" w:rsidRDefault="0EEAD3AF" w14:paraId="1E719962" w14:textId="5954F6A3">
            <w:pPr>
              <w:pStyle w:val="ListParagraph"/>
              <w:numPr>
                <w:ilvl w:val="0"/>
                <w:numId w:val="8"/>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Minimum wage increase</w:t>
            </w:r>
          </w:p>
          <w:p w:rsidR="0EEAD3AF" w:rsidP="0EEAD3AF" w:rsidRDefault="0EEAD3AF" w14:paraId="24DB6096" w14:textId="4C74BCB3">
            <w:pPr>
              <w:pStyle w:val="ListParagraph"/>
              <w:numPr>
                <w:ilvl w:val="0"/>
                <w:numId w:val="8"/>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Changes to ratio requirements (Gov.uk, 2022)</w:t>
            </w:r>
          </w:p>
        </w:tc>
      </w:tr>
    </w:tbl>
    <w:p xmlns:wp14="http://schemas.microsoft.com/office/word/2010/wordml" w:rsidP="0EEAD3AF" w14:paraId="6A98DADE" wp14:textId="541D441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2EECF875" wp14:textId="24F4308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macro-environment and its changes enables BNN to be prepared for the future regarding the market and non-market, creating the ability to take advantage of opportunities and avoid any potential threats (Johnson et.al, 2019). The combination of the five forces and pestle analysis if used correctly can be extremely effective in the success of the organization, giving advantage over competitors by managing the processes within the business and adapting strategy methods based on the broader environment. Without using these tools, the strategic management process will be flawed due to lack of knowledge of all aspects surrounding the organisation and increase the magnitude of external threats causing more impact resulting in its decline in the industry, giving rivals who have effectively used and applied these tools a greater advantage. </w:t>
      </w:r>
    </w:p>
    <w:p xmlns:wp14="http://schemas.microsoft.com/office/word/2010/wordml" w:rsidP="0EEAD3AF" w14:paraId="214C3C64" wp14:textId="50BE603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3.1 SWOT analysis </w:t>
      </w:r>
    </w:p>
    <w:p xmlns:wp14="http://schemas.microsoft.com/office/word/2010/wordml" w:rsidP="0EEAD3AF" w14:paraId="2CC4A0F5" wp14:textId="386611C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After assessing the macro-environment, it is equally as important to analysis the micro internal environment in order to have a broad and clear strategic method. The use of a SWOT analysis identifies the strengths and weaknesses within the organisation, pinpointing areas that need improvement and should be focused upon and maintaining strengths to continuously add value to the company. </w:t>
      </w:r>
    </w:p>
    <w:tbl>
      <w:tblPr>
        <w:tblStyle w:val="TableGrid"/>
        <w:tblW w:w="0" w:type="auto"/>
        <w:tblLayout w:type="fixed"/>
        <w:tblLook w:val="06A0" w:firstRow="1" w:lastRow="0" w:firstColumn="1" w:lastColumn="0" w:noHBand="1" w:noVBand="1"/>
      </w:tblPr>
      <w:tblGrid>
        <w:gridCol w:w="4500"/>
        <w:gridCol w:w="4500"/>
      </w:tblGrid>
      <w:tr w:rsidR="0EEAD3AF" w:rsidTr="0EEAD3AF" w14:paraId="7ADFB114">
        <w:tc>
          <w:tcPr>
            <w:tcW w:w="4500" w:type="dxa"/>
            <w:tcMar/>
            <w:vAlign w:val="top"/>
          </w:tcPr>
          <w:p w:rsidR="0EEAD3AF" w:rsidP="0EEAD3AF" w:rsidRDefault="0EEAD3AF" w14:paraId="25C1202F" w14:textId="468345A3">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Strengths </w:t>
            </w:r>
          </w:p>
          <w:p w:rsidR="0EEAD3AF" w:rsidP="0EEAD3AF" w:rsidRDefault="0EEAD3AF" w14:paraId="740BC6B2" w14:textId="6CBD42DA">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Demographic area</w:t>
            </w:r>
          </w:p>
          <w:p w:rsidR="0EEAD3AF" w:rsidP="0EEAD3AF" w:rsidRDefault="0EEAD3AF" w14:paraId="02992EED" w14:textId="2C0BD81A">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Multi-cultural area</w:t>
            </w:r>
          </w:p>
          <w:p w:rsidR="0EEAD3AF" w:rsidP="0EEAD3AF" w:rsidRDefault="0EEAD3AF" w14:paraId="7FC7DDC1" w14:textId="775CC074">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Good connection with community</w:t>
            </w:r>
          </w:p>
          <w:p w:rsidR="0EEAD3AF" w:rsidP="0EEAD3AF" w:rsidRDefault="0EEAD3AF" w14:paraId="66B6BE29" w14:textId="66404CC2">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Low-cost advantage </w:t>
            </w:r>
          </w:p>
          <w:p w:rsidR="0EEAD3AF" w:rsidP="0EEAD3AF" w:rsidRDefault="0EEAD3AF" w14:paraId="17FA7CEE" w14:textId="16269DEB">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Long standing setting</w:t>
            </w:r>
          </w:p>
          <w:p w:rsidR="0EEAD3AF" w:rsidP="0EEAD3AF" w:rsidRDefault="0EEAD3AF" w14:paraId="499E78AE" w14:textId="072590FC">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Positive reputation </w:t>
            </w:r>
          </w:p>
          <w:p w:rsidR="0EEAD3AF" w:rsidP="0EEAD3AF" w:rsidRDefault="0EEAD3AF" w14:paraId="648ADC33" w14:textId="536BA47F">
            <w:pPr>
              <w:pStyle w:val="ListParagraph"/>
              <w:numPr>
                <w:ilvl w:val="0"/>
                <w:numId w:val="9"/>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Continuous training for staff </w:t>
            </w:r>
          </w:p>
          <w:p w:rsidR="0EEAD3AF" w:rsidP="0EEAD3AF" w:rsidRDefault="0EEAD3AF" w14:paraId="30A79023" w14:textId="515A68E2">
            <w:pPr>
              <w:spacing w:line="259" w:lineRule="auto"/>
              <w:jc w:val="left"/>
              <w:rPr>
                <w:rFonts w:ascii="Arial" w:hAnsi="Arial" w:eastAsia="Arial" w:cs="Arial"/>
                <w:b w:val="0"/>
                <w:bCs w:val="0"/>
                <w:i w:val="0"/>
                <w:iCs w:val="0"/>
                <w:sz w:val="22"/>
                <w:szCs w:val="22"/>
              </w:rPr>
            </w:pPr>
          </w:p>
        </w:tc>
        <w:tc>
          <w:tcPr>
            <w:tcW w:w="4500" w:type="dxa"/>
            <w:tcMar/>
            <w:vAlign w:val="top"/>
          </w:tcPr>
          <w:p w:rsidR="0EEAD3AF" w:rsidP="0EEAD3AF" w:rsidRDefault="0EEAD3AF" w14:paraId="231D5CD4" w14:textId="019E639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Weaknesses </w:t>
            </w:r>
          </w:p>
          <w:p w:rsidR="0EEAD3AF" w:rsidP="0EEAD3AF" w:rsidRDefault="0EEAD3AF" w14:paraId="5F4FF48A" w14:textId="193FC5A5">
            <w:pPr>
              <w:pStyle w:val="ListParagraph"/>
              <w:numPr>
                <w:ilvl w:val="0"/>
                <w:numId w:val="10"/>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Minimal ICT resources</w:t>
            </w:r>
          </w:p>
          <w:p w:rsidR="0EEAD3AF" w:rsidP="0EEAD3AF" w:rsidRDefault="0EEAD3AF" w14:paraId="14312A77" w14:textId="4091A877">
            <w:pPr>
              <w:pStyle w:val="ListParagraph"/>
              <w:numPr>
                <w:ilvl w:val="0"/>
                <w:numId w:val="10"/>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Limited financial resources</w:t>
            </w:r>
          </w:p>
          <w:p w:rsidR="0EEAD3AF" w:rsidP="0EEAD3AF" w:rsidRDefault="0EEAD3AF" w14:paraId="64948076" w14:textId="32C14A0F">
            <w:pPr>
              <w:pStyle w:val="ListParagraph"/>
              <w:numPr>
                <w:ilvl w:val="0"/>
                <w:numId w:val="10"/>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Competitors offer more childcare spaces</w:t>
            </w:r>
          </w:p>
          <w:p w:rsidR="0EEAD3AF" w:rsidP="0EEAD3AF" w:rsidRDefault="0EEAD3AF" w14:paraId="45180655" w14:textId="2E3904B0">
            <w:pPr>
              <w:pStyle w:val="ListParagraph"/>
              <w:numPr>
                <w:ilvl w:val="0"/>
                <w:numId w:val="10"/>
              </w:num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Staff turnover/absences</w:t>
            </w:r>
          </w:p>
        </w:tc>
      </w:tr>
      <w:tr w:rsidR="0EEAD3AF" w:rsidTr="0EEAD3AF" w14:paraId="68D55A55">
        <w:tc>
          <w:tcPr>
            <w:tcW w:w="4500" w:type="dxa"/>
            <w:tcMar/>
            <w:vAlign w:val="top"/>
          </w:tcPr>
          <w:p w:rsidR="0EEAD3AF" w:rsidP="0EEAD3AF" w:rsidRDefault="0EEAD3AF" w14:paraId="2F6F0776" w14:textId="42AD922B">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Opportunities </w:t>
            </w:r>
          </w:p>
        </w:tc>
        <w:tc>
          <w:tcPr>
            <w:tcW w:w="4500" w:type="dxa"/>
            <w:tcMar/>
            <w:vAlign w:val="top"/>
          </w:tcPr>
          <w:p w:rsidR="0EEAD3AF" w:rsidP="0EEAD3AF" w:rsidRDefault="0EEAD3AF" w14:paraId="7A79EF28" w14:textId="0D6B80B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Threats </w:t>
            </w:r>
          </w:p>
          <w:p w:rsidR="0EEAD3AF" w:rsidP="0EEAD3AF" w:rsidRDefault="0EEAD3AF" w14:paraId="334D07F3" w14:textId="256C96C8">
            <w:pPr>
              <w:spacing w:line="259" w:lineRule="auto"/>
              <w:jc w:val="left"/>
              <w:rPr>
                <w:rFonts w:ascii="Arial" w:hAnsi="Arial" w:eastAsia="Arial" w:cs="Arial"/>
                <w:b w:val="0"/>
                <w:bCs w:val="0"/>
                <w:i w:val="0"/>
                <w:iCs w:val="0"/>
                <w:sz w:val="22"/>
                <w:szCs w:val="22"/>
              </w:rPr>
            </w:pPr>
          </w:p>
        </w:tc>
      </w:tr>
    </w:tbl>
    <w:p xmlns:wp14="http://schemas.microsoft.com/office/word/2010/wordml" w:rsidP="0EEAD3AF" w14:paraId="59822576" wp14:textId="470DADA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7967A1F9" wp14:textId="1F582E08">
      <w:pPr>
        <w:pStyle w:val="ListParagraph"/>
        <w:numPr>
          <w:ilvl w:val="0"/>
          <w:numId w:val="13"/>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VRIO Framework</w:t>
      </w:r>
    </w:p>
    <w:p xmlns:wp14="http://schemas.microsoft.com/office/word/2010/wordml" w:rsidP="0EEAD3AF" w14:paraId="4292EE3E" wp14:textId="4018E9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Barney (1991) considered firm resources to be assets, capabilities, organizational processes, firm attributes, information and knowledge, these resources help to enable companies to improve their effectiveness and efficiency and use those sources to establish sustained competitive advantage, therefore introducing the VRIO framework to assess the microenvironment and identify its depth of resources.</w:t>
      </w:r>
    </w:p>
    <w:p xmlns:wp14="http://schemas.microsoft.com/office/word/2010/wordml" w:rsidP="0EEAD3AF" w14:paraId="6609A179" wp14:textId="30D72E72">
      <w:pPr>
        <w:spacing w:after="160" w:line="360"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0EEAD3AF">
        <w:drawing>
          <wp:inline xmlns:wp14="http://schemas.microsoft.com/office/word/2010/wordprocessingDrawing" wp14:editId="3EBAA5FD" wp14:anchorId="4E124BAF">
            <wp:extent cx="4572000" cy="257175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a21a405230a6460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0EEAD3AF" w14:paraId="036E21EC" wp14:textId="2F9846C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25384F0F" wp14:textId="4A12D28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Figure 1.1 VRIO template (B2U, 2016) source:</w:t>
      </w:r>
    </w:p>
    <w:tbl>
      <w:tblPr>
        <w:tblStyle w:val="TableGrid"/>
        <w:tblW w:w="0" w:type="auto"/>
        <w:tblLayout w:type="fixed"/>
        <w:tblLook w:val="06A0" w:firstRow="1" w:lastRow="0" w:firstColumn="1" w:lastColumn="0" w:noHBand="1" w:noVBand="1"/>
      </w:tblPr>
      <w:tblGrid>
        <w:gridCol w:w="1800"/>
        <w:gridCol w:w="1800"/>
        <w:gridCol w:w="1800"/>
        <w:gridCol w:w="1800"/>
        <w:gridCol w:w="1800"/>
      </w:tblGrid>
      <w:tr w:rsidR="0EEAD3AF" w:rsidTr="0EEAD3AF" w14:paraId="2B91F972">
        <w:tc>
          <w:tcPr>
            <w:tcW w:w="1800" w:type="dxa"/>
            <w:tcMar/>
            <w:vAlign w:val="top"/>
          </w:tcPr>
          <w:p w:rsidR="0EEAD3AF" w:rsidP="0EEAD3AF" w:rsidRDefault="0EEAD3AF" w14:paraId="131B9835" w14:textId="6309967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Valuable </w:t>
            </w:r>
          </w:p>
        </w:tc>
        <w:tc>
          <w:tcPr>
            <w:tcW w:w="1800" w:type="dxa"/>
            <w:tcMar/>
            <w:vAlign w:val="top"/>
          </w:tcPr>
          <w:p w:rsidR="0EEAD3AF" w:rsidP="0EEAD3AF" w:rsidRDefault="0EEAD3AF" w14:paraId="63593116" w14:textId="7833BCB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Rare </w:t>
            </w:r>
          </w:p>
        </w:tc>
        <w:tc>
          <w:tcPr>
            <w:tcW w:w="1800" w:type="dxa"/>
            <w:tcMar/>
            <w:vAlign w:val="top"/>
          </w:tcPr>
          <w:p w:rsidR="0EEAD3AF" w:rsidP="0EEAD3AF" w:rsidRDefault="0EEAD3AF" w14:paraId="1A5B2C9B" w14:textId="291AD43B">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Inimitable </w:t>
            </w:r>
          </w:p>
        </w:tc>
        <w:tc>
          <w:tcPr>
            <w:tcW w:w="1800" w:type="dxa"/>
            <w:tcMar/>
            <w:vAlign w:val="top"/>
          </w:tcPr>
          <w:p w:rsidR="0EEAD3AF" w:rsidP="0EEAD3AF" w:rsidRDefault="0EEAD3AF" w14:paraId="41639E21" w14:textId="6460922A">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Organized </w:t>
            </w:r>
          </w:p>
        </w:tc>
        <w:tc>
          <w:tcPr>
            <w:tcW w:w="1800" w:type="dxa"/>
            <w:tcMar/>
            <w:vAlign w:val="top"/>
          </w:tcPr>
          <w:p w:rsidR="0EEAD3AF" w:rsidP="0EEAD3AF" w:rsidRDefault="0EEAD3AF" w14:paraId="695A3C07" w14:textId="7E550075">
            <w:pPr>
              <w:spacing w:line="259" w:lineRule="auto"/>
              <w:jc w:val="left"/>
              <w:rPr>
                <w:rFonts w:ascii="Arial" w:hAnsi="Arial" w:eastAsia="Arial" w:cs="Arial"/>
                <w:b w:val="0"/>
                <w:bCs w:val="0"/>
                <w:i w:val="0"/>
                <w:iCs w:val="0"/>
                <w:sz w:val="22"/>
                <w:szCs w:val="22"/>
              </w:rPr>
            </w:pPr>
          </w:p>
        </w:tc>
      </w:tr>
      <w:tr w:rsidR="0EEAD3AF" w:rsidTr="0EEAD3AF" w14:paraId="687E0414">
        <w:tc>
          <w:tcPr>
            <w:tcW w:w="1800" w:type="dxa"/>
            <w:tcMar/>
            <w:vAlign w:val="top"/>
          </w:tcPr>
          <w:p w:rsidR="0EEAD3AF" w:rsidP="0EEAD3AF" w:rsidRDefault="0EEAD3AF" w14:paraId="6F416204" w14:textId="1E7B346F">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50CCA780" w14:textId="47228A3B">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144EF7B1" w14:textId="31CE6678">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12FC06DF" w14:textId="37C699F6">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1857BD80" w14:textId="61FF066D">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Competitive disadvantage </w:t>
            </w:r>
          </w:p>
        </w:tc>
      </w:tr>
      <w:tr w:rsidR="0EEAD3AF" w:rsidTr="0EEAD3AF" w14:paraId="4CE0021E">
        <w:tc>
          <w:tcPr>
            <w:tcW w:w="1800" w:type="dxa"/>
            <w:tcMar/>
            <w:vAlign w:val="top"/>
          </w:tcPr>
          <w:p w:rsidR="0EEAD3AF" w:rsidP="0EEAD3AF" w:rsidRDefault="0EEAD3AF" w14:paraId="11BCB6B6" w14:textId="04B3584F">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486941AF" w14:textId="153A804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red"/>
                <w:lang w:val="en-GB"/>
              </w:rPr>
              <w:t>NO</w:t>
            </w:r>
          </w:p>
        </w:tc>
        <w:tc>
          <w:tcPr>
            <w:tcW w:w="1800" w:type="dxa"/>
            <w:tcMar/>
            <w:vAlign w:val="top"/>
          </w:tcPr>
          <w:p w:rsidR="0EEAD3AF" w:rsidP="0EEAD3AF" w:rsidRDefault="0EEAD3AF" w14:paraId="60933A15" w14:textId="7B924F02">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16A8B350" w14:textId="6BC56E41">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4CE611D9" w14:textId="6286C2F3">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Competitive parity </w:t>
            </w:r>
          </w:p>
        </w:tc>
      </w:tr>
      <w:tr w:rsidR="0EEAD3AF" w:rsidTr="0EEAD3AF" w14:paraId="4A6BC1DE">
        <w:tc>
          <w:tcPr>
            <w:tcW w:w="1800" w:type="dxa"/>
            <w:tcMar/>
            <w:vAlign w:val="top"/>
          </w:tcPr>
          <w:p w:rsidR="0EEAD3AF" w:rsidP="0EEAD3AF" w:rsidRDefault="0EEAD3AF" w14:paraId="1420677F" w14:textId="186B384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7B89A469" w14:textId="42F4CE34">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2B153C02" w14:textId="76C708CD">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red"/>
                <w:lang w:val="en-GB"/>
              </w:rPr>
              <w:t>NO</w:t>
            </w:r>
          </w:p>
        </w:tc>
        <w:tc>
          <w:tcPr>
            <w:tcW w:w="1800" w:type="dxa"/>
            <w:tcMar/>
            <w:vAlign w:val="top"/>
          </w:tcPr>
          <w:p w:rsidR="0EEAD3AF" w:rsidP="0EEAD3AF" w:rsidRDefault="0EEAD3AF" w14:paraId="484B8BC8" w14:textId="21B0A6FA">
            <w:pPr>
              <w:spacing w:line="259" w:lineRule="auto"/>
              <w:jc w:val="left"/>
              <w:rPr>
                <w:rFonts w:ascii="Arial" w:hAnsi="Arial" w:eastAsia="Arial" w:cs="Arial"/>
                <w:b w:val="0"/>
                <w:bCs w:val="0"/>
                <w:i w:val="0"/>
                <w:iCs w:val="0"/>
                <w:sz w:val="22"/>
                <w:szCs w:val="22"/>
              </w:rPr>
            </w:pPr>
          </w:p>
        </w:tc>
        <w:tc>
          <w:tcPr>
            <w:tcW w:w="1800" w:type="dxa"/>
            <w:tcMar/>
            <w:vAlign w:val="top"/>
          </w:tcPr>
          <w:p w:rsidR="0EEAD3AF" w:rsidP="0EEAD3AF" w:rsidRDefault="0EEAD3AF" w14:paraId="4DD6AF0B" w14:textId="38067240">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Temporary competitive advantage </w:t>
            </w:r>
          </w:p>
        </w:tc>
      </w:tr>
      <w:tr w:rsidR="0EEAD3AF" w:rsidTr="0EEAD3AF" w14:paraId="4E06F691">
        <w:tc>
          <w:tcPr>
            <w:tcW w:w="1800" w:type="dxa"/>
            <w:tcMar/>
            <w:vAlign w:val="top"/>
          </w:tcPr>
          <w:p w:rsidR="0EEAD3AF" w:rsidP="0EEAD3AF" w:rsidRDefault="0EEAD3AF" w14:paraId="209A699F" w14:textId="672D94C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63F4592A" w14:textId="1BFB89B5">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059C208A" w14:textId="75407E9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79754689" w14:textId="3FF218F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38F65632" w14:textId="21B2188F">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Unused competitive advantage </w:t>
            </w:r>
          </w:p>
        </w:tc>
      </w:tr>
      <w:tr w:rsidR="0EEAD3AF" w:rsidTr="0EEAD3AF" w14:paraId="20045249">
        <w:tc>
          <w:tcPr>
            <w:tcW w:w="1800" w:type="dxa"/>
            <w:tcMar/>
            <w:vAlign w:val="top"/>
          </w:tcPr>
          <w:p w:rsidR="0EEAD3AF" w:rsidP="0EEAD3AF" w:rsidRDefault="0EEAD3AF" w14:paraId="57AFA1D2" w14:textId="7EF98F6A">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0C41AC10" w14:textId="3F463F4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red"/>
                <w:lang w:val="en-GB"/>
              </w:rPr>
              <w:t>NO</w:t>
            </w:r>
          </w:p>
        </w:tc>
        <w:tc>
          <w:tcPr>
            <w:tcW w:w="1800" w:type="dxa"/>
            <w:tcMar/>
            <w:vAlign w:val="top"/>
          </w:tcPr>
          <w:p w:rsidR="0EEAD3AF" w:rsidP="0EEAD3AF" w:rsidRDefault="0EEAD3AF" w14:paraId="5A434A6B" w14:textId="50F325B7">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75F23566" w14:textId="03BD753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highlight w:val="green"/>
                <w:lang w:val="en-GB"/>
              </w:rPr>
              <w:t>YES</w:t>
            </w:r>
          </w:p>
        </w:tc>
        <w:tc>
          <w:tcPr>
            <w:tcW w:w="1800" w:type="dxa"/>
            <w:tcMar/>
            <w:vAlign w:val="top"/>
          </w:tcPr>
          <w:p w:rsidR="0EEAD3AF" w:rsidP="0EEAD3AF" w:rsidRDefault="0EEAD3AF" w14:paraId="1E98DD4D" w14:textId="06D1DC7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1"/>
                <w:bCs w:val="1"/>
                <w:i w:val="0"/>
                <w:iCs w:val="0"/>
                <w:sz w:val="22"/>
                <w:szCs w:val="22"/>
                <w:lang w:val="en-GB"/>
              </w:rPr>
              <w:t xml:space="preserve">Sustainable competitive advantage </w:t>
            </w:r>
          </w:p>
        </w:tc>
      </w:tr>
    </w:tbl>
    <w:p xmlns:wp14="http://schemas.microsoft.com/office/word/2010/wordml" w:rsidP="0EEAD3AF" w14:paraId="2DEDBE02" wp14:textId="486E5D8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04495A39" wp14:textId="44951DE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Through analysing the SWOT and VRIO framework, the following Strengths and weaknesses have been identified in BNN. The main strengths of the business leading to sustained competitive advantage are within BNN’s inimitability their social complexity, longstanding reputation over the past 17 years, they recognise the importance of having strong relationships between employees so they can communicate and work together effectively and have established an organizational culture that all employees are aware of and understand the ethics of the business, it said that organisational culture contributes to the sustainability and performance (Odor, 2018). If the organisation operates on the same values and belief system, it builds organisational structure and incorporates a stronger workplace environment, this factor makes it difficult for another organisation to replicate.</w:t>
      </w:r>
    </w:p>
    <w:p xmlns:wp14="http://schemas.microsoft.com/office/word/2010/wordml" w:rsidP="0EEAD3AF" w14:paraId="73E38841" wp14:textId="185BDA7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BNN is considered as valuable as they use strategies to mitigate threats and maximise opportunities particularly by scanning the environment around them and taking advantage of the information gained to improve their position in the industry. The organisation of BNN includes its implementation of policies and procedures that employees follow, formal reporting structures and chain of command, although management do work with employees and set an example, employees are still aware of the hierarchy and management control systems as a part of the organisational strategies in the environment, resource, finances and employee benefits include bonuses, pension schemes and higher pay rate overtime incentive, that encourage the workforce to work to their full potential and feeling valued.</w:t>
      </w:r>
    </w:p>
    <w:p xmlns:wp14="http://schemas.microsoft.com/office/word/2010/wordml" w:rsidP="0EEAD3AF" w14:paraId="051CE1EB" wp14:textId="1FB0AB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weakness identified from the VRIO which puts BNN at a competitive disadvantage is the rarity, resources are available to multiple players in the industry so eliminates the element of being a rare company. </w:t>
      </w:r>
    </w:p>
    <w:p xmlns:wp14="http://schemas.microsoft.com/office/word/2010/wordml" w:rsidP="0EEAD3AF" w14:paraId="20666F25" wp14:textId="5B8B34B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use this framework to identify the internal strengths and how the weaknesses may be affecting the efficiency of the business, ensuring whether the strengths are being used effectively to build sustainable competitive advantage </w:t>
      </w:r>
    </w:p>
    <w:p xmlns:wp14="http://schemas.microsoft.com/office/word/2010/wordml" w:rsidP="0EEAD3AF" w14:paraId="0A425146" wp14:textId="162E1A2B">
      <w:pPr>
        <w:pStyle w:val="ListParagraph"/>
        <w:numPr>
          <w:ilvl w:val="0"/>
          <w:numId w:val="1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Value chain </w:t>
      </w:r>
    </w:p>
    <w:p xmlns:wp14="http://schemas.microsoft.com/office/word/2010/wordml" w:rsidP="0EEAD3AF" w14:paraId="35B14E14" wp14:textId="74415E3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Porters value chain analysis (1985) is another important framework which contributes to the achievement of competitive advantage, differentiating which activities within the company bring value and which do not, giving managers an advantage of delivering value to customers and understand their strategic position by analysing generic description of activities, identifying sets of value and relative importance of activity costs internally (Johnson et.al, 2019). The value chain consists of four primary activities being: inbound logistics, operations, outbound logistics, marketing and sales and services which are supported by: firm infrastructure, human resource management, technology development and procurement.</w:t>
      </w:r>
    </w:p>
    <w:p xmlns:wp14="http://schemas.microsoft.com/office/word/2010/wordml" w:rsidP="0EEAD3AF" w14:paraId="08376EDF" wp14:textId="4FE7C56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In regard to</w:t>
      </w:r>
      <w:proofErr w:type="gramEnd"/>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BNN, the value of the business comes through improving the inbound flow of materials and resources necessary to provide high-quality care will effectively impact upon the service and customer satisfaction, ensuring orders are processed in a timely manner to provide food, health and safety equipment, toys, and resources. Firm infrastructure and covering activities such as finances, accounting, and legalities, adhering to policies that are essential for the business strengthen the position in the market due to the quality and effectiveness of the organisation. Human resource management adds immense value to BNN, from the selection process to performance management and training help to develop a committed and motivated team who are at the forefront of the business, engaging and building relationships with parents/carers which creates an image of the setting. Lastly, technology supported customer service and data handling enhance the value of BNN improving communication with service users. </w:t>
      </w:r>
    </w:p>
    <w:p xmlns:wp14="http://schemas.microsoft.com/office/word/2010/wordml" w:rsidP="0EEAD3AF" w14:paraId="13EB09FA" wp14:textId="59DA3373">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11465F4E" wp14:textId="796C573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 xml:space="preserve">4. Stakeholders analysis </w:t>
      </w:r>
    </w:p>
    <w:p xmlns:wp14="http://schemas.microsoft.com/office/word/2010/wordml" w:rsidP="0EEAD3AF" w14:paraId="5F952BC0" wp14:textId="37BBC2A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Freeman (2009) defines stakeholders as anyone who can affect or be affected by a company's purpose, it has been suggested that the concept of stakeholders has been further extended to include communities, governments and trade associations due to increased corporate social responsibility (Fernando, 2022). The purpose of a stakeholders analysis is to identify key internal and external stakeholders of the business to assess the power and influence that they each have, it is important that organisations to determine who their unique stakeholders are as they connect with the creation of value. The key stakeholders of BNN are: </w:t>
      </w:r>
    </w:p>
    <w:tbl>
      <w:tblPr>
        <w:tblStyle w:val="TableGrid"/>
        <w:tblW w:w="0" w:type="auto"/>
        <w:tblLayout w:type="fixed"/>
        <w:tblLook w:val="06A0" w:firstRow="1" w:lastRow="0" w:firstColumn="1" w:lastColumn="0" w:noHBand="1" w:noVBand="1"/>
      </w:tblPr>
      <w:tblGrid>
        <w:gridCol w:w="630"/>
        <w:gridCol w:w="4575"/>
      </w:tblGrid>
      <w:tr w:rsidR="0EEAD3AF" w:rsidTr="0EEAD3AF" w14:paraId="0BA4AFDB">
        <w:tc>
          <w:tcPr>
            <w:tcW w:w="630" w:type="dxa"/>
            <w:tcMar/>
            <w:vAlign w:val="top"/>
          </w:tcPr>
          <w:p w:rsidR="0EEAD3AF" w:rsidP="0EEAD3AF" w:rsidRDefault="0EEAD3AF" w14:paraId="12222A1D" w14:textId="1F6AAD9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A</w:t>
            </w:r>
          </w:p>
        </w:tc>
        <w:tc>
          <w:tcPr>
            <w:tcW w:w="4575" w:type="dxa"/>
            <w:tcMar/>
            <w:vAlign w:val="top"/>
          </w:tcPr>
          <w:p w:rsidR="0EEAD3AF" w:rsidP="0EEAD3AF" w:rsidRDefault="0EEAD3AF" w14:paraId="6A159AB7" w14:textId="763992A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Board of directors</w:t>
            </w:r>
          </w:p>
        </w:tc>
      </w:tr>
      <w:tr w:rsidR="0EEAD3AF" w:rsidTr="0EEAD3AF" w14:paraId="238F7C3F">
        <w:tc>
          <w:tcPr>
            <w:tcW w:w="630" w:type="dxa"/>
            <w:tcMar/>
            <w:vAlign w:val="top"/>
          </w:tcPr>
          <w:p w:rsidR="0EEAD3AF" w:rsidP="0EEAD3AF" w:rsidRDefault="0EEAD3AF" w14:paraId="47EB1B5C" w14:textId="67C14544">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B</w:t>
            </w:r>
          </w:p>
        </w:tc>
        <w:tc>
          <w:tcPr>
            <w:tcW w:w="4575" w:type="dxa"/>
            <w:tcMar/>
            <w:vAlign w:val="top"/>
          </w:tcPr>
          <w:p w:rsidR="0EEAD3AF" w:rsidP="0EEAD3AF" w:rsidRDefault="0EEAD3AF" w14:paraId="36F35683" w14:textId="00337D71">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Managers </w:t>
            </w:r>
          </w:p>
        </w:tc>
      </w:tr>
      <w:tr w:rsidR="0EEAD3AF" w:rsidTr="0EEAD3AF" w14:paraId="0F962150">
        <w:tc>
          <w:tcPr>
            <w:tcW w:w="630" w:type="dxa"/>
            <w:tcMar/>
            <w:vAlign w:val="top"/>
          </w:tcPr>
          <w:p w:rsidR="0EEAD3AF" w:rsidP="0EEAD3AF" w:rsidRDefault="0EEAD3AF" w14:paraId="2D7E9361" w14:textId="743EFD5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C</w:t>
            </w:r>
          </w:p>
        </w:tc>
        <w:tc>
          <w:tcPr>
            <w:tcW w:w="4575" w:type="dxa"/>
            <w:tcMar/>
            <w:vAlign w:val="top"/>
          </w:tcPr>
          <w:p w:rsidR="0EEAD3AF" w:rsidP="0EEAD3AF" w:rsidRDefault="0EEAD3AF" w14:paraId="0FBB6730" w14:textId="12E4A29E">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Practitioners</w:t>
            </w:r>
          </w:p>
        </w:tc>
      </w:tr>
      <w:tr w:rsidR="0EEAD3AF" w:rsidTr="0EEAD3AF" w14:paraId="1FE65968">
        <w:tc>
          <w:tcPr>
            <w:tcW w:w="630" w:type="dxa"/>
            <w:tcMar/>
            <w:vAlign w:val="top"/>
          </w:tcPr>
          <w:p w:rsidR="0EEAD3AF" w:rsidP="0EEAD3AF" w:rsidRDefault="0EEAD3AF" w14:paraId="209BFBAA" w14:textId="74AB0915">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D</w:t>
            </w:r>
          </w:p>
        </w:tc>
        <w:tc>
          <w:tcPr>
            <w:tcW w:w="4575" w:type="dxa"/>
            <w:tcMar/>
            <w:vAlign w:val="top"/>
          </w:tcPr>
          <w:p w:rsidR="0EEAD3AF" w:rsidP="0EEAD3AF" w:rsidRDefault="0EEAD3AF" w14:paraId="40881EFC" w14:textId="1C1D1460">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Parents/carers </w:t>
            </w:r>
          </w:p>
        </w:tc>
      </w:tr>
      <w:tr w:rsidR="0EEAD3AF" w:rsidTr="0EEAD3AF" w14:paraId="329D6A46">
        <w:tc>
          <w:tcPr>
            <w:tcW w:w="630" w:type="dxa"/>
            <w:tcMar/>
            <w:vAlign w:val="top"/>
          </w:tcPr>
          <w:p w:rsidR="0EEAD3AF" w:rsidP="0EEAD3AF" w:rsidRDefault="0EEAD3AF" w14:paraId="5DF94890" w14:textId="19D3C9E7">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E</w:t>
            </w:r>
          </w:p>
        </w:tc>
        <w:tc>
          <w:tcPr>
            <w:tcW w:w="4575" w:type="dxa"/>
            <w:tcMar/>
            <w:vAlign w:val="top"/>
          </w:tcPr>
          <w:p w:rsidR="0EEAD3AF" w:rsidP="0EEAD3AF" w:rsidRDefault="0EEAD3AF" w14:paraId="3156F312" w14:textId="26BD3A5D">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Children</w:t>
            </w:r>
          </w:p>
        </w:tc>
      </w:tr>
      <w:tr w:rsidR="0EEAD3AF" w:rsidTr="0EEAD3AF" w14:paraId="07A3E456">
        <w:tc>
          <w:tcPr>
            <w:tcW w:w="630" w:type="dxa"/>
            <w:tcMar/>
            <w:vAlign w:val="top"/>
          </w:tcPr>
          <w:p w:rsidR="0EEAD3AF" w:rsidP="0EEAD3AF" w:rsidRDefault="0EEAD3AF" w14:paraId="267BDE91" w14:textId="05C53FC3">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F</w:t>
            </w:r>
          </w:p>
        </w:tc>
        <w:tc>
          <w:tcPr>
            <w:tcW w:w="4575" w:type="dxa"/>
            <w:tcMar/>
            <w:vAlign w:val="top"/>
          </w:tcPr>
          <w:p w:rsidR="0EEAD3AF" w:rsidP="0EEAD3AF" w:rsidRDefault="0EEAD3AF" w14:paraId="63A1B3A6" w14:textId="6EC97FCC">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Competitors</w:t>
            </w:r>
          </w:p>
        </w:tc>
      </w:tr>
      <w:tr w:rsidR="0EEAD3AF" w:rsidTr="0EEAD3AF" w14:paraId="243F1022">
        <w:tc>
          <w:tcPr>
            <w:tcW w:w="630" w:type="dxa"/>
            <w:tcMar/>
            <w:vAlign w:val="top"/>
          </w:tcPr>
          <w:p w:rsidR="0EEAD3AF" w:rsidP="0EEAD3AF" w:rsidRDefault="0EEAD3AF" w14:paraId="420F8FA1" w14:textId="6336B059">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G</w:t>
            </w:r>
          </w:p>
        </w:tc>
        <w:tc>
          <w:tcPr>
            <w:tcW w:w="4575" w:type="dxa"/>
            <w:tcMar/>
            <w:vAlign w:val="top"/>
          </w:tcPr>
          <w:p w:rsidR="0EEAD3AF" w:rsidP="0EEAD3AF" w:rsidRDefault="0EEAD3AF" w14:paraId="09BF9B72" w14:textId="4EF53401">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Suppliers</w:t>
            </w:r>
          </w:p>
        </w:tc>
      </w:tr>
      <w:tr w:rsidR="0EEAD3AF" w:rsidTr="0EEAD3AF" w14:paraId="551CCEED">
        <w:tc>
          <w:tcPr>
            <w:tcW w:w="630" w:type="dxa"/>
            <w:tcMar/>
            <w:vAlign w:val="top"/>
          </w:tcPr>
          <w:p w:rsidR="0EEAD3AF" w:rsidP="0EEAD3AF" w:rsidRDefault="0EEAD3AF" w14:paraId="531F693C" w14:textId="768F9572">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H</w:t>
            </w:r>
          </w:p>
        </w:tc>
        <w:tc>
          <w:tcPr>
            <w:tcW w:w="4575" w:type="dxa"/>
            <w:tcMar/>
            <w:vAlign w:val="top"/>
          </w:tcPr>
          <w:p w:rsidR="0EEAD3AF" w:rsidP="0EEAD3AF" w:rsidRDefault="0EEAD3AF" w14:paraId="14FBEFF9" w14:textId="46BBB9A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Government (OFSTED)</w:t>
            </w:r>
          </w:p>
        </w:tc>
      </w:tr>
      <w:tr w:rsidR="0EEAD3AF" w:rsidTr="0EEAD3AF" w14:paraId="3443828B">
        <w:tc>
          <w:tcPr>
            <w:tcW w:w="630" w:type="dxa"/>
            <w:tcMar/>
            <w:vAlign w:val="top"/>
          </w:tcPr>
          <w:p w:rsidR="0EEAD3AF" w:rsidP="0EEAD3AF" w:rsidRDefault="0EEAD3AF" w14:paraId="3002D11A" w14:textId="234FE9F2">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I</w:t>
            </w:r>
          </w:p>
        </w:tc>
        <w:tc>
          <w:tcPr>
            <w:tcW w:w="4575" w:type="dxa"/>
            <w:tcMar/>
            <w:vAlign w:val="top"/>
          </w:tcPr>
          <w:p w:rsidR="0EEAD3AF" w:rsidP="0EEAD3AF" w:rsidRDefault="0EEAD3AF" w14:paraId="7CE910F0" w14:textId="0C5A7CC0">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Local council (LADO and safeguarding hub)</w:t>
            </w:r>
          </w:p>
        </w:tc>
      </w:tr>
      <w:tr w:rsidR="0EEAD3AF" w:rsidTr="0EEAD3AF" w14:paraId="48DBF253">
        <w:tc>
          <w:tcPr>
            <w:tcW w:w="630" w:type="dxa"/>
            <w:tcMar/>
            <w:vAlign w:val="top"/>
          </w:tcPr>
          <w:p w:rsidR="0EEAD3AF" w:rsidP="0EEAD3AF" w:rsidRDefault="0EEAD3AF" w14:paraId="07832444" w14:textId="75BA68E4">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J</w:t>
            </w:r>
          </w:p>
        </w:tc>
        <w:tc>
          <w:tcPr>
            <w:tcW w:w="4575" w:type="dxa"/>
            <w:tcMar/>
            <w:vAlign w:val="top"/>
          </w:tcPr>
          <w:p w:rsidR="0EEAD3AF" w:rsidP="0EEAD3AF" w:rsidRDefault="0EEAD3AF" w14:paraId="318B6E42" w14:textId="48706B01">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Union (UNISON)</w:t>
            </w:r>
          </w:p>
        </w:tc>
      </w:tr>
      <w:tr w:rsidR="0EEAD3AF" w:rsidTr="0EEAD3AF" w14:paraId="4AC1DB6D">
        <w:tc>
          <w:tcPr>
            <w:tcW w:w="630" w:type="dxa"/>
            <w:tcMar/>
            <w:vAlign w:val="top"/>
          </w:tcPr>
          <w:p w:rsidR="0EEAD3AF" w:rsidP="0EEAD3AF" w:rsidRDefault="0EEAD3AF" w14:paraId="0F5E5312" w14:textId="75055687">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K</w:t>
            </w:r>
          </w:p>
        </w:tc>
        <w:tc>
          <w:tcPr>
            <w:tcW w:w="4575" w:type="dxa"/>
            <w:tcMar/>
            <w:vAlign w:val="top"/>
          </w:tcPr>
          <w:p w:rsidR="0EEAD3AF" w:rsidP="0EEAD3AF" w:rsidRDefault="0EEAD3AF" w14:paraId="6A03D543" w14:textId="7A155F4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Specialists (SEN, speech and language</w:t>
            </w:r>
          </w:p>
        </w:tc>
      </w:tr>
      <w:tr w:rsidR="0EEAD3AF" w:rsidTr="0EEAD3AF" w14:paraId="19920037">
        <w:trPr>
          <w:trHeight w:val="405"/>
        </w:trPr>
        <w:tc>
          <w:tcPr>
            <w:tcW w:w="630" w:type="dxa"/>
            <w:tcMar/>
            <w:vAlign w:val="top"/>
          </w:tcPr>
          <w:p w:rsidR="0EEAD3AF" w:rsidP="0EEAD3AF" w:rsidRDefault="0EEAD3AF" w14:paraId="4B235C03" w14:textId="79BD5953">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L</w:t>
            </w:r>
          </w:p>
        </w:tc>
        <w:tc>
          <w:tcPr>
            <w:tcW w:w="4575" w:type="dxa"/>
            <w:tcMar/>
            <w:vAlign w:val="top"/>
          </w:tcPr>
          <w:p w:rsidR="0EEAD3AF" w:rsidP="0EEAD3AF" w:rsidRDefault="0EEAD3AF" w14:paraId="5CAE0EC0" w14:textId="2D25DA73">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General Public </w:t>
            </w:r>
          </w:p>
        </w:tc>
      </w:tr>
    </w:tbl>
    <w:tbl>
      <w:tblPr>
        <w:tblStyle w:val="TableGrid"/>
        <w:tblW w:w="0" w:type="auto"/>
        <w:tblLayout w:type="fixed"/>
        <w:tblLook w:val="06A0" w:firstRow="1" w:lastRow="0" w:firstColumn="1" w:lastColumn="0" w:noHBand="1" w:noVBand="1"/>
      </w:tblPr>
      <w:tblGrid>
        <w:gridCol w:w="4500"/>
        <w:gridCol w:w="4215"/>
      </w:tblGrid>
      <w:tr w:rsidR="0EEAD3AF" w:rsidTr="0EEAD3AF" w14:paraId="363A8E96">
        <w:trPr>
          <w:trHeight w:val="2070"/>
        </w:trPr>
        <w:tc>
          <w:tcPr>
            <w:tcW w:w="4500" w:type="dxa"/>
            <w:tcMar/>
            <w:vAlign w:val="top"/>
          </w:tcPr>
          <w:p w:rsidR="0EEAD3AF" w:rsidP="0EEAD3AF" w:rsidRDefault="0EEAD3AF" w14:paraId="2B6F8F4E" w14:textId="225F206D">
            <w:pPr>
              <w:spacing w:line="259" w:lineRule="auto"/>
              <w:jc w:val="left"/>
              <w:rPr>
                <w:rFonts w:ascii="Arial" w:hAnsi="Arial" w:eastAsia="Arial" w:cs="Arial"/>
                <w:b w:val="0"/>
                <w:bCs w:val="0"/>
                <w:i w:val="0"/>
                <w:iCs w:val="0"/>
                <w:sz w:val="22"/>
                <w:szCs w:val="22"/>
              </w:rPr>
            </w:pPr>
          </w:p>
          <w:p w:rsidR="0EEAD3AF" w:rsidP="0EEAD3AF" w:rsidRDefault="0EEAD3AF" w14:paraId="79C8B83F" w14:textId="2CDBFE5D">
            <w:pPr>
              <w:spacing w:line="259" w:lineRule="auto"/>
              <w:jc w:val="left"/>
              <w:rPr>
                <w:rFonts w:ascii="Arial" w:hAnsi="Arial" w:eastAsia="Arial" w:cs="Arial"/>
                <w:b w:val="0"/>
                <w:bCs w:val="0"/>
                <w:i w:val="0"/>
                <w:iCs w:val="0"/>
                <w:sz w:val="22"/>
                <w:szCs w:val="22"/>
              </w:rPr>
            </w:pPr>
          </w:p>
          <w:p w:rsidR="0EEAD3AF" w:rsidP="0EEAD3AF" w:rsidRDefault="0EEAD3AF" w14:paraId="2644C64E" w14:textId="51B5F96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            </w:t>
            </w:r>
          </w:p>
          <w:p w:rsidR="0EEAD3AF" w:rsidP="0EEAD3AF" w:rsidRDefault="0EEAD3AF" w14:paraId="41361046" w14:textId="0F12F026">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          </w:t>
            </w:r>
            <w:r w:rsidRPr="0EEAD3AF" w:rsidR="0EEAD3AF">
              <w:rPr>
                <w:rFonts w:ascii="Arial" w:hAnsi="Arial" w:eastAsia="Arial" w:cs="Arial"/>
                <w:b w:val="1"/>
                <w:bCs w:val="1"/>
                <w:i w:val="0"/>
                <w:iCs w:val="0"/>
                <w:sz w:val="28"/>
                <w:szCs w:val="28"/>
                <w:lang w:val="en-GB"/>
              </w:rPr>
              <w:t xml:space="preserve">   Keep Satisfied</w:t>
            </w:r>
            <w:r w:rsidRPr="0EEAD3AF" w:rsidR="0EEAD3AF">
              <w:rPr>
                <w:rFonts w:ascii="Arial" w:hAnsi="Arial" w:eastAsia="Arial" w:cs="Arial"/>
                <w:b w:val="0"/>
                <w:bCs w:val="0"/>
                <w:i w:val="0"/>
                <w:iCs w:val="0"/>
                <w:sz w:val="22"/>
                <w:szCs w:val="22"/>
                <w:lang w:val="en-GB"/>
              </w:rPr>
              <w:t xml:space="preserve"> </w:t>
            </w:r>
            <w:r w:rsidR="0EEAD3AF">
              <w:drawing>
                <wp:inline wp14:editId="770DD164" wp14:anchorId="3C5DC819">
                  <wp:extent cx="37147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7cd1a3f34287453a">
                            <a:extLst>
                              <a:ext xmlns:a="http://schemas.openxmlformats.org/drawingml/2006/main" uri="{28A0092B-C50C-407E-A947-70E740481C1C}">
                                <a14:useLocalDpi val="0"/>
                              </a:ext>
                            </a:extLst>
                          </a:blip>
                          <a:stretch>
                            <a:fillRect/>
                          </a:stretch>
                        </pic:blipFill>
                        <pic:spPr>
                          <a:xfrm>
                            <a:off x="0" y="0"/>
                            <a:ext cx="371475" cy="371475"/>
                          </a:xfrm>
                          <a:prstGeom prst="rect">
                            <a:avLst/>
                          </a:prstGeom>
                        </pic:spPr>
                      </pic:pic>
                    </a:graphicData>
                  </a:graphic>
                </wp:inline>
              </w:drawing>
            </w:r>
          </w:p>
          <w:p w:rsidR="0EEAD3AF" w:rsidP="0EEAD3AF" w:rsidRDefault="0EEAD3AF" w14:paraId="36E35E31" w14:textId="7D6D1825">
            <w:pPr>
              <w:spacing w:line="259" w:lineRule="auto"/>
              <w:jc w:val="left"/>
              <w:rPr>
                <w:rFonts w:ascii="Calibri" w:hAnsi="Calibri" w:eastAsia="Calibri" w:cs="Calibri"/>
                <w:b w:val="0"/>
                <w:bCs w:val="0"/>
                <w:i w:val="0"/>
                <w:iCs w:val="0"/>
                <w:sz w:val="22"/>
                <w:szCs w:val="22"/>
              </w:rPr>
            </w:pPr>
          </w:p>
          <w:p w:rsidR="0EEAD3AF" w:rsidP="0EEAD3AF" w:rsidRDefault="0EEAD3AF" w14:paraId="393E8281" w14:textId="3D08AD94">
            <w:pPr>
              <w:spacing w:line="259" w:lineRule="auto"/>
              <w:jc w:val="left"/>
              <w:rPr>
                <w:rFonts w:ascii="Arial" w:hAnsi="Arial" w:eastAsia="Arial" w:cs="Arial"/>
                <w:b w:val="0"/>
                <w:bCs w:val="0"/>
                <w:i w:val="0"/>
                <w:iCs w:val="0"/>
                <w:sz w:val="22"/>
                <w:szCs w:val="22"/>
              </w:rPr>
            </w:pPr>
            <w:r w:rsidR="0EEAD3AF">
              <w:drawing>
                <wp:inline wp14:editId="59827CCA" wp14:anchorId="084E2303">
                  <wp:extent cx="447675" cy="42862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7bbd46d875ac4388">
                            <a:extLst>
                              <a:ext xmlns:a="http://schemas.openxmlformats.org/drawingml/2006/main" uri="{28A0092B-C50C-407E-A947-70E740481C1C}">
                                <a14:useLocalDpi val="0"/>
                              </a:ext>
                            </a:extLst>
                          </a:blip>
                          <a:stretch>
                            <a:fillRect/>
                          </a:stretch>
                        </pic:blipFill>
                        <pic:spPr>
                          <a:xfrm>
                            <a:off x="0" y="0"/>
                            <a:ext cx="447675" cy="428625"/>
                          </a:xfrm>
                          <a:prstGeom prst="rect">
                            <a:avLst/>
                          </a:prstGeom>
                        </pic:spPr>
                      </pic:pic>
                    </a:graphicData>
                  </a:graphic>
                </wp:inline>
              </w:drawing>
            </w:r>
          </w:p>
        </w:tc>
        <w:tc>
          <w:tcPr>
            <w:tcW w:w="4215" w:type="dxa"/>
            <w:tcMar/>
            <w:vAlign w:val="top"/>
          </w:tcPr>
          <w:p w:rsidR="0EEAD3AF" w:rsidP="0EEAD3AF" w:rsidRDefault="0EEAD3AF" w14:paraId="28B31FD6" w14:textId="537D8A09">
            <w:pPr>
              <w:spacing w:line="259" w:lineRule="auto"/>
              <w:jc w:val="left"/>
              <w:rPr>
                <w:rFonts w:ascii="Arial" w:hAnsi="Arial" w:eastAsia="Arial" w:cs="Arial"/>
                <w:b w:val="0"/>
                <w:bCs w:val="0"/>
                <w:i w:val="0"/>
                <w:iCs w:val="0"/>
                <w:sz w:val="22"/>
                <w:szCs w:val="22"/>
              </w:rPr>
            </w:pPr>
          </w:p>
          <w:p w:rsidR="0EEAD3AF" w:rsidP="0EEAD3AF" w:rsidRDefault="0EEAD3AF" w14:paraId="4E44D836" w14:textId="530DEEFB">
            <w:pPr>
              <w:spacing w:line="259" w:lineRule="auto"/>
              <w:jc w:val="left"/>
              <w:rPr>
                <w:rFonts w:ascii="Arial" w:hAnsi="Arial" w:eastAsia="Arial" w:cs="Arial"/>
                <w:b w:val="0"/>
                <w:bCs w:val="0"/>
                <w:i w:val="0"/>
                <w:iCs w:val="0"/>
                <w:sz w:val="22"/>
                <w:szCs w:val="22"/>
              </w:rPr>
            </w:pPr>
            <w:r w:rsidR="0EEAD3AF">
              <w:drawing>
                <wp:inline wp14:editId="4F87BBAC" wp14:anchorId="76BAFB27">
                  <wp:extent cx="39052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92f0e6d4a4a94973">
                            <a:extLst>
                              <a:ext xmlns:a="http://schemas.openxmlformats.org/drawingml/2006/main" uri="{28A0092B-C50C-407E-A947-70E740481C1C}">
                                <a14:useLocalDpi val="0"/>
                              </a:ext>
                            </a:extLst>
                          </a:blip>
                          <a:stretch>
                            <a:fillRect/>
                          </a:stretch>
                        </pic:blipFill>
                        <pic:spPr>
                          <a:xfrm>
                            <a:off x="0" y="0"/>
                            <a:ext cx="390525" cy="371475"/>
                          </a:xfrm>
                          <a:prstGeom prst="rect">
                            <a:avLst/>
                          </a:prstGeom>
                        </pic:spPr>
                      </pic:pic>
                    </a:graphicData>
                  </a:graphic>
                </wp:inline>
              </w:drawing>
            </w:r>
            <w:r w:rsidR="0EEAD3AF">
              <w:drawing>
                <wp:inline wp14:editId="1E443278" wp14:anchorId="1CB0F6C4">
                  <wp:extent cx="39052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2fbca6b75d7f4da2">
                            <a:extLst>
                              <a:ext xmlns:a="http://schemas.openxmlformats.org/drawingml/2006/main" uri="{28A0092B-C50C-407E-A947-70E740481C1C}">
                                <a14:useLocalDpi val="0"/>
                              </a:ext>
                            </a:extLst>
                          </a:blip>
                          <a:stretch>
                            <a:fillRect/>
                          </a:stretch>
                        </pic:blipFill>
                        <pic:spPr>
                          <a:xfrm>
                            <a:off x="0" y="0"/>
                            <a:ext cx="390525" cy="371475"/>
                          </a:xfrm>
                          <a:prstGeom prst="rect">
                            <a:avLst/>
                          </a:prstGeom>
                        </pic:spPr>
                      </pic:pic>
                    </a:graphicData>
                  </a:graphic>
                </wp:inline>
              </w:drawing>
            </w:r>
          </w:p>
          <w:p w:rsidR="0EEAD3AF" w:rsidP="0EEAD3AF" w:rsidRDefault="0EEAD3AF" w14:paraId="254B0689" w14:textId="19207B61">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           </w:t>
            </w:r>
            <w:r w:rsidR="0EEAD3AF">
              <w:drawing>
                <wp:inline wp14:editId="6B08847F" wp14:anchorId="10A17B77">
                  <wp:extent cx="390525" cy="35242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34ae8080a96248a3">
                            <a:extLst>
                              <a:ext xmlns:a="http://schemas.openxmlformats.org/drawingml/2006/main" uri="{28A0092B-C50C-407E-A947-70E740481C1C}">
                                <a14:useLocalDpi val="0"/>
                              </a:ext>
                            </a:extLst>
                          </a:blip>
                          <a:stretch>
                            <a:fillRect/>
                          </a:stretch>
                        </pic:blipFill>
                        <pic:spPr>
                          <a:xfrm>
                            <a:off x="0" y="0"/>
                            <a:ext cx="390525" cy="352425"/>
                          </a:xfrm>
                          <a:prstGeom prst="rect">
                            <a:avLst/>
                          </a:prstGeom>
                        </pic:spPr>
                      </pic:pic>
                    </a:graphicData>
                  </a:graphic>
                </wp:inline>
              </w:drawing>
            </w:r>
            <w:r w:rsidRPr="0EEAD3AF" w:rsidR="0EEAD3AF">
              <w:rPr>
                <w:rFonts w:ascii="Arial" w:hAnsi="Arial" w:eastAsia="Arial" w:cs="Arial"/>
                <w:b w:val="0"/>
                <w:bCs w:val="0"/>
                <w:i w:val="0"/>
                <w:iCs w:val="0"/>
                <w:sz w:val="22"/>
                <w:szCs w:val="22"/>
                <w:lang w:val="en-GB"/>
              </w:rPr>
              <w:t xml:space="preserve">  </w:t>
            </w:r>
            <w:r w:rsidRPr="0EEAD3AF" w:rsidR="0EEAD3AF">
              <w:rPr>
                <w:rFonts w:ascii="Arial" w:hAnsi="Arial" w:eastAsia="Arial" w:cs="Arial"/>
                <w:b w:val="1"/>
                <w:bCs w:val="1"/>
                <w:i w:val="0"/>
                <w:iCs w:val="0"/>
                <w:sz w:val="28"/>
                <w:szCs w:val="28"/>
                <w:lang w:val="en-GB"/>
              </w:rPr>
              <w:t>Manage closely</w:t>
            </w:r>
            <w:r w:rsidRPr="0EEAD3AF" w:rsidR="0EEAD3AF">
              <w:rPr>
                <w:rFonts w:ascii="Arial" w:hAnsi="Arial" w:eastAsia="Arial" w:cs="Arial"/>
                <w:b w:val="0"/>
                <w:bCs w:val="0"/>
                <w:i w:val="0"/>
                <w:iCs w:val="0"/>
                <w:sz w:val="22"/>
                <w:szCs w:val="22"/>
                <w:lang w:val="en-GB"/>
              </w:rPr>
              <w:t xml:space="preserve"> </w:t>
            </w:r>
            <w:r w:rsidR="0EEAD3AF">
              <w:drawing>
                <wp:inline wp14:editId="579BC1CB" wp14:anchorId="4A41E81B">
                  <wp:extent cx="1095375" cy="114300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8d2d634d44414a16">
                            <a:extLst>
                              <a:ext xmlns:a="http://schemas.openxmlformats.org/drawingml/2006/main" uri="{28A0092B-C50C-407E-A947-70E740481C1C}">
                                <a14:useLocalDpi val="0"/>
                              </a:ext>
                            </a:extLst>
                          </a:blip>
                          <a:stretch>
                            <a:fillRect/>
                          </a:stretch>
                        </pic:blipFill>
                        <pic:spPr>
                          <a:xfrm>
                            <a:off x="0" y="0"/>
                            <a:ext cx="1095375" cy="1143000"/>
                          </a:xfrm>
                          <a:prstGeom prst="rect">
                            <a:avLst/>
                          </a:prstGeom>
                        </pic:spPr>
                      </pic:pic>
                    </a:graphicData>
                  </a:graphic>
                </wp:inline>
              </w:drawing>
            </w:r>
          </w:p>
        </w:tc>
      </w:tr>
      <w:tr w:rsidR="0EEAD3AF" w:rsidTr="0EEAD3AF" w14:paraId="52A1A293">
        <w:trPr>
          <w:trHeight w:val="2970"/>
        </w:trPr>
        <w:tc>
          <w:tcPr>
            <w:tcW w:w="4500" w:type="dxa"/>
            <w:tcMar/>
            <w:vAlign w:val="top"/>
          </w:tcPr>
          <w:p w:rsidR="0EEAD3AF" w:rsidP="0EEAD3AF" w:rsidRDefault="0EEAD3AF" w14:paraId="60785534" w14:textId="73D90FF6">
            <w:pPr>
              <w:spacing w:line="259" w:lineRule="auto"/>
              <w:jc w:val="left"/>
              <w:rPr>
                <w:rFonts w:ascii="Arial" w:hAnsi="Arial" w:eastAsia="Arial" w:cs="Arial"/>
                <w:b w:val="0"/>
                <w:bCs w:val="0"/>
                <w:i w:val="0"/>
                <w:iCs w:val="0"/>
                <w:sz w:val="22"/>
                <w:szCs w:val="22"/>
              </w:rPr>
            </w:pPr>
          </w:p>
          <w:p w:rsidR="0EEAD3AF" w:rsidP="0EEAD3AF" w:rsidRDefault="0EEAD3AF" w14:paraId="3BF8DFAD" w14:textId="3399578D">
            <w:pPr>
              <w:spacing w:line="259" w:lineRule="auto"/>
              <w:jc w:val="left"/>
              <w:rPr>
                <w:rFonts w:ascii="Arial" w:hAnsi="Arial" w:eastAsia="Arial" w:cs="Arial"/>
                <w:b w:val="0"/>
                <w:bCs w:val="0"/>
                <w:i w:val="0"/>
                <w:iCs w:val="0"/>
                <w:sz w:val="22"/>
                <w:szCs w:val="22"/>
              </w:rPr>
            </w:pPr>
          </w:p>
          <w:p w:rsidR="0EEAD3AF" w:rsidP="0EEAD3AF" w:rsidRDefault="0EEAD3AF" w14:paraId="36434339" w14:textId="1C6F525F">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       </w:t>
            </w:r>
          </w:p>
          <w:p w:rsidR="0EEAD3AF" w:rsidP="0EEAD3AF" w:rsidRDefault="0EEAD3AF" w14:paraId="69F74FB3" w14:textId="35EA715A">
            <w:pPr>
              <w:spacing w:line="259" w:lineRule="auto"/>
              <w:jc w:val="left"/>
              <w:rPr>
                <w:rFonts w:ascii="Arial" w:hAnsi="Arial" w:eastAsia="Arial" w:cs="Arial"/>
                <w:b w:val="0"/>
                <w:bCs w:val="0"/>
                <w:i w:val="0"/>
                <w:iCs w:val="0"/>
                <w:sz w:val="28"/>
                <w:szCs w:val="28"/>
              </w:rPr>
            </w:pPr>
            <w:r w:rsidRPr="0EEAD3AF" w:rsidR="0EEAD3AF">
              <w:rPr>
                <w:rFonts w:ascii="Arial" w:hAnsi="Arial" w:eastAsia="Arial" w:cs="Arial"/>
                <w:b w:val="1"/>
                <w:bCs w:val="1"/>
                <w:i w:val="0"/>
                <w:iCs w:val="0"/>
                <w:sz w:val="28"/>
                <w:szCs w:val="28"/>
                <w:lang w:val="en-GB"/>
              </w:rPr>
              <w:t xml:space="preserve">         Monitor (minimum effort) </w:t>
            </w:r>
          </w:p>
          <w:p w:rsidR="0EEAD3AF" w:rsidP="0EEAD3AF" w:rsidRDefault="0EEAD3AF" w14:paraId="1E4C5E3F" w14:textId="7CFC51A3">
            <w:pPr>
              <w:spacing w:line="259" w:lineRule="auto"/>
              <w:jc w:val="left"/>
              <w:rPr>
                <w:rFonts w:ascii="Arial" w:hAnsi="Arial" w:eastAsia="Arial" w:cs="Arial"/>
                <w:b w:val="0"/>
                <w:bCs w:val="0"/>
                <w:i w:val="0"/>
                <w:iCs w:val="0"/>
                <w:sz w:val="22"/>
                <w:szCs w:val="22"/>
              </w:rPr>
            </w:pPr>
          </w:p>
          <w:p w:rsidR="0EEAD3AF" w:rsidP="0EEAD3AF" w:rsidRDefault="0EEAD3AF" w14:paraId="25811F50" w14:textId="22A29904">
            <w:pPr>
              <w:spacing w:line="259" w:lineRule="auto"/>
              <w:jc w:val="left"/>
              <w:rPr>
                <w:rFonts w:ascii="Arial" w:hAnsi="Arial" w:eastAsia="Arial" w:cs="Arial"/>
                <w:b w:val="0"/>
                <w:bCs w:val="0"/>
                <w:i w:val="0"/>
                <w:iCs w:val="0"/>
                <w:sz w:val="22"/>
                <w:szCs w:val="22"/>
              </w:rPr>
            </w:pPr>
            <w:r w:rsidR="0EEAD3AF">
              <w:drawing>
                <wp:inline wp14:editId="4A7F26C6" wp14:anchorId="539B7B12">
                  <wp:extent cx="1552575" cy="133350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91bf29bec2c043d3">
                            <a:extLst>
                              <a:ext xmlns:a="http://schemas.openxmlformats.org/drawingml/2006/main" uri="{28A0092B-C50C-407E-A947-70E740481C1C}">
                                <a14:useLocalDpi val="0"/>
                              </a:ext>
                            </a:extLst>
                          </a:blip>
                          <a:stretch>
                            <a:fillRect/>
                          </a:stretch>
                        </pic:blipFill>
                        <pic:spPr>
                          <a:xfrm>
                            <a:off x="0" y="0"/>
                            <a:ext cx="1552575" cy="1333500"/>
                          </a:xfrm>
                          <a:prstGeom prst="rect">
                            <a:avLst/>
                          </a:prstGeom>
                        </pic:spPr>
                      </pic:pic>
                    </a:graphicData>
                  </a:graphic>
                </wp:inline>
              </w:drawing>
            </w:r>
          </w:p>
        </w:tc>
        <w:tc>
          <w:tcPr>
            <w:tcW w:w="4215" w:type="dxa"/>
            <w:tcMar/>
            <w:vAlign w:val="top"/>
          </w:tcPr>
          <w:p w:rsidR="0EEAD3AF" w:rsidP="0EEAD3AF" w:rsidRDefault="0EEAD3AF" w14:paraId="3AF730D2" w14:textId="0470D50A">
            <w:pPr>
              <w:spacing w:line="259" w:lineRule="auto"/>
              <w:jc w:val="left"/>
              <w:rPr>
                <w:rFonts w:ascii="Arial" w:hAnsi="Arial" w:eastAsia="Arial" w:cs="Arial"/>
                <w:b w:val="0"/>
                <w:bCs w:val="0"/>
                <w:i w:val="0"/>
                <w:iCs w:val="0"/>
                <w:sz w:val="22"/>
                <w:szCs w:val="22"/>
              </w:rPr>
            </w:pPr>
          </w:p>
          <w:p w:rsidR="0EEAD3AF" w:rsidP="0EEAD3AF" w:rsidRDefault="0EEAD3AF" w14:paraId="1221F215" w14:textId="0F686E98">
            <w:pPr>
              <w:spacing w:line="259" w:lineRule="auto"/>
              <w:jc w:val="left"/>
              <w:rPr>
                <w:rFonts w:ascii="Arial" w:hAnsi="Arial" w:eastAsia="Arial" w:cs="Arial"/>
                <w:b w:val="0"/>
                <w:bCs w:val="0"/>
                <w:i w:val="0"/>
                <w:iCs w:val="0"/>
                <w:sz w:val="22"/>
                <w:szCs w:val="22"/>
              </w:rPr>
            </w:pPr>
          </w:p>
          <w:p w:rsidR="0EEAD3AF" w:rsidP="0EEAD3AF" w:rsidRDefault="0EEAD3AF" w14:paraId="0F2ECFE3" w14:textId="449F0058">
            <w:pPr>
              <w:spacing w:line="259" w:lineRule="auto"/>
              <w:jc w:val="left"/>
              <w:rPr>
                <w:rFonts w:ascii="Arial" w:hAnsi="Arial" w:eastAsia="Arial" w:cs="Arial"/>
                <w:b w:val="0"/>
                <w:bCs w:val="0"/>
                <w:i w:val="0"/>
                <w:iCs w:val="0"/>
                <w:sz w:val="22"/>
                <w:szCs w:val="22"/>
              </w:rPr>
            </w:pPr>
            <w:r w:rsidRPr="0EEAD3AF" w:rsidR="0EEAD3AF">
              <w:rPr>
                <w:rFonts w:ascii="Arial" w:hAnsi="Arial" w:eastAsia="Arial" w:cs="Arial"/>
                <w:b w:val="0"/>
                <w:bCs w:val="0"/>
                <w:i w:val="0"/>
                <w:iCs w:val="0"/>
                <w:sz w:val="22"/>
                <w:szCs w:val="22"/>
                <w:lang w:val="en-GB"/>
              </w:rPr>
              <w:t xml:space="preserve">              </w:t>
            </w:r>
          </w:p>
          <w:p w:rsidR="0EEAD3AF" w:rsidP="0EEAD3AF" w:rsidRDefault="0EEAD3AF" w14:paraId="6E2B4B1E" w14:textId="7CE4806E">
            <w:pPr>
              <w:spacing w:line="259" w:lineRule="auto"/>
              <w:jc w:val="left"/>
              <w:rPr>
                <w:rFonts w:ascii="Arial" w:hAnsi="Arial" w:eastAsia="Arial" w:cs="Arial"/>
                <w:b w:val="0"/>
                <w:bCs w:val="0"/>
                <w:i w:val="0"/>
                <w:iCs w:val="0"/>
                <w:sz w:val="28"/>
                <w:szCs w:val="28"/>
              </w:rPr>
            </w:pPr>
            <w:r w:rsidRPr="0EEAD3AF" w:rsidR="0EEAD3AF">
              <w:rPr>
                <w:rFonts w:ascii="Arial" w:hAnsi="Arial" w:eastAsia="Arial" w:cs="Arial"/>
                <w:b w:val="0"/>
                <w:bCs w:val="0"/>
                <w:i w:val="0"/>
                <w:iCs w:val="0"/>
                <w:sz w:val="22"/>
                <w:szCs w:val="22"/>
                <w:lang w:val="en-GB"/>
              </w:rPr>
              <w:t xml:space="preserve">                  </w:t>
            </w:r>
            <w:r w:rsidRPr="0EEAD3AF" w:rsidR="0EEAD3AF">
              <w:rPr>
                <w:rFonts w:ascii="Arial" w:hAnsi="Arial" w:eastAsia="Arial" w:cs="Arial"/>
                <w:b w:val="1"/>
                <w:bCs w:val="1"/>
                <w:i w:val="0"/>
                <w:iCs w:val="0"/>
                <w:sz w:val="28"/>
                <w:szCs w:val="28"/>
                <w:lang w:val="en-GB"/>
              </w:rPr>
              <w:t xml:space="preserve">  Keep informed </w:t>
            </w:r>
          </w:p>
          <w:p w:rsidR="0EEAD3AF" w:rsidP="0EEAD3AF" w:rsidRDefault="0EEAD3AF" w14:paraId="4CFCC72F" w14:textId="7EC78D54">
            <w:pPr>
              <w:spacing w:line="259" w:lineRule="auto"/>
              <w:jc w:val="left"/>
              <w:rPr>
                <w:rFonts w:ascii="Arial" w:hAnsi="Arial" w:eastAsia="Arial" w:cs="Arial"/>
                <w:b w:val="0"/>
                <w:bCs w:val="0"/>
                <w:i w:val="0"/>
                <w:iCs w:val="0"/>
                <w:sz w:val="22"/>
                <w:szCs w:val="22"/>
              </w:rPr>
            </w:pPr>
            <w:r w:rsidR="0EEAD3AF">
              <w:drawing>
                <wp:inline wp14:editId="0DF7620C" wp14:anchorId="183D5D10">
                  <wp:extent cx="1790700" cy="1476375"/>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75c989f6649647c4">
                            <a:extLst>
                              <a:ext xmlns:a="http://schemas.openxmlformats.org/drawingml/2006/main" uri="{28A0092B-C50C-407E-A947-70E740481C1C}">
                                <a14:useLocalDpi val="0"/>
                              </a:ext>
                            </a:extLst>
                          </a:blip>
                          <a:stretch>
                            <a:fillRect/>
                          </a:stretch>
                        </pic:blipFill>
                        <pic:spPr>
                          <a:xfrm>
                            <a:off x="0" y="0"/>
                            <a:ext cx="1790700" cy="1476375"/>
                          </a:xfrm>
                          <a:prstGeom prst="rect">
                            <a:avLst/>
                          </a:prstGeom>
                        </pic:spPr>
                      </pic:pic>
                    </a:graphicData>
                  </a:graphic>
                </wp:inline>
              </w:drawing>
            </w:r>
          </w:p>
        </w:tc>
      </w:tr>
    </w:tbl>
    <w:p xmlns:wp14="http://schemas.microsoft.com/office/word/2010/wordml" w:rsidP="0EEAD3AF" w14:paraId="56FF3BCA" wp14:textId="6E83694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043C1A41" wp14:textId="1CCF44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Summary </w:t>
      </w:r>
    </w:p>
    <w:p xmlns:wp14="http://schemas.microsoft.com/office/word/2010/wordml" w:rsidP="0EEAD3AF" w14:paraId="63D978E7" wp14:textId="12834E6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After identifying the key stakeholders of BNN, Mendelow (1991) power interest grid has been applied to categorise the level of power and interest each stakeholder has, recognising which stakeholders are of most importance to the company. It can be seen in the grid that the board of directors, managers, competitors, government and local council are the stakeholders that need to be managed closely as they all hold high power and have a prominent level of interest in the company and its success. OFSTED play a crucial part in the existence of BNN, as they determine the reputation of the organisation through ratings, in effect predicting its value. The local authority designated officer (LADO) and safeguarding hub also needs to be managed closely as they have the power to act and inform OFSTED of any negligence whether it involves employees or children. Competitors are another stakeholder that needs to be managed closely, without observing current and new competitors, it can affect BNN’s position in the industry by neglecting competitors use of strategies, each of these stakeholders' specific interests contribute to the sustainability of BNN. </w:t>
      </w:r>
    </w:p>
    <w:p xmlns:wp14="http://schemas.microsoft.com/office/word/2010/wordml" w:rsidP="0EEAD3AF" w14:paraId="64012FFD" wp14:textId="1503379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Recommendations</w:t>
      </w:r>
    </w:p>
    <w:p xmlns:wp14="http://schemas.microsoft.com/office/word/2010/wordml" w:rsidP="0EEAD3AF" w14:paraId="2C1DCCE6" wp14:textId="09F2167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It is recommended that BNN adopt a strategy in which they monitor their interaction with each of the key stakeholders throughout the year to ensure that they are managing them effectively and not paying more attention to those that have less power and interest in the sustainability of the organisation. BNN board of directors should arrange termly meetings with the managers to address their involvement with those stakeholders so that improvements can be made throughout the year, and they can identify what is being done well and what needs to be focused upon more for their long-term future. </w:t>
      </w:r>
    </w:p>
    <w:p xmlns:wp14="http://schemas.microsoft.com/office/word/2010/wordml" w:rsidP="0EEAD3AF" w14:paraId="73643561" wp14:textId="55ADAF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 xml:space="preserve">5. Strategic growth choices for SMEs </w:t>
      </w:r>
    </w:p>
    <w:p xmlns:wp14="http://schemas.microsoft.com/office/word/2010/wordml" w:rsidP="0EEAD3AF" w14:paraId="48D1D739" wp14:textId="1C56A31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It is important for SMEs to adapt strategic growth choices so that they can secure their future and impact upon society. It is firstly proposed that SME organisations should ensure that they build a dedicated team as “the way the team is put together is key to being a successful team” (Morgan, 2017 pg.206) the recruitment process should be thorough to ensure that all individuals are committed in achieving workplace goals, it is suggested that SMEs look at Belbin's team roles (1981) to identify the strengths within their team and create a balance between the individual abilities so they can operate well as a collective. It is equally as important to provide continuous training and development for employees and incentives so that they feel valued and motivated within the team, such HRM practices as employee bonuses, pension schemes and compensation, competitive salaries, and performance appraisals all contribute to employee satisfaction, it is said that these factors increase productivity whilst reducing staff turnover and absenteeism (Aburumman &amp; Omar, 2020). This is a sustainable strategy because it allows for organisations to gain competitive advantage, a strong and motivated workforce will be recognised through the increase in organisational performance which effectively will attract customers and create a positive outlook of the business, this is a crucial factor in being sustainable as a weak team that does not develop the adequate skills and knowledge can destroy the image of a business and impact upon its productivity. </w:t>
      </w:r>
    </w:p>
    <w:p xmlns:wp14="http://schemas.microsoft.com/office/word/2010/wordml" w:rsidP="0EEAD3AF" w14:paraId="4D7F2216" wp14:textId="05745CE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Alongside human resource management, another strategy for SMEs is the adoption of technology, technology has drastically changed over the years and benefits businesses by increasing communication, marketing, productivity, lowering costs, efficiency, and security (Tanweer, 2021). Maximising on the effectiveness of technology can transform the success of a business through increasing profit and accelerating growth, businesses are able to reach a wider market, increase profitability reducing costs by using emails, online video calls and mobile communication. This is a sustainable strategy as using technology creates competitive advantage giving businesses a broader reach in the market allowing services to be expanded, it can also increase trust with customers as data security and confidential information is better protected. Although there are few issues with technology, the benefits highly contribute to the growth and development of any business particularly with emerging technologies and changes in society, technology has become an efficient way to increase productivity. </w:t>
      </w:r>
    </w:p>
    <w:p xmlns:wp14="http://schemas.microsoft.com/office/word/2010/wordml" w:rsidP="0EEAD3AF" w14:paraId="4D370C5C" wp14:textId="08298D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0EEAD3AF" w14:paraId="713E8292" wp14:textId="4007C03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6F6BC2FE" wp14:textId="3FDC324E">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 xml:space="preserve">6. Challenges faced by SMEs </w:t>
      </w:r>
    </w:p>
    <w:p xmlns:wp14="http://schemas.microsoft.com/office/word/2010/wordml" w:rsidP="0EEAD3AF" w14:paraId="0BBB14A0" wp14:textId="280CB7B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There are many challenges faced by SMEs in the UK, according to Statista (2022) during 2021: the ongoing impact of Covid-19, increasing costs, the current economic climate, political uncertainty, retaining skilled employees, and supply chain issues are amongst the top challenges that have occurred for SME businesses. There is a recognisable change in challenges from 2016-2018, research conducted by Statista (2022) identifies that: attracting customers, increasing revenue, maintaining profitability and uncertainty over economic conditions are the main challenges faced by SMEs, this research highlights the impact that the external environment has upon SMEs, whilst the challenges recognised are within both the internal and external environment. Based on this information and the broad analysis of BNNs internal and external factors, it is important to ensure that targets set for future development are SMART so that they can be achieved to add value to the company.</w:t>
      </w:r>
    </w:p>
    <w:p xmlns:wp14="http://schemas.microsoft.com/office/word/2010/wordml" w:rsidP="0EEAD3AF" w14:paraId="360C7AC1" wp14:textId="7BDF043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Recommendations </w:t>
      </w:r>
    </w:p>
    <w:p xmlns:wp14="http://schemas.microsoft.com/office/word/2010/wordml" w:rsidP="0EEAD3AF" w14:paraId="6108A339" wp14:textId="0BB6379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The balance score card was created with the intention to improve internal and external communications and monitor organisation performance by aligning the activities with the company vision and strategies (Kaplan &amp; Norton, 1996). The methods suggested are applied through the four perspectives of the balance score card being financial perspective, customer perspective, internal business perspective and innovation and learning perspective, with the goal to increase BNNs sustainability and position in the market. It is recommended that BNN adapt the balance score card into their strategic management process to ensure that they are evaluating all perspectives, assessing each perspective on an annual basis to identify strengths and weaknesses in each area to recognise if changes need to be made. Based on the current challenges that SMEs face and the overall analysis of BNN through the various analysis tools used, the following recommendations have been made:</w:t>
      </w:r>
    </w:p>
    <w:p xmlns:wp14="http://schemas.microsoft.com/office/word/2010/wordml" w:rsidP="0EEAD3AF" w14:paraId="1148F3AA" wp14:textId="100D866F">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In order to do so, BNN should implement annual parent/carer reviews on their satisfaction to get a clear vision of the customer perspective therefore giving them an advantage to make changes based upon primary feedback. </w:t>
      </w:r>
    </w:p>
    <w:p xmlns:wp14="http://schemas.microsoft.com/office/word/2010/wordml" w:rsidP="0EEAD3AF" w14:paraId="20A146C1" wp14:textId="7E571B2E">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Addressing the financial perspective, BNN should have an annual review of finances to assess profit, expenditure and income to see where they can save more money going forward and grow as a business. </w:t>
      </w:r>
    </w:p>
    <w:p xmlns:wp14="http://schemas.microsoft.com/office/word/2010/wordml" w:rsidP="0EEAD3AF" w14:paraId="74E26F00" wp14:textId="0862617F">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Internal business and innovation and learning perspective should be assessed through those within the operations, employees should be provided with termly questionnaires and supervisions to express their views and ideas on their employee satisfaction and what positive changes could be made. </w:t>
      </w:r>
    </w:p>
    <w:p xmlns:wp14="http://schemas.microsoft.com/office/word/2010/wordml" w:rsidP="0EEAD3AF" w14:paraId="437846DF" wp14:textId="3F0085A7">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Increase in marketing techniques to further attract customers to the business and increase revenue to combat the risings costs and current climate, investing in open days/fun days and stay and play sessions to welcome in potential new children and parents, whilst offering online show-arounds and meetings where applicable to continuously protect those within the environment and outside, this will effectively bring awareness of the setting and a good reputation. </w:t>
      </w:r>
    </w:p>
    <w:p xmlns:wp14="http://schemas.microsoft.com/office/word/2010/wordml" w:rsidP="0EEAD3AF" w14:paraId="090044F3" wp14:textId="571A5C92">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Adapting environment to become more environmentally friendly, reducing waste disposal, paper-free communication and developing software to increase the security and efficiency of the business. This strategy will contribute to the unique value of the organisation and its efficiency with service users as well as internal operations. </w:t>
      </w:r>
    </w:p>
    <w:p xmlns:wp14="http://schemas.microsoft.com/office/word/2010/wordml" w:rsidP="0EEAD3AF" w14:paraId="237FFCAD" wp14:textId="1205A9A2">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With the ongoing effects of Covid-19 and uncertainty of the future, it is important that BNN maintain a strong relationship with suppliers to keep employees, service users and all those involved within the organisation safe and protected, investing in additional PPE equipment, and adapting the environment to best minimalize effects.</w:t>
      </w:r>
    </w:p>
    <w:p xmlns:wp14="http://schemas.microsoft.com/office/word/2010/wordml" w:rsidP="0EEAD3AF" w14:paraId="750BBA86" wp14:textId="0710E26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EEAD3AF" w14:paraId="170D72C3" wp14:textId="55556CEA">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7. Conclusion</w:t>
      </w:r>
      <w:r w:rsidRPr="0EEAD3AF" w:rsidR="0EEAD3A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EEAD3AF" w14:paraId="33F28EEB" wp14:textId="6B43465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it is recognised that BNN’s current strategic direction aligns with their objectives and vision for the company which has allowed for them to be a successful SME company thus far, but after critically evaluating all components of the organisations internal and external environment through the application of the PESTEL, porters five forces, SWOT, VRIO, value chain, stakeholders' analysis and balance score card it is believed that these tools can formulate new strategies for sustainable growth if the information gained is used effectively. With the implementation of new strategies, BNN can increase their position in the market, along with this it is predicted that competitors in the area will become more aggressive in their methods of marketing, pricing, increase resources, and potentially adapt similar strategies within their organisation whether indirectly or directly communicating with BNN to obtain information. It is vital that BNN continue to analyse their environment as changes frequently occur and adapt  their strategies if necessary to maintain future development. </w:t>
      </w:r>
    </w:p>
    <w:p xmlns:wp14="http://schemas.microsoft.com/office/word/2010/wordml" w:rsidP="0EEAD3AF" w14:paraId="536F468A" wp14:textId="288751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0EEAD3AF" w14:paraId="23D964E9" wp14:textId="0B2628C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EAD3AF" w:rsidR="0EEAD3AF">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 list </w:t>
      </w:r>
    </w:p>
    <w:p xmlns:wp14="http://schemas.microsoft.com/office/word/2010/wordml" w:rsidP="0EEAD3AF" w14:paraId="374DC29C" wp14:textId="0A5CF808">
      <w:pPr>
        <w:spacing w:after="160" w:line="360" w:lineRule="auto"/>
        <w:ind w:left="0"/>
        <w:jc w:val="left"/>
        <w:rPr>
          <w:rFonts w:ascii="Arial" w:hAnsi="Arial" w:eastAsia="Arial" w:cs="Arial"/>
          <w:b w:val="0"/>
          <w:bCs w:val="0"/>
          <w:i w:val="0"/>
          <w:iCs w:val="0"/>
          <w:caps w:val="0"/>
          <w:smallCaps w:val="0"/>
          <w:noProof w:val="0"/>
          <w:color w:val="222222"/>
          <w:sz w:val="22"/>
          <w:szCs w:val="22"/>
          <w:lang w:val="en-GB"/>
        </w:rPr>
      </w:pPr>
      <w:proofErr w:type="spellStart"/>
      <w:r w:rsidRPr="0EEAD3AF" w:rsidR="0EEAD3AF">
        <w:rPr>
          <w:rFonts w:ascii="Arial" w:hAnsi="Arial" w:eastAsia="Arial" w:cs="Arial"/>
          <w:b w:val="0"/>
          <w:bCs w:val="0"/>
          <w:i w:val="0"/>
          <w:iCs w:val="0"/>
          <w:caps w:val="0"/>
          <w:smallCaps w:val="0"/>
          <w:noProof w:val="0"/>
          <w:color w:val="222222"/>
          <w:sz w:val="22"/>
          <w:szCs w:val="22"/>
          <w:lang w:val="en-GB"/>
        </w:rPr>
        <w:t>Aburumman</w:t>
      </w:r>
      <w:proofErr w:type="spellEnd"/>
      <w:r w:rsidRPr="0EEAD3AF" w:rsidR="0EEAD3AF">
        <w:rPr>
          <w:rFonts w:ascii="Arial" w:hAnsi="Arial" w:eastAsia="Arial" w:cs="Arial"/>
          <w:b w:val="0"/>
          <w:bCs w:val="0"/>
          <w:i w:val="0"/>
          <w:iCs w:val="0"/>
          <w:caps w:val="0"/>
          <w:smallCaps w:val="0"/>
          <w:noProof w:val="0"/>
          <w:color w:val="222222"/>
          <w:sz w:val="22"/>
          <w:szCs w:val="22"/>
          <w:lang w:val="en-GB"/>
        </w:rPr>
        <w:t xml:space="preserve">, O., Salleh, A., Omar, K. and Abadi, M., (2020). The impact of human resource management practices and career satisfaction on employee’s turnover intention. </w:t>
      </w:r>
      <w:r w:rsidRPr="0EEAD3AF" w:rsidR="0EEAD3AF">
        <w:rPr>
          <w:rFonts w:ascii="Arial" w:hAnsi="Arial" w:eastAsia="Arial" w:cs="Arial"/>
          <w:b w:val="0"/>
          <w:bCs w:val="0"/>
          <w:i w:val="1"/>
          <w:iCs w:val="1"/>
          <w:caps w:val="0"/>
          <w:smallCaps w:val="0"/>
          <w:noProof w:val="0"/>
          <w:color w:val="222222"/>
          <w:sz w:val="22"/>
          <w:szCs w:val="22"/>
          <w:lang w:val="en-GB"/>
        </w:rPr>
        <w:t>Management Science Letters</w:t>
      </w:r>
      <w:r w:rsidRPr="0EEAD3AF" w:rsidR="0EEAD3AF">
        <w:rPr>
          <w:rFonts w:ascii="Arial" w:hAnsi="Arial" w:eastAsia="Arial" w:cs="Arial"/>
          <w:b w:val="0"/>
          <w:bCs w:val="0"/>
          <w:i w:val="0"/>
          <w:iCs w:val="0"/>
          <w:caps w:val="0"/>
          <w:smallCaps w:val="0"/>
          <w:noProof w:val="0"/>
          <w:color w:val="222222"/>
          <w:sz w:val="22"/>
          <w:szCs w:val="22"/>
          <w:lang w:val="en-GB"/>
        </w:rPr>
        <w:t xml:space="preserve">, </w:t>
      </w:r>
      <w:r w:rsidRPr="0EEAD3AF" w:rsidR="0EEAD3AF">
        <w:rPr>
          <w:rFonts w:ascii="Arial" w:hAnsi="Arial" w:eastAsia="Arial" w:cs="Arial"/>
          <w:b w:val="0"/>
          <w:bCs w:val="0"/>
          <w:i w:val="1"/>
          <w:iCs w:val="1"/>
          <w:caps w:val="0"/>
          <w:smallCaps w:val="0"/>
          <w:noProof w:val="0"/>
          <w:color w:val="222222"/>
          <w:sz w:val="22"/>
          <w:szCs w:val="22"/>
          <w:lang w:val="en-GB"/>
        </w:rPr>
        <w:t>10</w:t>
      </w:r>
      <w:r w:rsidRPr="0EEAD3AF" w:rsidR="0EEAD3AF">
        <w:rPr>
          <w:rFonts w:ascii="Arial" w:hAnsi="Arial" w:eastAsia="Arial" w:cs="Arial"/>
          <w:b w:val="0"/>
          <w:bCs w:val="0"/>
          <w:i w:val="0"/>
          <w:iCs w:val="0"/>
          <w:caps w:val="0"/>
          <w:smallCaps w:val="0"/>
          <w:noProof w:val="0"/>
          <w:color w:val="222222"/>
          <w:sz w:val="22"/>
          <w:szCs w:val="22"/>
          <w:lang w:val="en-GB"/>
        </w:rPr>
        <w:t>(3), pp.641-652.</w:t>
      </w:r>
    </w:p>
    <w:p xmlns:wp14="http://schemas.microsoft.com/office/word/2010/wordml" w:rsidP="0EEAD3AF" w14:paraId="3E871AE2" wp14:textId="25AAFB5C">
      <w:pPr>
        <w:spacing w:after="160" w:line="360" w:lineRule="auto"/>
        <w:ind w:left="0"/>
        <w:jc w:val="left"/>
        <w:rPr>
          <w:rFonts w:ascii="Arial" w:hAnsi="Arial" w:eastAsia="Arial" w:cs="Arial"/>
          <w:b w:val="0"/>
          <w:bCs w:val="0"/>
          <w:i w:val="0"/>
          <w:iCs w:val="0"/>
          <w:caps w:val="0"/>
          <w:smallCaps w:val="0"/>
          <w:noProof w:val="0"/>
          <w:color w:val="222222"/>
          <w:sz w:val="22"/>
          <w:szCs w:val="22"/>
          <w:lang w:val="en-GB"/>
        </w:rPr>
      </w:pPr>
      <w:r w:rsidRPr="0EEAD3AF" w:rsidR="0EEAD3AF">
        <w:rPr>
          <w:rFonts w:ascii="Arial" w:hAnsi="Arial" w:eastAsia="Arial" w:cs="Arial"/>
          <w:b w:val="0"/>
          <w:bCs w:val="0"/>
          <w:i w:val="0"/>
          <w:iCs w:val="0"/>
          <w:caps w:val="0"/>
          <w:smallCaps w:val="0"/>
          <w:noProof w:val="0"/>
          <w:color w:val="222222"/>
          <w:sz w:val="22"/>
          <w:szCs w:val="22"/>
          <w:lang w:val="en-GB"/>
        </w:rPr>
        <w:t xml:space="preserve">Akpan, I.J., Soopramanien, D. and Kwak, D.H., (2021). Cutting-edge technologies for small business and innovation in the era of COVID-19 global health pandemic. </w:t>
      </w:r>
      <w:r w:rsidRPr="0EEAD3AF" w:rsidR="0EEAD3AF">
        <w:rPr>
          <w:rFonts w:ascii="Arial" w:hAnsi="Arial" w:eastAsia="Arial" w:cs="Arial"/>
          <w:b w:val="0"/>
          <w:bCs w:val="0"/>
          <w:i w:val="1"/>
          <w:iCs w:val="1"/>
          <w:caps w:val="0"/>
          <w:smallCaps w:val="0"/>
          <w:noProof w:val="0"/>
          <w:color w:val="222222"/>
          <w:sz w:val="22"/>
          <w:szCs w:val="22"/>
          <w:lang w:val="en-GB"/>
        </w:rPr>
        <w:t>Journal of Small Business &amp; Entrepreneurship</w:t>
      </w:r>
      <w:r w:rsidRPr="0EEAD3AF" w:rsidR="0EEAD3AF">
        <w:rPr>
          <w:rFonts w:ascii="Arial" w:hAnsi="Arial" w:eastAsia="Arial" w:cs="Arial"/>
          <w:b w:val="0"/>
          <w:bCs w:val="0"/>
          <w:i w:val="0"/>
          <w:iCs w:val="0"/>
          <w:caps w:val="0"/>
          <w:smallCaps w:val="0"/>
          <w:noProof w:val="0"/>
          <w:color w:val="222222"/>
          <w:sz w:val="22"/>
          <w:szCs w:val="22"/>
          <w:lang w:val="en-GB"/>
        </w:rPr>
        <w:t xml:space="preserve">, </w:t>
      </w:r>
      <w:r w:rsidRPr="0EEAD3AF" w:rsidR="0EEAD3AF">
        <w:rPr>
          <w:rFonts w:ascii="Arial" w:hAnsi="Arial" w:eastAsia="Arial" w:cs="Arial"/>
          <w:b w:val="0"/>
          <w:bCs w:val="0"/>
          <w:i w:val="1"/>
          <w:iCs w:val="1"/>
          <w:caps w:val="0"/>
          <w:smallCaps w:val="0"/>
          <w:noProof w:val="0"/>
          <w:color w:val="222222"/>
          <w:sz w:val="22"/>
          <w:szCs w:val="22"/>
          <w:lang w:val="en-GB"/>
        </w:rPr>
        <w:t>33</w:t>
      </w:r>
      <w:r w:rsidRPr="0EEAD3AF" w:rsidR="0EEAD3AF">
        <w:rPr>
          <w:rFonts w:ascii="Arial" w:hAnsi="Arial" w:eastAsia="Arial" w:cs="Arial"/>
          <w:b w:val="0"/>
          <w:bCs w:val="0"/>
          <w:i w:val="0"/>
          <w:iCs w:val="0"/>
          <w:caps w:val="0"/>
          <w:smallCaps w:val="0"/>
          <w:noProof w:val="0"/>
          <w:color w:val="222222"/>
          <w:sz w:val="22"/>
          <w:szCs w:val="22"/>
          <w:lang w:val="en-GB"/>
        </w:rPr>
        <w:t>(6), pp.607-617.</w:t>
      </w:r>
    </w:p>
    <w:p xmlns:wp14="http://schemas.microsoft.com/office/word/2010/wordml" w:rsidP="0EEAD3AF" w14:paraId="28006A3F" wp14:textId="583F1261">
      <w:pPr>
        <w:spacing w:after="160" w:line="360" w:lineRule="auto"/>
        <w:ind w:left="0"/>
        <w:jc w:val="left"/>
        <w:rPr>
          <w:rFonts w:ascii="Arial" w:hAnsi="Arial" w:eastAsia="Arial" w:cs="Arial"/>
          <w:b w:val="0"/>
          <w:bCs w:val="0"/>
          <w:i w:val="0"/>
          <w:iCs w:val="0"/>
          <w:caps w:val="0"/>
          <w:smallCaps w:val="0"/>
          <w:noProof w:val="0"/>
          <w:color w:val="auto"/>
          <w:sz w:val="22"/>
          <w:szCs w:val="22"/>
          <w:lang w:val="en-GB"/>
        </w:rPr>
      </w:pPr>
      <w:r w:rsidRPr="0EEAD3AF" w:rsidR="0EEAD3AF">
        <w:rPr>
          <w:rFonts w:ascii="Arial" w:hAnsi="Arial" w:eastAsia="Arial" w:cs="Arial"/>
          <w:b w:val="0"/>
          <w:bCs w:val="0"/>
          <w:i w:val="0"/>
          <w:iCs w:val="0"/>
          <w:caps w:val="0"/>
          <w:smallCaps w:val="0"/>
          <w:noProof w:val="0"/>
          <w:color w:val="auto"/>
          <w:sz w:val="22"/>
          <w:szCs w:val="22"/>
          <w:lang w:val="en-GB"/>
        </w:rPr>
        <w:t xml:space="preserve">Barney, J, &amp; Hesterly, W (2018) Strategic Management and Competitive Advantage: Concepts and Cases, </w:t>
      </w:r>
      <w:proofErr w:type="spellStart"/>
      <w:r w:rsidRPr="0EEAD3AF" w:rsidR="0EEAD3AF">
        <w:rPr>
          <w:rFonts w:ascii="Arial" w:hAnsi="Arial" w:eastAsia="Arial" w:cs="Arial"/>
          <w:b w:val="0"/>
          <w:bCs w:val="0"/>
          <w:i w:val="0"/>
          <w:iCs w:val="0"/>
          <w:caps w:val="0"/>
          <w:smallCaps w:val="0"/>
          <w:noProof w:val="0"/>
          <w:color w:val="auto"/>
          <w:sz w:val="22"/>
          <w:szCs w:val="22"/>
          <w:lang w:val="en-GB"/>
        </w:rPr>
        <w:t>EBook</w:t>
      </w:r>
      <w:proofErr w:type="spellEnd"/>
      <w:r w:rsidRPr="0EEAD3AF" w:rsidR="0EEAD3AF">
        <w:rPr>
          <w:rFonts w:ascii="Arial" w:hAnsi="Arial" w:eastAsia="Arial" w:cs="Arial"/>
          <w:b w:val="0"/>
          <w:bCs w:val="0"/>
          <w:i w:val="0"/>
          <w:iCs w:val="0"/>
          <w:caps w:val="0"/>
          <w:smallCaps w:val="0"/>
          <w:noProof w:val="0"/>
          <w:color w:val="auto"/>
          <w:sz w:val="22"/>
          <w:szCs w:val="22"/>
          <w:lang w:val="en-GB"/>
        </w:rPr>
        <w:t>, 6</w:t>
      </w:r>
      <w:r w:rsidRPr="0EEAD3AF" w:rsidR="0EEAD3AF">
        <w:rPr>
          <w:rFonts w:ascii="Arial" w:hAnsi="Arial" w:eastAsia="Arial" w:cs="Arial"/>
          <w:b w:val="0"/>
          <w:bCs w:val="0"/>
          <w:i w:val="0"/>
          <w:iCs w:val="0"/>
          <w:caps w:val="0"/>
          <w:smallCaps w:val="0"/>
          <w:noProof w:val="0"/>
          <w:color w:val="auto"/>
          <w:sz w:val="22"/>
          <w:szCs w:val="22"/>
          <w:vertAlign w:val="superscript"/>
          <w:lang w:val="en-GB"/>
        </w:rPr>
        <w:t>th</w:t>
      </w:r>
      <w:r w:rsidRPr="0EEAD3AF" w:rsidR="0EEAD3AF">
        <w:rPr>
          <w:rFonts w:ascii="Arial" w:hAnsi="Arial" w:eastAsia="Arial" w:cs="Arial"/>
          <w:b w:val="0"/>
          <w:bCs w:val="0"/>
          <w:i w:val="0"/>
          <w:iCs w:val="0"/>
          <w:caps w:val="0"/>
          <w:smallCaps w:val="0"/>
          <w:noProof w:val="0"/>
          <w:color w:val="auto"/>
          <w:sz w:val="22"/>
          <w:szCs w:val="22"/>
          <w:lang w:val="en-GB"/>
        </w:rPr>
        <w:t xml:space="preserve"> Global Edition, Pearson Education, Limited, Harlow.</w:t>
      </w:r>
    </w:p>
    <w:p xmlns:wp14="http://schemas.microsoft.com/office/word/2010/wordml" w:rsidP="0EEAD3AF" w14:paraId="375C1C12" wp14:textId="681605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1"/>
          <w:szCs w:val="21"/>
          <w:lang w:val="en-GB"/>
        </w:rPr>
      </w:pPr>
      <w:r w:rsidRPr="0EEAD3AF" w:rsidR="0EEAD3AF">
        <w:rPr>
          <w:rFonts w:ascii="Arial" w:hAnsi="Arial" w:eastAsia="Arial" w:cs="Arial"/>
          <w:b w:val="0"/>
          <w:bCs w:val="0"/>
          <w:i w:val="0"/>
          <w:iCs w:val="0"/>
          <w:caps w:val="0"/>
          <w:smallCaps w:val="0"/>
          <w:noProof w:val="0"/>
          <w:color w:val="000000" w:themeColor="text1" w:themeTint="FF" w:themeShade="FF"/>
          <w:sz w:val="21"/>
          <w:szCs w:val="21"/>
          <w:lang w:val="en-GB"/>
        </w:rPr>
        <w:t xml:space="preserve">Department for education (2022) childcare regulation changes available at: </w:t>
      </w:r>
      <w:hyperlink r:id="R2e7c01f218fb4504">
        <w:r w:rsidRPr="0EEAD3AF" w:rsidR="0EEAD3AF">
          <w:rPr>
            <w:rStyle w:val="Hyperlink"/>
            <w:rFonts w:ascii="Arial" w:hAnsi="Arial" w:eastAsia="Arial" w:cs="Arial"/>
            <w:b w:val="0"/>
            <w:bCs w:val="0"/>
            <w:i w:val="0"/>
            <w:iCs w:val="0"/>
            <w:caps w:val="0"/>
            <w:smallCaps w:val="0"/>
            <w:strike w:val="0"/>
            <w:dstrike w:val="0"/>
            <w:noProof w:val="0"/>
            <w:sz w:val="21"/>
            <w:szCs w:val="21"/>
            <w:lang w:val="en-GB"/>
          </w:rPr>
          <w:t>Childcare: regulatory changes - GOV.UK (www.gov.uk)</w:t>
        </w:r>
      </w:hyperlink>
      <w:r w:rsidRPr="0EEAD3AF" w:rsidR="0EEAD3AF">
        <w:rPr>
          <w:rFonts w:ascii="Arial" w:hAnsi="Arial" w:eastAsia="Arial" w:cs="Arial"/>
          <w:b w:val="0"/>
          <w:bCs w:val="0"/>
          <w:i w:val="0"/>
          <w:iCs w:val="0"/>
          <w:caps w:val="0"/>
          <w:smallCaps w:val="0"/>
          <w:noProof w:val="0"/>
          <w:color w:val="000000" w:themeColor="text1" w:themeTint="FF" w:themeShade="FF"/>
          <w:sz w:val="21"/>
          <w:szCs w:val="21"/>
          <w:lang w:val="en-GB"/>
        </w:rPr>
        <w:t xml:space="preserve"> accessed on 13/07/2022</w:t>
      </w:r>
    </w:p>
    <w:p xmlns:wp14="http://schemas.microsoft.com/office/word/2010/wordml" w:rsidP="0EEAD3AF" w14:paraId="6B87F486" wp14:textId="3027DE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FCDO (2022) SME figures available at: </w:t>
      </w:r>
      <w:hyperlink r:id="R4b09c2b5d9e24808">
        <w:r w:rsidRPr="0EEAD3AF" w:rsidR="0EEAD3AF">
          <w:rPr>
            <w:rStyle w:val="Hyperlink"/>
            <w:rFonts w:ascii="Arial" w:hAnsi="Arial" w:eastAsia="Arial" w:cs="Arial"/>
            <w:b w:val="0"/>
            <w:bCs w:val="0"/>
            <w:i w:val="0"/>
            <w:iCs w:val="0"/>
            <w:caps w:val="0"/>
            <w:smallCaps w:val="0"/>
            <w:strike w:val="0"/>
            <w:dstrike w:val="0"/>
            <w:noProof w:val="0"/>
            <w:sz w:val="22"/>
            <w:szCs w:val="22"/>
            <w:lang w:val="en-GB"/>
          </w:rPr>
          <w:t>Small to medium sized enterprise (SME) action plan - GOV.UK (www.gov.uk)</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01/07/2022</w:t>
      </w:r>
    </w:p>
    <w:p xmlns:wp14="http://schemas.microsoft.com/office/word/2010/wordml" w:rsidP="0EEAD3AF" w14:paraId="2F4CF8F5" wp14:textId="5304DFB6">
      <w:pPr>
        <w:spacing w:after="160" w:line="360" w:lineRule="auto"/>
        <w:ind w:left="0"/>
        <w:jc w:val="left"/>
        <w:rPr>
          <w:rFonts w:ascii="Arial" w:hAnsi="Arial" w:eastAsia="Arial" w:cs="Arial"/>
          <w:b w:val="0"/>
          <w:bCs w:val="0"/>
          <w:i w:val="0"/>
          <w:iCs w:val="0"/>
          <w:caps w:val="0"/>
          <w:smallCaps w:val="0"/>
          <w:noProof w:val="0"/>
          <w:color w:val="auto"/>
          <w:sz w:val="21"/>
          <w:szCs w:val="21"/>
          <w:lang w:val="en-GB"/>
        </w:rPr>
      </w:pPr>
      <w:r w:rsidRPr="0EEAD3AF" w:rsidR="0EEAD3AF">
        <w:rPr>
          <w:rFonts w:ascii="Arial" w:hAnsi="Arial" w:eastAsia="Arial" w:cs="Arial"/>
          <w:b w:val="0"/>
          <w:bCs w:val="0"/>
          <w:i w:val="0"/>
          <w:iCs w:val="0"/>
          <w:caps w:val="0"/>
          <w:smallCaps w:val="0"/>
          <w:noProof w:val="0"/>
          <w:color w:val="auto"/>
          <w:sz w:val="21"/>
          <w:szCs w:val="21"/>
          <w:lang w:val="en-GB"/>
        </w:rPr>
        <w:t xml:space="preserve">Johnson, G., Regner, P., &amp; Scholes, K., (2019) Exploring Strategy Text and Cases PDF </w:t>
      </w:r>
      <w:proofErr w:type="spellStart"/>
      <w:r w:rsidRPr="0EEAD3AF" w:rsidR="0EEAD3AF">
        <w:rPr>
          <w:rFonts w:ascii="Arial" w:hAnsi="Arial" w:eastAsia="Arial" w:cs="Arial"/>
          <w:b w:val="0"/>
          <w:bCs w:val="0"/>
          <w:i w:val="0"/>
          <w:iCs w:val="0"/>
          <w:caps w:val="0"/>
          <w:smallCaps w:val="0"/>
          <w:noProof w:val="0"/>
          <w:color w:val="auto"/>
          <w:sz w:val="21"/>
          <w:szCs w:val="21"/>
          <w:lang w:val="en-GB"/>
        </w:rPr>
        <w:t>EBook</w:t>
      </w:r>
      <w:proofErr w:type="spellEnd"/>
      <w:r w:rsidRPr="0EEAD3AF" w:rsidR="0EEAD3AF">
        <w:rPr>
          <w:rFonts w:ascii="Arial" w:hAnsi="Arial" w:eastAsia="Arial" w:cs="Arial"/>
          <w:b w:val="0"/>
          <w:bCs w:val="0"/>
          <w:i w:val="0"/>
          <w:iCs w:val="0"/>
          <w:caps w:val="0"/>
          <w:smallCaps w:val="0"/>
          <w:noProof w:val="0"/>
          <w:color w:val="auto"/>
          <w:sz w:val="21"/>
          <w:szCs w:val="21"/>
          <w:lang w:val="en-GB"/>
        </w:rPr>
        <w:t xml:space="preserve">, Pearson Higher Education &amp; Professional Group, Harlow, United Kingdom. Available from: ProQuest </w:t>
      </w:r>
      <w:proofErr w:type="spellStart"/>
      <w:r w:rsidRPr="0EEAD3AF" w:rsidR="0EEAD3AF">
        <w:rPr>
          <w:rFonts w:ascii="Arial" w:hAnsi="Arial" w:eastAsia="Arial" w:cs="Arial"/>
          <w:b w:val="0"/>
          <w:bCs w:val="0"/>
          <w:i w:val="0"/>
          <w:iCs w:val="0"/>
          <w:caps w:val="0"/>
          <w:smallCaps w:val="0"/>
          <w:noProof w:val="0"/>
          <w:color w:val="auto"/>
          <w:sz w:val="21"/>
          <w:szCs w:val="21"/>
          <w:lang w:val="en-GB"/>
        </w:rPr>
        <w:t>Ebook</w:t>
      </w:r>
      <w:proofErr w:type="spellEnd"/>
      <w:r w:rsidRPr="0EEAD3AF" w:rsidR="0EEAD3AF">
        <w:rPr>
          <w:rFonts w:ascii="Arial" w:hAnsi="Arial" w:eastAsia="Arial" w:cs="Arial"/>
          <w:b w:val="0"/>
          <w:bCs w:val="0"/>
          <w:i w:val="0"/>
          <w:iCs w:val="0"/>
          <w:caps w:val="0"/>
          <w:smallCaps w:val="0"/>
          <w:noProof w:val="0"/>
          <w:color w:val="auto"/>
          <w:sz w:val="21"/>
          <w:szCs w:val="21"/>
          <w:lang w:val="en-GB"/>
        </w:rPr>
        <w:t xml:space="preserve"> Central.</w:t>
      </w:r>
    </w:p>
    <w:p xmlns:wp14="http://schemas.microsoft.com/office/word/2010/wordml" w:rsidP="0EEAD3AF" w14:paraId="1A0686AD" wp14:textId="4999E81E">
      <w:pPr>
        <w:tabs>
          <w:tab w:val="left" w:leader="none" w:pos="0"/>
        </w:tabs>
        <w:ind w:left="504" w:hanging="504"/>
        <w:jc w:val="left"/>
        <w:rPr>
          <w:rFonts w:ascii="Arial" w:hAnsi="Arial" w:eastAsia="Arial" w:cs="Arial"/>
          <w:noProof w:val="0"/>
          <w:color w:val="0D0D0D" w:themeColor="text1" w:themeTint="F2" w:themeShade="FF"/>
          <w:sz w:val="22"/>
          <w:szCs w:val="22"/>
          <w:lang w:val="en-GB"/>
        </w:rPr>
      </w:pPr>
      <w:r w:rsidRPr="0EEAD3AF" w:rsidR="0EEAD3AF">
        <w:rPr>
          <w:rFonts w:ascii="Arial" w:hAnsi="Arial" w:eastAsia="Arial" w:cs="Arial"/>
          <w:noProof w:val="0"/>
          <w:color w:val="0D0D0D" w:themeColor="text1" w:themeTint="F2" w:themeShade="FF"/>
          <w:sz w:val="22"/>
          <w:szCs w:val="22"/>
          <w:lang w:val="en-GB"/>
        </w:rPr>
        <w:t>Kaplan R.S. and Norton D.P. (1992). The Balanced Scorecard: measures that drive performance. Harvard Business Review, Jan – Feb pp. 71–80.</w:t>
      </w:r>
    </w:p>
    <w:p xmlns:wp14="http://schemas.microsoft.com/office/word/2010/wordml" w:rsidP="0EEAD3AF" w14:paraId="6F1F198E" wp14:textId="3BB5F286">
      <w:pPr>
        <w:tabs>
          <w:tab w:val="left" w:leader="none" w:pos="0"/>
          <w:tab w:val="left" w:leader="none" w:pos="0"/>
        </w:tabs>
        <w:jc w:val="left"/>
        <w:rPr>
          <w:rFonts w:ascii="Arial" w:hAnsi="Arial" w:eastAsia="Arial" w:cs="Arial"/>
          <w:b w:val="0"/>
          <w:bCs w:val="0"/>
          <w:noProof w:val="0"/>
          <w:color w:val="585555"/>
          <w:sz w:val="22"/>
          <w:szCs w:val="22"/>
          <w:lang w:val="en-GB"/>
        </w:rPr>
      </w:pPr>
      <w:hyperlink r:id="Ra085fdbdd42442f5">
        <w:r w:rsidRPr="0EEAD3AF" w:rsidR="0EEAD3AF">
          <w:rPr>
            <w:rStyle w:val="Hyperlink"/>
            <w:rFonts w:ascii="Arial" w:hAnsi="Arial" w:eastAsia="Arial" w:cs="Arial"/>
            <w:b w:val="0"/>
            <w:bCs w:val="0"/>
            <w:noProof w:val="0"/>
            <w:sz w:val="22"/>
            <w:szCs w:val="22"/>
            <w:lang w:val="en-GB"/>
          </w:rPr>
          <w:t>https://hbr.org/1992/01/the-balanced-scorecard-measures-that-drive-performance-2</w:t>
        </w:r>
      </w:hyperlink>
    </w:p>
    <w:p xmlns:wp14="http://schemas.microsoft.com/office/word/2010/wordml" w:rsidP="0EEAD3AF" w14:paraId="510F00D2" wp14:textId="66439CA5">
      <w:pPr>
        <w:pStyle w:val="Normal"/>
        <w:spacing w:after="160" w:line="360" w:lineRule="auto"/>
        <w:ind w:left="0"/>
        <w:jc w:val="left"/>
        <w:rPr>
          <w:rFonts w:ascii="Arial" w:hAnsi="Arial" w:eastAsia="Arial" w:cs="Arial"/>
          <w:b w:val="0"/>
          <w:bCs w:val="0"/>
          <w:i w:val="0"/>
          <w:iCs w:val="0"/>
          <w:caps w:val="0"/>
          <w:smallCaps w:val="0"/>
          <w:noProof w:val="0"/>
          <w:color w:val="auto"/>
          <w:sz w:val="21"/>
          <w:szCs w:val="21"/>
          <w:lang w:val="en-GB"/>
        </w:rPr>
      </w:pPr>
      <w:r w:rsidRPr="0EEAD3AF" w:rsidR="0EEAD3AF">
        <w:rPr>
          <w:rFonts w:ascii="Arial" w:hAnsi="Arial" w:eastAsia="Arial" w:cs="Arial"/>
          <w:b w:val="0"/>
          <w:bCs w:val="0"/>
          <w:i w:val="0"/>
          <w:iCs w:val="0"/>
          <w:caps w:val="0"/>
          <w:smallCaps w:val="0"/>
          <w:noProof w:val="0"/>
          <w:color w:val="auto"/>
          <w:sz w:val="21"/>
          <w:szCs w:val="21"/>
          <w:lang w:val="en-GB"/>
        </w:rPr>
        <w:t xml:space="preserve">Lynch, R., (2018) Strategic Management, Pearson Education, Limited, Harlow, United Kingdom. Available from: ProQuest </w:t>
      </w:r>
      <w:proofErr w:type="spellStart"/>
      <w:r w:rsidRPr="0EEAD3AF" w:rsidR="0EEAD3AF">
        <w:rPr>
          <w:rFonts w:ascii="Arial" w:hAnsi="Arial" w:eastAsia="Arial" w:cs="Arial"/>
          <w:b w:val="0"/>
          <w:bCs w:val="0"/>
          <w:i w:val="0"/>
          <w:iCs w:val="0"/>
          <w:caps w:val="0"/>
          <w:smallCaps w:val="0"/>
          <w:noProof w:val="0"/>
          <w:color w:val="auto"/>
          <w:sz w:val="21"/>
          <w:szCs w:val="21"/>
          <w:lang w:val="en-GB"/>
        </w:rPr>
        <w:t>Ebook</w:t>
      </w:r>
      <w:proofErr w:type="spellEnd"/>
      <w:r w:rsidRPr="0EEAD3AF" w:rsidR="0EEAD3AF">
        <w:rPr>
          <w:rFonts w:ascii="Arial" w:hAnsi="Arial" w:eastAsia="Arial" w:cs="Arial"/>
          <w:b w:val="0"/>
          <w:bCs w:val="0"/>
          <w:i w:val="0"/>
          <w:iCs w:val="0"/>
          <w:caps w:val="0"/>
          <w:smallCaps w:val="0"/>
          <w:noProof w:val="0"/>
          <w:color w:val="auto"/>
          <w:sz w:val="21"/>
          <w:szCs w:val="21"/>
          <w:lang w:val="en-GB"/>
        </w:rPr>
        <w:t xml:space="preserve"> Central.</w:t>
      </w:r>
    </w:p>
    <w:p xmlns:wp14="http://schemas.microsoft.com/office/word/2010/wordml" w:rsidP="0EEAD3AF" w14:paraId="2357A531" wp14:textId="60E9D900">
      <w:pPr>
        <w:pStyle w:val="Normal"/>
        <w:spacing w:after="160" w:line="360" w:lineRule="auto"/>
        <w:ind w:left="0"/>
        <w:jc w:val="left"/>
        <w:rPr>
          <w:rFonts w:ascii="Arial" w:hAnsi="Arial" w:eastAsia="Arial" w:cs="Arial"/>
          <w:b w:val="0"/>
          <w:bCs w:val="0"/>
          <w:i w:val="0"/>
          <w:iCs w:val="0"/>
          <w:caps w:val="0"/>
          <w:smallCaps w:val="0"/>
          <w:noProof w:val="0"/>
          <w:color w:val="auto"/>
          <w:sz w:val="22"/>
          <w:szCs w:val="22"/>
          <w:lang w:val="en-GB"/>
        </w:rPr>
      </w:pPr>
      <w:r w:rsidRPr="0EEAD3AF" w:rsidR="0EEAD3AF">
        <w:rPr>
          <w:rFonts w:ascii="Arial" w:hAnsi="Arial" w:eastAsia="Arial" w:cs="Arial"/>
          <w:b w:val="0"/>
          <w:bCs w:val="0"/>
          <w:i w:val="0"/>
          <w:iCs w:val="0"/>
          <w:caps w:val="0"/>
          <w:smallCaps w:val="0"/>
          <w:noProof w:val="0"/>
          <w:color w:val="auto"/>
          <w:sz w:val="22"/>
          <w:szCs w:val="22"/>
          <w:lang w:val="en-GB"/>
        </w:rPr>
        <w:t xml:space="preserve">Morgan, P., (2017) “The business students guide to study and employability”: Chapter 10 </w:t>
      </w:r>
      <w:r w:rsidRPr="0EEAD3AF" w:rsidR="0EEAD3AF">
        <w:rPr>
          <w:rFonts w:ascii="Arial" w:hAnsi="Arial" w:eastAsia="Arial" w:cs="Arial"/>
          <w:b w:val="0"/>
          <w:bCs w:val="0"/>
          <w:i w:val="1"/>
          <w:iCs w:val="1"/>
          <w:caps w:val="0"/>
          <w:smallCaps w:val="0"/>
          <w:noProof w:val="0"/>
          <w:color w:val="auto"/>
          <w:sz w:val="22"/>
          <w:szCs w:val="22"/>
          <w:lang w:val="en-GB"/>
        </w:rPr>
        <w:t xml:space="preserve">Teamworking. </w:t>
      </w:r>
      <w:r w:rsidRPr="0EEAD3AF" w:rsidR="0EEAD3AF">
        <w:rPr>
          <w:rFonts w:ascii="Arial" w:hAnsi="Arial" w:eastAsia="Arial" w:cs="Arial"/>
          <w:b w:val="0"/>
          <w:bCs w:val="0"/>
          <w:i w:val="0"/>
          <w:iCs w:val="0"/>
          <w:caps w:val="0"/>
          <w:smallCaps w:val="0"/>
          <w:noProof w:val="0"/>
          <w:color w:val="auto"/>
          <w:sz w:val="22"/>
          <w:szCs w:val="22"/>
          <w:lang w:val="en-GB"/>
        </w:rPr>
        <w:t>Sage publications ltd.</w:t>
      </w:r>
    </w:p>
    <w:p xmlns:wp14="http://schemas.microsoft.com/office/word/2010/wordml" w:rsidP="0EEAD3AF" w14:paraId="069C3103" wp14:textId="248B41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ONS (2022) consumer price inflation available at: </w:t>
      </w:r>
      <w:hyperlink r:id="Rf1ddb96dc9e946b0">
        <w:r w:rsidRPr="0EEAD3AF" w:rsidR="0EEAD3AF">
          <w:rPr>
            <w:rStyle w:val="Hyperlink"/>
            <w:rFonts w:ascii="Arial" w:hAnsi="Arial" w:eastAsia="Arial" w:cs="Arial"/>
            <w:b w:val="0"/>
            <w:bCs w:val="0"/>
            <w:i w:val="0"/>
            <w:iCs w:val="0"/>
            <w:caps w:val="0"/>
            <w:smallCaps w:val="0"/>
            <w:strike w:val="0"/>
            <w:dstrike w:val="0"/>
            <w:noProof w:val="0"/>
            <w:sz w:val="22"/>
            <w:szCs w:val="22"/>
            <w:lang w:val="en-GB"/>
          </w:rPr>
          <w:t>Consumer price inflation, UK - Office for National Statistics</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13/07/2022</w:t>
      </w:r>
    </w:p>
    <w:p xmlns:wp14="http://schemas.microsoft.com/office/word/2010/wordml" w:rsidP="0EEAD3AF" w14:paraId="76E14762" wp14:textId="7814EB7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Simply business (2021) SME definition available at: </w:t>
      </w:r>
      <w:hyperlink r:id="Rb12890e29bb74e76">
        <w:r w:rsidRPr="0EEAD3AF" w:rsidR="0EEAD3AF">
          <w:rPr>
            <w:rStyle w:val="Hyperlink"/>
            <w:rFonts w:ascii="Arial" w:hAnsi="Arial" w:eastAsia="Arial" w:cs="Arial"/>
            <w:b w:val="0"/>
            <w:bCs w:val="0"/>
            <w:i w:val="0"/>
            <w:iCs w:val="0"/>
            <w:caps w:val="0"/>
            <w:smallCaps w:val="0"/>
            <w:strike w:val="0"/>
            <w:dstrike w:val="0"/>
            <w:noProof w:val="0"/>
            <w:sz w:val="22"/>
            <w:szCs w:val="22"/>
            <w:lang w:val="en-GB"/>
          </w:rPr>
          <w:t>What is an SME? A simple guide and SME definition (simplybusiness.co.uk)</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01/07/2022</w:t>
      </w:r>
    </w:p>
    <w:p xmlns:wp14="http://schemas.microsoft.com/office/word/2010/wordml" w:rsidP="0EEAD3AF" w14:paraId="2A946223" wp14:textId="30F368D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Statista (2021) Challenges faced by SMEs 2021 available at: </w:t>
      </w:r>
      <w:hyperlink r:id="R285c9ee93c044e18">
        <w:r w:rsidRPr="0EEAD3AF" w:rsidR="0EEAD3AF">
          <w:rPr>
            <w:rStyle w:val="Hyperlink"/>
            <w:rFonts w:ascii="Arial" w:hAnsi="Arial" w:eastAsia="Arial" w:cs="Arial"/>
            <w:b w:val="0"/>
            <w:bCs w:val="0"/>
            <w:i w:val="0"/>
            <w:iCs w:val="0"/>
            <w:caps w:val="0"/>
            <w:smallCaps w:val="0"/>
            <w:strike w:val="0"/>
            <w:dstrike w:val="0"/>
            <w:noProof w:val="0"/>
            <w:sz w:val="22"/>
            <w:szCs w:val="22"/>
            <w:lang w:val="en-GB"/>
          </w:rPr>
          <w:t>• UK obstacles to running an SME 2021 | Statista</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20/07/2022</w:t>
      </w:r>
    </w:p>
    <w:p xmlns:wp14="http://schemas.microsoft.com/office/word/2010/wordml" w:rsidP="0EEAD3AF" w14:paraId="7EF77667" wp14:textId="4B6631C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Statista (2022) Challenges faced by SMEs 2016-18 available at: </w:t>
      </w:r>
      <w:hyperlink r:id="R413e4e36060a46fe">
        <w:r w:rsidRPr="0EEAD3AF" w:rsidR="0EEAD3AF">
          <w:rPr>
            <w:rStyle w:val="Hyperlink"/>
            <w:rFonts w:ascii="Arial" w:hAnsi="Arial" w:eastAsia="Arial" w:cs="Arial"/>
            <w:b w:val="0"/>
            <w:bCs w:val="0"/>
            <w:i w:val="0"/>
            <w:iCs w:val="0"/>
            <w:caps w:val="0"/>
            <w:smallCaps w:val="0"/>
            <w:strike w:val="0"/>
            <w:dstrike w:val="0"/>
            <w:noProof w:val="0"/>
            <w:sz w:val="22"/>
            <w:szCs w:val="22"/>
            <w:lang w:val="en-GB"/>
          </w:rPr>
          <w:t>• UK: current challenges before SME 2016-2018 | Statista</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20/07/2022</w:t>
      </w:r>
    </w:p>
    <w:p xmlns:wp14="http://schemas.microsoft.com/office/word/2010/wordml" w:rsidP="0EEAD3AF" w14:paraId="5E0ADA7B" wp14:textId="3269E26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Strategic management process image available at: </w:t>
      </w:r>
      <w:hyperlink r:id="R71b921c3fc9c44e0">
        <w:r w:rsidRPr="0EEAD3AF" w:rsidR="0EEAD3AF">
          <w:rPr>
            <w:rStyle w:val="Hyperlink"/>
            <w:rFonts w:ascii="Arial" w:hAnsi="Arial" w:eastAsia="Arial" w:cs="Arial"/>
            <w:b w:val="0"/>
            <w:bCs w:val="0"/>
            <w:i w:val="0"/>
            <w:iCs w:val="0"/>
            <w:caps w:val="0"/>
            <w:smallCaps w:val="0"/>
            <w:strike w:val="0"/>
            <w:dstrike w:val="0"/>
            <w:noProof w:val="0"/>
            <w:sz w:val="22"/>
            <w:szCs w:val="22"/>
            <w:lang w:val="en-GB"/>
          </w:rPr>
          <w:t>Course of the Week; Strategic Management – Discover JKUAT</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10/07/2022</w:t>
      </w:r>
    </w:p>
    <w:p xmlns:wp14="http://schemas.microsoft.com/office/word/2010/wordml" w:rsidP="0EEAD3AF" w14:paraId="5E5787A5" wp14:textId="6901EA8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Tanweer, M., (2021) Importance of technology for SMEs available at: </w:t>
      </w:r>
      <w:hyperlink w:anchor=":~:text=%20Importance%20of%20Technology%20for%20SMEs%20%201,Communication%20is%20the%20first%20line%20of...%20More%20" r:id="Rdfe0c61a9f754ca1">
        <w:r w:rsidRPr="0EEAD3AF" w:rsidR="0EEAD3AF">
          <w:rPr>
            <w:rStyle w:val="Hyperlink"/>
            <w:rFonts w:ascii="Arial" w:hAnsi="Arial" w:eastAsia="Arial" w:cs="Arial"/>
            <w:b w:val="0"/>
            <w:bCs w:val="0"/>
            <w:i w:val="0"/>
            <w:iCs w:val="0"/>
            <w:caps w:val="0"/>
            <w:smallCaps w:val="0"/>
            <w:strike w:val="0"/>
            <w:dstrike w:val="0"/>
            <w:noProof w:val="0"/>
            <w:sz w:val="22"/>
            <w:szCs w:val="22"/>
            <w:lang w:val="en-GB"/>
          </w:rPr>
          <w:t>Importance of Technology for SMEs – Small Enterprise India</w:t>
        </w:r>
      </w:hyperlink>
      <w:r w:rsidRPr="0EEAD3AF" w:rsidR="0EEAD3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01/08/2022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6b91d2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73a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3b7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c79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a1e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3b9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c699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d213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9d3f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df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b41a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b91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ddc4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e9b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76f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0b1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4b05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99A3A1"/>
    <w:rsid w:val="000A25B3"/>
    <w:rsid w:val="000A25B3"/>
    <w:rsid w:val="00990AC4"/>
    <w:rsid w:val="00990AC4"/>
    <w:rsid w:val="0599A3A1"/>
    <w:rsid w:val="062FC6D6"/>
    <w:rsid w:val="062FC6D6"/>
    <w:rsid w:val="0E855F50"/>
    <w:rsid w:val="0E855F50"/>
    <w:rsid w:val="0EEAD3AF"/>
    <w:rsid w:val="12663C70"/>
    <w:rsid w:val="12663C70"/>
    <w:rsid w:val="13EEBCD6"/>
    <w:rsid w:val="13EEBCD6"/>
    <w:rsid w:val="152D9CDB"/>
    <w:rsid w:val="17E502B2"/>
    <w:rsid w:val="17E502B2"/>
    <w:rsid w:val="21776270"/>
    <w:rsid w:val="21776270"/>
    <w:rsid w:val="224FE7E2"/>
    <w:rsid w:val="224FE7E2"/>
    <w:rsid w:val="24945D29"/>
    <w:rsid w:val="24945D29"/>
    <w:rsid w:val="24F989C7"/>
    <w:rsid w:val="24F989C7"/>
    <w:rsid w:val="2633BA5A"/>
    <w:rsid w:val="2633BA5A"/>
    <w:rsid w:val="31D80CCF"/>
    <w:rsid w:val="31D80CCF"/>
    <w:rsid w:val="32F91505"/>
    <w:rsid w:val="32F91505"/>
    <w:rsid w:val="34F28A20"/>
    <w:rsid w:val="34F28A20"/>
    <w:rsid w:val="368E5A81"/>
    <w:rsid w:val="368E5A81"/>
    <w:rsid w:val="3B28BD4F"/>
    <w:rsid w:val="3B28BD4F"/>
    <w:rsid w:val="3F912A6D"/>
    <w:rsid w:val="3F912A6D"/>
    <w:rsid w:val="44368509"/>
    <w:rsid w:val="44368509"/>
    <w:rsid w:val="44649B90"/>
    <w:rsid w:val="44649B90"/>
    <w:rsid w:val="46006BF1"/>
    <w:rsid w:val="46006BF1"/>
    <w:rsid w:val="464B3A47"/>
    <w:rsid w:val="464B3A47"/>
    <w:rsid w:val="475F32E9"/>
    <w:rsid w:val="475F32E9"/>
    <w:rsid w:val="4C528A04"/>
    <w:rsid w:val="4C528A04"/>
    <w:rsid w:val="4D6AA895"/>
    <w:rsid w:val="4D6AA895"/>
    <w:rsid w:val="4F59E930"/>
    <w:rsid w:val="4F59E930"/>
    <w:rsid w:val="4FAF3BBD"/>
    <w:rsid w:val="4FAF3BBD"/>
    <w:rsid w:val="51BFE29E"/>
    <w:rsid w:val="51D90AFB"/>
    <w:rsid w:val="51D90AFB"/>
    <w:rsid w:val="55C05DF5"/>
    <w:rsid w:val="55C05DF5"/>
    <w:rsid w:val="561E7D41"/>
    <w:rsid w:val="561E7D41"/>
    <w:rsid w:val="57BA4DA2"/>
    <w:rsid w:val="57BA4DA2"/>
    <w:rsid w:val="5C2A0FD3"/>
    <w:rsid w:val="5C2A0FD3"/>
    <w:rsid w:val="5CD8BEF1"/>
    <w:rsid w:val="5CD8BEF1"/>
    <w:rsid w:val="656B7DBA"/>
    <w:rsid w:val="656B7DBA"/>
    <w:rsid w:val="71E3735E"/>
    <w:rsid w:val="71E3735E"/>
    <w:rsid w:val="757066AD"/>
    <w:rsid w:val="757066AD"/>
    <w:rsid w:val="76AA9740"/>
    <w:rsid w:val="76AA9740"/>
    <w:rsid w:val="77255F6B"/>
    <w:rsid w:val="77255F6B"/>
    <w:rsid w:val="7B7E0863"/>
    <w:rsid w:val="7B7E0863"/>
    <w:rsid w:val="7D19D8C4"/>
    <w:rsid w:val="7D19D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A3A1"/>
  <w15:chartTrackingRefBased/>
  <w15:docId w15:val="{C5668C6B-58B1-4693-9A95-1C84C64627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5c1996dd4f94bdb" /><Relationship Type="http://schemas.openxmlformats.org/officeDocument/2006/relationships/hyperlink" Target="http://discover.jkuat.ac.ke/course-of-the-week-strategic-management/" TargetMode="External" Id="Rce55b1394c46432b" /><Relationship Type="http://schemas.openxmlformats.org/officeDocument/2006/relationships/image" Target="/media/image2.png" Id="Ra21a405230a64601" /><Relationship Type="http://schemas.openxmlformats.org/officeDocument/2006/relationships/image" Target="/media/image3.png" Id="R7cd1a3f34287453a" /><Relationship Type="http://schemas.openxmlformats.org/officeDocument/2006/relationships/image" Target="/media/image4.png" Id="R7bbd46d875ac4388" /><Relationship Type="http://schemas.openxmlformats.org/officeDocument/2006/relationships/image" Target="/media/image5.png" Id="R92f0e6d4a4a94973" /><Relationship Type="http://schemas.openxmlformats.org/officeDocument/2006/relationships/image" Target="/media/image6.png" Id="R2fbca6b75d7f4da2" /><Relationship Type="http://schemas.openxmlformats.org/officeDocument/2006/relationships/image" Target="/media/image7.png" Id="R34ae8080a96248a3" /><Relationship Type="http://schemas.openxmlformats.org/officeDocument/2006/relationships/image" Target="/media/image8.png" Id="R8d2d634d44414a16" /><Relationship Type="http://schemas.openxmlformats.org/officeDocument/2006/relationships/image" Target="/media/image9.png" Id="R91bf29bec2c043d3" /><Relationship Type="http://schemas.openxmlformats.org/officeDocument/2006/relationships/image" Target="/media/imagea.png" Id="R75c989f6649647c4" /><Relationship Type="http://schemas.openxmlformats.org/officeDocument/2006/relationships/hyperlink" Target="https://www.gov.uk/government/consultations/childcare-regulatory-changes" TargetMode="External" Id="R2e7c01f218fb4504" /><Relationship Type="http://schemas.openxmlformats.org/officeDocument/2006/relationships/hyperlink" Target="https://www.gov.uk/government/publications/fcdo-small-to-medium-sized-enterprise-sme-action-plan/small-to-medium-sized-enterprise-sme-action-plan" TargetMode="External" Id="R4b09c2b5d9e24808" /><Relationship Type="http://schemas.openxmlformats.org/officeDocument/2006/relationships/hyperlink" Target="https://hbr.org/1992/01/the-balanced-scorecard-measures-that-drive-performance-2" TargetMode="External" Id="Ra085fdbdd42442f5" /><Relationship Type="http://schemas.openxmlformats.org/officeDocument/2006/relationships/hyperlink" Target="https://www.ons.gov.uk/economy/inflationandpriceindices/bulletins/consumerpriceinflation/april2022" TargetMode="External" Id="Rf1ddb96dc9e946b0" /><Relationship Type="http://schemas.openxmlformats.org/officeDocument/2006/relationships/hyperlink" Target="https://www.simplybusiness.co.uk/knowledge/articles/2021/05/what-is-an-sme/" TargetMode="External" Id="Rb12890e29bb74e76" /><Relationship Type="http://schemas.openxmlformats.org/officeDocument/2006/relationships/hyperlink" Target="https://www.statista.com/statistics/291688/uk-obstacles-to-running-an-sme/" TargetMode="External" Id="R285c9ee93c044e18" /><Relationship Type="http://schemas.openxmlformats.org/officeDocument/2006/relationships/hyperlink" Target="https://www.statista.com/statistics/700798/monthly-current-challenges-before-sme-uk/" TargetMode="External" Id="R413e4e36060a46fe" /><Relationship Type="http://schemas.openxmlformats.org/officeDocument/2006/relationships/hyperlink" Target="http://discover.jkuat.ac.ke/course-of-the-week-strategic-management/" TargetMode="External" Id="R71b921c3fc9c44e0" /><Relationship Type="http://schemas.openxmlformats.org/officeDocument/2006/relationships/hyperlink" Target="https://smallenterpriseindia.com/2021/11/15/importance-of-technology-for-smes/" TargetMode="External" Id="Rdfe0c61a9f754ca1" /><Relationship Type="http://schemas.openxmlformats.org/officeDocument/2006/relationships/numbering" Target="/word/numbering.xml" Id="R35408b93f57f4a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Kareena Campbell (1912149)</dc:creator>
  <keywords/>
  <dc:description/>
  <lastModifiedBy>Kareena Campbell (1912149)</lastModifiedBy>
  <revision>2</revision>
  <dcterms:created xsi:type="dcterms:W3CDTF">2022-08-04T16:01:33.6455808Z</dcterms:created>
  <dcterms:modified xsi:type="dcterms:W3CDTF">2022-08-04T19:06:38.9785185Z</dcterms:modified>
</coreProperties>
</file>