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70071552"/>
        <w:docPartObj>
          <w:docPartGallery w:val="Cover Pages"/>
          <w:docPartUnique/>
        </w:docPartObj>
      </w:sdtPr>
      <w:sdtEndPr>
        <w:rPr>
          <w:rFonts w:ascii="Times New Roman" w:hAnsi="Times New Roman" w:cs="Times New Roman"/>
        </w:rPr>
      </w:sdtEndPr>
      <w:sdtContent>
        <w:p w14:paraId="3257593C" w14:textId="77777777" w:rsidR="00EF55F9" w:rsidRDefault="00EF55F9">
          <w:r>
            <w:rPr>
              <w:noProof/>
            </w:rPr>
            <mc:AlternateContent>
              <mc:Choice Requires="wps">
                <w:drawing>
                  <wp:anchor distT="0" distB="0" distL="114300" distR="114300" simplePos="0" relativeHeight="251662336" behindDoc="0" locked="0" layoutInCell="1" allowOverlap="1" wp14:anchorId="6E256C44" wp14:editId="2CB76B0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7CAEEF" w14:textId="77777777" w:rsidR="00EF55F9" w:rsidRDefault="00EF55F9">
                                    <w:pPr>
                                      <w:pStyle w:val="NoSpacing"/>
                                      <w:spacing w:after="480"/>
                                      <w:rPr>
                                        <w:i/>
                                        <w:color w:val="262626" w:themeColor="text1" w:themeTint="D9"/>
                                        <w:sz w:val="32"/>
                                        <w:szCs w:val="32"/>
                                      </w:rPr>
                                    </w:pPr>
                                    <w:r>
                                      <w:rPr>
                                        <w:i/>
                                        <w:color w:val="262626" w:themeColor="text1" w:themeTint="D9"/>
                                        <w:sz w:val="32"/>
                                        <w:szCs w:val="32"/>
                                      </w:rPr>
                                      <w:t>Rohan Dubrey (1905715)</w:t>
                                    </w:r>
                                  </w:p>
                                </w:sdtContent>
                              </w:sdt>
                              <w:p w14:paraId="564FFCFC" w14:textId="77777777" w:rsidR="00EF55F9" w:rsidRDefault="00FB5269">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EF55F9">
                                      <w:rPr>
                                        <w:i/>
                                        <w:color w:val="262626" w:themeColor="text1" w:themeTint="D9"/>
                                        <w:sz w:val="26"/>
                                        <w:szCs w:val="26"/>
                                      </w:rPr>
                                      <w:t>Tutor: Dr David Jenkins</w:t>
                                    </w:r>
                                  </w:sdtContent>
                                </w:sdt>
                                <w:r w:rsidR="00EF55F9">
                                  <w:rPr>
                                    <w:i/>
                                    <w:color w:val="262626" w:themeColor="text1" w:themeTint="D9"/>
                                    <w:sz w:val="26"/>
                                    <w:szCs w:val="26"/>
                                  </w:rPr>
                                  <w:t xml:space="preserve"> </w:t>
                                </w:r>
                              </w:p>
                              <w:p w14:paraId="55A93A9E" w14:textId="77777777" w:rsidR="00EF55F9" w:rsidRDefault="00EF55F9">
                                <w:pPr>
                                  <w:pStyle w:val="NoSpacing"/>
                                  <w:rPr>
                                    <w:i/>
                                    <w:color w:val="262626" w:themeColor="text1" w:themeTint="D9"/>
                                    <w:sz w:val="26"/>
                                    <w:szCs w:val="26"/>
                                  </w:rPr>
                                </w:pPr>
                                <w:r>
                                  <w:rPr>
                                    <w:i/>
                                    <w:color w:val="262626" w:themeColor="text1" w:themeTint="D9"/>
                                    <w:sz w:val="26"/>
                                    <w:szCs w:val="26"/>
                                  </w:rPr>
                                  <w:t xml:space="preserve">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Pr>
                                        <w:i/>
                                        <w:color w:val="262626" w:themeColor="text1" w:themeTint="D9"/>
                                        <w:sz w:val="26"/>
                                        <w:szCs w:val="26"/>
                                      </w:rPr>
                                      <w:t>University of Wales Trinity Saint David</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E256C4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2336;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7CAEEF" w14:textId="77777777" w:rsidR="00EF55F9" w:rsidRDefault="00EF55F9">
                              <w:pPr>
                                <w:pStyle w:val="NoSpacing"/>
                                <w:spacing w:after="480"/>
                                <w:rPr>
                                  <w:i/>
                                  <w:color w:val="262626" w:themeColor="text1" w:themeTint="D9"/>
                                  <w:sz w:val="32"/>
                                  <w:szCs w:val="32"/>
                                </w:rPr>
                              </w:pPr>
                              <w:r>
                                <w:rPr>
                                  <w:i/>
                                  <w:color w:val="262626" w:themeColor="text1" w:themeTint="D9"/>
                                  <w:sz w:val="32"/>
                                  <w:szCs w:val="32"/>
                                </w:rPr>
                                <w:t>Rohan Dubrey (1905715)</w:t>
                              </w:r>
                            </w:p>
                          </w:sdtContent>
                        </w:sdt>
                        <w:p w14:paraId="564FFCFC" w14:textId="77777777" w:rsidR="00EF55F9" w:rsidRDefault="00FB5269">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EF55F9">
                                <w:rPr>
                                  <w:i/>
                                  <w:color w:val="262626" w:themeColor="text1" w:themeTint="D9"/>
                                  <w:sz w:val="26"/>
                                  <w:szCs w:val="26"/>
                                </w:rPr>
                                <w:t>Tutor: Dr David Jenkins</w:t>
                              </w:r>
                            </w:sdtContent>
                          </w:sdt>
                          <w:r w:rsidR="00EF55F9">
                            <w:rPr>
                              <w:i/>
                              <w:color w:val="262626" w:themeColor="text1" w:themeTint="D9"/>
                              <w:sz w:val="26"/>
                              <w:szCs w:val="26"/>
                            </w:rPr>
                            <w:t xml:space="preserve"> </w:t>
                          </w:r>
                        </w:p>
                        <w:p w14:paraId="55A93A9E" w14:textId="77777777" w:rsidR="00EF55F9" w:rsidRDefault="00EF55F9">
                          <w:pPr>
                            <w:pStyle w:val="NoSpacing"/>
                            <w:rPr>
                              <w:i/>
                              <w:color w:val="262626" w:themeColor="text1" w:themeTint="D9"/>
                              <w:sz w:val="26"/>
                              <w:szCs w:val="26"/>
                            </w:rPr>
                          </w:pPr>
                          <w:r>
                            <w:rPr>
                              <w:i/>
                              <w:color w:val="262626" w:themeColor="text1" w:themeTint="D9"/>
                              <w:sz w:val="26"/>
                              <w:szCs w:val="26"/>
                            </w:rPr>
                            <w:t xml:space="preserve">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Pr>
                                  <w:i/>
                                  <w:color w:val="262626" w:themeColor="text1" w:themeTint="D9"/>
                                  <w:sz w:val="26"/>
                                  <w:szCs w:val="26"/>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1391F557" wp14:editId="617DBF8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11ADAD2" id="Straight Connector 37" o:spid="_x0000_s1026" style="position:absolute;z-index:-251655168;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0288" behindDoc="0" locked="0" layoutInCell="1" allowOverlap="1" wp14:anchorId="30289AD8" wp14:editId="20C92849">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E544575" w14:textId="77777777" w:rsidR="00EF55F9" w:rsidRDefault="0036458C">
                                    <w:pPr>
                                      <w:pStyle w:val="NoSpacing"/>
                                      <w:spacing w:after="900"/>
                                      <w:rPr>
                                        <w:rFonts w:asciiTheme="majorHAnsi" w:hAnsiTheme="majorHAnsi"/>
                                        <w:i/>
                                        <w:caps/>
                                        <w:color w:val="262626" w:themeColor="text1" w:themeTint="D9"/>
                                        <w:sz w:val="120"/>
                                        <w:szCs w:val="120"/>
                                      </w:rPr>
                                    </w:pPr>
                                    <w:r>
                                      <w:rPr>
                                        <w:rFonts w:ascii="Arial" w:hAnsi="Arial" w:cs="Arial"/>
                                        <w:caps/>
                                        <w:color w:val="262626" w:themeColor="text1" w:themeTint="D9"/>
                                        <w:sz w:val="56"/>
                                        <w:szCs w:val="56"/>
                                      </w:rPr>
                                      <w:t>Financial Management for the hotel Industry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1F9712B" w14:textId="77777777" w:rsidR="00EF55F9" w:rsidRDefault="00EF55F9">
                                    <w:pPr>
                                      <w:pStyle w:val="NoSpacing"/>
                                      <w:rPr>
                                        <w:i/>
                                        <w:color w:val="262626" w:themeColor="text1" w:themeTint="D9"/>
                                        <w:sz w:val="36"/>
                                        <w:szCs w:val="36"/>
                                      </w:rPr>
                                    </w:pPr>
                                    <w:r>
                                      <w:rPr>
                                        <w:color w:val="262626" w:themeColor="text1" w:themeTint="D9"/>
                                        <w:sz w:val="36"/>
                                        <w:szCs w:val="36"/>
                                      </w:rPr>
                                      <w:t>Module: M5X01922</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0289AD8" id="Text Box 38" o:spid="_x0000_s1027" type="#_x0000_t202" alt="Title: Title and subtitle" style="position:absolute;margin-left:0;margin-top:0;width:435.75pt;height:214.55pt;z-index:251660288;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Arial" w:hAnsi="Arial" w:cs="Arial"/>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E544575" w14:textId="77777777" w:rsidR="00EF55F9" w:rsidRDefault="0036458C">
                              <w:pPr>
                                <w:pStyle w:val="NoSpacing"/>
                                <w:spacing w:after="900"/>
                                <w:rPr>
                                  <w:rFonts w:asciiTheme="majorHAnsi" w:hAnsiTheme="majorHAnsi"/>
                                  <w:i/>
                                  <w:caps/>
                                  <w:color w:val="262626" w:themeColor="text1" w:themeTint="D9"/>
                                  <w:sz w:val="120"/>
                                  <w:szCs w:val="120"/>
                                </w:rPr>
                              </w:pPr>
                              <w:r>
                                <w:rPr>
                                  <w:rFonts w:ascii="Arial" w:hAnsi="Arial" w:cs="Arial"/>
                                  <w:caps/>
                                  <w:color w:val="262626" w:themeColor="text1" w:themeTint="D9"/>
                                  <w:sz w:val="56"/>
                                  <w:szCs w:val="56"/>
                                </w:rPr>
                                <w:t>Financial Management for the hotel Industry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1F9712B" w14:textId="77777777" w:rsidR="00EF55F9" w:rsidRDefault="00EF55F9">
                              <w:pPr>
                                <w:pStyle w:val="NoSpacing"/>
                                <w:rPr>
                                  <w:i/>
                                  <w:color w:val="262626" w:themeColor="text1" w:themeTint="D9"/>
                                  <w:sz w:val="36"/>
                                  <w:szCs w:val="36"/>
                                </w:rPr>
                              </w:pPr>
                              <w:r>
                                <w:rPr>
                                  <w:color w:val="262626" w:themeColor="text1" w:themeTint="D9"/>
                                  <w:sz w:val="36"/>
                                  <w:szCs w:val="36"/>
                                </w:rPr>
                                <w:t>Module: M5X01922</w:t>
                              </w:r>
                            </w:p>
                          </w:sdtContent>
                        </w:sdt>
                      </w:txbxContent>
                    </v:textbox>
                    <w10:wrap anchorx="page" anchory="page"/>
                  </v:shape>
                </w:pict>
              </mc:Fallback>
            </mc:AlternateContent>
          </w:r>
        </w:p>
        <w:p w14:paraId="5C072F8F" w14:textId="77777777" w:rsidR="00EF55F9" w:rsidRDefault="00EF55F9">
          <w:pPr>
            <w:rPr>
              <w:rFonts w:ascii="Times New Roman" w:hAnsi="Times New Roman" w:cs="Times New Roman"/>
            </w:rPr>
          </w:pPr>
          <w:r>
            <w:rPr>
              <w:rFonts w:ascii="Times New Roman" w:hAnsi="Times New Roman" w:cs="Times New Roman"/>
            </w:rPr>
            <w:br w:type="page"/>
          </w:r>
        </w:p>
      </w:sdtContent>
    </w:sdt>
    <w:p w14:paraId="1AB855D8" w14:textId="77777777" w:rsidR="007856B7" w:rsidRDefault="007856B7" w:rsidP="007856B7">
      <w:pPr>
        <w:spacing w:line="360" w:lineRule="auto"/>
        <w:jc w:val="both"/>
        <w:rPr>
          <w:rFonts w:ascii="Arial" w:hAnsi="Arial" w:cs="Arial"/>
          <w:b/>
          <w:bCs/>
          <w:color w:val="000000" w:themeColor="text1"/>
          <w:sz w:val="22"/>
          <w:szCs w:val="22"/>
        </w:rPr>
      </w:pPr>
      <w:r w:rsidRPr="007856B7">
        <w:rPr>
          <w:rFonts w:ascii="Arial" w:hAnsi="Arial" w:cs="Arial"/>
          <w:b/>
          <w:bCs/>
          <w:color w:val="000000" w:themeColor="text1"/>
          <w:sz w:val="22"/>
          <w:szCs w:val="22"/>
        </w:rPr>
        <w:lastRenderedPageBreak/>
        <w:t xml:space="preserve">Contents </w:t>
      </w:r>
    </w:p>
    <w:p w14:paraId="2CC21197" w14:textId="77777777" w:rsidR="007856B7" w:rsidRPr="007856B7" w:rsidRDefault="007856B7" w:rsidP="007856B7">
      <w:pPr>
        <w:spacing w:line="360" w:lineRule="auto"/>
        <w:jc w:val="both"/>
        <w:rPr>
          <w:rFonts w:ascii="Arial" w:hAnsi="Arial" w:cs="Arial"/>
          <w:b/>
          <w:bCs/>
          <w:color w:val="000000" w:themeColor="text1"/>
          <w:sz w:val="22"/>
          <w:szCs w:val="22"/>
        </w:rPr>
      </w:pPr>
    </w:p>
    <w:p w14:paraId="2C29AAB1" w14:textId="77777777" w:rsidR="007856B7" w:rsidRP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Executive Summary</w:t>
      </w:r>
      <w:r w:rsidR="00CE5D0A">
        <w:rPr>
          <w:rFonts w:ascii="Arial" w:hAnsi="Arial" w:cs="Arial"/>
          <w:color w:val="000000" w:themeColor="text1"/>
          <w:sz w:val="22"/>
          <w:szCs w:val="22"/>
        </w:rPr>
        <w:t>-----------------------------------------------------------------2</w:t>
      </w:r>
    </w:p>
    <w:p w14:paraId="55862429" w14:textId="77777777" w:rsidR="007856B7" w:rsidRP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Main Body</w:t>
      </w:r>
      <w:r w:rsidR="00CE5D0A">
        <w:rPr>
          <w:rFonts w:ascii="Arial" w:hAnsi="Arial" w:cs="Arial"/>
          <w:color w:val="000000" w:themeColor="text1"/>
          <w:sz w:val="22"/>
          <w:szCs w:val="22"/>
        </w:rPr>
        <w:t>------------------------------------------------------------------------------3</w:t>
      </w:r>
    </w:p>
    <w:p w14:paraId="16262D43" w14:textId="77777777" w:rsidR="007856B7" w:rsidRP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Table of Results</w:t>
      </w:r>
      <w:r w:rsidR="00CE5D0A">
        <w:rPr>
          <w:rFonts w:ascii="Arial" w:hAnsi="Arial" w:cs="Arial"/>
          <w:color w:val="000000" w:themeColor="text1"/>
          <w:sz w:val="22"/>
          <w:szCs w:val="22"/>
        </w:rPr>
        <w:t>----------------------------------------------------------------------3</w:t>
      </w:r>
    </w:p>
    <w:p w14:paraId="51A31A30" w14:textId="77777777" w:rsid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Summary of Table</w:t>
      </w:r>
      <w:r w:rsidR="00CE5D0A">
        <w:rPr>
          <w:rFonts w:ascii="Arial" w:hAnsi="Arial" w:cs="Arial"/>
          <w:color w:val="000000" w:themeColor="text1"/>
          <w:sz w:val="22"/>
          <w:szCs w:val="22"/>
        </w:rPr>
        <w:t>-------------------------------------------------------------------3</w:t>
      </w:r>
    </w:p>
    <w:p w14:paraId="79307BC6" w14:textId="77777777" w:rsidR="007856B7" w:rsidRP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Analysis</w:t>
      </w:r>
      <w:r w:rsidR="00CE5D0A">
        <w:rPr>
          <w:rFonts w:ascii="Arial" w:hAnsi="Arial" w:cs="Arial"/>
          <w:color w:val="000000" w:themeColor="text1"/>
          <w:sz w:val="22"/>
          <w:szCs w:val="22"/>
        </w:rPr>
        <w:t>---------------------------------------------------------------------------------4</w:t>
      </w:r>
    </w:p>
    <w:p w14:paraId="5409610D" w14:textId="77777777" w:rsid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Discussion of Ratio Families</w:t>
      </w:r>
      <w:r w:rsidR="00CE5D0A">
        <w:rPr>
          <w:rFonts w:ascii="Arial" w:hAnsi="Arial" w:cs="Arial"/>
          <w:color w:val="000000" w:themeColor="text1"/>
          <w:sz w:val="22"/>
          <w:szCs w:val="22"/>
        </w:rPr>
        <w:t>------------------------------------------------------4</w:t>
      </w:r>
    </w:p>
    <w:p w14:paraId="06DD0EF6" w14:textId="77777777" w:rsidR="007856B7" w:rsidRP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Analysis of Each Family</w:t>
      </w:r>
      <w:r w:rsidR="00CE5D0A">
        <w:rPr>
          <w:rFonts w:ascii="Arial" w:hAnsi="Arial" w:cs="Arial"/>
          <w:color w:val="000000" w:themeColor="text1"/>
          <w:sz w:val="22"/>
          <w:szCs w:val="22"/>
        </w:rPr>
        <w:t>------------------------------------------------------------4</w:t>
      </w:r>
    </w:p>
    <w:p w14:paraId="6993A1AC" w14:textId="35E7FDCA" w:rsid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Profitability</w:t>
      </w:r>
      <w:r w:rsidR="00CE5D0A">
        <w:rPr>
          <w:rFonts w:ascii="Arial" w:hAnsi="Arial" w:cs="Arial"/>
          <w:color w:val="000000" w:themeColor="text1"/>
          <w:sz w:val="22"/>
          <w:szCs w:val="22"/>
        </w:rPr>
        <w:t>-----------------------------------------------------------------------------4</w:t>
      </w:r>
    </w:p>
    <w:p w14:paraId="20000BBF" w14:textId="153428A9" w:rsidR="000F1C55" w:rsidRDefault="000F1C55"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Figure 1.1------------------------------------------------------------------------------6</w:t>
      </w:r>
    </w:p>
    <w:p w14:paraId="5FAE2710" w14:textId="0D088E6D" w:rsid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Liquidity</w:t>
      </w:r>
      <w:r w:rsidR="00CE5D0A">
        <w:rPr>
          <w:rFonts w:ascii="Arial" w:hAnsi="Arial" w:cs="Arial"/>
          <w:color w:val="000000" w:themeColor="text1"/>
          <w:sz w:val="22"/>
          <w:szCs w:val="22"/>
        </w:rPr>
        <w:t>---------------------------------------------------------------------------------7</w:t>
      </w:r>
    </w:p>
    <w:p w14:paraId="1C4C9376" w14:textId="4FA64D41" w:rsidR="000F1C55" w:rsidRPr="007856B7" w:rsidRDefault="000F1C55"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Figure 1.2-------------------------------------------------------------------------------7</w:t>
      </w:r>
    </w:p>
    <w:p w14:paraId="371D7A03" w14:textId="39EE9D6A" w:rsid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Efficiency</w:t>
      </w:r>
      <w:r w:rsidR="00CE5D0A">
        <w:rPr>
          <w:rFonts w:ascii="Arial" w:hAnsi="Arial" w:cs="Arial"/>
          <w:color w:val="000000" w:themeColor="text1"/>
          <w:sz w:val="22"/>
          <w:szCs w:val="22"/>
        </w:rPr>
        <w:t>-------------------------------------------------------------------------------8</w:t>
      </w:r>
    </w:p>
    <w:p w14:paraId="1219CD71" w14:textId="18517273" w:rsidR="000F1C55" w:rsidRPr="007856B7" w:rsidRDefault="000F1C55"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Figure 1.3-------------------------------------------------------------------------------9</w:t>
      </w:r>
    </w:p>
    <w:p w14:paraId="00DE9FD5" w14:textId="07A05583" w:rsidR="007856B7" w:rsidRDefault="007856B7" w:rsidP="007856B7">
      <w:pPr>
        <w:spacing w:line="360" w:lineRule="auto"/>
        <w:jc w:val="both"/>
        <w:rPr>
          <w:rFonts w:ascii="Arial" w:hAnsi="Arial" w:cs="Arial"/>
          <w:color w:val="000000" w:themeColor="text1"/>
          <w:sz w:val="22"/>
          <w:szCs w:val="22"/>
        </w:rPr>
      </w:pPr>
      <w:r w:rsidRPr="007856B7">
        <w:rPr>
          <w:rFonts w:ascii="Arial" w:hAnsi="Arial" w:cs="Arial"/>
          <w:color w:val="000000" w:themeColor="text1"/>
          <w:sz w:val="22"/>
          <w:szCs w:val="22"/>
        </w:rPr>
        <w:t>Capital Structure</w:t>
      </w:r>
      <w:r w:rsidR="00CE5D0A">
        <w:rPr>
          <w:rFonts w:ascii="Arial" w:hAnsi="Arial" w:cs="Arial"/>
          <w:color w:val="000000" w:themeColor="text1"/>
          <w:sz w:val="22"/>
          <w:szCs w:val="22"/>
        </w:rPr>
        <w:t>---------------------------------------------------------------------10</w:t>
      </w:r>
    </w:p>
    <w:p w14:paraId="2CFD2AC1" w14:textId="4942A138" w:rsidR="000F1C55" w:rsidRDefault="000F1C55"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Figure 1.4------------------------------------------------------------------------------10</w:t>
      </w:r>
    </w:p>
    <w:p w14:paraId="77A66094" w14:textId="1C2FB0FF" w:rsidR="002E7448" w:rsidRDefault="002E7448"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Round up of Analysis</w:t>
      </w:r>
      <w:r w:rsidR="00CE5D0A">
        <w:rPr>
          <w:rFonts w:ascii="Arial" w:hAnsi="Arial" w:cs="Arial"/>
          <w:color w:val="000000" w:themeColor="text1"/>
          <w:sz w:val="22"/>
          <w:szCs w:val="22"/>
        </w:rPr>
        <w:t>---------------------------------------------------------------11</w:t>
      </w:r>
    </w:p>
    <w:p w14:paraId="6CA5DD55" w14:textId="76B353CF" w:rsidR="000F1C55" w:rsidRDefault="000F1C55"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Figure 1.5------------------------------------------------------------------------------11</w:t>
      </w:r>
    </w:p>
    <w:p w14:paraId="44D4026E" w14:textId="1A259AED" w:rsidR="002E7448" w:rsidRDefault="002E7448"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Conclusion</w:t>
      </w:r>
      <w:r w:rsidR="005F462F">
        <w:rPr>
          <w:rFonts w:ascii="Arial" w:hAnsi="Arial" w:cs="Arial"/>
          <w:color w:val="000000" w:themeColor="text1"/>
          <w:sz w:val="22"/>
          <w:szCs w:val="22"/>
        </w:rPr>
        <w:t xml:space="preserve"> and Recommendation</w:t>
      </w:r>
      <w:r w:rsidR="00CE5D0A">
        <w:rPr>
          <w:rFonts w:ascii="Arial" w:hAnsi="Arial" w:cs="Arial"/>
          <w:color w:val="000000" w:themeColor="text1"/>
          <w:sz w:val="22"/>
          <w:szCs w:val="22"/>
        </w:rPr>
        <w:t>-----------------------------------------------11</w:t>
      </w:r>
    </w:p>
    <w:p w14:paraId="146E144C" w14:textId="199BD6BB" w:rsidR="002E7448" w:rsidRDefault="000F1C55" w:rsidP="007856B7">
      <w:pPr>
        <w:spacing w:line="360" w:lineRule="auto"/>
        <w:jc w:val="both"/>
        <w:rPr>
          <w:rFonts w:ascii="Arial" w:hAnsi="Arial" w:cs="Arial"/>
          <w:color w:val="000000" w:themeColor="text1"/>
          <w:sz w:val="22"/>
          <w:szCs w:val="22"/>
        </w:rPr>
      </w:pPr>
      <w:r w:rsidRPr="000F1C55">
        <w:rPr>
          <w:rFonts w:ascii="Arial" w:hAnsi="Arial" w:cs="Arial"/>
          <w:color w:val="000000" w:themeColor="text1"/>
          <w:sz w:val="22"/>
          <w:szCs w:val="22"/>
        </w:rPr>
        <w:t>Reference</w:t>
      </w:r>
      <w:r>
        <w:rPr>
          <w:rFonts w:ascii="Arial" w:hAnsi="Arial" w:cs="Arial"/>
          <w:color w:val="000000" w:themeColor="text1"/>
          <w:sz w:val="22"/>
          <w:szCs w:val="22"/>
        </w:rPr>
        <w:t>s</w:t>
      </w:r>
      <w:r w:rsidR="00CE5D0A">
        <w:rPr>
          <w:rFonts w:ascii="Arial" w:hAnsi="Arial" w:cs="Arial"/>
          <w:color w:val="000000" w:themeColor="text1"/>
          <w:sz w:val="22"/>
          <w:szCs w:val="22"/>
        </w:rPr>
        <w:t>----------------------------------------------------------------------------12</w:t>
      </w:r>
    </w:p>
    <w:p w14:paraId="5E0D7562" w14:textId="2A4BFC13" w:rsidR="002E7448" w:rsidRDefault="000F1C55" w:rsidP="007856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Appendices</w:t>
      </w:r>
      <w:r w:rsidR="00CE5D0A">
        <w:rPr>
          <w:rFonts w:ascii="Arial" w:hAnsi="Arial" w:cs="Arial"/>
          <w:color w:val="000000" w:themeColor="text1"/>
          <w:sz w:val="22"/>
          <w:szCs w:val="22"/>
        </w:rPr>
        <w:t>----------------------------------------------------------------------------13</w:t>
      </w:r>
    </w:p>
    <w:p w14:paraId="455D1F45" w14:textId="77777777" w:rsidR="007856B7" w:rsidRPr="007856B7" w:rsidRDefault="007856B7" w:rsidP="007856B7">
      <w:pPr>
        <w:spacing w:line="360" w:lineRule="auto"/>
        <w:jc w:val="both"/>
        <w:rPr>
          <w:rFonts w:ascii="Arial" w:hAnsi="Arial" w:cs="Arial"/>
          <w:color w:val="000000" w:themeColor="text1"/>
          <w:sz w:val="22"/>
          <w:szCs w:val="22"/>
        </w:rPr>
      </w:pPr>
    </w:p>
    <w:p w14:paraId="20857EC6" w14:textId="77777777" w:rsidR="007856B7" w:rsidRPr="007856B7" w:rsidRDefault="007856B7" w:rsidP="007856B7">
      <w:pPr>
        <w:spacing w:line="360" w:lineRule="auto"/>
        <w:rPr>
          <w:rFonts w:ascii="Arial" w:hAnsi="Arial" w:cs="Arial"/>
          <w:color w:val="000000" w:themeColor="text1"/>
          <w:sz w:val="22"/>
          <w:szCs w:val="22"/>
        </w:rPr>
      </w:pPr>
    </w:p>
    <w:p w14:paraId="3C5D2A34" w14:textId="77777777" w:rsidR="007856B7" w:rsidRPr="007856B7" w:rsidRDefault="007856B7" w:rsidP="007856B7">
      <w:pPr>
        <w:spacing w:line="360" w:lineRule="auto"/>
        <w:ind w:left="360"/>
        <w:rPr>
          <w:rFonts w:ascii="Arial" w:hAnsi="Arial" w:cs="Arial"/>
          <w:color w:val="000000" w:themeColor="text1"/>
          <w:sz w:val="22"/>
          <w:szCs w:val="22"/>
        </w:rPr>
      </w:pPr>
    </w:p>
    <w:p w14:paraId="5D28D02D" w14:textId="77777777" w:rsidR="007856B7" w:rsidRDefault="007856B7" w:rsidP="007856B7">
      <w:pPr>
        <w:spacing w:line="360" w:lineRule="auto"/>
        <w:ind w:left="360"/>
        <w:rPr>
          <w:rFonts w:ascii="Arial" w:hAnsi="Arial" w:cs="Arial"/>
          <w:b/>
          <w:bCs/>
          <w:color w:val="000000" w:themeColor="text1"/>
          <w:sz w:val="22"/>
          <w:szCs w:val="22"/>
        </w:rPr>
      </w:pPr>
    </w:p>
    <w:p w14:paraId="01C72C89" w14:textId="77777777" w:rsidR="007856B7" w:rsidRDefault="007856B7" w:rsidP="007856B7">
      <w:pPr>
        <w:spacing w:line="360" w:lineRule="auto"/>
        <w:ind w:left="360"/>
        <w:rPr>
          <w:rFonts w:ascii="Arial" w:hAnsi="Arial" w:cs="Arial"/>
          <w:b/>
          <w:bCs/>
          <w:color w:val="000000" w:themeColor="text1"/>
          <w:sz w:val="22"/>
          <w:szCs w:val="22"/>
        </w:rPr>
      </w:pPr>
    </w:p>
    <w:p w14:paraId="5104439C" w14:textId="77777777" w:rsidR="007856B7" w:rsidRDefault="007856B7" w:rsidP="007856B7">
      <w:pPr>
        <w:spacing w:line="360" w:lineRule="auto"/>
        <w:ind w:left="360"/>
        <w:rPr>
          <w:rFonts w:ascii="Arial" w:hAnsi="Arial" w:cs="Arial"/>
          <w:b/>
          <w:bCs/>
          <w:color w:val="000000" w:themeColor="text1"/>
          <w:sz w:val="22"/>
          <w:szCs w:val="22"/>
        </w:rPr>
      </w:pPr>
    </w:p>
    <w:p w14:paraId="2BA28839" w14:textId="77777777" w:rsidR="007856B7" w:rsidRDefault="007856B7" w:rsidP="007856B7">
      <w:pPr>
        <w:spacing w:line="360" w:lineRule="auto"/>
        <w:ind w:left="360"/>
        <w:rPr>
          <w:rFonts w:ascii="Arial" w:hAnsi="Arial" w:cs="Arial"/>
          <w:b/>
          <w:bCs/>
          <w:color w:val="000000" w:themeColor="text1"/>
          <w:sz w:val="22"/>
          <w:szCs w:val="22"/>
        </w:rPr>
      </w:pPr>
    </w:p>
    <w:p w14:paraId="1550C74E" w14:textId="77777777" w:rsidR="007856B7" w:rsidRDefault="007856B7" w:rsidP="007856B7">
      <w:pPr>
        <w:spacing w:line="360" w:lineRule="auto"/>
        <w:ind w:left="360"/>
        <w:rPr>
          <w:rFonts w:ascii="Arial" w:hAnsi="Arial" w:cs="Arial"/>
          <w:b/>
          <w:bCs/>
          <w:color w:val="000000" w:themeColor="text1"/>
          <w:sz w:val="22"/>
          <w:szCs w:val="22"/>
        </w:rPr>
      </w:pPr>
    </w:p>
    <w:p w14:paraId="56FAB195" w14:textId="77777777" w:rsidR="007856B7" w:rsidRDefault="007856B7" w:rsidP="007856B7">
      <w:pPr>
        <w:spacing w:line="360" w:lineRule="auto"/>
        <w:ind w:left="360"/>
        <w:rPr>
          <w:rFonts w:ascii="Arial" w:hAnsi="Arial" w:cs="Arial"/>
          <w:b/>
          <w:bCs/>
          <w:color w:val="000000" w:themeColor="text1"/>
          <w:sz w:val="22"/>
          <w:szCs w:val="22"/>
        </w:rPr>
      </w:pPr>
    </w:p>
    <w:p w14:paraId="6A7B8E72" w14:textId="77777777" w:rsidR="007856B7" w:rsidRDefault="007856B7" w:rsidP="007856B7">
      <w:pPr>
        <w:spacing w:line="360" w:lineRule="auto"/>
        <w:ind w:left="360"/>
        <w:rPr>
          <w:rFonts w:ascii="Arial" w:hAnsi="Arial" w:cs="Arial"/>
          <w:b/>
          <w:bCs/>
          <w:color w:val="000000" w:themeColor="text1"/>
          <w:sz w:val="22"/>
          <w:szCs w:val="22"/>
        </w:rPr>
      </w:pPr>
    </w:p>
    <w:p w14:paraId="2114AC25" w14:textId="77777777" w:rsidR="007856B7" w:rsidRDefault="007856B7" w:rsidP="007856B7">
      <w:pPr>
        <w:spacing w:line="360" w:lineRule="auto"/>
        <w:ind w:left="360"/>
        <w:rPr>
          <w:rFonts w:ascii="Arial" w:hAnsi="Arial" w:cs="Arial"/>
          <w:b/>
          <w:bCs/>
          <w:color w:val="000000" w:themeColor="text1"/>
          <w:sz w:val="22"/>
          <w:szCs w:val="22"/>
        </w:rPr>
      </w:pPr>
    </w:p>
    <w:p w14:paraId="311CBD2B" w14:textId="77777777" w:rsidR="007856B7" w:rsidRDefault="007856B7" w:rsidP="007856B7">
      <w:pPr>
        <w:spacing w:line="360" w:lineRule="auto"/>
        <w:ind w:left="360"/>
        <w:rPr>
          <w:rFonts w:ascii="Arial" w:hAnsi="Arial" w:cs="Arial"/>
          <w:b/>
          <w:bCs/>
          <w:color w:val="000000" w:themeColor="text1"/>
          <w:sz w:val="22"/>
          <w:szCs w:val="22"/>
        </w:rPr>
      </w:pPr>
    </w:p>
    <w:p w14:paraId="3691D72A" w14:textId="77777777" w:rsidR="007856B7" w:rsidRDefault="007856B7" w:rsidP="007856B7">
      <w:pPr>
        <w:spacing w:line="360" w:lineRule="auto"/>
        <w:ind w:left="360"/>
        <w:rPr>
          <w:rFonts w:ascii="Arial" w:hAnsi="Arial" w:cs="Arial"/>
          <w:b/>
          <w:bCs/>
          <w:color w:val="000000" w:themeColor="text1"/>
          <w:sz w:val="22"/>
          <w:szCs w:val="22"/>
        </w:rPr>
      </w:pPr>
    </w:p>
    <w:p w14:paraId="13F8371C" w14:textId="77777777" w:rsidR="007856B7" w:rsidRDefault="007856B7" w:rsidP="007856B7">
      <w:pPr>
        <w:spacing w:line="360" w:lineRule="auto"/>
        <w:ind w:left="360"/>
        <w:rPr>
          <w:rFonts w:ascii="Arial" w:hAnsi="Arial" w:cs="Arial"/>
          <w:b/>
          <w:bCs/>
          <w:color w:val="000000" w:themeColor="text1"/>
          <w:sz w:val="22"/>
          <w:szCs w:val="22"/>
        </w:rPr>
      </w:pPr>
    </w:p>
    <w:p w14:paraId="5586788C" w14:textId="77777777" w:rsidR="000F1C55" w:rsidRDefault="000F1C55" w:rsidP="000F1C55">
      <w:pPr>
        <w:spacing w:line="360" w:lineRule="auto"/>
        <w:rPr>
          <w:rFonts w:ascii="Arial" w:hAnsi="Arial" w:cs="Arial"/>
          <w:b/>
          <w:bCs/>
          <w:color w:val="000000" w:themeColor="text1"/>
          <w:sz w:val="22"/>
          <w:szCs w:val="22"/>
        </w:rPr>
      </w:pPr>
    </w:p>
    <w:p w14:paraId="773C17AE" w14:textId="587AE0A0" w:rsidR="001C3524" w:rsidRPr="000F1C55" w:rsidRDefault="00592046" w:rsidP="000F1C55">
      <w:pPr>
        <w:pStyle w:val="ListParagraph"/>
        <w:numPr>
          <w:ilvl w:val="0"/>
          <w:numId w:val="9"/>
        </w:numPr>
        <w:spacing w:line="360" w:lineRule="auto"/>
        <w:rPr>
          <w:rFonts w:ascii="Arial" w:hAnsi="Arial" w:cs="Arial"/>
          <w:b/>
          <w:bCs/>
          <w:color w:val="000000" w:themeColor="text1"/>
          <w:sz w:val="22"/>
          <w:szCs w:val="22"/>
        </w:rPr>
      </w:pPr>
      <w:r w:rsidRPr="000F1C55">
        <w:rPr>
          <w:rFonts w:ascii="Arial" w:hAnsi="Arial" w:cs="Arial"/>
          <w:b/>
          <w:bCs/>
          <w:color w:val="000000" w:themeColor="text1"/>
          <w:sz w:val="22"/>
          <w:szCs w:val="22"/>
        </w:rPr>
        <w:lastRenderedPageBreak/>
        <w:t>Executive Summary</w:t>
      </w:r>
    </w:p>
    <w:p w14:paraId="57657468" w14:textId="77777777" w:rsidR="00B773FD" w:rsidRPr="0034382E" w:rsidRDefault="00B773FD" w:rsidP="0034382E">
      <w:pPr>
        <w:pStyle w:val="ListParagraph"/>
        <w:spacing w:line="360" w:lineRule="auto"/>
        <w:rPr>
          <w:rFonts w:ascii="Arial" w:hAnsi="Arial" w:cs="Arial"/>
          <w:b/>
          <w:bCs/>
          <w:color w:val="000000" w:themeColor="text1"/>
          <w:sz w:val="22"/>
          <w:szCs w:val="22"/>
        </w:rPr>
      </w:pPr>
    </w:p>
    <w:p w14:paraId="6A2F9FE8" w14:textId="617AF03C" w:rsidR="00BA0933" w:rsidRPr="0034382E" w:rsidRDefault="00892C71" w:rsidP="0034382E">
      <w:pPr>
        <w:pStyle w:val="ListParagraph"/>
        <w:spacing w:line="360" w:lineRule="auto"/>
        <w:rPr>
          <w:rFonts w:ascii="Arial" w:hAnsi="Arial" w:cs="Arial"/>
          <w:color w:val="000000" w:themeColor="text1"/>
          <w:sz w:val="22"/>
          <w:szCs w:val="22"/>
        </w:rPr>
      </w:pPr>
      <w:r w:rsidRPr="00892C71">
        <w:t xml:space="preserve"> </w:t>
      </w:r>
      <w:r>
        <w:t>Analysis</w:t>
      </w:r>
      <w:r w:rsidRPr="0034382E">
        <w:rPr>
          <w:rFonts w:ascii="Arial" w:hAnsi="Arial" w:cs="Arial"/>
          <w:color w:val="000000" w:themeColor="text1"/>
          <w:sz w:val="22"/>
          <w:szCs w:val="22"/>
        </w:rPr>
        <w:t xml:space="preserve"> </w:t>
      </w:r>
      <w:r>
        <w:rPr>
          <w:rFonts w:ascii="Arial" w:hAnsi="Arial" w:cs="Arial"/>
          <w:color w:val="000000" w:themeColor="text1"/>
          <w:sz w:val="22"/>
          <w:szCs w:val="22"/>
        </w:rPr>
        <w:t>o</w:t>
      </w:r>
      <w:r w:rsidR="00592046" w:rsidRPr="0034382E">
        <w:rPr>
          <w:rFonts w:ascii="Arial" w:hAnsi="Arial" w:cs="Arial"/>
          <w:color w:val="000000" w:themeColor="text1"/>
          <w:sz w:val="22"/>
          <w:szCs w:val="22"/>
        </w:rPr>
        <w:t>f the Gatsby Grange Boutique Hotel was conducted using four (4) fam</w:t>
      </w:r>
      <w:r w:rsidR="00592046" w:rsidRPr="00892C71">
        <w:rPr>
          <w:rFonts w:ascii="Arial" w:hAnsi="Arial" w:cs="Arial"/>
          <w:color w:val="000000" w:themeColor="text1"/>
          <w:sz w:val="22"/>
          <w:szCs w:val="22"/>
        </w:rPr>
        <w:t>il</w:t>
      </w:r>
      <w:r>
        <w:rPr>
          <w:rFonts w:ascii="Arial" w:hAnsi="Arial" w:cs="Arial"/>
          <w:color w:val="000000" w:themeColor="text1"/>
          <w:sz w:val="22"/>
          <w:szCs w:val="22"/>
        </w:rPr>
        <w:t>ies</w:t>
      </w:r>
      <w:r w:rsidR="00592046" w:rsidRPr="0034382E">
        <w:rPr>
          <w:rFonts w:ascii="Arial" w:hAnsi="Arial" w:cs="Arial"/>
          <w:color w:val="000000" w:themeColor="text1"/>
          <w:sz w:val="22"/>
          <w:szCs w:val="22"/>
        </w:rPr>
        <w:t xml:space="preserve"> of ratios including profitability, efficiency, liquidity and capital structure. The </w:t>
      </w:r>
      <w:r>
        <w:rPr>
          <w:rFonts w:ascii="Arial" w:hAnsi="Arial" w:cs="Arial"/>
          <w:color w:val="000000" w:themeColor="text1"/>
          <w:sz w:val="22"/>
          <w:szCs w:val="22"/>
        </w:rPr>
        <w:t xml:space="preserve">analysis was done </w:t>
      </w:r>
      <w:r w:rsidR="00592046" w:rsidRPr="0034382E">
        <w:rPr>
          <w:rFonts w:ascii="Arial" w:hAnsi="Arial" w:cs="Arial"/>
          <w:color w:val="000000" w:themeColor="text1"/>
          <w:sz w:val="22"/>
          <w:szCs w:val="22"/>
        </w:rPr>
        <w:t xml:space="preserve">over </w:t>
      </w:r>
      <w:r>
        <w:rPr>
          <w:rFonts w:ascii="Arial" w:hAnsi="Arial" w:cs="Arial"/>
          <w:color w:val="000000" w:themeColor="text1"/>
          <w:sz w:val="22"/>
          <w:szCs w:val="22"/>
        </w:rPr>
        <w:t xml:space="preserve">a </w:t>
      </w:r>
      <w:r w:rsidR="00592046" w:rsidRPr="0034382E">
        <w:rPr>
          <w:rFonts w:ascii="Arial" w:hAnsi="Arial" w:cs="Arial"/>
          <w:color w:val="000000" w:themeColor="text1"/>
          <w:sz w:val="22"/>
          <w:szCs w:val="22"/>
        </w:rPr>
        <w:t>two year</w:t>
      </w:r>
      <w:r>
        <w:rPr>
          <w:rFonts w:ascii="Arial" w:hAnsi="Arial" w:cs="Arial"/>
          <w:color w:val="000000" w:themeColor="text1"/>
          <w:sz w:val="22"/>
          <w:szCs w:val="22"/>
        </w:rPr>
        <w:t xml:space="preserve"> period</w:t>
      </w:r>
      <w:r w:rsidR="007D7E4E">
        <w:rPr>
          <w:rFonts w:ascii="Arial" w:hAnsi="Arial" w:cs="Arial"/>
          <w:color w:val="000000" w:themeColor="text1"/>
          <w:sz w:val="22"/>
          <w:szCs w:val="22"/>
        </w:rPr>
        <w:t xml:space="preserve"> (2019</w:t>
      </w:r>
      <w:r w:rsidR="00592046" w:rsidRPr="0034382E">
        <w:rPr>
          <w:rFonts w:ascii="Arial" w:hAnsi="Arial" w:cs="Arial"/>
          <w:color w:val="000000" w:themeColor="text1"/>
          <w:sz w:val="22"/>
          <w:szCs w:val="22"/>
        </w:rPr>
        <w:t>,</w:t>
      </w:r>
      <w:r w:rsidR="007D7E4E">
        <w:rPr>
          <w:rFonts w:ascii="Arial" w:hAnsi="Arial" w:cs="Arial"/>
          <w:color w:val="000000" w:themeColor="text1"/>
          <w:sz w:val="22"/>
          <w:szCs w:val="22"/>
        </w:rPr>
        <w:t xml:space="preserve"> 2018)</w:t>
      </w:r>
      <w:r w:rsidR="00592046" w:rsidRPr="0034382E">
        <w:rPr>
          <w:rFonts w:ascii="Arial" w:hAnsi="Arial" w:cs="Arial"/>
          <w:color w:val="000000" w:themeColor="text1"/>
          <w:sz w:val="22"/>
          <w:szCs w:val="22"/>
        </w:rPr>
        <w:t xml:space="preserve"> </w:t>
      </w:r>
      <w:r w:rsidR="007D7E4E">
        <w:rPr>
          <w:rFonts w:ascii="Arial" w:hAnsi="Arial" w:cs="Arial"/>
          <w:color w:val="000000" w:themeColor="text1"/>
          <w:sz w:val="22"/>
          <w:szCs w:val="22"/>
        </w:rPr>
        <w:t>and studied the sustainability and performance of the hotel</w:t>
      </w:r>
      <w:r w:rsidR="00592046" w:rsidRPr="0034382E">
        <w:rPr>
          <w:rFonts w:ascii="Arial" w:hAnsi="Arial" w:cs="Arial"/>
          <w:color w:val="000000" w:themeColor="text1"/>
          <w:sz w:val="22"/>
          <w:szCs w:val="22"/>
        </w:rPr>
        <w:t xml:space="preserve">. The efficiency </w:t>
      </w:r>
      <w:r w:rsidR="00895975" w:rsidRPr="0034382E">
        <w:rPr>
          <w:rFonts w:ascii="Arial" w:hAnsi="Arial" w:cs="Arial"/>
          <w:color w:val="000000" w:themeColor="text1"/>
          <w:sz w:val="22"/>
          <w:szCs w:val="22"/>
        </w:rPr>
        <w:t xml:space="preserve">of </w:t>
      </w:r>
      <w:r w:rsidR="007D7E4E">
        <w:rPr>
          <w:rFonts w:ascii="Arial" w:hAnsi="Arial" w:cs="Arial"/>
          <w:color w:val="000000" w:themeColor="text1"/>
          <w:sz w:val="22"/>
          <w:szCs w:val="22"/>
        </w:rPr>
        <w:t>fixed asset turnover and inventory days were assessed and compared to the revenue generated, forecasting the year 2020.</w:t>
      </w:r>
      <w:r w:rsidR="00895975" w:rsidRPr="0034382E">
        <w:rPr>
          <w:rFonts w:ascii="Arial" w:hAnsi="Arial" w:cs="Arial"/>
          <w:color w:val="000000" w:themeColor="text1"/>
          <w:sz w:val="22"/>
          <w:szCs w:val="22"/>
        </w:rPr>
        <w:t xml:space="preserve"> Liquidity position was examined to determine how quickly and efficiently the hotel c</w:t>
      </w:r>
      <w:r w:rsidR="00201201">
        <w:rPr>
          <w:rFonts w:ascii="Arial" w:hAnsi="Arial" w:cs="Arial"/>
          <w:color w:val="000000" w:themeColor="text1"/>
          <w:sz w:val="22"/>
          <w:szCs w:val="22"/>
        </w:rPr>
        <w:t>ould</w:t>
      </w:r>
      <w:r w:rsidR="00895975" w:rsidRPr="0034382E">
        <w:rPr>
          <w:rFonts w:ascii="Arial" w:hAnsi="Arial" w:cs="Arial"/>
          <w:color w:val="000000" w:themeColor="text1"/>
          <w:sz w:val="22"/>
          <w:szCs w:val="22"/>
        </w:rPr>
        <w:t xml:space="preserve"> turn </w:t>
      </w:r>
      <w:r w:rsidR="004F4A15">
        <w:rPr>
          <w:rFonts w:ascii="Arial" w:hAnsi="Arial" w:cs="Arial"/>
          <w:color w:val="000000" w:themeColor="text1"/>
          <w:sz w:val="22"/>
          <w:szCs w:val="22"/>
        </w:rPr>
        <w:t xml:space="preserve">over </w:t>
      </w:r>
      <w:r w:rsidR="00895975" w:rsidRPr="0034382E">
        <w:rPr>
          <w:rFonts w:ascii="Arial" w:hAnsi="Arial" w:cs="Arial"/>
          <w:color w:val="000000" w:themeColor="text1"/>
          <w:sz w:val="22"/>
          <w:szCs w:val="22"/>
        </w:rPr>
        <w:t xml:space="preserve">assets </w:t>
      </w:r>
      <w:r w:rsidR="00AD7D0B" w:rsidRPr="0034382E">
        <w:rPr>
          <w:rFonts w:ascii="Arial" w:hAnsi="Arial" w:cs="Arial"/>
          <w:color w:val="000000" w:themeColor="text1"/>
          <w:sz w:val="22"/>
          <w:szCs w:val="22"/>
        </w:rPr>
        <w:t>with</w:t>
      </w:r>
      <w:r w:rsidR="00895975" w:rsidRPr="0034382E">
        <w:rPr>
          <w:rFonts w:ascii="Arial" w:hAnsi="Arial" w:cs="Arial"/>
          <w:color w:val="000000" w:themeColor="text1"/>
          <w:sz w:val="22"/>
          <w:szCs w:val="22"/>
        </w:rPr>
        <w:t xml:space="preserve"> the ability to sustain its current liabilities.</w:t>
      </w:r>
    </w:p>
    <w:p w14:paraId="40167739" w14:textId="77777777" w:rsidR="00895975" w:rsidRPr="0034382E" w:rsidRDefault="00895975" w:rsidP="0034382E">
      <w:pPr>
        <w:pStyle w:val="ListParagraph"/>
        <w:spacing w:line="360" w:lineRule="auto"/>
        <w:rPr>
          <w:rFonts w:ascii="Arial" w:hAnsi="Arial" w:cs="Arial"/>
          <w:color w:val="000000" w:themeColor="text1"/>
          <w:sz w:val="22"/>
          <w:szCs w:val="22"/>
        </w:rPr>
      </w:pPr>
    </w:p>
    <w:p w14:paraId="38E8ADC8" w14:textId="66C511D9" w:rsidR="005A4150" w:rsidRPr="0034382E" w:rsidRDefault="00592046" w:rsidP="0034382E">
      <w:pPr>
        <w:pStyle w:val="ListParagraph"/>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The results </w:t>
      </w:r>
      <w:r w:rsidR="00201201">
        <w:rPr>
          <w:rFonts w:ascii="Arial" w:hAnsi="Arial" w:cs="Arial"/>
          <w:color w:val="000000" w:themeColor="text1"/>
          <w:sz w:val="22"/>
          <w:szCs w:val="22"/>
        </w:rPr>
        <w:t xml:space="preserve">showed </w:t>
      </w:r>
      <w:r w:rsidRPr="0034382E">
        <w:rPr>
          <w:rFonts w:ascii="Arial" w:hAnsi="Arial" w:cs="Arial"/>
          <w:color w:val="000000" w:themeColor="text1"/>
          <w:sz w:val="22"/>
          <w:szCs w:val="22"/>
        </w:rPr>
        <w:t xml:space="preserve">that although no non-current assets were sold, the hotel was turning over nearly half </w:t>
      </w:r>
      <w:r w:rsidR="002E6F0C" w:rsidRPr="0034382E">
        <w:rPr>
          <w:rFonts w:ascii="Arial" w:hAnsi="Arial" w:cs="Arial"/>
          <w:color w:val="000000" w:themeColor="text1"/>
          <w:sz w:val="22"/>
          <w:szCs w:val="22"/>
        </w:rPr>
        <w:t xml:space="preserve">of its inventory </w:t>
      </w:r>
      <w:r w:rsidRPr="0034382E">
        <w:rPr>
          <w:rFonts w:ascii="Arial" w:hAnsi="Arial" w:cs="Arial"/>
          <w:color w:val="000000" w:themeColor="text1"/>
          <w:sz w:val="22"/>
          <w:szCs w:val="22"/>
        </w:rPr>
        <w:t>compared to the previous year</w:t>
      </w:r>
      <w:r w:rsidR="002E6F0C" w:rsidRPr="0034382E">
        <w:rPr>
          <w:rFonts w:ascii="Arial" w:hAnsi="Arial" w:cs="Arial"/>
          <w:color w:val="000000" w:themeColor="text1"/>
          <w:sz w:val="22"/>
          <w:szCs w:val="22"/>
        </w:rPr>
        <w:t xml:space="preserve">, </w:t>
      </w:r>
      <w:r w:rsidR="00201201">
        <w:rPr>
          <w:rFonts w:ascii="Arial" w:hAnsi="Arial" w:cs="Arial"/>
          <w:color w:val="000000" w:themeColor="text1"/>
          <w:sz w:val="22"/>
          <w:szCs w:val="22"/>
        </w:rPr>
        <w:t xml:space="preserve">thus </w:t>
      </w:r>
      <w:r w:rsidR="002E6F0C" w:rsidRPr="0034382E">
        <w:rPr>
          <w:rFonts w:ascii="Arial" w:hAnsi="Arial" w:cs="Arial"/>
          <w:color w:val="000000" w:themeColor="text1"/>
          <w:sz w:val="22"/>
          <w:szCs w:val="22"/>
        </w:rPr>
        <w:t>increasing revenue. Conversely, although revenue had increased, cost of sales (COS) had rocketed, resulting in the return on capital employed (ROCE) performance spiralling downwards, affecting the gross and net operating profits.</w:t>
      </w:r>
      <w:r w:rsidRPr="0034382E">
        <w:rPr>
          <w:rFonts w:ascii="Arial" w:hAnsi="Arial" w:cs="Arial"/>
          <w:color w:val="000000" w:themeColor="text1"/>
          <w:sz w:val="22"/>
          <w:szCs w:val="22"/>
        </w:rPr>
        <w:t xml:space="preserve"> </w:t>
      </w:r>
    </w:p>
    <w:p w14:paraId="515FB6F5" w14:textId="77777777" w:rsidR="005A4150" w:rsidRPr="0034382E" w:rsidRDefault="005A4150" w:rsidP="0034382E">
      <w:pPr>
        <w:pStyle w:val="ListParagraph"/>
        <w:spacing w:line="360" w:lineRule="auto"/>
        <w:rPr>
          <w:rFonts w:ascii="Arial" w:hAnsi="Arial" w:cs="Arial"/>
          <w:color w:val="000000" w:themeColor="text1"/>
          <w:sz w:val="22"/>
          <w:szCs w:val="22"/>
        </w:rPr>
      </w:pPr>
    </w:p>
    <w:p w14:paraId="5FFAC505" w14:textId="7772497C" w:rsidR="007856B7" w:rsidRDefault="00592046" w:rsidP="007856B7">
      <w:pPr>
        <w:pStyle w:val="ListParagraph"/>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Cash owed to creditors </w:t>
      </w:r>
      <w:r w:rsidR="00201201">
        <w:rPr>
          <w:rFonts w:ascii="Arial" w:hAnsi="Arial" w:cs="Arial"/>
          <w:color w:val="000000" w:themeColor="text1"/>
          <w:sz w:val="22"/>
          <w:szCs w:val="22"/>
        </w:rPr>
        <w:t xml:space="preserve">was being retained </w:t>
      </w:r>
      <w:r w:rsidRPr="0034382E">
        <w:rPr>
          <w:rFonts w:ascii="Arial" w:hAnsi="Arial" w:cs="Arial"/>
          <w:color w:val="000000" w:themeColor="text1"/>
          <w:sz w:val="22"/>
          <w:szCs w:val="22"/>
        </w:rPr>
        <w:t>for less time compar</w:t>
      </w:r>
      <w:r w:rsidR="00201201">
        <w:rPr>
          <w:rFonts w:ascii="Arial" w:hAnsi="Arial" w:cs="Arial"/>
          <w:color w:val="000000" w:themeColor="text1"/>
          <w:sz w:val="22"/>
          <w:szCs w:val="22"/>
        </w:rPr>
        <w:t>ed</w:t>
      </w:r>
      <w:r w:rsidRPr="0034382E">
        <w:rPr>
          <w:rFonts w:ascii="Arial" w:hAnsi="Arial" w:cs="Arial"/>
          <w:color w:val="000000" w:themeColor="text1"/>
          <w:sz w:val="22"/>
          <w:szCs w:val="22"/>
        </w:rPr>
        <w:t xml:space="preserve"> to </w:t>
      </w:r>
      <w:r w:rsidR="00B773FD" w:rsidRPr="0034382E">
        <w:rPr>
          <w:rFonts w:ascii="Arial" w:hAnsi="Arial" w:cs="Arial"/>
          <w:color w:val="000000" w:themeColor="text1"/>
          <w:sz w:val="22"/>
          <w:szCs w:val="22"/>
        </w:rPr>
        <w:t xml:space="preserve">the </w:t>
      </w:r>
      <w:r w:rsidRPr="0034382E">
        <w:rPr>
          <w:rFonts w:ascii="Arial" w:hAnsi="Arial" w:cs="Arial"/>
          <w:color w:val="000000" w:themeColor="text1"/>
          <w:sz w:val="22"/>
          <w:szCs w:val="22"/>
        </w:rPr>
        <w:t>previous year</w:t>
      </w:r>
      <w:r w:rsidR="004C53AF"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which can be an indication of </w:t>
      </w:r>
      <w:r w:rsidR="00201201">
        <w:rPr>
          <w:rFonts w:ascii="Arial" w:hAnsi="Arial" w:cs="Arial"/>
          <w:color w:val="000000" w:themeColor="text1"/>
          <w:sz w:val="22"/>
          <w:szCs w:val="22"/>
        </w:rPr>
        <w:t xml:space="preserve">poor </w:t>
      </w:r>
      <w:r w:rsidRPr="0034382E">
        <w:rPr>
          <w:rFonts w:ascii="Arial" w:hAnsi="Arial" w:cs="Arial"/>
          <w:color w:val="000000" w:themeColor="text1"/>
          <w:sz w:val="22"/>
          <w:szCs w:val="22"/>
        </w:rPr>
        <w:t>cash flow management. The liquidity of the hotel needs to be looked at with caution as the acid test is much lower than the current ratio</w:t>
      </w:r>
      <w:r w:rsidR="00B773FD"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indicating that the company is struggling to turn assets into cash to sustain its current liabilities. There is also a possibility that the company is heavily dependent on stocks</w:t>
      </w:r>
      <w:r w:rsidR="004C53AF" w:rsidRPr="0034382E">
        <w:rPr>
          <w:rFonts w:ascii="Arial" w:hAnsi="Arial" w:cs="Arial"/>
          <w:color w:val="000000" w:themeColor="text1"/>
          <w:sz w:val="22"/>
          <w:szCs w:val="22"/>
        </w:rPr>
        <w:t>,</w:t>
      </w:r>
      <w:r w:rsidR="00B773FD" w:rsidRPr="0034382E">
        <w:rPr>
          <w:rFonts w:ascii="Arial" w:hAnsi="Arial" w:cs="Arial"/>
          <w:color w:val="000000" w:themeColor="text1"/>
          <w:sz w:val="22"/>
          <w:szCs w:val="22"/>
        </w:rPr>
        <w:t xml:space="preserve"> as </w:t>
      </w:r>
      <w:r w:rsidR="00A22B71">
        <w:rPr>
          <w:rFonts w:ascii="Arial" w:hAnsi="Arial" w:cs="Arial"/>
          <w:color w:val="000000" w:themeColor="text1"/>
          <w:sz w:val="22"/>
          <w:szCs w:val="22"/>
        </w:rPr>
        <w:t xml:space="preserve">an analysis of </w:t>
      </w:r>
      <w:r w:rsidR="00B773FD" w:rsidRPr="0034382E">
        <w:rPr>
          <w:rFonts w:ascii="Arial" w:hAnsi="Arial" w:cs="Arial"/>
          <w:color w:val="000000" w:themeColor="text1"/>
          <w:sz w:val="22"/>
          <w:szCs w:val="22"/>
        </w:rPr>
        <w:t xml:space="preserve">capital structure revealed the </w:t>
      </w:r>
      <w:r w:rsidR="00A22B71">
        <w:rPr>
          <w:rFonts w:ascii="Arial" w:hAnsi="Arial" w:cs="Arial"/>
          <w:color w:val="000000" w:themeColor="text1"/>
          <w:sz w:val="22"/>
          <w:szCs w:val="22"/>
        </w:rPr>
        <w:t>ability</w:t>
      </w:r>
      <w:r w:rsidR="00B773FD" w:rsidRPr="0034382E">
        <w:rPr>
          <w:rFonts w:ascii="Arial" w:hAnsi="Arial" w:cs="Arial"/>
          <w:color w:val="000000" w:themeColor="text1"/>
          <w:sz w:val="22"/>
          <w:szCs w:val="22"/>
        </w:rPr>
        <w:t xml:space="preserve"> to </w:t>
      </w:r>
      <w:r w:rsidR="00A22B71">
        <w:rPr>
          <w:rFonts w:ascii="Arial" w:hAnsi="Arial" w:cs="Arial"/>
          <w:color w:val="000000" w:themeColor="text1"/>
          <w:sz w:val="22"/>
          <w:szCs w:val="22"/>
        </w:rPr>
        <w:t>leverage is not been utilised</w:t>
      </w:r>
      <w:r w:rsidR="00B773FD" w:rsidRPr="0034382E">
        <w:rPr>
          <w:rFonts w:ascii="Arial" w:hAnsi="Arial" w:cs="Arial"/>
          <w:color w:val="000000" w:themeColor="text1"/>
          <w:sz w:val="22"/>
          <w:szCs w:val="22"/>
        </w:rPr>
        <w:t>.</w:t>
      </w:r>
    </w:p>
    <w:p w14:paraId="32653FDC" w14:textId="77777777" w:rsidR="002E7448" w:rsidRDefault="002E7448" w:rsidP="007856B7">
      <w:pPr>
        <w:spacing w:line="360" w:lineRule="auto"/>
        <w:rPr>
          <w:rFonts w:ascii="Arial" w:hAnsi="Arial" w:cs="Arial"/>
          <w:b/>
          <w:bCs/>
          <w:color w:val="000000" w:themeColor="text1"/>
          <w:sz w:val="22"/>
          <w:szCs w:val="22"/>
        </w:rPr>
      </w:pPr>
    </w:p>
    <w:p w14:paraId="714FBC1A" w14:textId="77777777" w:rsidR="002E7448" w:rsidRDefault="002E7448" w:rsidP="007856B7">
      <w:pPr>
        <w:spacing w:line="360" w:lineRule="auto"/>
        <w:rPr>
          <w:rFonts w:ascii="Arial" w:hAnsi="Arial" w:cs="Arial"/>
          <w:b/>
          <w:bCs/>
          <w:color w:val="000000" w:themeColor="text1"/>
          <w:sz w:val="22"/>
          <w:szCs w:val="22"/>
        </w:rPr>
      </w:pPr>
    </w:p>
    <w:p w14:paraId="1AF021D7" w14:textId="77777777" w:rsidR="002E7448" w:rsidRDefault="002E7448" w:rsidP="007856B7">
      <w:pPr>
        <w:spacing w:line="360" w:lineRule="auto"/>
        <w:rPr>
          <w:rFonts w:ascii="Arial" w:hAnsi="Arial" w:cs="Arial"/>
          <w:b/>
          <w:bCs/>
          <w:color w:val="000000" w:themeColor="text1"/>
          <w:sz w:val="22"/>
          <w:szCs w:val="22"/>
        </w:rPr>
      </w:pPr>
    </w:p>
    <w:p w14:paraId="094EFA45" w14:textId="77777777" w:rsidR="002E7448" w:rsidRDefault="002E7448" w:rsidP="007856B7">
      <w:pPr>
        <w:spacing w:line="360" w:lineRule="auto"/>
        <w:rPr>
          <w:rFonts w:ascii="Arial" w:hAnsi="Arial" w:cs="Arial"/>
          <w:b/>
          <w:bCs/>
          <w:color w:val="000000" w:themeColor="text1"/>
          <w:sz w:val="22"/>
          <w:szCs w:val="22"/>
        </w:rPr>
      </w:pPr>
    </w:p>
    <w:p w14:paraId="35E3CF48" w14:textId="77777777" w:rsidR="002E7448" w:rsidRDefault="002E7448" w:rsidP="007856B7">
      <w:pPr>
        <w:spacing w:line="360" w:lineRule="auto"/>
        <w:rPr>
          <w:rFonts w:ascii="Arial" w:hAnsi="Arial" w:cs="Arial"/>
          <w:b/>
          <w:bCs/>
          <w:color w:val="000000" w:themeColor="text1"/>
          <w:sz w:val="22"/>
          <w:szCs w:val="22"/>
        </w:rPr>
      </w:pPr>
    </w:p>
    <w:p w14:paraId="7F93C90E" w14:textId="77777777" w:rsidR="002E7448" w:rsidRDefault="002E7448" w:rsidP="007856B7">
      <w:pPr>
        <w:spacing w:line="360" w:lineRule="auto"/>
        <w:rPr>
          <w:rFonts w:ascii="Arial" w:hAnsi="Arial" w:cs="Arial"/>
          <w:b/>
          <w:bCs/>
          <w:color w:val="000000" w:themeColor="text1"/>
          <w:sz w:val="22"/>
          <w:szCs w:val="22"/>
        </w:rPr>
      </w:pPr>
    </w:p>
    <w:p w14:paraId="63951E5C" w14:textId="77777777" w:rsidR="002E7448" w:rsidRDefault="002E7448" w:rsidP="007856B7">
      <w:pPr>
        <w:spacing w:line="360" w:lineRule="auto"/>
        <w:rPr>
          <w:rFonts w:ascii="Arial" w:hAnsi="Arial" w:cs="Arial"/>
          <w:b/>
          <w:bCs/>
          <w:color w:val="000000" w:themeColor="text1"/>
          <w:sz w:val="22"/>
          <w:szCs w:val="22"/>
        </w:rPr>
      </w:pPr>
    </w:p>
    <w:p w14:paraId="6ABAAE6C" w14:textId="77777777" w:rsidR="002E7448" w:rsidRDefault="002E7448" w:rsidP="007856B7">
      <w:pPr>
        <w:spacing w:line="360" w:lineRule="auto"/>
        <w:rPr>
          <w:rFonts w:ascii="Arial" w:hAnsi="Arial" w:cs="Arial"/>
          <w:b/>
          <w:bCs/>
          <w:color w:val="000000" w:themeColor="text1"/>
          <w:sz w:val="22"/>
          <w:szCs w:val="22"/>
        </w:rPr>
      </w:pPr>
    </w:p>
    <w:p w14:paraId="16C260DE" w14:textId="77777777" w:rsidR="002E7448" w:rsidRDefault="002E7448" w:rsidP="007856B7">
      <w:pPr>
        <w:spacing w:line="360" w:lineRule="auto"/>
        <w:rPr>
          <w:rFonts w:ascii="Arial" w:hAnsi="Arial" w:cs="Arial"/>
          <w:b/>
          <w:bCs/>
          <w:color w:val="000000" w:themeColor="text1"/>
          <w:sz w:val="22"/>
          <w:szCs w:val="22"/>
        </w:rPr>
      </w:pPr>
    </w:p>
    <w:p w14:paraId="3A0AF340" w14:textId="77777777" w:rsidR="002E7448" w:rsidRDefault="002E7448" w:rsidP="007856B7">
      <w:pPr>
        <w:spacing w:line="360" w:lineRule="auto"/>
        <w:rPr>
          <w:rFonts w:ascii="Arial" w:hAnsi="Arial" w:cs="Arial"/>
          <w:b/>
          <w:bCs/>
          <w:color w:val="000000" w:themeColor="text1"/>
          <w:sz w:val="22"/>
          <w:szCs w:val="22"/>
        </w:rPr>
      </w:pPr>
    </w:p>
    <w:p w14:paraId="5122A67B" w14:textId="77777777" w:rsidR="002E7448" w:rsidRDefault="002E7448" w:rsidP="007856B7">
      <w:pPr>
        <w:spacing w:line="360" w:lineRule="auto"/>
        <w:rPr>
          <w:rFonts w:ascii="Arial" w:hAnsi="Arial" w:cs="Arial"/>
          <w:b/>
          <w:bCs/>
          <w:color w:val="000000" w:themeColor="text1"/>
          <w:sz w:val="22"/>
          <w:szCs w:val="22"/>
        </w:rPr>
      </w:pPr>
    </w:p>
    <w:p w14:paraId="39599A6B" w14:textId="77777777" w:rsidR="002E7448" w:rsidRDefault="002E7448" w:rsidP="007856B7">
      <w:pPr>
        <w:spacing w:line="360" w:lineRule="auto"/>
        <w:rPr>
          <w:rFonts w:ascii="Arial" w:hAnsi="Arial" w:cs="Arial"/>
          <w:b/>
          <w:bCs/>
          <w:color w:val="000000" w:themeColor="text1"/>
          <w:sz w:val="22"/>
          <w:szCs w:val="22"/>
        </w:rPr>
      </w:pPr>
    </w:p>
    <w:p w14:paraId="3D85DDA1" w14:textId="77777777" w:rsidR="002E7448" w:rsidRDefault="002E7448" w:rsidP="007856B7">
      <w:pPr>
        <w:spacing w:line="360" w:lineRule="auto"/>
        <w:rPr>
          <w:rFonts w:ascii="Arial" w:hAnsi="Arial" w:cs="Arial"/>
          <w:b/>
          <w:bCs/>
          <w:color w:val="000000" w:themeColor="text1"/>
          <w:sz w:val="22"/>
          <w:szCs w:val="22"/>
        </w:rPr>
      </w:pPr>
    </w:p>
    <w:p w14:paraId="53942C66" w14:textId="77777777" w:rsidR="002E7448" w:rsidRDefault="002E7448" w:rsidP="007856B7">
      <w:pPr>
        <w:spacing w:line="360" w:lineRule="auto"/>
        <w:rPr>
          <w:rFonts w:ascii="Arial" w:hAnsi="Arial" w:cs="Arial"/>
          <w:b/>
          <w:bCs/>
          <w:color w:val="000000" w:themeColor="text1"/>
          <w:sz w:val="22"/>
          <w:szCs w:val="22"/>
        </w:rPr>
      </w:pPr>
    </w:p>
    <w:p w14:paraId="767826C2" w14:textId="77777777" w:rsidR="002E7448" w:rsidRDefault="002E7448" w:rsidP="007856B7">
      <w:pPr>
        <w:spacing w:line="360" w:lineRule="auto"/>
        <w:rPr>
          <w:rFonts w:ascii="Arial" w:hAnsi="Arial" w:cs="Arial"/>
          <w:b/>
          <w:bCs/>
          <w:color w:val="000000" w:themeColor="text1"/>
          <w:sz w:val="22"/>
          <w:szCs w:val="22"/>
        </w:rPr>
      </w:pPr>
    </w:p>
    <w:p w14:paraId="7A73DB48" w14:textId="77777777" w:rsidR="000B4516" w:rsidRPr="007856B7" w:rsidRDefault="00592046" w:rsidP="007856B7">
      <w:pPr>
        <w:spacing w:line="360" w:lineRule="auto"/>
        <w:rPr>
          <w:rFonts w:ascii="Arial" w:hAnsi="Arial" w:cs="Arial"/>
          <w:color w:val="000000" w:themeColor="text1"/>
          <w:sz w:val="22"/>
          <w:szCs w:val="22"/>
        </w:rPr>
      </w:pPr>
      <w:r w:rsidRPr="007856B7">
        <w:rPr>
          <w:rFonts w:ascii="Arial" w:hAnsi="Arial" w:cs="Arial"/>
          <w:b/>
          <w:bCs/>
          <w:color w:val="000000" w:themeColor="text1"/>
          <w:sz w:val="22"/>
          <w:szCs w:val="22"/>
        </w:rPr>
        <w:t>2. Main Body</w:t>
      </w:r>
    </w:p>
    <w:p w14:paraId="49B04E45" w14:textId="6C2A02B7" w:rsidR="000B4516" w:rsidRPr="00AC2DFF" w:rsidRDefault="00AC2DFF" w:rsidP="00AC2DFF">
      <w:pPr>
        <w:spacing w:line="360" w:lineRule="auto"/>
        <w:rPr>
          <w:rFonts w:ascii="Arial" w:hAnsi="Arial" w:cs="Arial"/>
          <w:b/>
          <w:bCs/>
          <w:color w:val="000000" w:themeColor="text1"/>
          <w:sz w:val="22"/>
          <w:szCs w:val="22"/>
        </w:rPr>
      </w:pPr>
      <w:r>
        <w:rPr>
          <w:rFonts w:ascii="Arial" w:hAnsi="Arial" w:cs="Arial"/>
          <w:b/>
          <w:bCs/>
          <w:color w:val="000000" w:themeColor="text1"/>
          <w:sz w:val="22"/>
          <w:szCs w:val="22"/>
        </w:rPr>
        <w:t>(I</w:t>
      </w:r>
      <w:r w:rsidR="00592046" w:rsidRPr="00AC2DFF">
        <w:rPr>
          <w:rFonts w:ascii="Arial" w:hAnsi="Arial" w:cs="Arial"/>
          <w:b/>
          <w:bCs/>
          <w:color w:val="000000" w:themeColor="text1"/>
          <w:sz w:val="22"/>
          <w:szCs w:val="22"/>
        </w:rPr>
        <w:t>a</w:t>
      </w:r>
      <w:r w:rsidR="00172886">
        <w:rPr>
          <w:rFonts w:ascii="Arial" w:hAnsi="Arial" w:cs="Arial"/>
          <w:b/>
          <w:bCs/>
          <w:color w:val="000000" w:themeColor="text1"/>
          <w:sz w:val="22"/>
          <w:szCs w:val="22"/>
        </w:rPr>
        <w:t>)</w:t>
      </w:r>
      <w:r w:rsidR="00172886" w:rsidRPr="00AC2DFF">
        <w:rPr>
          <w:rFonts w:ascii="Arial" w:hAnsi="Arial" w:cs="Arial"/>
          <w:b/>
          <w:bCs/>
          <w:color w:val="000000" w:themeColor="text1"/>
          <w:sz w:val="22"/>
          <w:szCs w:val="22"/>
        </w:rPr>
        <w:t>. Table</w:t>
      </w:r>
      <w:r w:rsidR="00592046" w:rsidRPr="00AC2DFF">
        <w:rPr>
          <w:rFonts w:ascii="Arial" w:hAnsi="Arial" w:cs="Arial"/>
          <w:b/>
          <w:bCs/>
          <w:color w:val="000000" w:themeColor="text1"/>
          <w:sz w:val="22"/>
          <w:szCs w:val="22"/>
        </w:rPr>
        <w:t xml:space="preserve"> of Results</w:t>
      </w:r>
    </w:p>
    <w:tbl>
      <w:tblPr>
        <w:tblW w:w="7801" w:type="dxa"/>
        <w:tblInd w:w="-5" w:type="dxa"/>
        <w:tblLook w:val="04A0" w:firstRow="1" w:lastRow="0" w:firstColumn="1" w:lastColumn="0" w:noHBand="0" w:noVBand="1"/>
      </w:tblPr>
      <w:tblGrid>
        <w:gridCol w:w="3131"/>
        <w:gridCol w:w="886"/>
        <w:gridCol w:w="953"/>
        <w:gridCol w:w="1292"/>
        <w:gridCol w:w="1562"/>
      </w:tblGrid>
      <w:tr w:rsidR="0034382E" w:rsidRPr="0034382E" w14:paraId="03D9AE48" w14:textId="77777777" w:rsidTr="000B4516">
        <w:trPr>
          <w:trHeight w:val="265"/>
        </w:trPr>
        <w:tc>
          <w:tcPr>
            <w:tcW w:w="31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B78350" w14:textId="77777777" w:rsidR="000B4516" w:rsidRPr="0034382E" w:rsidRDefault="00592046" w:rsidP="0034382E">
            <w:pPr>
              <w:spacing w:line="360" w:lineRule="auto"/>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Ratios Table of Results</w:t>
            </w:r>
          </w:p>
        </w:tc>
        <w:tc>
          <w:tcPr>
            <w:tcW w:w="886" w:type="dxa"/>
            <w:tcBorders>
              <w:top w:val="single" w:sz="4" w:space="0" w:color="auto"/>
              <w:left w:val="nil"/>
              <w:bottom w:val="single" w:sz="4" w:space="0" w:color="auto"/>
              <w:right w:val="single" w:sz="4" w:space="0" w:color="auto"/>
            </w:tcBorders>
            <w:shd w:val="clear" w:color="auto" w:fill="auto"/>
            <w:noWrap/>
            <w:vAlign w:val="bottom"/>
            <w:hideMark/>
          </w:tcPr>
          <w:p w14:paraId="1A354A2A" w14:textId="77777777" w:rsidR="000B4516" w:rsidRPr="0034382E" w:rsidRDefault="00592046" w:rsidP="0034382E">
            <w:pPr>
              <w:spacing w:line="360" w:lineRule="auto"/>
              <w:jc w:val="right"/>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2019</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14:paraId="096AE648" w14:textId="77777777" w:rsidR="000B4516" w:rsidRPr="0034382E" w:rsidRDefault="00592046" w:rsidP="0034382E">
            <w:pPr>
              <w:spacing w:line="360" w:lineRule="auto"/>
              <w:jc w:val="right"/>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2018</w:t>
            </w:r>
          </w:p>
        </w:tc>
        <w:tc>
          <w:tcPr>
            <w:tcW w:w="1282" w:type="dxa"/>
            <w:tcBorders>
              <w:top w:val="single" w:sz="4" w:space="0" w:color="auto"/>
              <w:left w:val="nil"/>
              <w:bottom w:val="single" w:sz="4" w:space="0" w:color="auto"/>
              <w:right w:val="single" w:sz="4" w:space="0" w:color="auto"/>
            </w:tcBorders>
            <w:shd w:val="clear" w:color="auto" w:fill="auto"/>
            <w:noWrap/>
            <w:vAlign w:val="bottom"/>
            <w:hideMark/>
          </w:tcPr>
          <w:p w14:paraId="65111466" w14:textId="77777777" w:rsidR="000B4516" w:rsidRPr="0034382E" w:rsidRDefault="00592046" w:rsidP="0034382E">
            <w:pPr>
              <w:spacing w:line="360" w:lineRule="auto"/>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Absolute Difference</w:t>
            </w:r>
          </w:p>
        </w:tc>
        <w:tc>
          <w:tcPr>
            <w:tcW w:w="1549" w:type="dxa"/>
            <w:tcBorders>
              <w:top w:val="single" w:sz="4" w:space="0" w:color="auto"/>
              <w:left w:val="nil"/>
              <w:bottom w:val="single" w:sz="4" w:space="0" w:color="auto"/>
              <w:right w:val="single" w:sz="4" w:space="0" w:color="auto"/>
            </w:tcBorders>
            <w:shd w:val="clear" w:color="auto" w:fill="auto"/>
            <w:noWrap/>
            <w:vAlign w:val="bottom"/>
            <w:hideMark/>
          </w:tcPr>
          <w:p w14:paraId="5B486864" w14:textId="77777777" w:rsidR="000B4516" w:rsidRPr="0034382E" w:rsidRDefault="00592046" w:rsidP="0034382E">
            <w:pPr>
              <w:spacing w:line="360" w:lineRule="auto"/>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Relative Performance</w:t>
            </w:r>
          </w:p>
        </w:tc>
      </w:tr>
      <w:tr w:rsidR="0034382E" w:rsidRPr="0034382E" w14:paraId="19A1358C"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50FFAD7D" w14:textId="77777777" w:rsidR="000B4516" w:rsidRPr="0034382E" w:rsidRDefault="00592046" w:rsidP="0034382E">
            <w:pPr>
              <w:spacing w:line="360" w:lineRule="auto"/>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Profitability ratios</w:t>
            </w:r>
          </w:p>
        </w:tc>
        <w:tc>
          <w:tcPr>
            <w:tcW w:w="886" w:type="dxa"/>
            <w:tcBorders>
              <w:top w:val="nil"/>
              <w:left w:val="nil"/>
              <w:bottom w:val="single" w:sz="4" w:space="0" w:color="auto"/>
              <w:right w:val="single" w:sz="4" w:space="0" w:color="auto"/>
            </w:tcBorders>
            <w:shd w:val="clear" w:color="auto" w:fill="auto"/>
            <w:noWrap/>
            <w:vAlign w:val="bottom"/>
            <w:hideMark/>
          </w:tcPr>
          <w:p w14:paraId="7BAF6A20"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953" w:type="dxa"/>
            <w:tcBorders>
              <w:top w:val="nil"/>
              <w:left w:val="nil"/>
              <w:bottom w:val="single" w:sz="4" w:space="0" w:color="auto"/>
              <w:right w:val="single" w:sz="4" w:space="0" w:color="auto"/>
            </w:tcBorders>
            <w:shd w:val="clear" w:color="auto" w:fill="auto"/>
            <w:noWrap/>
            <w:vAlign w:val="bottom"/>
            <w:hideMark/>
          </w:tcPr>
          <w:p w14:paraId="1387460A"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282" w:type="dxa"/>
            <w:tcBorders>
              <w:top w:val="nil"/>
              <w:left w:val="nil"/>
              <w:bottom w:val="single" w:sz="4" w:space="0" w:color="auto"/>
              <w:right w:val="single" w:sz="4" w:space="0" w:color="auto"/>
            </w:tcBorders>
            <w:shd w:val="clear" w:color="auto" w:fill="auto"/>
            <w:noWrap/>
            <w:vAlign w:val="bottom"/>
            <w:hideMark/>
          </w:tcPr>
          <w:p w14:paraId="47969D36"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549" w:type="dxa"/>
            <w:tcBorders>
              <w:top w:val="nil"/>
              <w:left w:val="nil"/>
              <w:bottom w:val="single" w:sz="4" w:space="0" w:color="auto"/>
              <w:right w:val="single" w:sz="4" w:space="0" w:color="auto"/>
            </w:tcBorders>
            <w:shd w:val="clear" w:color="auto" w:fill="auto"/>
            <w:noWrap/>
            <w:vAlign w:val="bottom"/>
            <w:hideMark/>
          </w:tcPr>
          <w:p w14:paraId="781A0791"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r>
      <w:tr w:rsidR="0034382E" w:rsidRPr="0034382E" w14:paraId="47F94C74"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588FF6AD"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ROCE</w:t>
            </w:r>
          </w:p>
        </w:tc>
        <w:tc>
          <w:tcPr>
            <w:tcW w:w="886" w:type="dxa"/>
            <w:tcBorders>
              <w:top w:val="nil"/>
              <w:left w:val="nil"/>
              <w:bottom w:val="single" w:sz="4" w:space="0" w:color="auto"/>
              <w:right w:val="single" w:sz="4" w:space="0" w:color="auto"/>
            </w:tcBorders>
            <w:shd w:val="clear" w:color="auto" w:fill="auto"/>
            <w:noWrap/>
            <w:vAlign w:val="bottom"/>
            <w:hideMark/>
          </w:tcPr>
          <w:p w14:paraId="25F73B3E"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noProof/>
                <w:color w:val="000000" w:themeColor="text1"/>
                <w:sz w:val="22"/>
                <w:szCs w:val="22"/>
                <w:lang w:eastAsia="en-GB"/>
              </w:rPr>
              <mc:AlternateContent>
                <mc:Choice Requires="wpi">
                  <w:drawing>
                    <wp:anchor distT="0" distB="0" distL="114300" distR="114300" simplePos="0" relativeHeight="251658240" behindDoc="0" locked="0" layoutInCell="1" allowOverlap="1" wp14:anchorId="601B4DDC" wp14:editId="1286ECDB">
                      <wp:simplePos x="0" y="0"/>
                      <wp:positionH relativeFrom="column">
                        <wp:posOffset>546100</wp:posOffset>
                      </wp:positionH>
                      <wp:positionV relativeFrom="paragraph">
                        <wp:posOffset>101600</wp:posOffset>
                      </wp:positionV>
                      <wp:extent cx="0" cy="0"/>
                      <wp:effectExtent l="38100" t="38100" r="38100" b="38100"/>
                      <wp:wrapNone/>
                      <wp:docPr id="2" name="Ink 2">
                        <a:extLst xmlns:a="http://schemas.openxmlformats.org/drawingml/2006/main">
                          <a:ext uri="{FF2B5EF4-FFF2-40B4-BE49-F238E27FC236}">
                            <a16:creationId xmlns:a16="http://schemas.microsoft.com/office/drawing/2014/main" id="{E0DFCA51-19D5-8A4A-BBA5-F66500CB62CE}"/>
                          </a:ext>
                        </a:extLst>
                      </wp:docPr>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5" type="#_x0000_t75" style="width:1.4pt;height:1.4pt;margin-top:7.3pt;margin-left:42.3pt;mso-height-percent:0;mso-height-relative:page;mso-width-percent:0;mso-width-relative:page;mso-wrap-distance-bottom:0;mso-wrap-distance-left:9pt;mso-wrap-distance-right:9pt;mso-wrap-distance-top:0;mso-wrap-style:square;position:absolute;visibility:visible;z-index:251659264">
                      <v:imagedata r:id="rId12" o:title=""/>
                    </v:shape>
                  </w:pict>
                </mc:Fallback>
              </mc:AlternateContent>
            </w:r>
            <w:r w:rsidRPr="0034382E">
              <w:rPr>
                <w:rFonts w:ascii="Arial" w:eastAsia="Times New Roman" w:hAnsi="Arial" w:cs="Arial"/>
                <w:color w:val="000000" w:themeColor="text1"/>
                <w:sz w:val="22"/>
                <w:szCs w:val="22"/>
                <w:lang w:eastAsia="en-GB"/>
              </w:rPr>
              <w:t>70.8</w:t>
            </w:r>
          </w:p>
        </w:tc>
        <w:tc>
          <w:tcPr>
            <w:tcW w:w="953" w:type="dxa"/>
            <w:tcBorders>
              <w:top w:val="nil"/>
              <w:left w:val="nil"/>
              <w:bottom w:val="single" w:sz="4" w:space="0" w:color="auto"/>
              <w:right w:val="single" w:sz="4" w:space="0" w:color="auto"/>
            </w:tcBorders>
            <w:shd w:val="clear" w:color="auto" w:fill="auto"/>
            <w:noWrap/>
            <w:vAlign w:val="bottom"/>
            <w:hideMark/>
          </w:tcPr>
          <w:p w14:paraId="18A87EAF"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71.9</w:t>
            </w:r>
          </w:p>
        </w:tc>
        <w:tc>
          <w:tcPr>
            <w:tcW w:w="1282" w:type="dxa"/>
            <w:tcBorders>
              <w:top w:val="nil"/>
              <w:left w:val="nil"/>
              <w:bottom w:val="single" w:sz="4" w:space="0" w:color="auto"/>
              <w:right w:val="single" w:sz="4" w:space="0" w:color="auto"/>
            </w:tcBorders>
            <w:shd w:val="clear" w:color="auto" w:fill="auto"/>
            <w:noWrap/>
            <w:vAlign w:val="bottom"/>
            <w:hideMark/>
          </w:tcPr>
          <w:p w14:paraId="1310CC27"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-1.1</w:t>
            </w:r>
          </w:p>
        </w:tc>
        <w:tc>
          <w:tcPr>
            <w:tcW w:w="1549" w:type="dxa"/>
            <w:tcBorders>
              <w:top w:val="nil"/>
              <w:left w:val="nil"/>
              <w:bottom w:val="single" w:sz="4" w:space="0" w:color="auto"/>
              <w:right w:val="single" w:sz="4" w:space="0" w:color="auto"/>
            </w:tcBorders>
            <w:shd w:val="clear" w:color="auto" w:fill="auto"/>
            <w:noWrap/>
            <w:vAlign w:val="bottom"/>
            <w:hideMark/>
          </w:tcPr>
          <w:p w14:paraId="0674C013"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-1.1</w:t>
            </w:r>
          </w:p>
        </w:tc>
      </w:tr>
      <w:tr w:rsidR="0034382E" w:rsidRPr="0034382E" w14:paraId="36B40DE0"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41F6D6C8"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Asset turnover</w:t>
            </w:r>
          </w:p>
        </w:tc>
        <w:tc>
          <w:tcPr>
            <w:tcW w:w="886" w:type="dxa"/>
            <w:tcBorders>
              <w:top w:val="nil"/>
              <w:left w:val="nil"/>
              <w:bottom w:val="single" w:sz="4" w:space="0" w:color="auto"/>
              <w:right w:val="single" w:sz="4" w:space="0" w:color="auto"/>
            </w:tcBorders>
            <w:shd w:val="clear" w:color="auto" w:fill="auto"/>
            <w:noWrap/>
            <w:vAlign w:val="bottom"/>
            <w:hideMark/>
          </w:tcPr>
          <w:p w14:paraId="359A8BED"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1.04</w:t>
            </w:r>
          </w:p>
        </w:tc>
        <w:tc>
          <w:tcPr>
            <w:tcW w:w="953" w:type="dxa"/>
            <w:tcBorders>
              <w:top w:val="nil"/>
              <w:left w:val="nil"/>
              <w:bottom w:val="single" w:sz="4" w:space="0" w:color="auto"/>
              <w:right w:val="single" w:sz="4" w:space="0" w:color="auto"/>
            </w:tcBorders>
            <w:shd w:val="clear" w:color="auto" w:fill="auto"/>
            <w:noWrap/>
            <w:vAlign w:val="bottom"/>
            <w:hideMark/>
          </w:tcPr>
          <w:p w14:paraId="04F6D1B4"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0.99</w:t>
            </w:r>
          </w:p>
        </w:tc>
        <w:tc>
          <w:tcPr>
            <w:tcW w:w="1282" w:type="dxa"/>
            <w:tcBorders>
              <w:top w:val="nil"/>
              <w:left w:val="nil"/>
              <w:bottom w:val="single" w:sz="4" w:space="0" w:color="auto"/>
              <w:right w:val="single" w:sz="4" w:space="0" w:color="auto"/>
            </w:tcBorders>
            <w:shd w:val="clear" w:color="auto" w:fill="auto"/>
            <w:noWrap/>
            <w:vAlign w:val="bottom"/>
            <w:hideMark/>
          </w:tcPr>
          <w:p w14:paraId="0BD78843"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0.</w:t>
            </w:r>
            <w:r w:rsidR="003C4F0D" w:rsidRPr="0034382E">
              <w:rPr>
                <w:rFonts w:ascii="Arial" w:eastAsia="Times New Roman" w:hAnsi="Arial" w:cs="Arial"/>
                <w:color w:val="000000" w:themeColor="text1"/>
                <w:sz w:val="22"/>
                <w:szCs w:val="22"/>
                <w:lang w:eastAsia="en-GB"/>
              </w:rPr>
              <w:t>06</w:t>
            </w:r>
          </w:p>
        </w:tc>
        <w:tc>
          <w:tcPr>
            <w:tcW w:w="1549" w:type="dxa"/>
            <w:tcBorders>
              <w:top w:val="nil"/>
              <w:left w:val="nil"/>
              <w:bottom w:val="single" w:sz="4" w:space="0" w:color="auto"/>
              <w:right w:val="single" w:sz="4" w:space="0" w:color="auto"/>
            </w:tcBorders>
            <w:shd w:val="clear" w:color="auto" w:fill="auto"/>
            <w:noWrap/>
            <w:vAlign w:val="bottom"/>
            <w:hideMark/>
          </w:tcPr>
          <w:p w14:paraId="669329B6"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5.7</w:t>
            </w:r>
          </w:p>
        </w:tc>
      </w:tr>
      <w:tr w:rsidR="0034382E" w:rsidRPr="0034382E" w14:paraId="3BA35071"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34850D49"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xml:space="preserve">Gross profit </w:t>
            </w:r>
          </w:p>
        </w:tc>
        <w:tc>
          <w:tcPr>
            <w:tcW w:w="886" w:type="dxa"/>
            <w:tcBorders>
              <w:top w:val="nil"/>
              <w:left w:val="nil"/>
              <w:bottom w:val="single" w:sz="4" w:space="0" w:color="auto"/>
              <w:right w:val="single" w:sz="4" w:space="0" w:color="auto"/>
            </w:tcBorders>
            <w:shd w:val="clear" w:color="auto" w:fill="auto"/>
            <w:noWrap/>
            <w:vAlign w:val="bottom"/>
            <w:hideMark/>
          </w:tcPr>
          <w:p w14:paraId="6F5B8B39"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85.8</w:t>
            </w:r>
          </w:p>
        </w:tc>
        <w:tc>
          <w:tcPr>
            <w:tcW w:w="953" w:type="dxa"/>
            <w:tcBorders>
              <w:top w:val="nil"/>
              <w:left w:val="nil"/>
              <w:bottom w:val="single" w:sz="4" w:space="0" w:color="auto"/>
              <w:right w:val="single" w:sz="4" w:space="0" w:color="auto"/>
            </w:tcBorders>
            <w:shd w:val="clear" w:color="auto" w:fill="auto"/>
            <w:noWrap/>
            <w:vAlign w:val="bottom"/>
            <w:hideMark/>
          </w:tcPr>
          <w:p w14:paraId="25F90484"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91.8</w:t>
            </w:r>
          </w:p>
        </w:tc>
        <w:tc>
          <w:tcPr>
            <w:tcW w:w="1282" w:type="dxa"/>
            <w:tcBorders>
              <w:top w:val="nil"/>
              <w:left w:val="nil"/>
              <w:bottom w:val="single" w:sz="4" w:space="0" w:color="auto"/>
              <w:right w:val="single" w:sz="4" w:space="0" w:color="auto"/>
            </w:tcBorders>
            <w:shd w:val="clear" w:color="auto" w:fill="auto"/>
            <w:noWrap/>
            <w:vAlign w:val="bottom"/>
            <w:hideMark/>
          </w:tcPr>
          <w:p w14:paraId="5D2F0AB4"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-6.0</w:t>
            </w:r>
          </w:p>
        </w:tc>
        <w:tc>
          <w:tcPr>
            <w:tcW w:w="1549" w:type="dxa"/>
            <w:tcBorders>
              <w:top w:val="nil"/>
              <w:left w:val="nil"/>
              <w:bottom w:val="single" w:sz="4" w:space="0" w:color="auto"/>
              <w:right w:val="single" w:sz="4" w:space="0" w:color="auto"/>
            </w:tcBorders>
            <w:shd w:val="clear" w:color="auto" w:fill="auto"/>
            <w:noWrap/>
            <w:vAlign w:val="bottom"/>
            <w:hideMark/>
          </w:tcPr>
          <w:p w14:paraId="70BA718E"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-6.0</w:t>
            </w:r>
          </w:p>
        </w:tc>
      </w:tr>
      <w:tr w:rsidR="0034382E" w:rsidRPr="0034382E" w14:paraId="5CC0265A"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0351E2A2"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xml:space="preserve">Net operating profit </w:t>
            </w:r>
          </w:p>
        </w:tc>
        <w:tc>
          <w:tcPr>
            <w:tcW w:w="886" w:type="dxa"/>
            <w:tcBorders>
              <w:top w:val="nil"/>
              <w:left w:val="nil"/>
              <w:bottom w:val="single" w:sz="4" w:space="0" w:color="auto"/>
              <w:right w:val="single" w:sz="4" w:space="0" w:color="auto"/>
            </w:tcBorders>
            <w:shd w:val="clear" w:color="auto" w:fill="auto"/>
            <w:noWrap/>
            <w:vAlign w:val="bottom"/>
            <w:hideMark/>
          </w:tcPr>
          <w:p w14:paraId="777023AF"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67.9</w:t>
            </w:r>
          </w:p>
        </w:tc>
        <w:tc>
          <w:tcPr>
            <w:tcW w:w="953" w:type="dxa"/>
            <w:tcBorders>
              <w:top w:val="nil"/>
              <w:left w:val="nil"/>
              <w:bottom w:val="single" w:sz="4" w:space="0" w:color="auto"/>
              <w:right w:val="single" w:sz="4" w:space="0" w:color="auto"/>
            </w:tcBorders>
            <w:shd w:val="clear" w:color="auto" w:fill="auto"/>
            <w:noWrap/>
            <w:vAlign w:val="bottom"/>
            <w:hideMark/>
          </w:tcPr>
          <w:p w14:paraId="2415F1AE"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72.9</w:t>
            </w:r>
          </w:p>
        </w:tc>
        <w:tc>
          <w:tcPr>
            <w:tcW w:w="1282" w:type="dxa"/>
            <w:tcBorders>
              <w:top w:val="nil"/>
              <w:left w:val="nil"/>
              <w:bottom w:val="single" w:sz="4" w:space="0" w:color="auto"/>
              <w:right w:val="single" w:sz="4" w:space="0" w:color="auto"/>
            </w:tcBorders>
            <w:shd w:val="clear" w:color="auto" w:fill="auto"/>
            <w:noWrap/>
            <w:vAlign w:val="bottom"/>
            <w:hideMark/>
          </w:tcPr>
          <w:p w14:paraId="78E5696A"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-5.0</w:t>
            </w:r>
          </w:p>
        </w:tc>
        <w:tc>
          <w:tcPr>
            <w:tcW w:w="1549" w:type="dxa"/>
            <w:tcBorders>
              <w:top w:val="nil"/>
              <w:left w:val="nil"/>
              <w:bottom w:val="single" w:sz="4" w:space="0" w:color="auto"/>
              <w:right w:val="single" w:sz="4" w:space="0" w:color="auto"/>
            </w:tcBorders>
            <w:shd w:val="clear" w:color="auto" w:fill="auto"/>
            <w:noWrap/>
            <w:vAlign w:val="bottom"/>
            <w:hideMark/>
          </w:tcPr>
          <w:p w14:paraId="1409F31C"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-5.0</w:t>
            </w:r>
          </w:p>
        </w:tc>
      </w:tr>
      <w:tr w:rsidR="0034382E" w:rsidRPr="0034382E" w14:paraId="764D37A1"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528C38D7"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886" w:type="dxa"/>
            <w:tcBorders>
              <w:top w:val="nil"/>
              <w:left w:val="nil"/>
              <w:bottom w:val="single" w:sz="4" w:space="0" w:color="auto"/>
              <w:right w:val="single" w:sz="4" w:space="0" w:color="auto"/>
            </w:tcBorders>
            <w:shd w:val="clear" w:color="auto" w:fill="auto"/>
            <w:noWrap/>
            <w:vAlign w:val="bottom"/>
            <w:hideMark/>
          </w:tcPr>
          <w:p w14:paraId="686D6A64"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953" w:type="dxa"/>
            <w:tcBorders>
              <w:top w:val="nil"/>
              <w:left w:val="nil"/>
              <w:bottom w:val="single" w:sz="4" w:space="0" w:color="auto"/>
              <w:right w:val="single" w:sz="4" w:space="0" w:color="auto"/>
            </w:tcBorders>
            <w:shd w:val="clear" w:color="auto" w:fill="auto"/>
            <w:noWrap/>
            <w:vAlign w:val="bottom"/>
            <w:hideMark/>
          </w:tcPr>
          <w:p w14:paraId="489779CF"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282" w:type="dxa"/>
            <w:tcBorders>
              <w:top w:val="nil"/>
              <w:left w:val="nil"/>
              <w:bottom w:val="single" w:sz="4" w:space="0" w:color="auto"/>
              <w:right w:val="single" w:sz="4" w:space="0" w:color="auto"/>
            </w:tcBorders>
            <w:shd w:val="clear" w:color="auto" w:fill="auto"/>
            <w:noWrap/>
            <w:vAlign w:val="bottom"/>
            <w:hideMark/>
          </w:tcPr>
          <w:p w14:paraId="7628E139"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549" w:type="dxa"/>
            <w:tcBorders>
              <w:top w:val="nil"/>
              <w:left w:val="nil"/>
              <w:bottom w:val="single" w:sz="4" w:space="0" w:color="auto"/>
              <w:right w:val="single" w:sz="4" w:space="0" w:color="auto"/>
            </w:tcBorders>
            <w:shd w:val="clear" w:color="auto" w:fill="auto"/>
            <w:noWrap/>
            <w:vAlign w:val="bottom"/>
            <w:hideMark/>
          </w:tcPr>
          <w:p w14:paraId="19553E8C"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r>
      <w:tr w:rsidR="0034382E" w:rsidRPr="0034382E" w14:paraId="6163BA2D"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0B5C133A" w14:textId="77777777" w:rsidR="000B4516" w:rsidRPr="0034382E" w:rsidRDefault="00592046" w:rsidP="0034382E">
            <w:pPr>
              <w:spacing w:line="360" w:lineRule="auto"/>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Efficiency</w:t>
            </w:r>
          </w:p>
        </w:tc>
        <w:tc>
          <w:tcPr>
            <w:tcW w:w="886" w:type="dxa"/>
            <w:tcBorders>
              <w:top w:val="nil"/>
              <w:left w:val="nil"/>
              <w:bottom w:val="single" w:sz="4" w:space="0" w:color="auto"/>
              <w:right w:val="single" w:sz="4" w:space="0" w:color="auto"/>
            </w:tcBorders>
            <w:shd w:val="clear" w:color="auto" w:fill="auto"/>
            <w:noWrap/>
            <w:vAlign w:val="bottom"/>
            <w:hideMark/>
          </w:tcPr>
          <w:p w14:paraId="665A55BC"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953" w:type="dxa"/>
            <w:tcBorders>
              <w:top w:val="nil"/>
              <w:left w:val="nil"/>
              <w:bottom w:val="single" w:sz="4" w:space="0" w:color="auto"/>
              <w:right w:val="single" w:sz="4" w:space="0" w:color="auto"/>
            </w:tcBorders>
            <w:shd w:val="clear" w:color="auto" w:fill="auto"/>
            <w:noWrap/>
            <w:vAlign w:val="bottom"/>
            <w:hideMark/>
          </w:tcPr>
          <w:p w14:paraId="3297F9F2"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282" w:type="dxa"/>
            <w:tcBorders>
              <w:top w:val="nil"/>
              <w:left w:val="nil"/>
              <w:bottom w:val="single" w:sz="4" w:space="0" w:color="auto"/>
              <w:right w:val="single" w:sz="4" w:space="0" w:color="auto"/>
            </w:tcBorders>
            <w:shd w:val="clear" w:color="auto" w:fill="auto"/>
            <w:noWrap/>
            <w:vAlign w:val="bottom"/>
            <w:hideMark/>
          </w:tcPr>
          <w:p w14:paraId="0B5C7AEE"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549" w:type="dxa"/>
            <w:tcBorders>
              <w:top w:val="nil"/>
              <w:left w:val="nil"/>
              <w:bottom w:val="single" w:sz="4" w:space="0" w:color="auto"/>
              <w:right w:val="single" w:sz="4" w:space="0" w:color="auto"/>
            </w:tcBorders>
            <w:shd w:val="clear" w:color="auto" w:fill="auto"/>
            <w:noWrap/>
            <w:vAlign w:val="bottom"/>
            <w:hideMark/>
          </w:tcPr>
          <w:p w14:paraId="75E4B0E8"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r>
      <w:tr w:rsidR="0034382E" w:rsidRPr="0034382E" w14:paraId="182FB701"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49EA40F7"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Non-current asset turnover</w:t>
            </w:r>
          </w:p>
        </w:tc>
        <w:tc>
          <w:tcPr>
            <w:tcW w:w="886" w:type="dxa"/>
            <w:tcBorders>
              <w:top w:val="nil"/>
              <w:left w:val="nil"/>
              <w:bottom w:val="single" w:sz="4" w:space="0" w:color="auto"/>
              <w:right w:val="single" w:sz="4" w:space="0" w:color="auto"/>
            </w:tcBorders>
            <w:shd w:val="clear" w:color="auto" w:fill="auto"/>
            <w:noWrap/>
            <w:vAlign w:val="bottom"/>
            <w:hideMark/>
          </w:tcPr>
          <w:p w14:paraId="3ACB1DCB"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1.29</w:t>
            </w:r>
          </w:p>
        </w:tc>
        <w:tc>
          <w:tcPr>
            <w:tcW w:w="953" w:type="dxa"/>
            <w:tcBorders>
              <w:top w:val="nil"/>
              <w:left w:val="nil"/>
              <w:bottom w:val="single" w:sz="4" w:space="0" w:color="auto"/>
              <w:right w:val="single" w:sz="4" w:space="0" w:color="auto"/>
            </w:tcBorders>
            <w:shd w:val="clear" w:color="auto" w:fill="auto"/>
            <w:noWrap/>
            <w:vAlign w:val="bottom"/>
            <w:hideMark/>
          </w:tcPr>
          <w:p w14:paraId="1D42DB53"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1.22</w:t>
            </w:r>
          </w:p>
        </w:tc>
        <w:tc>
          <w:tcPr>
            <w:tcW w:w="1282" w:type="dxa"/>
            <w:tcBorders>
              <w:top w:val="nil"/>
              <w:left w:val="nil"/>
              <w:bottom w:val="single" w:sz="4" w:space="0" w:color="auto"/>
              <w:right w:val="single" w:sz="4" w:space="0" w:color="auto"/>
            </w:tcBorders>
            <w:shd w:val="clear" w:color="auto" w:fill="auto"/>
            <w:noWrap/>
            <w:vAlign w:val="bottom"/>
            <w:hideMark/>
          </w:tcPr>
          <w:p w14:paraId="28E4CC2E"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0.</w:t>
            </w:r>
            <w:r w:rsidR="003A2024" w:rsidRPr="0034382E">
              <w:rPr>
                <w:rFonts w:ascii="Arial" w:eastAsia="Times New Roman" w:hAnsi="Arial" w:cs="Arial"/>
                <w:color w:val="000000" w:themeColor="text1"/>
                <w:sz w:val="22"/>
                <w:szCs w:val="22"/>
                <w:lang w:eastAsia="en-GB"/>
              </w:rPr>
              <w:t>1</w:t>
            </w:r>
          </w:p>
        </w:tc>
        <w:tc>
          <w:tcPr>
            <w:tcW w:w="1549" w:type="dxa"/>
            <w:tcBorders>
              <w:top w:val="nil"/>
              <w:left w:val="nil"/>
              <w:bottom w:val="single" w:sz="4" w:space="0" w:color="auto"/>
              <w:right w:val="single" w:sz="4" w:space="0" w:color="auto"/>
            </w:tcBorders>
            <w:shd w:val="clear" w:color="auto" w:fill="auto"/>
            <w:noWrap/>
            <w:vAlign w:val="bottom"/>
            <w:hideMark/>
          </w:tcPr>
          <w:p w14:paraId="6C79D00F"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5.6</w:t>
            </w:r>
          </w:p>
        </w:tc>
      </w:tr>
      <w:tr w:rsidR="0034382E" w:rsidRPr="0034382E" w14:paraId="40B332F5"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798C5609"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Inventory turnover (days)</w:t>
            </w:r>
          </w:p>
        </w:tc>
        <w:tc>
          <w:tcPr>
            <w:tcW w:w="886" w:type="dxa"/>
            <w:tcBorders>
              <w:top w:val="nil"/>
              <w:left w:val="nil"/>
              <w:bottom w:val="single" w:sz="4" w:space="0" w:color="auto"/>
              <w:right w:val="single" w:sz="4" w:space="0" w:color="auto"/>
            </w:tcBorders>
            <w:shd w:val="clear" w:color="auto" w:fill="auto"/>
            <w:noWrap/>
            <w:vAlign w:val="bottom"/>
            <w:hideMark/>
          </w:tcPr>
          <w:p w14:paraId="17CD8BB6"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386.5</w:t>
            </w:r>
          </w:p>
        </w:tc>
        <w:tc>
          <w:tcPr>
            <w:tcW w:w="953" w:type="dxa"/>
            <w:tcBorders>
              <w:top w:val="nil"/>
              <w:left w:val="nil"/>
              <w:bottom w:val="single" w:sz="4" w:space="0" w:color="auto"/>
              <w:right w:val="single" w:sz="4" w:space="0" w:color="auto"/>
            </w:tcBorders>
            <w:shd w:val="clear" w:color="auto" w:fill="auto"/>
            <w:noWrap/>
            <w:vAlign w:val="bottom"/>
            <w:hideMark/>
          </w:tcPr>
          <w:p w14:paraId="43758315"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648.9</w:t>
            </w:r>
          </w:p>
        </w:tc>
        <w:tc>
          <w:tcPr>
            <w:tcW w:w="1282" w:type="dxa"/>
            <w:tcBorders>
              <w:top w:val="nil"/>
              <w:left w:val="nil"/>
              <w:bottom w:val="single" w:sz="4" w:space="0" w:color="auto"/>
              <w:right w:val="single" w:sz="4" w:space="0" w:color="auto"/>
            </w:tcBorders>
            <w:shd w:val="clear" w:color="auto" w:fill="auto"/>
            <w:noWrap/>
            <w:vAlign w:val="bottom"/>
            <w:hideMark/>
          </w:tcPr>
          <w:p w14:paraId="0E329ECA"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-262.4</w:t>
            </w:r>
          </w:p>
        </w:tc>
        <w:tc>
          <w:tcPr>
            <w:tcW w:w="1549" w:type="dxa"/>
            <w:tcBorders>
              <w:top w:val="nil"/>
              <w:left w:val="nil"/>
              <w:bottom w:val="single" w:sz="4" w:space="0" w:color="auto"/>
              <w:right w:val="single" w:sz="4" w:space="0" w:color="auto"/>
            </w:tcBorders>
            <w:shd w:val="clear" w:color="auto" w:fill="auto"/>
            <w:noWrap/>
            <w:vAlign w:val="bottom"/>
            <w:hideMark/>
          </w:tcPr>
          <w:p w14:paraId="47025CE9"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-40.4</w:t>
            </w:r>
          </w:p>
        </w:tc>
      </w:tr>
      <w:tr w:rsidR="0034382E" w:rsidRPr="0034382E" w14:paraId="72D04973"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35B6B274"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886" w:type="dxa"/>
            <w:tcBorders>
              <w:top w:val="nil"/>
              <w:left w:val="nil"/>
              <w:bottom w:val="single" w:sz="4" w:space="0" w:color="auto"/>
              <w:right w:val="single" w:sz="4" w:space="0" w:color="auto"/>
            </w:tcBorders>
            <w:shd w:val="clear" w:color="auto" w:fill="auto"/>
            <w:noWrap/>
            <w:vAlign w:val="bottom"/>
            <w:hideMark/>
          </w:tcPr>
          <w:p w14:paraId="3CE8D0A0"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953" w:type="dxa"/>
            <w:tcBorders>
              <w:top w:val="nil"/>
              <w:left w:val="nil"/>
              <w:bottom w:val="single" w:sz="4" w:space="0" w:color="auto"/>
              <w:right w:val="single" w:sz="4" w:space="0" w:color="auto"/>
            </w:tcBorders>
            <w:shd w:val="clear" w:color="auto" w:fill="auto"/>
            <w:noWrap/>
            <w:vAlign w:val="bottom"/>
            <w:hideMark/>
          </w:tcPr>
          <w:p w14:paraId="4A9864B7"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282" w:type="dxa"/>
            <w:tcBorders>
              <w:top w:val="nil"/>
              <w:left w:val="nil"/>
              <w:bottom w:val="single" w:sz="4" w:space="0" w:color="auto"/>
              <w:right w:val="single" w:sz="4" w:space="0" w:color="auto"/>
            </w:tcBorders>
            <w:shd w:val="clear" w:color="auto" w:fill="auto"/>
            <w:noWrap/>
            <w:vAlign w:val="bottom"/>
            <w:hideMark/>
          </w:tcPr>
          <w:p w14:paraId="535C8B1C"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549" w:type="dxa"/>
            <w:tcBorders>
              <w:top w:val="nil"/>
              <w:left w:val="nil"/>
              <w:bottom w:val="single" w:sz="4" w:space="0" w:color="auto"/>
              <w:right w:val="single" w:sz="4" w:space="0" w:color="auto"/>
            </w:tcBorders>
            <w:shd w:val="clear" w:color="auto" w:fill="auto"/>
            <w:noWrap/>
            <w:vAlign w:val="bottom"/>
            <w:hideMark/>
          </w:tcPr>
          <w:p w14:paraId="205187B7"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r>
      <w:tr w:rsidR="0034382E" w:rsidRPr="0034382E" w14:paraId="46F5A067"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3B9EB60A" w14:textId="77777777" w:rsidR="000B4516" w:rsidRPr="0034382E" w:rsidRDefault="00592046" w:rsidP="0034382E">
            <w:pPr>
              <w:spacing w:line="360" w:lineRule="auto"/>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Liquidity</w:t>
            </w:r>
          </w:p>
        </w:tc>
        <w:tc>
          <w:tcPr>
            <w:tcW w:w="886" w:type="dxa"/>
            <w:tcBorders>
              <w:top w:val="nil"/>
              <w:left w:val="nil"/>
              <w:bottom w:val="single" w:sz="4" w:space="0" w:color="auto"/>
              <w:right w:val="single" w:sz="4" w:space="0" w:color="auto"/>
            </w:tcBorders>
            <w:shd w:val="clear" w:color="auto" w:fill="auto"/>
            <w:noWrap/>
            <w:vAlign w:val="bottom"/>
            <w:hideMark/>
          </w:tcPr>
          <w:p w14:paraId="52BA81D0"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953" w:type="dxa"/>
            <w:tcBorders>
              <w:top w:val="nil"/>
              <w:left w:val="nil"/>
              <w:bottom w:val="single" w:sz="4" w:space="0" w:color="auto"/>
              <w:right w:val="single" w:sz="4" w:space="0" w:color="auto"/>
            </w:tcBorders>
            <w:shd w:val="clear" w:color="auto" w:fill="auto"/>
            <w:noWrap/>
            <w:vAlign w:val="bottom"/>
            <w:hideMark/>
          </w:tcPr>
          <w:p w14:paraId="5812DCC8"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282" w:type="dxa"/>
            <w:tcBorders>
              <w:top w:val="nil"/>
              <w:left w:val="nil"/>
              <w:bottom w:val="single" w:sz="4" w:space="0" w:color="auto"/>
              <w:right w:val="single" w:sz="4" w:space="0" w:color="auto"/>
            </w:tcBorders>
            <w:shd w:val="clear" w:color="auto" w:fill="auto"/>
            <w:noWrap/>
            <w:vAlign w:val="bottom"/>
            <w:hideMark/>
          </w:tcPr>
          <w:p w14:paraId="66ACC4CA"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549" w:type="dxa"/>
            <w:tcBorders>
              <w:top w:val="nil"/>
              <w:left w:val="nil"/>
              <w:bottom w:val="single" w:sz="4" w:space="0" w:color="auto"/>
              <w:right w:val="single" w:sz="4" w:space="0" w:color="auto"/>
            </w:tcBorders>
            <w:shd w:val="clear" w:color="auto" w:fill="auto"/>
            <w:noWrap/>
            <w:vAlign w:val="bottom"/>
            <w:hideMark/>
          </w:tcPr>
          <w:p w14:paraId="0D0654F3"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r>
      <w:tr w:rsidR="0034382E" w:rsidRPr="0034382E" w14:paraId="5B0C2150"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58177D1D"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Current ratio</w:t>
            </w:r>
          </w:p>
        </w:tc>
        <w:tc>
          <w:tcPr>
            <w:tcW w:w="886" w:type="dxa"/>
            <w:tcBorders>
              <w:top w:val="nil"/>
              <w:left w:val="nil"/>
              <w:bottom w:val="single" w:sz="4" w:space="0" w:color="auto"/>
              <w:right w:val="single" w:sz="4" w:space="0" w:color="auto"/>
            </w:tcBorders>
            <w:shd w:val="clear" w:color="auto" w:fill="auto"/>
            <w:noWrap/>
            <w:vAlign w:val="bottom"/>
            <w:hideMark/>
          </w:tcPr>
          <w:p w14:paraId="18279861"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1.7</w:t>
            </w:r>
          </w:p>
        </w:tc>
        <w:tc>
          <w:tcPr>
            <w:tcW w:w="953" w:type="dxa"/>
            <w:tcBorders>
              <w:top w:val="nil"/>
              <w:left w:val="nil"/>
              <w:bottom w:val="single" w:sz="4" w:space="0" w:color="auto"/>
              <w:right w:val="single" w:sz="4" w:space="0" w:color="auto"/>
            </w:tcBorders>
            <w:shd w:val="clear" w:color="auto" w:fill="auto"/>
            <w:noWrap/>
            <w:vAlign w:val="bottom"/>
            <w:hideMark/>
          </w:tcPr>
          <w:p w14:paraId="420D88B8"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0.12</w:t>
            </w:r>
          </w:p>
        </w:tc>
        <w:tc>
          <w:tcPr>
            <w:tcW w:w="1282" w:type="dxa"/>
            <w:tcBorders>
              <w:top w:val="nil"/>
              <w:left w:val="nil"/>
              <w:bottom w:val="single" w:sz="4" w:space="0" w:color="auto"/>
              <w:right w:val="single" w:sz="4" w:space="0" w:color="auto"/>
            </w:tcBorders>
            <w:shd w:val="clear" w:color="auto" w:fill="auto"/>
            <w:noWrap/>
            <w:vAlign w:val="bottom"/>
            <w:hideMark/>
          </w:tcPr>
          <w:p w14:paraId="1C42DFA0"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-0.</w:t>
            </w:r>
            <w:r w:rsidR="003C4F0D" w:rsidRPr="0034382E">
              <w:rPr>
                <w:rFonts w:ascii="Arial" w:eastAsia="Times New Roman" w:hAnsi="Arial" w:cs="Arial"/>
                <w:color w:val="000000" w:themeColor="text1"/>
                <w:sz w:val="22"/>
                <w:szCs w:val="22"/>
                <w:lang w:eastAsia="en-GB"/>
              </w:rPr>
              <w:t>07</w:t>
            </w:r>
          </w:p>
        </w:tc>
        <w:tc>
          <w:tcPr>
            <w:tcW w:w="1549" w:type="dxa"/>
            <w:tcBorders>
              <w:top w:val="nil"/>
              <w:left w:val="nil"/>
              <w:bottom w:val="single" w:sz="4" w:space="0" w:color="auto"/>
              <w:right w:val="single" w:sz="4" w:space="0" w:color="auto"/>
            </w:tcBorders>
            <w:shd w:val="clear" w:color="auto" w:fill="auto"/>
            <w:noWrap/>
            <w:vAlign w:val="bottom"/>
            <w:hideMark/>
          </w:tcPr>
          <w:p w14:paraId="4C89BC5D"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-6.7</w:t>
            </w:r>
          </w:p>
        </w:tc>
      </w:tr>
      <w:tr w:rsidR="0034382E" w:rsidRPr="0034382E" w14:paraId="21A48D2C"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7B66D89E"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Acid test</w:t>
            </w:r>
          </w:p>
        </w:tc>
        <w:tc>
          <w:tcPr>
            <w:tcW w:w="886" w:type="dxa"/>
            <w:tcBorders>
              <w:top w:val="nil"/>
              <w:left w:val="nil"/>
              <w:bottom w:val="single" w:sz="4" w:space="0" w:color="auto"/>
              <w:right w:val="single" w:sz="4" w:space="0" w:color="auto"/>
            </w:tcBorders>
            <w:shd w:val="clear" w:color="auto" w:fill="auto"/>
            <w:noWrap/>
            <w:vAlign w:val="bottom"/>
            <w:hideMark/>
          </w:tcPr>
          <w:p w14:paraId="33912E72"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1.1</w:t>
            </w:r>
          </w:p>
        </w:tc>
        <w:tc>
          <w:tcPr>
            <w:tcW w:w="953" w:type="dxa"/>
            <w:tcBorders>
              <w:top w:val="nil"/>
              <w:left w:val="nil"/>
              <w:bottom w:val="single" w:sz="4" w:space="0" w:color="auto"/>
              <w:right w:val="single" w:sz="4" w:space="0" w:color="auto"/>
            </w:tcBorders>
            <w:shd w:val="clear" w:color="auto" w:fill="auto"/>
            <w:noWrap/>
            <w:vAlign w:val="bottom"/>
            <w:hideMark/>
          </w:tcPr>
          <w:p w14:paraId="63AF876E"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1.2</w:t>
            </w:r>
          </w:p>
        </w:tc>
        <w:tc>
          <w:tcPr>
            <w:tcW w:w="1282" w:type="dxa"/>
            <w:tcBorders>
              <w:top w:val="nil"/>
              <w:left w:val="nil"/>
              <w:bottom w:val="single" w:sz="4" w:space="0" w:color="auto"/>
              <w:right w:val="single" w:sz="4" w:space="0" w:color="auto"/>
            </w:tcBorders>
            <w:shd w:val="clear" w:color="auto" w:fill="auto"/>
            <w:noWrap/>
            <w:vAlign w:val="bottom"/>
            <w:hideMark/>
          </w:tcPr>
          <w:p w14:paraId="5FEB73C1"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-0.1</w:t>
            </w:r>
          </w:p>
        </w:tc>
        <w:tc>
          <w:tcPr>
            <w:tcW w:w="1549" w:type="dxa"/>
            <w:tcBorders>
              <w:top w:val="nil"/>
              <w:left w:val="nil"/>
              <w:bottom w:val="single" w:sz="4" w:space="0" w:color="auto"/>
              <w:right w:val="single" w:sz="4" w:space="0" w:color="auto"/>
            </w:tcBorders>
            <w:shd w:val="clear" w:color="auto" w:fill="auto"/>
            <w:noWrap/>
            <w:vAlign w:val="bottom"/>
            <w:hideMark/>
          </w:tcPr>
          <w:p w14:paraId="66C4A96C"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-6.6</w:t>
            </w:r>
          </w:p>
        </w:tc>
      </w:tr>
      <w:tr w:rsidR="0034382E" w:rsidRPr="0034382E" w14:paraId="68D3B833" w14:textId="77777777" w:rsidTr="000B4516">
        <w:trPr>
          <w:trHeight w:val="265"/>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40C88AE7"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Creditor days</w:t>
            </w:r>
          </w:p>
        </w:tc>
        <w:tc>
          <w:tcPr>
            <w:tcW w:w="886" w:type="dxa"/>
            <w:tcBorders>
              <w:top w:val="nil"/>
              <w:left w:val="nil"/>
              <w:bottom w:val="single" w:sz="4" w:space="0" w:color="auto"/>
              <w:right w:val="single" w:sz="4" w:space="0" w:color="auto"/>
            </w:tcBorders>
            <w:shd w:val="clear" w:color="auto" w:fill="auto"/>
            <w:noWrap/>
            <w:vAlign w:val="bottom"/>
            <w:hideMark/>
          </w:tcPr>
          <w:p w14:paraId="6885A96A"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373.6</w:t>
            </w:r>
          </w:p>
        </w:tc>
        <w:tc>
          <w:tcPr>
            <w:tcW w:w="953" w:type="dxa"/>
            <w:tcBorders>
              <w:top w:val="nil"/>
              <w:left w:val="nil"/>
              <w:bottom w:val="single" w:sz="4" w:space="0" w:color="auto"/>
              <w:right w:val="single" w:sz="4" w:space="0" w:color="auto"/>
            </w:tcBorders>
            <w:shd w:val="clear" w:color="auto" w:fill="auto"/>
            <w:noWrap/>
            <w:vAlign w:val="bottom"/>
            <w:hideMark/>
          </w:tcPr>
          <w:p w14:paraId="6AC13E1E"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648.9</w:t>
            </w:r>
          </w:p>
        </w:tc>
        <w:tc>
          <w:tcPr>
            <w:tcW w:w="1282" w:type="dxa"/>
            <w:tcBorders>
              <w:top w:val="nil"/>
              <w:left w:val="nil"/>
              <w:bottom w:val="single" w:sz="4" w:space="0" w:color="auto"/>
              <w:right w:val="single" w:sz="4" w:space="0" w:color="auto"/>
            </w:tcBorders>
            <w:shd w:val="clear" w:color="auto" w:fill="auto"/>
            <w:noWrap/>
            <w:vAlign w:val="bottom"/>
            <w:hideMark/>
          </w:tcPr>
          <w:p w14:paraId="1278F359"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-275.3</w:t>
            </w:r>
          </w:p>
        </w:tc>
        <w:tc>
          <w:tcPr>
            <w:tcW w:w="1549" w:type="dxa"/>
            <w:tcBorders>
              <w:top w:val="nil"/>
              <w:left w:val="nil"/>
              <w:bottom w:val="single" w:sz="4" w:space="0" w:color="auto"/>
              <w:right w:val="single" w:sz="4" w:space="0" w:color="auto"/>
            </w:tcBorders>
            <w:shd w:val="clear" w:color="auto" w:fill="auto"/>
            <w:noWrap/>
            <w:vAlign w:val="bottom"/>
            <w:hideMark/>
          </w:tcPr>
          <w:p w14:paraId="451C46C4"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-42.4</w:t>
            </w:r>
          </w:p>
        </w:tc>
      </w:tr>
      <w:tr w:rsidR="0034382E" w:rsidRPr="0034382E" w14:paraId="067E2BB2" w14:textId="77777777" w:rsidTr="000B4516">
        <w:trPr>
          <w:trHeight w:val="276"/>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1D4E650E"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Debtors days</w:t>
            </w:r>
          </w:p>
        </w:tc>
        <w:tc>
          <w:tcPr>
            <w:tcW w:w="886" w:type="dxa"/>
            <w:tcBorders>
              <w:top w:val="nil"/>
              <w:left w:val="nil"/>
              <w:bottom w:val="single" w:sz="4" w:space="0" w:color="auto"/>
              <w:right w:val="single" w:sz="4" w:space="0" w:color="auto"/>
            </w:tcBorders>
            <w:shd w:val="clear" w:color="auto" w:fill="auto"/>
            <w:noWrap/>
            <w:vAlign w:val="bottom"/>
            <w:hideMark/>
          </w:tcPr>
          <w:p w14:paraId="63878C78"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109.5</w:t>
            </w:r>
          </w:p>
        </w:tc>
        <w:tc>
          <w:tcPr>
            <w:tcW w:w="953" w:type="dxa"/>
            <w:tcBorders>
              <w:top w:val="nil"/>
              <w:left w:val="nil"/>
              <w:bottom w:val="single" w:sz="4" w:space="0" w:color="auto"/>
              <w:right w:val="single" w:sz="4" w:space="0" w:color="auto"/>
            </w:tcBorders>
            <w:shd w:val="clear" w:color="auto" w:fill="auto"/>
            <w:noWrap/>
            <w:vAlign w:val="bottom"/>
            <w:hideMark/>
          </w:tcPr>
          <w:p w14:paraId="6224D53F"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106.2</w:t>
            </w:r>
          </w:p>
        </w:tc>
        <w:tc>
          <w:tcPr>
            <w:tcW w:w="1282" w:type="dxa"/>
            <w:tcBorders>
              <w:top w:val="nil"/>
              <w:left w:val="nil"/>
              <w:bottom w:val="single" w:sz="4" w:space="0" w:color="auto"/>
              <w:right w:val="single" w:sz="4" w:space="0" w:color="auto"/>
            </w:tcBorders>
            <w:shd w:val="clear" w:color="auto" w:fill="auto"/>
            <w:noWrap/>
            <w:vAlign w:val="bottom"/>
            <w:hideMark/>
          </w:tcPr>
          <w:p w14:paraId="3A15C32E"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3.3</w:t>
            </w:r>
          </w:p>
        </w:tc>
        <w:tc>
          <w:tcPr>
            <w:tcW w:w="1549" w:type="dxa"/>
            <w:tcBorders>
              <w:top w:val="nil"/>
              <w:left w:val="nil"/>
              <w:bottom w:val="single" w:sz="4" w:space="0" w:color="auto"/>
              <w:right w:val="single" w:sz="4" w:space="0" w:color="auto"/>
            </w:tcBorders>
            <w:shd w:val="clear" w:color="auto" w:fill="auto"/>
            <w:noWrap/>
            <w:vAlign w:val="bottom"/>
            <w:hideMark/>
          </w:tcPr>
          <w:p w14:paraId="6FED87C3"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3.1</w:t>
            </w:r>
          </w:p>
        </w:tc>
      </w:tr>
      <w:tr w:rsidR="0034382E" w:rsidRPr="0034382E" w14:paraId="529C30EF" w14:textId="77777777" w:rsidTr="000B4516">
        <w:trPr>
          <w:trHeight w:val="276"/>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315EF5DA"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886" w:type="dxa"/>
            <w:tcBorders>
              <w:top w:val="nil"/>
              <w:left w:val="nil"/>
              <w:bottom w:val="single" w:sz="4" w:space="0" w:color="auto"/>
              <w:right w:val="single" w:sz="4" w:space="0" w:color="auto"/>
            </w:tcBorders>
            <w:shd w:val="clear" w:color="auto" w:fill="auto"/>
            <w:noWrap/>
            <w:vAlign w:val="bottom"/>
            <w:hideMark/>
          </w:tcPr>
          <w:p w14:paraId="230A69CA"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953" w:type="dxa"/>
            <w:tcBorders>
              <w:top w:val="nil"/>
              <w:left w:val="nil"/>
              <w:bottom w:val="single" w:sz="4" w:space="0" w:color="auto"/>
              <w:right w:val="single" w:sz="4" w:space="0" w:color="auto"/>
            </w:tcBorders>
            <w:shd w:val="clear" w:color="auto" w:fill="auto"/>
            <w:noWrap/>
            <w:vAlign w:val="bottom"/>
            <w:hideMark/>
          </w:tcPr>
          <w:p w14:paraId="618929B2"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282" w:type="dxa"/>
            <w:tcBorders>
              <w:top w:val="nil"/>
              <w:left w:val="nil"/>
              <w:bottom w:val="single" w:sz="4" w:space="0" w:color="auto"/>
              <w:right w:val="single" w:sz="4" w:space="0" w:color="auto"/>
            </w:tcBorders>
            <w:shd w:val="clear" w:color="auto" w:fill="auto"/>
            <w:noWrap/>
            <w:vAlign w:val="bottom"/>
            <w:hideMark/>
          </w:tcPr>
          <w:p w14:paraId="66117E29"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549" w:type="dxa"/>
            <w:tcBorders>
              <w:top w:val="nil"/>
              <w:left w:val="nil"/>
              <w:bottom w:val="single" w:sz="4" w:space="0" w:color="auto"/>
              <w:right w:val="single" w:sz="4" w:space="0" w:color="auto"/>
            </w:tcBorders>
            <w:shd w:val="clear" w:color="auto" w:fill="auto"/>
            <w:noWrap/>
            <w:vAlign w:val="bottom"/>
            <w:hideMark/>
          </w:tcPr>
          <w:p w14:paraId="4821C555"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r>
      <w:tr w:rsidR="0034382E" w:rsidRPr="0034382E" w14:paraId="02E8BC37" w14:textId="77777777" w:rsidTr="000B4516">
        <w:trPr>
          <w:trHeight w:val="276"/>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4D0E1F9C" w14:textId="77777777" w:rsidR="000B4516" w:rsidRPr="0034382E" w:rsidRDefault="00592046" w:rsidP="0034382E">
            <w:pPr>
              <w:spacing w:line="360" w:lineRule="auto"/>
              <w:rPr>
                <w:rFonts w:ascii="Arial" w:eastAsia="Times New Roman" w:hAnsi="Arial" w:cs="Arial"/>
                <w:b/>
                <w:bCs/>
                <w:color w:val="000000" w:themeColor="text1"/>
                <w:sz w:val="22"/>
                <w:szCs w:val="22"/>
                <w:lang w:eastAsia="en-GB"/>
              </w:rPr>
            </w:pPr>
            <w:r w:rsidRPr="0034382E">
              <w:rPr>
                <w:rFonts w:ascii="Arial" w:eastAsia="Times New Roman" w:hAnsi="Arial" w:cs="Arial"/>
                <w:b/>
                <w:bCs/>
                <w:color w:val="000000" w:themeColor="text1"/>
                <w:sz w:val="22"/>
                <w:szCs w:val="22"/>
                <w:lang w:eastAsia="en-GB"/>
              </w:rPr>
              <w:t>Capital Structure</w:t>
            </w:r>
          </w:p>
        </w:tc>
        <w:tc>
          <w:tcPr>
            <w:tcW w:w="886" w:type="dxa"/>
            <w:tcBorders>
              <w:top w:val="nil"/>
              <w:left w:val="nil"/>
              <w:bottom w:val="single" w:sz="4" w:space="0" w:color="auto"/>
              <w:right w:val="single" w:sz="4" w:space="0" w:color="auto"/>
            </w:tcBorders>
            <w:shd w:val="clear" w:color="auto" w:fill="auto"/>
            <w:noWrap/>
            <w:vAlign w:val="bottom"/>
            <w:hideMark/>
          </w:tcPr>
          <w:p w14:paraId="31DF74E5"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953" w:type="dxa"/>
            <w:tcBorders>
              <w:top w:val="nil"/>
              <w:left w:val="nil"/>
              <w:bottom w:val="single" w:sz="4" w:space="0" w:color="auto"/>
              <w:right w:val="single" w:sz="4" w:space="0" w:color="auto"/>
            </w:tcBorders>
            <w:shd w:val="clear" w:color="auto" w:fill="auto"/>
            <w:noWrap/>
            <w:vAlign w:val="bottom"/>
            <w:hideMark/>
          </w:tcPr>
          <w:p w14:paraId="64944B22"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282" w:type="dxa"/>
            <w:tcBorders>
              <w:top w:val="nil"/>
              <w:left w:val="nil"/>
              <w:bottom w:val="single" w:sz="4" w:space="0" w:color="auto"/>
              <w:right w:val="single" w:sz="4" w:space="0" w:color="auto"/>
            </w:tcBorders>
            <w:shd w:val="clear" w:color="auto" w:fill="auto"/>
            <w:noWrap/>
            <w:vAlign w:val="bottom"/>
            <w:hideMark/>
          </w:tcPr>
          <w:p w14:paraId="28133E4E"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c>
          <w:tcPr>
            <w:tcW w:w="1549" w:type="dxa"/>
            <w:tcBorders>
              <w:top w:val="nil"/>
              <w:left w:val="nil"/>
              <w:bottom w:val="single" w:sz="4" w:space="0" w:color="auto"/>
              <w:right w:val="single" w:sz="4" w:space="0" w:color="auto"/>
            </w:tcBorders>
            <w:shd w:val="clear" w:color="auto" w:fill="auto"/>
            <w:noWrap/>
            <w:vAlign w:val="bottom"/>
            <w:hideMark/>
          </w:tcPr>
          <w:p w14:paraId="0549FFD8"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 </w:t>
            </w:r>
          </w:p>
        </w:tc>
      </w:tr>
      <w:tr w:rsidR="0034382E" w:rsidRPr="0034382E" w14:paraId="78AF310D" w14:textId="77777777" w:rsidTr="000B4516">
        <w:trPr>
          <w:trHeight w:val="276"/>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35894D0B"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Debt to equity (leverage)</w:t>
            </w:r>
          </w:p>
        </w:tc>
        <w:tc>
          <w:tcPr>
            <w:tcW w:w="886" w:type="dxa"/>
            <w:tcBorders>
              <w:top w:val="nil"/>
              <w:left w:val="nil"/>
              <w:bottom w:val="single" w:sz="4" w:space="0" w:color="auto"/>
              <w:right w:val="single" w:sz="4" w:space="0" w:color="auto"/>
            </w:tcBorders>
            <w:shd w:val="clear" w:color="auto" w:fill="auto"/>
            <w:noWrap/>
            <w:vAlign w:val="bottom"/>
            <w:hideMark/>
          </w:tcPr>
          <w:p w14:paraId="6F5D6847"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2.4</w:t>
            </w:r>
          </w:p>
        </w:tc>
        <w:tc>
          <w:tcPr>
            <w:tcW w:w="953" w:type="dxa"/>
            <w:tcBorders>
              <w:top w:val="nil"/>
              <w:left w:val="nil"/>
              <w:bottom w:val="single" w:sz="4" w:space="0" w:color="auto"/>
              <w:right w:val="single" w:sz="4" w:space="0" w:color="auto"/>
            </w:tcBorders>
            <w:shd w:val="clear" w:color="auto" w:fill="auto"/>
            <w:noWrap/>
            <w:vAlign w:val="bottom"/>
            <w:hideMark/>
          </w:tcPr>
          <w:p w14:paraId="6D764EFF"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9.0</w:t>
            </w:r>
          </w:p>
        </w:tc>
        <w:tc>
          <w:tcPr>
            <w:tcW w:w="1282" w:type="dxa"/>
            <w:tcBorders>
              <w:top w:val="nil"/>
              <w:left w:val="nil"/>
              <w:bottom w:val="single" w:sz="4" w:space="0" w:color="auto"/>
              <w:right w:val="single" w:sz="4" w:space="0" w:color="auto"/>
            </w:tcBorders>
            <w:shd w:val="clear" w:color="auto" w:fill="auto"/>
            <w:noWrap/>
            <w:vAlign w:val="bottom"/>
            <w:hideMark/>
          </w:tcPr>
          <w:p w14:paraId="6EC1795B"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-6.6</w:t>
            </w:r>
          </w:p>
        </w:tc>
        <w:tc>
          <w:tcPr>
            <w:tcW w:w="1549" w:type="dxa"/>
            <w:tcBorders>
              <w:top w:val="nil"/>
              <w:left w:val="nil"/>
              <w:bottom w:val="single" w:sz="4" w:space="0" w:color="auto"/>
              <w:right w:val="single" w:sz="4" w:space="0" w:color="auto"/>
            </w:tcBorders>
            <w:shd w:val="clear" w:color="auto" w:fill="auto"/>
            <w:noWrap/>
            <w:vAlign w:val="bottom"/>
            <w:hideMark/>
          </w:tcPr>
          <w:p w14:paraId="0F59877B"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-73.7</w:t>
            </w:r>
          </w:p>
        </w:tc>
      </w:tr>
      <w:tr w:rsidR="0034382E" w:rsidRPr="0034382E" w14:paraId="7CB1C838" w14:textId="77777777" w:rsidTr="000B4516">
        <w:trPr>
          <w:trHeight w:val="38"/>
        </w:trPr>
        <w:tc>
          <w:tcPr>
            <w:tcW w:w="3131" w:type="dxa"/>
            <w:tcBorders>
              <w:top w:val="nil"/>
              <w:left w:val="single" w:sz="4" w:space="0" w:color="auto"/>
              <w:bottom w:val="single" w:sz="4" w:space="0" w:color="auto"/>
              <w:right w:val="single" w:sz="4" w:space="0" w:color="auto"/>
            </w:tcBorders>
            <w:shd w:val="clear" w:color="auto" w:fill="auto"/>
            <w:noWrap/>
            <w:vAlign w:val="bottom"/>
            <w:hideMark/>
          </w:tcPr>
          <w:p w14:paraId="73F9C8D7" w14:textId="77777777" w:rsidR="000B451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Debt to capital</w:t>
            </w:r>
          </w:p>
        </w:tc>
        <w:tc>
          <w:tcPr>
            <w:tcW w:w="886" w:type="dxa"/>
            <w:tcBorders>
              <w:top w:val="nil"/>
              <w:left w:val="nil"/>
              <w:bottom w:val="single" w:sz="4" w:space="0" w:color="auto"/>
              <w:right w:val="single" w:sz="4" w:space="0" w:color="auto"/>
            </w:tcBorders>
            <w:shd w:val="clear" w:color="auto" w:fill="auto"/>
            <w:noWrap/>
            <w:vAlign w:val="bottom"/>
            <w:hideMark/>
          </w:tcPr>
          <w:p w14:paraId="509AC987"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2.3</w:t>
            </w:r>
          </w:p>
        </w:tc>
        <w:tc>
          <w:tcPr>
            <w:tcW w:w="953" w:type="dxa"/>
            <w:tcBorders>
              <w:top w:val="nil"/>
              <w:left w:val="nil"/>
              <w:bottom w:val="single" w:sz="4" w:space="0" w:color="auto"/>
              <w:right w:val="single" w:sz="4" w:space="0" w:color="auto"/>
            </w:tcBorders>
            <w:shd w:val="clear" w:color="auto" w:fill="auto"/>
            <w:noWrap/>
            <w:vAlign w:val="bottom"/>
            <w:hideMark/>
          </w:tcPr>
          <w:p w14:paraId="5D322FC2"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2.4</w:t>
            </w:r>
          </w:p>
        </w:tc>
        <w:tc>
          <w:tcPr>
            <w:tcW w:w="1282" w:type="dxa"/>
            <w:tcBorders>
              <w:top w:val="nil"/>
              <w:left w:val="nil"/>
              <w:bottom w:val="single" w:sz="4" w:space="0" w:color="auto"/>
              <w:right w:val="single" w:sz="4" w:space="0" w:color="auto"/>
            </w:tcBorders>
            <w:shd w:val="clear" w:color="auto" w:fill="auto"/>
            <w:noWrap/>
            <w:vAlign w:val="bottom"/>
            <w:hideMark/>
          </w:tcPr>
          <w:p w14:paraId="695F1F02"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-0.1</w:t>
            </w:r>
          </w:p>
        </w:tc>
        <w:tc>
          <w:tcPr>
            <w:tcW w:w="1549" w:type="dxa"/>
            <w:tcBorders>
              <w:top w:val="nil"/>
              <w:left w:val="nil"/>
              <w:bottom w:val="single" w:sz="4" w:space="0" w:color="auto"/>
              <w:right w:val="single" w:sz="4" w:space="0" w:color="auto"/>
            </w:tcBorders>
            <w:shd w:val="clear" w:color="auto" w:fill="auto"/>
            <w:noWrap/>
            <w:vAlign w:val="bottom"/>
            <w:hideMark/>
          </w:tcPr>
          <w:p w14:paraId="01358166" w14:textId="77777777" w:rsidR="000B4516" w:rsidRPr="0034382E" w:rsidRDefault="00592046" w:rsidP="0034382E">
            <w:pPr>
              <w:spacing w:line="360" w:lineRule="auto"/>
              <w:jc w:val="right"/>
              <w:rPr>
                <w:rFonts w:ascii="Arial" w:eastAsia="Times New Roman" w:hAnsi="Arial" w:cs="Arial"/>
                <w:color w:val="000000" w:themeColor="text1"/>
                <w:sz w:val="22"/>
                <w:szCs w:val="22"/>
                <w:lang w:eastAsia="en-GB"/>
              </w:rPr>
            </w:pPr>
            <w:r w:rsidRPr="0034382E">
              <w:rPr>
                <w:rFonts w:ascii="Arial" w:eastAsia="Times New Roman" w:hAnsi="Arial" w:cs="Arial"/>
                <w:color w:val="000000" w:themeColor="text1"/>
                <w:sz w:val="22"/>
                <w:szCs w:val="22"/>
                <w:lang w:eastAsia="en-GB"/>
              </w:rPr>
              <w:t>-4.1</w:t>
            </w:r>
          </w:p>
        </w:tc>
      </w:tr>
    </w:tbl>
    <w:p w14:paraId="4B5B05F4" w14:textId="77777777" w:rsidR="000B4516" w:rsidRPr="0034382E" w:rsidRDefault="000B4516" w:rsidP="0034382E">
      <w:pPr>
        <w:spacing w:line="360" w:lineRule="auto"/>
        <w:rPr>
          <w:rFonts w:ascii="Arial" w:hAnsi="Arial" w:cs="Arial"/>
          <w:b/>
          <w:bCs/>
          <w:color w:val="000000" w:themeColor="text1"/>
          <w:sz w:val="22"/>
          <w:szCs w:val="22"/>
        </w:rPr>
      </w:pPr>
    </w:p>
    <w:p w14:paraId="7E003F86" w14:textId="77777777" w:rsidR="00B773FD" w:rsidRPr="0034382E" w:rsidRDefault="00B773FD" w:rsidP="0034382E">
      <w:pPr>
        <w:spacing w:line="360" w:lineRule="auto"/>
        <w:rPr>
          <w:rFonts w:ascii="Arial" w:hAnsi="Arial" w:cs="Arial"/>
          <w:b/>
          <w:bCs/>
          <w:color w:val="000000" w:themeColor="text1"/>
          <w:sz w:val="22"/>
          <w:szCs w:val="22"/>
        </w:rPr>
      </w:pPr>
    </w:p>
    <w:p w14:paraId="6A91E85F" w14:textId="77777777" w:rsidR="007856B7" w:rsidRDefault="007856B7" w:rsidP="0034382E">
      <w:pPr>
        <w:spacing w:line="360" w:lineRule="auto"/>
        <w:rPr>
          <w:rFonts w:ascii="Arial" w:hAnsi="Arial" w:cs="Arial"/>
          <w:b/>
          <w:bCs/>
          <w:color w:val="000000" w:themeColor="text1"/>
          <w:sz w:val="22"/>
          <w:szCs w:val="22"/>
        </w:rPr>
      </w:pPr>
    </w:p>
    <w:p w14:paraId="7A8C658A" w14:textId="77777777" w:rsidR="007856B7" w:rsidRDefault="007856B7" w:rsidP="0034382E">
      <w:pPr>
        <w:spacing w:line="360" w:lineRule="auto"/>
        <w:rPr>
          <w:rFonts w:ascii="Arial" w:hAnsi="Arial" w:cs="Arial"/>
          <w:b/>
          <w:bCs/>
          <w:color w:val="000000" w:themeColor="text1"/>
          <w:sz w:val="22"/>
          <w:szCs w:val="22"/>
        </w:rPr>
      </w:pPr>
    </w:p>
    <w:p w14:paraId="772067F3" w14:textId="77777777" w:rsidR="007856B7" w:rsidRDefault="007856B7" w:rsidP="0034382E">
      <w:pPr>
        <w:spacing w:line="360" w:lineRule="auto"/>
        <w:rPr>
          <w:rFonts w:ascii="Arial" w:hAnsi="Arial" w:cs="Arial"/>
          <w:b/>
          <w:bCs/>
          <w:color w:val="000000" w:themeColor="text1"/>
          <w:sz w:val="22"/>
          <w:szCs w:val="22"/>
        </w:rPr>
      </w:pPr>
    </w:p>
    <w:p w14:paraId="3140C931" w14:textId="7D37D7D6" w:rsidR="00E16752" w:rsidRPr="0034382E" w:rsidRDefault="00AC2DFF" w:rsidP="0034382E">
      <w:pPr>
        <w:spacing w:line="360" w:lineRule="auto"/>
        <w:rPr>
          <w:rFonts w:ascii="Arial" w:hAnsi="Arial" w:cs="Arial"/>
          <w:b/>
          <w:bCs/>
          <w:color w:val="000000" w:themeColor="text1"/>
          <w:sz w:val="22"/>
          <w:szCs w:val="22"/>
        </w:rPr>
      </w:pPr>
      <w:r>
        <w:rPr>
          <w:rFonts w:ascii="Arial" w:hAnsi="Arial" w:cs="Arial"/>
          <w:b/>
          <w:bCs/>
          <w:color w:val="000000" w:themeColor="text1"/>
          <w:sz w:val="22"/>
          <w:szCs w:val="22"/>
        </w:rPr>
        <w:t>(I</w:t>
      </w:r>
      <w:r w:rsidR="00592046" w:rsidRPr="0034382E">
        <w:rPr>
          <w:rFonts w:ascii="Arial" w:hAnsi="Arial" w:cs="Arial"/>
          <w:b/>
          <w:bCs/>
          <w:color w:val="000000" w:themeColor="text1"/>
          <w:sz w:val="22"/>
          <w:szCs w:val="22"/>
        </w:rPr>
        <w:t>b</w:t>
      </w:r>
      <w:r>
        <w:rPr>
          <w:rFonts w:ascii="Arial" w:hAnsi="Arial" w:cs="Arial"/>
          <w:b/>
          <w:bCs/>
          <w:color w:val="000000" w:themeColor="text1"/>
          <w:sz w:val="22"/>
          <w:szCs w:val="22"/>
        </w:rPr>
        <w:t>)</w:t>
      </w:r>
      <w:r w:rsidR="00592046" w:rsidRPr="0034382E">
        <w:rPr>
          <w:rFonts w:ascii="Arial" w:hAnsi="Arial" w:cs="Arial"/>
          <w:b/>
          <w:bCs/>
          <w:color w:val="000000" w:themeColor="text1"/>
          <w:sz w:val="22"/>
          <w:szCs w:val="22"/>
        </w:rPr>
        <w:t>. Summary of Table</w:t>
      </w:r>
    </w:p>
    <w:p w14:paraId="1D7336A4" w14:textId="77777777" w:rsidR="00777D26" w:rsidRPr="0034382E" w:rsidRDefault="00777D26" w:rsidP="0034382E">
      <w:pPr>
        <w:spacing w:line="360" w:lineRule="auto"/>
        <w:rPr>
          <w:rFonts w:ascii="Arial" w:hAnsi="Arial" w:cs="Arial"/>
          <w:b/>
          <w:bCs/>
          <w:color w:val="000000" w:themeColor="text1"/>
          <w:sz w:val="22"/>
          <w:szCs w:val="22"/>
        </w:rPr>
      </w:pPr>
    </w:p>
    <w:p w14:paraId="6804033F" w14:textId="1FCF33D9" w:rsidR="00777D26"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T</w:t>
      </w:r>
      <w:r w:rsidR="00EC4E4F">
        <w:rPr>
          <w:rFonts w:ascii="Arial" w:hAnsi="Arial" w:cs="Arial"/>
          <w:color w:val="000000" w:themeColor="text1"/>
          <w:sz w:val="22"/>
          <w:szCs w:val="22"/>
        </w:rPr>
        <w:t xml:space="preserve">able 1a shows </w:t>
      </w:r>
      <w:r w:rsidR="00255732" w:rsidRPr="0034382E">
        <w:rPr>
          <w:rFonts w:ascii="Arial" w:hAnsi="Arial" w:cs="Arial"/>
          <w:color w:val="000000" w:themeColor="text1"/>
          <w:sz w:val="22"/>
          <w:szCs w:val="22"/>
        </w:rPr>
        <w:t>the four groups of ratios used</w:t>
      </w:r>
      <w:r w:rsidR="00EC4E4F">
        <w:rPr>
          <w:rFonts w:ascii="Arial" w:hAnsi="Arial" w:cs="Arial"/>
          <w:color w:val="000000" w:themeColor="text1"/>
          <w:sz w:val="22"/>
          <w:szCs w:val="22"/>
        </w:rPr>
        <w:t xml:space="preserve"> </w:t>
      </w:r>
      <w:r w:rsidR="00255732" w:rsidRPr="0034382E">
        <w:rPr>
          <w:rFonts w:ascii="Arial" w:hAnsi="Arial" w:cs="Arial"/>
          <w:color w:val="000000" w:themeColor="text1"/>
          <w:sz w:val="22"/>
          <w:szCs w:val="22"/>
        </w:rPr>
        <w:t>calculating the absolute difference (AD) and relative difference (RD)</w:t>
      </w:r>
      <w:r w:rsidR="00780B5C">
        <w:rPr>
          <w:rFonts w:ascii="Arial" w:hAnsi="Arial" w:cs="Arial"/>
          <w:color w:val="000000" w:themeColor="text1"/>
          <w:sz w:val="22"/>
          <w:szCs w:val="22"/>
        </w:rPr>
        <w:t>,</w:t>
      </w:r>
      <w:r w:rsidR="00255732" w:rsidRPr="0034382E">
        <w:rPr>
          <w:rFonts w:ascii="Arial" w:hAnsi="Arial" w:cs="Arial"/>
          <w:color w:val="000000" w:themeColor="text1"/>
          <w:sz w:val="22"/>
          <w:szCs w:val="22"/>
        </w:rPr>
        <w:t xml:space="preserve"> </w:t>
      </w:r>
      <w:r w:rsidR="00EC4E4F">
        <w:rPr>
          <w:rFonts w:ascii="Arial" w:hAnsi="Arial" w:cs="Arial"/>
          <w:color w:val="000000" w:themeColor="text1"/>
          <w:sz w:val="22"/>
          <w:szCs w:val="22"/>
        </w:rPr>
        <w:t xml:space="preserve">summarising the financial </w:t>
      </w:r>
      <w:r w:rsidR="00255732" w:rsidRPr="0034382E">
        <w:rPr>
          <w:rFonts w:ascii="Arial" w:hAnsi="Arial" w:cs="Arial"/>
          <w:color w:val="000000" w:themeColor="text1"/>
          <w:sz w:val="22"/>
          <w:szCs w:val="22"/>
        </w:rPr>
        <w:t xml:space="preserve">analysis for Gatsby </w:t>
      </w:r>
      <w:r w:rsidR="0009794C" w:rsidRPr="0034382E">
        <w:rPr>
          <w:rFonts w:ascii="Arial" w:hAnsi="Arial" w:cs="Arial"/>
          <w:color w:val="000000" w:themeColor="text1"/>
          <w:sz w:val="22"/>
          <w:szCs w:val="22"/>
        </w:rPr>
        <w:t>Grange</w:t>
      </w:r>
      <w:r w:rsidR="00780B5C">
        <w:rPr>
          <w:rFonts w:ascii="Arial" w:hAnsi="Arial" w:cs="Arial"/>
          <w:color w:val="000000" w:themeColor="text1"/>
          <w:sz w:val="22"/>
          <w:szCs w:val="22"/>
        </w:rPr>
        <w:t xml:space="preserve"> over a two (2) year period between 2018 and 2019.</w:t>
      </w:r>
      <w:r w:rsidR="002F7B06" w:rsidRPr="0034382E">
        <w:rPr>
          <w:rFonts w:ascii="Arial" w:hAnsi="Arial" w:cs="Arial"/>
          <w:color w:val="000000" w:themeColor="text1"/>
          <w:sz w:val="22"/>
          <w:szCs w:val="22"/>
        </w:rPr>
        <w:t xml:space="preserve"> </w:t>
      </w:r>
    </w:p>
    <w:p w14:paraId="7CFD87A3" w14:textId="77777777" w:rsidR="00A42C9F" w:rsidRPr="0034382E" w:rsidRDefault="00A42C9F" w:rsidP="0034382E">
      <w:pPr>
        <w:spacing w:line="360" w:lineRule="auto"/>
        <w:rPr>
          <w:rFonts w:ascii="Arial" w:hAnsi="Arial" w:cs="Arial"/>
          <w:color w:val="000000" w:themeColor="text1"/>
          <w:sz w:val="22"/>
          <w:szCs w:val="22"/>
        </w:rPr>
      </w:pPr>
    </w:p>
    <w:p w14:paraId="25496CCE" w14:textId="77777777" w:rsidR="000111C5" w:rsidRDefault="000111C5" w:rsidP="0034382E">
      <w:pPr>
        <w:spacing w:line="360" w:lineRule="auto"/>
        <w:rPr>
          <w:rFonts w:ascii="Arial" w:hAnsi="Arial" w:cs="Arial"/>
          <w:b/>
          <w:bCs/>
          <w:color w:val="000000" w:themeColor="text1"/>
          <w:sz w:val="22"/>
          <w:szCs w:val="22"/>
        </w:rPr>
      </w:pPr>
    </w:p>
    <w:p w14:paraId="68D8A237" w14:textId="77777777" w:rsidR="00EC4E4F" w:rsidRDefault="00EC4E4F" w:rsidP="0034382E">
      <w:pPr>
        <w:spacing w:line="360" w:lineRule="auto"/>
        <w:rPr>
          <w:rFonts w:ascii="Arial" w:hAnsi="Arial" w:cs="Arial"/>
          <w:b/>
          <w:bCs/>
          <w:color w:val="000000" w:themeColor="text1"/>
          <w:sz w:val="22"/>
          <w:szCs w:val="22"/>
        </w:rPr>
      </w:pPr>
    </w:p>
    <w:p w14:paraId="0CDFE698" w14:textId="4071CD2A" w:rsidR="00E16752" w:rsidRPr="0034382E" w:rsidRDefault="00AC2DFF" w:rsidP="0034382E">
      <w:pPr>
        <w:spacing w:line="360" w:lineRule="auto"/>
        <w:rPr>
          <w:rFonts w:ascii="Arial" w:hAnsi="Arial" w:cs="Arial"/>
          <w:b/>
          <w:bCs/>
          <w:color w:val="000000" w:themeColor="text1"/>
          <w:sz w:val="22"/>
          <w:szCs w:val="22"/>
        </w:rPr>
      </w:pPr>
      <w:r>
        <w:rPr>
          <w:rFonts w:ascii="Arial" w:hAnsi="Arial" w:cs="Arial"/>
          <w:b/>
          <w:bCs/>
          <w:color w:val="000000" w:themeColor="text1"/>
          <w:sz w:val="22"/>
          <w:szCs w:val="22"/>
        </w:rPr>
        <w:t>(IIa)</w:t>
      </w:r>
      <w:r w:rsidR="00592046" w:rsidRPr="0034382E">
        <w:rPr>
          <w:rFonts w:ascii="Arial" w:hAnsi="Arial" w:cs="Arial"/>
          <w:b/>
          <w:bCs/>
          <w:color w:val="000000" w:themeColor="text1"/>
          <w:sz w:val="22"/>
          <w:szCs w:val="22"/>
        </w:rPr>
        <w:t>. Analysis</w:t>
      </w:r>
    </w:p>
    <w:p w14:paraId="049DFAD6" w14:textId="00BF83D9" w:rsidR="00E16752" w:rsidRPr="0034382E" w:rsidRDefault="00AC2DFF" w:rsidP="0034382E">
      <w:pPr>
        <w:spacing w:line="360" w:lineRule="auto"/>
        <w:rPr>
          <w:rFonts w:ascii="Arial" w:hAnsi="Arial" w:cs="Arial"/>
          <w:b/>
          <w:bCs/>
          <w:color w:val="000000" w:themeColor="text1"/>
          <w:sz w:val="22"/>
          <w:szCs w:val="22"/>
        </w:rPr>
      </w:pPr>
      <w:r>
        <w:rPr>
          <w:rFonts w:ascii="Arial" w:hAnsi="Arial" w:cs="Arial"/>
          <w:b/>
          <w:bCs/>
          <w:color w:val="000000" w:themeColor="text1"/>
          <w:sz w:val="22"/>
          <w:szCs w:val="22"/>
        </w:rPr>
        <w:t>(IIa)</w:t>
      </w:r>
      <w:r w:rsidR="00592046" w:rsidRPr="0034382E">
        <w:rPr>
          <w:rFonts w:ascii="Arial" w:hAnsi="Arial" w:cs="Arial"/>
          <w:b/>
          <w:bCs/>
          <w:color w:val="000000" w:themeColor="text1"/>
          <w:sz w:val="22"/>
          <w:szCs w:val="22"/>
        </w:rPr>
        <w:t>. Discussion of Ratio Families</w:t>
      </w:r>
    </w:p>
    <w:p w14:paraId="3BAC9E43" w14:textId="77777777" w:rsidR="002F7B0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eastAsia="Times New Roman" w:hAnsi="Arial" w:cs="Arial"/>
          <w:noProof/>
          <w:color w:val="000000" w:themeColor="text1"/>
          <w:sz w:val="22"/>
          <w:szCs w:val="22"/>
          <w:lang w:eastAsia="en-GB"/>
        </w:rPr>
        <w:drawing>
          <wp:inline distT="0" distB="0" distL="0" distR="0" wp14:anchorId="5D3951AB" wp14:editId="7AFEEB3A">
            <wp:extent cx="4542736" cy="2546350"/>
            <wp:effectExtent l="0" t="0" r="4445" b="0"/>
            <wp:docPr id="1" name="Picture 1" descr="Corporate Finance Ratios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60781" name="Picture 1" descr="Corporate Finance Ratios Summary"/>
                    <pic:cNvPicPr>
                      <a:picLocks noChangeAspect="1" noChangeArrowheads="1"/>
                    </pic:cNvPicPr>
                  </pic:nvPicPr>
                  <pic:blipFill>
                    <a:blip r:embed="rId13" r:link="rId14" cstate="print">
                      <a:extLst>
                        <a:ext uri="{28A0092B-C50C-407E-A947-70E740481C1C}">
                          <a14:useLocalDpi xmlns:a14="http://schemas.microsoft.com/office/drawing/2010/main" val="0"/>
                        </a:ext>
                      </a:extLst>
                    </a:blip>
                    <a:stretch>
                      <a:fillRect/>
                    </a:stretch>
                  </pic:blipFill>
                  <pic:spPr bwMode="auto">
                    <a:xfrm>
                      <a:off x="0" y="0"/>
                      <a:ext cx="4579130" cy="2566750"/>
                    </a:xfrm>
                    <a:prstGeom prst="rect">
                      <a:avLst/>
                    </a:prstGeom>
                    <a:noFill/>
                    <a:ln>
                      <a:noFill/>
                    </a:ln>
                  </pic:spPr>
                </pic:pic>
              </a:graphicData>
            </a:graphic>
          </wp:inline>
        </w:drawing>
      </w:r>
    </w:p>
    <w:p w14:paraId="684044DB" w14:textId="77777777" w:rsidR="0034382E" w:rsidRPr="0034382E" w:rsidRDefault="0034382E" w:rsidP="0034382E">
      <w:pPr>
        <w:rPr>
          <w:rFonts w:ascii="Times New Roman" w:eastAsia="Times New Roman" w:hAnsi="Times New Roman" w:cs="Times New Roman"/>
          <w:lang w:eastAsia="en-GB"/>
        </w:rPr>
      </w:pPr>
      <w:r w:rsidRPr="0034382E">
        <w:rPr>
          <w:rFonts w:ascii="Arial" w:eastAsia="Times New Roman" w:hAnsi="Arial" w:cs="Arial"/>
          <w:color w:val="000000"/>
          <w:sz w:val="20"/>
          <w:szCs w:val="20"/>
          <w:shd w:val="clear" w:color="auto" w:fill="FFFFFF"/>
          <w:lang w:eastAsia="en-GB"/>
        </w:rPr>
        <w:t>(Corporate Financial Institute, 2020)</w:t>
      </w:r>
    </w:p>
    <w:p w14:paraId="049E8192" w14:textId="77777777" w:rsidR="002F7B06" w:rsidRPr="0034382E" w:rsidRDefault="002F7B06" w:rsidP="0034382E">
      <w:pPr>
        <w:spacing w:line="360" w:lineRule="auto"/>
        <w:rPr>
          <w:rFonts w:ascii="Arial" w:hAnsi="Arial" w:cs="Arial"/>
          <w:b/>
          <w:bCs/>
          <w:color w:val="000000" w:themeColor="text1"/>
          <w:sz w:val="22"/>
          <w:szCs w:val="22"/>
        </w:rPr>
      </w:pPr>
    </w:p>
    <w:p w14:paraId="4FDD62C1" w14:textId="77777777" w:rsidR="002F7B06" w:rsidRPr="0034382E" w:rsidRDefault="002F7B06" w:rsidP="0034382E">
      <w:pPr>
        <w:spacing w:line="360" w:lineRule="auto"/>
        <w:rPr>
          <w:rFonts w:ascii="Arial" w:hAnsi="Arial" w:cs="Arial"/>
          <w:b/>
          <w:bCs/>
          <w:color w:val="000000" w:themeColor="text1"/>
          <w:sz w:val="22"/>
          <w:szCs w:val="22"/>
        </w:rPr>
      </w:pPr>
    </w:p>
    <w:p w14:paraId="7B226019" w14:textId="77777777" w:rsidR="00B773FD" w:rsidRPr="0034382E" w:rsidRDefault="00B773FD" w:rsidP="0034382E">
      <w:pPr>
        <w:spacing w:line="360" w:lineRule="auto"/>
        <w:rPr>
          <w:rFonts w:ascii="Arial" w:hAnsi="Arial" w:cs="Arial"/>
          <w:b/>
          <w:bCs/>
          <w:color w:val="000000" w:themeColor="text1"/>
          <w:sz w:val="22"/>
          <w:szCs w:val="22"/>
        </w:rPr>
      </w:pPr>
    </w:p>
    <w:p w14:paraId="70CDA50D" w14:textId="4C24E541" w:rsidR="00E16752" w:rsidRPr="0034382E" w:rsidRDefault="00AC2DFF" w:rsidP="0034382E">
      <w:pPr>
        <w:spacing w:line="360" w:lineRule="auto"/>
        <w:rPr>
          <w:rFonts w:ascii="Arial" w:hAnsi="Arial" w:cs="Arial"/>
          <w:b/>
          <w:bCs/>
          <w:color w:val="000000" w:themeColor="text1"/>
          <w:sz w:val="22"/>
          <w:szCs w:val="22"/>
        </w:rPr>
      </w:pPr>
      <w:r>
        <w:rPr>
          <w:rFonts w:ascii="Arial" w:hAnsi="Arial" w:cs="Arial"/>
          <w:b/>
          <w:bCs/>
          <w:color w:val="000000" w:themeColor="text1"/>
          <w:sz w:val="22"/>
          <w:szCs w:val="22"/>
        </w:rPr>
        <w:t>(II</w:t>
      </w:r>
      <w:r w:rsidR="00592046" w:rsidRPr="0034382E">
        <w:rPr>
          <w:rFonts w:ascii="Arial" w:hAnsi="Arial" w:cs="Arial"/>
          <w:b/>
          <w:bCs/>
          <w:color w:val="000000" w:themeColor="text1"/>
          <w:sz w:val="22"/>
          <w:szCs w:val="22"/>
        </w:rPr>
        <w:t>b</w:t>
      </w:r>
      <w:r>
        <w:rPr>
          <w:rFonts w:ascii="Arial" w:hAnsi="Arial" w:cs="Arial"/>
          <w:b/>
          <w:bCs/>
          <w:color w:val="000000" w:themeColor="text1"/>
          <w:sz w:val="22"/>
          <w:szCs w:val="22"/>
        </w:rPr>
        <w:t>)</w:t>
      </w:r>
      <w:r w:rsidR="00592046" w:rsidRPr="0034382E">
        <w:rPr>
          <w:rFonts w:ascii="Arial" w:hAnsi="Arial" w:cs="Arial"/>
          <w:b/>
          <w:bCs/>
          <w:color w:val="000000" w:themeColor="text1"/>
          <w:sz w:val="22"/>
          <w:szCs w:val="22"/>
        </w:rPr>
        <w:t>. Analysis of Each Family</w:t>
      </w:r>
    </w:p>
    <w:p w14:paraId="1C41DB3C" w14:textId="77777777" w:rsidR="00E16752"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t>Profitability</w:t>
      </w:r>
    </w:p>
    <w:p w14:paraId="25845BD9" w14:textId="3FA4D685" w:rsidR="00D47F74"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 xml:space="preserve">Businesses invest </w:t>
      </w:r>
      <w:r w:rsidR="003808A5">
        <w:rPr>
          <w:rFonts w:ascii="Arial" w:hAnsi="Arial" w:cs="Arial"/>
          <w:color w:val="000000" w:themeColor="text1"/>
          <w:sz w:val="22"/>
          <w:szCs w:val="22"/>
        </w:rPr>
        <w:t xml:space="preserve">with the sole purpose to gain </w:t>
      </w:r>
      <w:r w:rsidRPr="0034382E">
        <w:rPr>
          <w:rFonts w:ascii="Arial" w:hAnsi="Arial" w:cs="Arial"/>
          <w:color w:val="000000" w:themeColor="text1"/>
          <w:sz w:val="22"/>
          <w:szCs w:val="22"/>
        </w:rPr>
        <w:t>an adequate return on capital</w:t>
      </w:r>
      <w:r w:rsidR="00063402" w:rsidRPr="0034382E">
        <w:rPr>
          <w:rFonts w:ascii="Arial" w:hAnsi="Arial" w:cs="Arial"/>
          <w:color w:val="000000" w:themeColor="text1"/>
          <w:sz w:val="22"/>
          <w:szCs w:val="22"/>
        </w:rPr>
        <w:t xml:space="preserve"> </w:t>
      </w:r>
      <w:r w:rsidR="00443B06" w:rsidRPr="0034382E">
        <w:rPr>
          <w:rFonts w:ascii="Arial" w:eastAsia="Times New Roman" w:hAnsi="Arial" w:cs="Arial"/>
          <w:color w:val="000000" w:themeColor="text1"/>
          <w:sz w:val="22"/>
          <w:szCs w:val="22"/>
          <w:shd w:val="clear" w:color="auto" w:fill="FFFFFF"/>
          <w:lang w:eastAsia="en-GB"/>
        </w:rPr>
        <w:t>(Atrill and McLaney, 2009)</w:t>
      </w:r>
      <w:r w:rsidR="00443B06" w:rsidRPr="0034382E">
        <w:rPr>
          <w:rFonts w:ascii="Arial" w:hAnsi="Arial" w:cs="Arial"/>
          <w:color w:val="000000" w:themeColor="text1"/>
          <w:sz w:val="22"/>
          <w:szCs w:val="22"/>
        </w:rPr>
        <w:t>.</w:t>
      </w:r>
      <w:r w:rsidR="00063402"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 xml:space="preserve"> In ensuring profitability, ROCE ratio is used as part of the analysation</w:t>
      </w:r>
      <w:r w:rsidR="00063402"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Using </w:t>
      </w:r>
      <w:r w:rsidR="008D3C1C" w:rsidRPr="0034382E">
        <w:rPr>
          <w:rFonts w:ascii="Arial" w:hAnsi="Arial" w:cs="Arial"/>
          <w:color w:val="000000" w:themeColor="text1"/>
          <w:sz w:val="22"/>
          <w:szCs w:val="22"/>
        </w:rPr>
        <w:t>(AD)</w:t>
      </w:r>
      <w:r w:rsidRPr="0034382E">
        <w:rPr>
          <w:rFonts w:ascii="Arial" w:hAnsi="Arial" w:cs="Arial"/>
          <w:color w:val="000000" w:themeColor="text1"/>
          <w:sz w:val="22"/>
          <w:szCs w:val="22"/>
        </w:rPr>
        <w:t xml:space="preserve"> of 2019 </w:t>
      </w:r>
      <w:r w:rsidR="00BC4F4B">
        <w:rPr>
          <w:rFonts w:ascii="Arial" w:hAnsi="Arial" w:cs="Arial"/>
          <w:color w:val="000000" w:themeColor="text1"/>
          <w:sz w:val="22"/>
          <w:szCs w:val="22"/>
        </w:rPr>
        <w:t xml:space="preserve">and </w:t>
      </w:r>
      <w:r w:rsidRPr="0034382E">
        <w:rPr>
          <w:rFonts w:ascii="Arial" w:hAnsi="Arial" w:cs="Arial"/>
          <w:color w:val="000000" w:themeColor="text1"/>
          <w:sz w:val="22"/>
          <w:szCs w:val="22"/>
        </w:rPr>
        <w:t>2018, which is the first stage of the analysation, it has identified that ROCE has gone down by -1.1%</w:t>
      </w:r>
      <w:r w:rsidR="006D2605"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with</w:t>
      </w:r>
      <w:r w:rsidR="006D2605"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the</w:t>
      </w:r>
      <w:r w:rsidR="00255732" w:rsidRPr="0034382E">
        <w:rPr>
          <w:rFonts w:ascii="Arial" w:hAnsi="Arial" w:cs="Arial"/>
          <w:color w:val="000000" w:themeColor="text1"/>
          <w:sz w:val="22"/>
          <w:szCs w:val="22"/>
        </w:rPr>
        <w:t xml:space="preserve"> </w:t>
      </w:r>
      <w:r w:rsidR="000F5802" w:rsidRPr="0034382E">
        <w:rPr>
          <w:rFonts w:ascii="Arial" w:hAnsi="Arial" w:cs="Arial"/>
          <w:color w:val="000000" w:themeColor="text1"/>
          <w:sz w:val="22"/>
          <w:szCs w:val="22"/>
        </w:rPr>
        <w:t>RD</w:t>
      </w:r>
      <w:r w:rsidR="00255732"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 xml:space="preserve">doing the same. </w:t>
      </w:r>
    </w:p>
    <w:p w14:paraId="61C45F82" w14:textId="77777777" w:rsidR="00D47F74" w:rsidRPr="0034382E" w:rsidRDefault="00D47F74" w:rsidP="0034382E">
      <w:pPr>
        <w:spacing w:line="360" w:lineRule="auto"/>
        <w:rPr>
          <w:rFonts w:ascii="Arial" w:hAnsi="Arial" w:cs="Arial"/>
          <w:color w:val="000000" w:themeColor="text1"/>
          <w:sz w:val="22"/>
          <w:szCs w:val="22"/>
        </w:rPr>
      </w:pPr>
    </w:p>
    <w:p w14:paraId="4590E999" w14:textId="77777777" w:rsidR="00D47F74"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In analysing the possible cause for the fall in ROCE, components of ROCE have been broken down into the following, calculating the relative difference.</w:t>
      </w:r>
    </w:p>
    <w:p w14:paraId="635E7795" w14:textId="77777777" w:rsidR="00D47F74" w:rsidRPr="0034382E" w:rsidRDefault="00592046" w:rsidP="0034382E">
      <w:pPr>
        <w:pStyle w:val="ListParagraph"/>
        <w:numPr>
          <w:ilvl w:val="0"/>
          <w:numId w:val="1"/>
        </w:num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Operating Profits</w:t>
      </w:r>
      <w:r w:rsidR="00515A29" w:rsidRPr="0034382E">
        <w:rPr>
          <w:rFonts w:ascii="Arial" w:hAnsi="Arial" w:cs="Arial"/>
          <w:color w:val="000000" w:themeColor="text1"/>
          <w:sz w:val="22"/>
          <w:szCs w:val="22"/>
        </w:rPr>
        <w:t xml:space="preserve"> (OP)</w:t>
      </w:r>
    </w:p>
    <w:p w14:paraId="3A1E89A3" w14:textId="77777777" w:rsidR="00D47F74" w:rsidRPr="0034382E" w:rsidRDefault="00592046" w:rsidP="0034382E">
      <w:pPr>
        <w:pStyle w:val="ListParagraph"/>
        <w:numPr>
          <w:ilvl w:val="0"/>
          <w:numId w:val="1"/>
        </w:num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Capital Employed </w:t>
      </w:r>
      <w:r w:rsidR="00515A29" w:rsidRPr="0034382E">
        <w:rPr>
          <w:rFonts w:ascii="Arial" w:hAnsi="Arial" w:cs="Arial"/>
          <w:color w:val="000000" w:themeColor="text1"/>
          <w:sz w:val="22"/>
          <w:szCs w:val="22"/>
        </w:rPr>
        <w:t>(CE)</w:t>
      </w:r>
      <w:r w:rsidR="004C53AF"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 xml:space="preserve">consists of total assets minus current liabilities. </w:t>
      </w:r>
    </w:p>
    <w:p w14:paraId="40930B61" w14:textId="77777777" w:rsidR="00D47F74" w:rsidRPr="0034382E" w:rsidRDefault="00D47F74" w:rsidP="0034382E">
      <w:pPr>
        <w:spacing w:line="360" w:lineRule="auto"/>
        <w:rPr>
          <w:rFonts w:ascii="Arial" w:hAnsi="Arial" w:cs="Arial"/>
          <w:color w:val="000000" w:themeColor="text1"/>
          <w:sz w:val="22"/>
          <w:szCs w:val="22"/>
        </w:rPr>
      </w:pPr>
    </w:p>
    <w:p w14:paraId="642867EB" w14:textId="77777777" w:rsidR="00D47F74"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Completing RD analysis calculations revealed an overall -1.1% fall in ROCE had contributed a combination of a 1.6% rise in the </w:t>
      </w:r>
      <w:r w:rsidR="00515A29" w:rsidRPr="0034382E">
        <w:rPr>
          <w:rFonts w:ascii="Arial" w:hAnsi="Arial" w:cs="Arial"/>
          <w:color w:val="000000" w:themeColor="text1"/>
          <w:sz w:val="22"/>
          <w:szCs w:val="22"/>
        </w:rPr>
        <w:t>OP</w:t>
      </w:r>
      <w:r w:rsidRPr="0034382E">
        <w:rPr>
          <w:rFonts w:ascii="Arial" w:hAnsi="Arial" w:cs="Arial"/>
          <w:color w:val="000000" w:themeColor="text1"/>
          <w:sz w:val="22"/>
          <w:szCs w:val="22"/>
        </w:rPr>
        <w:t xml:space="preserve"> combined with a 3.2% rise in the C</w:t>
      </w:r>
      <w:r w:rsidR="00515A29" w:rsidRPr="0034382E">
        <w:rPr>
          <w:rFonts w:ascii="Arial" w:hAnsi="Arial" w:cs="Arial"/>
          <w:color w:val="000000" w:themeColor="text1"/>
          <w:sz w:val="22"/>
          <w:szCs w:val="22"/>
        </w:rPr>
        <w:t>E</w:t>
      </w:r>
      <w:r w:rsidRPr="0034382E">
        <w:rPr>
          <w:rFonts w:ascii="Arial" w:hAnsi="Arial" w:cs="Arial"/>
          <w:color w:val="000000" w:themeColor="text1"/>
          <w:sz w:val="22"/>
          <w:szCs w:val="22"/>
        </w:rPr>
        <w:t>.</w:t>
      </w:r>
      <w:r w:rsidR="000F5802" w:rsidRPr="0034382E">
        <w:rPr>
          <w:rFonts w:ascii="Arial" w:hAnsi="Arial" w:cs="Arial"/>
          <w:color w:val="000000" w:themeColor="text1"/>
          <w:sz w:val="22"/>
          <w:szCs w:val="22"/>
        </w:rPr>
        <w:t xml:space="preserve"> With the </w:t>
      </w:r>
      <w:r w:rsidR="00515A29" w:rsidRPr="0034382E">
        <w:rPr>
          <w:rFonts w:ascii="Arial" w:hAnsi="Arial" w:cs="Arial"/>
          <w:color w:val="000000" w:themeColor="text1"/>
          <w:sz w:val="22"/>
          <w:szCs w:val="22"/>
        </w:rPr>
        <w:t>CE</w:t>
      </w:r>
      <w:r w:rsidR="000F5802" w:rsidRPr="0034382E">
        <w:rPr>
          <w:rFonts w:ascii="Arial" w:hAnsi="Arial" w:cs="Arial"/>
          <w:color w:val="000000" w:themeColor="text1"/>
          <w:sz w:val="22"/>
          <w:szCs w:val="22"/>
        </w:rPr>
        <w:t xml:space="preserve"> increasing more than the </w:t>
      </w:r>
      <w:r w:rsidR="00515A29" w:rsidRPr="0034382E">
        <w:rPr>
          <w:rFonts w:ascii="Arial" w:hAnsi="Arial" w:cs="Arial"/>
          <w:color w:val="000000" w:themeColor="text1"/>
          <w:sz w:val="22"/>
          <w:szCs w:val="22"/>
        </w:rPr>
        <w:t>OP</w:t>
      </w:r>
      <w:r w:rsidR="000F5802" w:rsidRPr="0034382E">
        <w:rPr>
          <w:rFonts w:ascii="Arial" w:hAnsi="Arial" w:cs="Arial"/>
          <w:color w:val="000000" w:themeColor="text1"/>
          <w:sz w:val="22"/>
          <w:szCs w:val="22"/>
        </w:rPr>
        <w:t>, the overall ROCE will be increased.</w:t>
      </w:r>
    </w:p>
    <w:p w14:paraId="7D27A0D9" w14:textId="77777777" w:rsidR="00D47F74" w:rsidRPr="0034382E" w:rsidRDefault="00D47F74" w:rsidP="0034382E">
      <w:pPr>
        <w:spacing w:line="360" w:lineRule="auto"/>
        <w:rPr>
          <w:rFonts w:ascii="Arial" w:hAnsi="Arial" w:cs="Arial"/>
          <w:color w:val="000000" w:themeColor="text1"/>
          <w:sz w:val="22"/>
          <w:szCs w:val="22"/>
        </w:rPr>
      </w:pPr>
    </w:p>
    <w:p w14:paraId="7452960C" w14:textId="77777777" w:rsidR="00637079" w:rsidRDefault="000F5802"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Another level</w:t>
      </w:r>
      <w:r w:rsidR="00592046" w:rsidRPr="0034382E">
        <w:rPr>
          <w:rFonts w:ascii="Arial" w:hAnsi="Arial" w:cs="Arial"/>
          <w:color w:val="000000" w:themeColor="text1"/>
          <w:sz w:val="22"/>
          <w:szCs w:val="22"/>
        </w:rPr>
        <w:t xml:space="preserve"> analysis identified an increase in </w:t>
      </w:r>
      <w:r w:rsidR="00515A29" w:rsidRPr="0034382E">
        <w:rPr>
          <w:rFonts w:ascii="Arial" w:hAnsi="Arial" w:cs="Arial"/>
          <w:color w:val="000000" w:themeColor="text1"/>
          <w:sz w:val="22"/>
          <w:szCs w:val="22"/>
        </w:rPr>
        <w:t>OP</w:t>
      </w:r>
      <w:r w:rsidR="00592046" w:rsidRPr="0034382E">
        <w:rPr>
          <w:rFonts w:ascii="Arial" w:hAnsi="Arial" w:cs="Arial"/>
          <w:color w:val="000000" w:themeColor="text1"/>
          <w:sz w:val="22"/>
          <w:szCs w:val="22"/>
        </w:rPr>
        <w:t xml:space="preserve"> had been affected by the rise in the cost of sales</w:t>
      </w:r>
      <w:r w:rsidR="00515A29" w:rsidRPr="0034382E">
        <w:rPr>
          <w:rFonts w:ascii="Arial" w:hAnsi="Arial" w:cs="Arial"/>
          <w:color w:val="000000" w:themeColor="text1"/>
          <w:sz w:val="22"/>
          <w:szCs w:val="22"/>
        </w:rPr>
        <w:t xml:space="preserve"> (COS)</w:t>
      </w:r>
      <w:r w:rsidR="00592046"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Although revenue has gone up by £500 (9.1%), </w:t>
      </w:r>
      <w:r w:rsidR="00515A29" w:rsidRPr="0034382E">
        <w:rPr>
          <w:rFonts w:ascii="Arial" w:hAnsi="Arial" w:cs="Arial"/>
          <w:color w:val="000000" w:themeColor="text1"/>
          <w:sz w:val="22"/>
          <w:szCs w:val="22"/>
        </w:rPr>
        <w:t xml:space="preserve">COS has risen </w:t>
      </w:r>
      <w:r w:rsidR="004C53AF" w:rsidRPr="0034382E">
        <w:rPr>
          <w:rFonts w:ascii="Arial" w:hAnsi="Arial" w:cs="Arial"/>
          <w:color w:val="000000" w:themeColor="text1"/>
          <w:sz w:val="22"/>
          <w:szCs w:val="22"/>
        </w:rPr>
        <w:t xml:space="preserve">by </w:t>
      </w:r>
      <w:r w:rsidR="00515A29" w:rsidRPr="0034382E">
        <w:rPr>
          <w:rFonts w:ascii="Arial" w:hAnsi="Arial" w:cs="Arial"/>
          <w:color w:val="000000" w:themeColor="text1"/>
          <w:sz w:val="22"/>
          <w:szCs w:val="22"/>
        </w:rPr>
        <w:t xml:space="preserve">£400 (88.9%) </w:t>
      </w:r>
      <w:r w:rsidR="004C53AF" w:rsidRPr="0034382E">
        <w:rPr>
          <w:rFonts w:ascii="Arial" w:hAnsi="Arial" w:cs="Arial"/>
          <w:color w:val="000000" w:themeColor="text1"/>
          <w:sz w:val="22"/>
          <w:szCs w:val="22"/>
        </w:rPr>
        <w:t>resulting in a small overall increase</w:t>
      </w:r>
      <w:r w:rsidR="00515A29" w:rsidRPr="0034382E">
        <w:rPr>
          <w:rFonts w:ascii="Arial" w:hAnsi="Arial" w:cs="Arial"/>
          <w:color w:val="000000" w:themeColor="text1"/>
          <w:sz w:val="22"/>
          <w:szCs w:val="22"/>
        </w:rPr>
        <w:t xml:space="preserve">, </w:t>
      </w:r>
      <w:r w:rsidR="00EC0B41" w:rsidRPr="0034382E">
        <w:rPr>
          <w:rFonts w:ascii="Arial" w:hAnsi="Arial" w:cs="Arial"/>
          <w:color w:val="000000" w:themeColor="text1"/>
          <w:sz w:val="22"/>
          <w:szCs w:val="22"/>
        </w:rPr>
        <w:t>as</w:t>
      </w:r>
      <w:r w:rsidR="00515A29" w:rsidRPr="0034382E">
        <w:rPr>
          <w:rFonts w:ascii="Arial" w:hAnsi="Arial" w:cs="Arial"/>
          <w:color w:val="000000" w:themeColor="text1"/>
          <w:sz w:val="22"/>
          <w:szCs w:val="22"/>
        </w:rPr>
        <w:t xml:space="preserve"> OP improv</w:t>
      </w:r>
      <w:r w:rsidR="00EC0B41" w:rsidRPr="0034382E">
        <w:rPr>
          <w:rFonts w:ascii="Arial" w:hAnsi="Arial" w:cs="Arial"/>
          <w:color w:val="000000" w:themeColor="text1"/>
          <w:sz w:val="22"/>
          <w:szCs w:val="22"/>
        </w:rPr>
        <w:t>ed</w:t>
      </w:r>
      <w:r w:rsidR="00515A29" w:rsidRPr="0034382E">
        <w:rPr>
          <w:rFonts w:ascii="Arial" w:hAnsi="Arial" w:cs="Arial"/>
          <w:color w:val="000000" w:themeColor="text1"/>
          <w:sz w:val="22"/>
          <w:szCs w:val="22"/>
        </w:rPr>
        <w:t xml:space="preserve"> by only 1.6% over the period. </w:t>
      </w:r>
      <w:r w:rsidR="00592046" w:rsidRPr="0034382E">
        <w:rPr>
          <w:rFonts w:ascii="Arial" w:hAnsi="Arial" w:cs="Arial"/>
          <w:color w:val="000000" w:themeColor="text1"/>
          <w:sz w:val="22"/>
          <w:szCs w:val="22"/>
        </w:rPr>
        <w:t xml:space="preserve"> </w:t>
      </w:r>
    </w:p>
    <w:p w14:paraId="1F5335E2" w14:textId="77777777" w:rsidR="00443B06" w:rsidRPr="0034382E" w:rsidRDefault="00E807C9"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lastRenderedPageBreak/>
        <w:t>With COS increasing more than revenue, this has slowed down the OP affect</w:t>
      </w:r>
      <w:r w:rsidR="006D2605" w:rsidRPr="0034382E">
        <w:rPr>
          <w:rFonts w:ascii="Arial" w:hAnsi="Arial" w:cs="Arial"/>
          <w:color w:val="000000" w:themeColor="text1"/>
          <w:sz w:val="22"/>
          <w:szCs w:val="22"/>
        </w:rPr>
        <w:t>ing</w:t>
      </w:r>
      <w:r w:rsidRPr="0034382E">
        <w:rPr>
          <w:rFonts w:ascii="Arial" w:hAnsi="Arial" w:cs="Arial"/>
          <w:color w:val="000000" w:themeColor="text1"/>
          <w:sz w:val="22"/>
          <w:szCs w:val="22"/>
        </w:rPr>
        <w:t xml:space="preserve"> the ROCE. </w:t>
      </w:r>
      <w:r w:rsidR="00592046" w:rsidRPr="0034382E">
        <w:rPr>
          <w:rFonts w:ascii="Arial" w:hAnsi="Arial" w:cs="Arial"/>
          <w:color w:val="000000" w:themeColor="text1"/>
          <w:sz w:val="22"/>
          <w:szCs w:val="22"/>
        </w:rPr>
        <w:t xml:space="preserve">Reducing </w:t>
      </w:r>
      <w:r w:rsidR="004C53AF" w:rsidRPr="0034382E">
        <w:rPr>
          <w:rFonts w:ascii="Arial" w:hAnsi="Arial" w:cs="Arial"/>
          <w:color w:val="000000" w:themeColor="text1"/>
          <w:sz w:val="22"/>
          <w:szCs w:val="22"/>
        </w:rPr>
        <w:t>COS</w:t>
      </w:r>
      <w:r w:rsidR="00A65456" w:rsidRPr="0034382E">
        <w:rPr>
          <w:rFonts w:ascii="Arial" w:hAnsi="Arial" w:cs="Arial"/>
          <w:color w:val="000000" w:themeColor="text1"/>
          <w:sz w:val="22"/>
          <w:szCs w:val="22"/>
        </w:rPr>
        <w:t xml:space="preserve"> </w:t>
      </w:r>
      <w:r w:rsidR="006D2605" w:rsidRPr="0034382E">
        <w:rPr>
          <w:rFonts w:ascii="Arial" w:hAnsi="Arial" w:cs="Arial"/>
          <w:color w:val="000000" w:themeColor="text1"/>
          <w:sz w:val="22"/>
          <w:szCs w:val="22"/>
        </w:rPr>
        <w:t>could</w:t>
      </w:r>
      <w:r w:rsidR="00592046" w:rsidRPr="0034382E">
        <w:rPr>
          <w:rFonts w:ascii="Arial" w:hAnsi="Arial" w:cs="Arial"/>
          <w:color w:val="000000" w:themeColor="text1"/>
          <w:sz w:val="22"/>
          <w:szCs w:val="22"/>
        </w:rPr>
        <w:t xml:space="preserve"> improve the ROCE </w:t>
      </w:r>
      <w:r w:rsidR="006D2605" w:rsidRPr="0034382E">
        <w:rPr>
          <w:rFonts w:ascii="Arial" w:hAnsi="Arial" w:cs="Arial"/>
          <w:color w:val="000000" w:themeColor="text1"/>
          <w:sz w:val="22"/>
          <w:szCs w:val="22"/>
        </w:rPr>
        <w:t xml:space="preserve">performance amongst other strategies </w:t>
      </w:r>
      <w:r w:rsidR="00EC0B41" w:rsidRPr="0034382E">
        <w:rPr>
          <w:rFonts w:ascii="Arial" w:hAnsi="Arial" w:cs="Arial"/>
          <w:color w:val="000000" w:themeColor="text1"/>
          <w:sz w:val="22"/>
          <w:szCs w:val="22"/>
        </w:rPr>
        <w:t xml:space="preserve">described </w:t>
      </w:r>
      <w:r w:rsidR="006D2605" w:rsidRPr="0034382E">
        <w:rPr>
          <w:rFonts w:ascii="Arial" w:hAnsi="Arial" w:cs="Arial"/>
          <w:color w:val="000000" w:themeColor="text1"/>
          <w:sz w:val="22"/>
          <w:szCs w:val="22"/>
        </w:rPr>
        <w:t>below</w:t>
      </w:r>
      <w:r w:rsidR="00592046" w:rsidRPr="0034382E">
        <w:rPr>
          <w:rFonts w:ascii="Arial" w:hAnsi="Arial" w:cs="Arial"/>
          <w:color w:val="000000" w:themeColor="text1"/>
          <w:sz w:val="22"/>
          <w:szCs w:val="22"/>
        </w:rPr>
        <w:t xml:space="preserve"> </w:t>
      </w:r>
      <w:r w:rsidR="00592046" w:rsidRPr="0034382E">
        <w:rPr>
          <w:rFonts w:ascii="Arial" w:eastAsia="Times New Roman" w:hAnsi="Arial" w:cs="Arial"/>
          <w:color w:val="000000" w:themeColor="text1"/>
          <w:sz w:val="22"/>
          <w:szCs w:val="22"/>
          <w:shd w:val="clear" w:color="auto" w:fill="FFFFFF"/>
          <w:lang w:eastAsia="en-GB"/>
        </w:rPr>
        <w:t>(Hayes and Miller, 2011).</w:t>
      </w:r>
    </w:p>
    <w:p w14:paraId="5646EBC1" w14:textId="77777777" w:rsidR="00D47F74"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Analysing the </w:t>
      </w:r>
      <w:r w:rsidR="00443B06" w:rsidRPr="0034382E">
        <w:rPr>
          <w:rFonts w:ascii="Arial" w:hAnsi="Arial" w:cs="Arial"/>
          <w:color w:val="000000" w:themeColor="text1"/>
          <w:sz w:val="22"/>
          <w:szCs w:val="22"/>
        </w:rPr>
        <w:t xml:space="preserve">increase in </w:t>
      </w:r>
      <w:r w:rsidRPr="0034382E">
        <w:rPr>
          <w:rFonts w:ascii="Arial" w:hAnsi="Arial" w:cs="Arial"/>
          <w:color w:val="000000" w:themeColor="text1"/>
          <w:sz w:val="22"/>
          <w:szCs w:val="22"/>
        </w:rPr>
        <w:t xml:space="preserve">COS by 88.9% and the </w:t>
      </w:r>
      <w:r w:rsidR="00443B06" w:rsidRPr="0034382E">
        <w:rPr>
          <w:rFonts w:ascii="Arial" w:hAnsi="Arial" w:cs="Arial"/>
          <w:color w:val="000000" w:themeColor="text1"/>
          <w:sz w:val="22"/>
          <w:szCs w:val="22"/>
        </w:rPr>
        <w:t xml:space="preserve">increase in </w:t>
      </w:r>
      <w:r w:rsidRPr="0034382E">
        <w:rPr>
          <w:rFonts w:ascii="Arial" w:hAnsi="Arial" w:cs="Arial"/>
          <w:color w:val="000000" w:themeColor="text1"/>
          <w:sz w:val="22"/>
          <w:szCs w:val="22"/>
        </w:rPr>
        <w:t xml:space="preserve">operating expenses (OE) by </w:t>
      </w:r>
      <w:r w:rsidR="00B30925" w:rsidRPr="0034382E">
        <w:rPr>
          <w:rFonts w:ascii="Arial" w:hAnsi="Arial" w:cs="Arial"/>
          <w:color w:val="000000" w:themeColor="text1"/>
          <w:sz w:val="22"/>
          <w:szCs w:val="22"/>
        </w:rPr>
        <w:t xml:space="preserve">3.4% reveals a clear indication </w:t>
      </w:r>
      <w:r w:rsidR="00443B06" w:rsidRPr="0034382E">
        <w:rPr>
          <w:rFonts w:ascii="Arial" w:hAnsi="Arial" w:cs="Arial"/>
          <w:color w:val="000000" w:themeColor="text1"/>
          <w:sz w:val="22"/>
          <w:szCs w:val="22"/>
        </w:rPr>
        <w:t>that</w:t>
      </w:r>
      <w:r w:rsidR="00B30925" w:rsidRPr="0034382E">
        <w:rPr>
          <w:rFonts w:ascii="Arial" w:hAnsi="Arial" w:cs="Arial"/>
          <w:color w:val="000000" w:themeColor="text1"/>
          <w:sz w:val="22"/>
          <w:szCs w:val="22"/>
        </w:rPr>
        <w:t xml:space="preserve"> COS </w:t>
      </w:r>
      <w:r w:rsidR="00443B06" w:rsidRPr="0034382E">
        <w:rPr>
          <w:rFonts w:ascii="Arial" w:hAnsi="Arial" w:cs="Arial"/>
          <w:color w:val="000000" w:themeColor="text1"/>
          <w:sz w:val="22"/>
          <w:szCs w:val="22"/>
        </w:rPr>
        <w:t xml:space="preserve">is </w:t>
      </w:r>
      <w:r w:rsidR="00B30925" w:rsidRPr="0034382E">
        <w:rPr>
          <w:rFonts w:ascii="Arial" w:hAnsi="Arial" w:cs="Arial"/>
          <w:color w:val="000000" w:themeColor="text1"/>
          <w:sz w:val="22"/>
          <w:szCs w:val="22"/>
        </w:rPr>
        <w:t>causing a more significant problem.</w:t>
      </w:r>
    </w:p>
    <w:p w14:paraId="79CF1DFB" w14:textId="77777777" w:rsidR="00B30925" w:rsidRPr="0034382E" w:rsidRDefault="00B30925" w:rsidP="0034382E">
      <w:pPr>
        <w:spacing w:line="360" w:lineRule="auto"/>
        <w:rPr>
          <w:rFonts w:ascii="Arial" w:hAnsi="Arial" w:cs="Arial"/>
          <w:color w:val="000000" w:themeColor="text1"/>
          <w:sz w:val="22"/>
          <w:szCs w:val="22"/>
        </w:rPr>
      </w:pPr>
    </w:p>
    <w:p w14:paraId="19BE2258" w14:textId="77777777" w:rsidR="00B30925"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With OE increasing by 3.4% </w:t>
      </w:r>
      <w:r w:rsidR="0034382E" w:rsidRPr="0034382E">
        <w:rPr>
          <w:rFonts w:ascii="Arial" w:hAnsi="Arial" w:cs="Arial"/>
          <w:color w:val="000000" w:themeColor="text1"/>
          <w:sz w:val="22"/>
          <w:szCs w:val="22"/>
        </w:rPr>
        <w:t>the 88.9</w:t>
      </w:r>
      <w:r w:rsidRPr="0034382E">
        <w:rPr>
          <w:rFonts w:ascii="Arial" w:hAnsi="Arial" w:cs="Arial"/>
          <w:color w:val="000000" w:themeColor="text1"/>
          <w:sz w:val="22"/>
          <w:szCs w:val="22"/>
        </w:rPr>
        <w:t xml:space="preserve">% </w:t>
      </w:r>
      <w:r w:rsidR="0034382E" w:rsidRPr="0034382E">
        <w:rPr>
          <w:rFonts w:ascii="Arial" w:hAnsi="Arial" w:cs="Arial"/>
          <w:color w:val="000000" w:themeColor="text1"/>
          <w:sz w:val="22"/>
          <w:szCs w:val="22"/>
        </w:rPr>
        <w:t>increase</w:t>
      </w:r>
      <w:r w:rsidR="000A1ECD" w:rsidRPr="0034382E">
        <w:rPr>
          <w:rFonts w:ascii="Arial" w:hAnsi="Arial" w:cs="Arial"/>
          <w:color w:val="000000" w:themeColor="text1"/>
          <w:sz w:val="22"/>
          <w:szCs w:val="22"/>
        </w:rPr>
        <w:t xml:space="preserve"> in COS is responsible for the increase in sales, harming the overall profit margin. </w:t>
      </w:r>
    </w:p>
    <w:p w14:paraId="2E383CB2" w14:textId="77777777" w:rsidR="00EC0B41"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The rise in </w:t>
      </w:r>
      <w:r w:rsidR="00E807C9" w:rsidRPr="0034382E">
        <w:rPr>
          <w:rFonts w:ascii="Arial" w:hAnsi="Arial" w:cs="Arial"/>
          <w:color w:val="000000" w:themeColor="text1"/>
          <w:sz w:val="22"/>
          <w:szCs w:val="22"/>
        </w:rPr>
        <w:t>CE</w:t>
      </w:r>
      <w:r w:rsidRPr="0034382E">
        <w:rPr>
          <w:rFonts w:ascii="Arial" w:hAnsi="Arial" w:cs="Arial"/>
          <w:color w:val="000000" w:themeColor="text1"/>
          <w:sz w:val="22"/>
          <w:szCs w:val="22"/>
        </w:rPr>
        <w:t xml:space="preserve"> </w:t>
      </w:r>
      <w:r w:rsidR="006D2605" w:rsidRPr="0034382E">
        <w:rPr>
          <w:rFonts w:ascii="Arial" w:hAnsi="Arial" w:cs="Arial"/>
          <w:color w:val="000000" w:themeColor="text1"/>
          <w:sz w:val="22"/>
          <w:szCs w:val="22"/>
        </w:rPr>
        <w:t xml:space="preserve">by 3.2% </w:t>
      </w:r>
      <w:r w:rsidR="00063402" w:rsidRPr="0034382E">
        <w:rPr>
          <w:rFonts w:ascii="Arial" w:hAnsi="Arial" w:cs="Arial"/>
          <w:color w:val="000000" w:themeColor="text1"/>
          <w:sz w:val="22"/>
          <w:szCs w:val="22"/>
        </w:rPr>
        <w:t xml:space="preserve">is </w:t>
      </w:r>
      <w:r w:rsidRPr="0034382E">
        <w:rPr>
          <w:rFonts w:ascii="Arial" w:hAnsi="Arial" w:cs="Arial"/>
          <w:color w:val="000000" w:themeColor="text1"/>
          <w:sz w:val="22"/>
          <w:szCs w:val="22"/>
        </w:rPr>
        <w:t xml:space="preserve">an </w:t>
      </w:r>
      <w:r w:rsidR="006D2605" w:rsidRPr="0034382E">
        <w:rPr>
          <w:rFonts w:ascii="Arial" w:hAnsi="Arial" w:cs="Arial"/>
          <w:color w:val="000000" w:themeColor="text1"/>
          <w:sz w:val="22"/>
          <w:szCs w:val="22"/>
        </w:rPr>
        <w:t>indicati</w:t>
      </w:r>
      <w:r w:rsidRPr="0034382E">
        <w:rPr>
          <w:rFonts w:ascii="Arial" w:hAnsi="Arial" w:cs="Arial"/>
          <w:color w:val="000000" w:themeColor="text1"/>
          <w:sz w:val="22"/>
          <w:szCs w:val="22"/>
        </w:rPr>
        <w:t xml:space="preserve">on </w:t>
      </w:r>
      <w:r w:rsidR="006D2605" w:rsidRPr="0034382E">
        <w:rPr>
          <w:rFonts w:ascii="Arial" w:hAnsi="Arial" w:cs="Arial"/>
          <w:color w:val="000000" w:themeColor="text1"/>
          <w:sz w:val="22"/>
          <w:szCs w:val="22"/>
        </w:rPr>
        <w:t xml:space="preserve">that </w:t>
      </w:r>
      <w:r w:rsidRPr="0034382E">
        <w:rPr>
          <w:rFonts w:ascii="Arial" w:hAnsi="Arial" w:cs="Arial"/>
          <w:color w:val="000000" w:themeColor="text1"/>
          <w:sz w:val="22"/>
          <w:szCs w:val="22"/>
        </w:rPr>
        <w:t xml:space="preserve">the company has acquired more assets, a second look revealed that is not the situation but instead a depreciation of </w:t>
      </w:r>
      <w:r w:rsidR="00063402" w:rsidRPr="0034382E">
        <w:rPr>
          <w:rFonts w:ascii="Arial" w:hAnsi="Arial" w:cs="Arial"/>
          <w:color w:val="000000" w:themeColor="text1"/>
          <w:sz w:val="22"/>
          <w:szCs w:val="22"/>
        </w:rPr>
        <w:t xml:space="preserve">non-current </w:t>
      </w:r>
      <w:r w:rsidRPr="0034382E">
        <w:rPr>
          <w:rFonts w:ascii="Arial" w:hAnsi="Arial" w:cs="Arial"/>
          <w:color w:val="000000" w:themeColor="text1"/>
          <w:sz w:val="22"/>
          <w:szCs w:val="22"/>
        </w:rPr>
        <w:t>assets.</w:t>
      </w:r>
    </w:p>
    <w:p w14:paraId="3E7D5161" w14:textId="77777777" w:rsidR="00EC0B41" w:rsidRPr="0034382E" w:rsidRDefault="00EC0B41" w:rsidP="0034382E">
      <w:pPr>
        <w:spacing w:line="360" w:lineRule="auto"/>
        <w:rPr>
          <w:rFonts w:ascii="Arial" w:hAnsi="Arial" w:cs="Arial"/>
          <w:color w:val="000000" w:themeColor="text1"/>
          <w:sz w:val="22"/>
          <w:szCs w:val="22"/>
        </w:rPr>
      </w:pPr>
    </w:p>
    <w:p w14:paraId="68A7D279" w14:textId="49B46B6B" w:rsidR="00D47F74"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 xml:space="preserve"> Additionally, the hotel could improve on the total asset by selling outdated non-current assets which have depreciated and seldomly use</w:t>
      </w:r>
      <w:r w:rsidR="00BC4F4B">
        <w:rPr>
          <w:rFonts w:ascii="Arial" w:hAnsi="Arial" w:cs="Arial"/>
          <w:color w:val="000000" w:themeColor="text1"/>
          <w:sz w:val="22"/>
          <w:szCs w:val="22"/>
        </w:rPr>
        <w:t>,</w:t>
      </w:r>
      <w:r w:rsidRPr="0034382E">
        <w:rPr>
          <w:rFonts w:ascii="Arial" w:hAnsi="Arial" w:cs="Arial"/>
          <w:color w:val="000000" w:themeColor="text1"/>
          <w:sz w:val="22"/>
          <w:szCs w:val="22"/>
        </w:rPr>
        <w:t xml:space="preserve"> having little significant value to the company</w:t>
      </w:r>
      <w:r w:rsidR="00EC0B41"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w:t>
      </w:r>
      <w:r w:rsidR="00EC0B41" w:rsidRPr="0034382E">
        <w:rPr>
          <w:rFonts w:ascii="Arial" w:hAnsi="Arial" w:cs="Arial"/>
          <w:color w:val="000000" w:themeColor="text1"/>
          <w:sz w:val="22"/>
          <w:szCs w:val="22"/>
        </w:rPr>
        <w:t>This would allow</w:t>
      </w:r>
      <w:r w:rsidRPr="0034382E">
        <w:rPr>
          <w:rFonts w:ascii="Arial" w:hAnsi="Arial" w:cs="Arial"/>
          <w:color w:val="000000" w:themeColor="text1"/>
          <w:sz w:val="22"/>
          <w:szCs w:val="22"/>
        </w:rPr>
        <w:t xml:space="preserve"> for more capital to be employed for the same amount of production</w:t>
      </w:r>
      <w:r w:rsidR="00DF63BD" w:rsidRPr="0034382E">
        <w:rPr>
          <w:rFonts w:ascii="Arial" w:hAnsi="Arial" w:cs="Arial"/>
          <w:color w:val="000000" w:themeColor="text1"/>
          <w:sz w:val="22"/>
          <w:szCs w:val="22"/>
        </w:rPr>
        <w:t>, as depreciation is reflecting a 10% increase</w:t>
      </w:r>
      <w:r w:rsidR="00063402"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Additionally, improving total assets </w:t>
      </w:r>
      <w:r w:rsidR="00B30925" w:rsidRPr="0034382E">
        <w:rPr>
          <w:rFonts w:ascii="Arial" w:hAnsi="Arial" w:cs="Arial"/>
          <w:color w:val="000000" w:themeColor="text1"/>
          <w:sz w:val="22"/>
          <w:szCs w:val="22"/>
        </w:rPr>
        <w:t>could</w:t>
      </w:r>
      <w:r w:rsidRPr="0034382E">
        <w:rPr>
          <w:rFonts w:ascii="Arial" w:hAnsi="Arial" w:cs="Arial"/>
          <w:color w:val="000000" w:themeColor="text1"/>
          <w:sz w:val="22"/>
          <w:szCs w:val="22"/>
        </w:rPr>
        <w:t xml:space="preserve"> </w:t>
      </w:r>
      <w:r w:rsidR="00012337">
        <w:rPr>
          <w:rFonts w:ascii="Arial" w:hAnsi="Arial" w:cs="Arial"/>
          <w:color w:val="000000" w:themeColor="text1"/>
          <w:sz w:val="22"/>
          <w:szCs w:val="22"/>
        </w:rPr>
        <w:t xml:space="preserve">improve </w:t>
      </w:r>
      <w:r w:rsidRPr="0034382E">
        <w:rPr>
          <w:rFonts w:ascii="Arial" w:hAnsi="Arial" w:cs="Arial"/>
          <w:color w:val="000000" w:themeColor="text1"/>
          <w:sz w:val="22"/>
          <w:szCs w:val="22"/>
        </w:rPr>
        <w:t>ROCE performance</w:t>
      </w:r>
      <w:r w:rsidR="00063402" w:rsidRPr="0034382E">
        <w:rPr>
          <w:rFonts w:ascii="Arial" w:hAnsi="Arial" w:cs="Arial"/>
          <w:color w:val="000000" w:themeColor="text1"/>
          <w:sz w:val="22"/>
          <w:szCs w:val="22"/>
        </w:rPr>
        <w:t xml:space="preserve"> </w:t>
      </w:r>
      <w:r w:rsidR="00443B06" w:rsidRPr="0034382E">
        <w:rPr>
          <w:rFonts w:ascii="Arial" w:eastAsia="Times New Roman" w:hAnsi="Arial" w:cs="Arial"/>
          <w:color w:val="000000" w:themeColor="text1"/>
          <w:sz w:val="22"/>
          <w:szCs w:val="22"/>
          <w:shd w:val="clear" w:color="auto" w:fill="FFFFFF"/>
          <w:lang w:eastAsia="en-GB"/>
        </w:rPr>
        <w:t>(Drury, 2018)</w:t>
      </w:r>
      <w:r w:rsidRPr="0034382E">
        <w:rPr>
          <w:rFonts w:ascii="Arial" w:hAnsi="Arial" w:cs="Arial"/>
          <w:color w:val="000000" w:themeColor="text1"/>
          <w:sz w:val="22"/>
          <w:szCs w:val="22"/>
        </w:rPr>
        <w:t>.</w:t>
      </w:r>
    </w:p>
    <w:p w14:paraId="09425CCD" w14:textId="77777777" w:rsidR="00D47F74" w:rsidRPr="0034382E" w:rsidRDefault="00D47F74" w:rsidP="0034382E">
      <w:pPr>
        <w:spacing w:line="360" w:lineRule="auto"/>
        <w:rPr>
          <w:rFonts w:ascii="Arial" w:hAnsi="Arial" w:cs="Arial"/>
          <w:color w:val="000000" w:themeColor="text1"/>
          <w:sz w:val="22"/>
          <w:szCs w:val="22"/>
        </w:rPr>
      </w:pPr>
    </w:p>
    <w:p w14:paraId="51EEED14" w14:textId="22DF4B8D" w:rsidR="00C22BF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The management o</w:t>
      </w:r>
      <w:r w:rsidR="00063402" w:rsidRPr="0034382E">
        <w:rPr>
          <w:rFonts w:ascii="Arial" w:hAnsi="Arial" w:cs="Arial"/>
          <w:color w:val="000000" w:themeColor="text1"/>
          <w:sz w:val="22"/>
          <w:szCs w:val="22"/>
        </w:rPr>
        <w:t>f</w:t>
      </w:r>
      <w:r w:rsidRPr="0034382E">
        <w:rPr>
          <w:rFonts w:ascii="Arial" w:hAnsi="Arial" w:cs="Arial"/>
          <w:color w:val="000000" w:themeColor="text1"/>
          <w:sz w:val="22"/>
          <w:szCs w:val="22"/>
        </w:rPr>
        <w:t xml:space="preserve"> inventory can also improve the ROCE, with inventory increased from the previous year. </w:t>
      </w:r>
      <w:r w:rsidR="007E5755" w:rsidRPr="0034382E">
        <w:rPr>
          <w:rFonts w:ascii="Arial" w:hAnsi="Arial" w:cs="Arial"/>
          <w:color w:val="000000" w:themeColor="text1"/>
          <w:sz w:val="22"/>
          <w:szCs w:val="22"/>
        </w:rPr>
        <w:t>M</w:t>
      </w:r>
      <w:r w:rsidRPr="0034382E">
        <w:rPr>
          <w:rFonts w:ascii="Arial" w:hAnsi="Arial" w:cs="Arial"/>
          <w:color w:val="000000" w:themeColor="text1"/>
          <w:sz w:val="22"/>
          <w:szCs w:val="22"/>
        </w:rPr>
        <w:t>anag</w:t>
      </w:r>
      <w:r w:rsidR="007E5755" w:rsidRPr="0034382E">
        <w:rPr>
          <w:rFonts w:ascii="Arial" w:hAnsi="Arial" w:cs="Arial"/>
          <w:color w:val="000000" w:themeColor="text1"/>
          <w:sz w:val="22"/>
          <w:szCs w:val="22"/>
        </w:rPr>
        <w:t>ing</w:t>
      </w:r>
      <w:r w:rsidRPr="0034382E">
        <w:rPr>
          <w:rFonts w:ascii="Arial" w:hAnsi="Arial" w:cs="Arial"/>
          <w:color w:val="000000" w:themeColor="text1"/>
          <w:sz w:val="22"/>
          <w:szCs w:val="22"/>
        </w:rPr>
        <w:t xml:space="preserve"> borrow</w:t>
      </w:r>
      <w:r w:rsidR="00573D0E">
        <w:rPr>
          <w:rFonts w:ascii="Arial" w:hAnsi="Arial" w:cs="Arial"/>
          <w:color w:val="000000" w:themeColor="text1"/>
          <w:sz w:val="22"/>
          <w:szCs w:val="22"/>
        </w:rPr>
        <w:t>ing</w:t>
      </w:r>
      <w:r w:rsidRPr="0034382E">
        <w:rPr>
          <w:rFonts w:ascii="Arial" w:hAnsi="Arial" w:cs="Arial"/>
          <w:color w:val="000000" w:themeColor="text1"/>
          <w:sz w:val="22"/>
          <w:szCs w:val="22"/>
        </w:rPr>
        <w:t xml:space="preserve"> </w:t>
      </w:r>
      <w:r w:rsidR="00573D0E">
        <w:rPr>
          <w:rFonts w:ascii="Arial" w:hAnsi="Arial" w:cs="Arial"/>
          <w:color w:val="000000" w:themeColor="text1"/>
          <w:sz w:val="22"/>
          <w:szCs w:val="22"/>
        </w:rPr>
        <w:t xml:space="preserve">can </w:t>
      </w:r>
      <w:r w:rsidRPr="0034382E">
        <w:rPr>
          <w:rFonts w:ascii="Arial" w:hAnsi="Arial" w:cs="Arial"/>
          <w:color w:val="000000" w:themeColor="text1"/>
          <w:sz w:val="22"/>
          <w:szCs w:val="22"/>
        </w:rPr>
        <w:t xml:space="preserve">create lower interest rates </w:t>
      </w:r>
      <w:r w:rsidR="00573D0E">
        <w:rPr>
          <w:rFonts w:ascii="Arial" w:hAnsi="Arial" w:cs="Arial"/>
          <w:color w:val="000000" w:themeColor="text1"/>
          <w:sz w:val="22"/>
          <w:szCs w:val="22"/>
        </w:rPr>
        <w:t xml:space="preserve">by </w:t>
      </w:r>
      <w:r w:rsidRPr="0034382E">
        <w:rPr>
          <w:rFonts w:ascii="Arial" w:hAnsi="Arial" w:cs="Arial"/>
          <w:color w:val="000000" w:themeColor="text1"/>
          <w:sz w:val="22"/>
          <w:szCs w:val="22"/>
        </w:rPr>
        <w:t>using suitable debenture</w:t>
      </w:r>
      <w:r w:rsidR="00012337">
        <w:rPr>
          <w:rFonts w:ascii="Arial" w:hAnsi="Arial" w:cs="Arial"/>
          <w:color w:val="000000" w:themeColor="text1"/>
          <w:sz w:val="22"/>
          <w:szCs w:val="22"/>
        </w:rPr>
        <w:t>s,</w:t>
      </w:r>
      <w:r w:rsidRPr="0034382E">
        <w:rPr>
          <w:rFonts w:ascii="Arial" w:hAnsi="Arial" w:cs="Arial"/>
          <w:color w:val="000000" w:themeColor="text1"/>
          <w:sz w:val="22"/>
          <w:szCs w:val="22"/>
        </w:rPr>
        <w:t xml:space="preserve"> </w:t>
      </w:r>
      <w:r w:rsidR="00573D0E">
        <w:rPr>
          <w:rFonts w:ascii="Arial" w:hAnsi="Arial" w:cs="Arial"/>
          <w:color w:val="000000" w:themeColor="text1"/>
          <w:sz w:val="22"/>
          <w:szCs w:val="22"/>
        </w:rPr>
        <w:t xml:space="preserve">which </w:t>
      </w:r>
      <w:r w:rsidR="007E5755" w:rsidRPr="0034382E">
        <w:rPr>
          <w:rFonts w:ascii="Arial" w:hAnsi="Arial" w:cs="Arial"/>
          <w:color w:val="000000" w:themeColor="text1"/>
          <w:sz w:val="22"/>
          <w:szCs w:val="22"/>
        </w:rPr>
        <w:t>is of value to ROCE</w:t>
      </w:r>
      <w:r w:rsidRPr="0034382E">
        <w:rPr>
          <w:rFonts w:ascii="Arial" w:hAnsi="Arial" w:cs="Arial"/>
          <w:color w:val="000000" w:themeColor="text1"/>
          <w:sz w:val="22"/>
          <w:szCs w:val="22"/>
        </w:rPr>
        <w:t xml:space="preserve">. </w:t>
      </w:r>
      <w:r w:rsidR="007E5755" w:rsidRPr="0034382E">
        <w:rPr>
          <w:rFonts w:ascii="Arial" w:hAnsi="Arial" w:cs="Arial"/>
          <w:color w:val="000000" w:themeColor="text1"/>
          <w:sz w:val="22"/>
          <w:szCs w:val="22"/>
        </w:rPr>
        <w:t xml:space="preserve">In 2018, the ROCE was 71.9pence for every pound [£] of capital employed followed </w:t>
      </w:r>
      <w:r w:rsidR="009A3D4E" w:rsidRPr="0034382E">
        <w:rPr>
          <w:rFonts w:ascii="Arial" w:hAnsi="Arial" w:cs="Arial"/>
          <w:color w:val="000000" w:themeColor="text1"/>
          <w:sz w:val="22"/>
          <w:szCs w:val="22"/>
        </w:rPr>
        <w:t xml:space="preserve">by </w:t>
      </w:r>
      <w:r w:rsidR="007E5755" w:rsidRPr="0034382E">
        <w:rPr>
          <w:rFonts w:ascii="Arial" w:hAnsi="Arial" w:cs="Arial"/>
          <w:color w:val="000000" w:themeColor="text1"/>
          <w:sz w:val="22"/>
          <w:szCs w:val="22"/>
        </w:rPr>
        <w:t xml:space="preserve">2019 resulting in 70.8pence. </w:t>
      </w:r>
      <w:r w:rsidRPr="0034382E">
        <w:rPr>
          <w:rFonts w:ascii="Arial" w:hAnsi="Arial" w:cs="Arial"/>
          <w:color w:val="000000" w:themeColor="text1"/>
          <w:sz w:val="22"/>
          <w:szCs w:val="22"/>
        </w:rPr>
        <w:t>The trend in ROCE has fallen from 2018-2019</w:t>
      </w:r>
      <w:r w:rsidR="000A1ECD" w:rsidRPr="0034382E">
        <w:rPr>
          <w:rFonts w:ascii="Arial" w:hAnsi="Arial" w:cs="Arial"/>
          <w:color w:val="000000" w:themeColor="text1"/>
          <w:sz w:val="22"/>
          <w:szCs w:val="22"/>
        </w:rPr>
        <w:t xml:space="preserve"> with the increase in COS negatively affect</w:t>
      </w:r>
      <w:r w:rsidR="009A3D4E" w:rsidRPr="0034382E">
        <w:rPr>
          <w:rFonts w:ascii="Arial" w:hAnsi="Arial" w:cs="Arial"/>
          <w:color w:val="000000" w:themeColor="text1"/>
          <w:sz w:val="22"/>
          <w:szCs w:val="22"/>
        </w:rPr>
        <w:t>ing</w:t>
      </w:r>
      <w:r w:rsidR="000A1ECD" w:rsidRPr="0034382E">
        <w:rPr>
          <w:rFonts w:ascii="Arial" w:hAnsi="Arial" w:cs="Arial"/>
          <w:color w:val="000000" w:themeColor="text1"/>
          <w:sz w:val="22"/>
          <w:szCs w:val="22"/>
        </w:rPr>
        <w:t xml:space="preserve"> the</w:t>
      </w:r>
      <w:r w:rsidRPr="0034382E">
        <w:rPr>
          <w:rFonts w:ascii="Arial" w:hAnsi="Arial" w:cs="Arial"/>
          <w:color w:val="000000" w:themeColor="text1"/>
          <w:sz w:val="22"/>
          <w:szCs w:val="22"/>
        </w:rPr>
        <w:t xml:space="preserve"> increase in</w:t>
      </w:r>
      <w:r w:rsidR="000A1ECD" w:rsidRPr="0034382E">
        <w:rPr>
          <w:rFonts w:ascii="Arial" w:hAnsi="Arial" w:cs="Arial"/>
          <w:color w:val="000000" w:themeColor="text1"/>
          <w:sz w:val="22"/>
          <w:szCs w:val="22"/>
        </w:rPr>
        <w:t xml:space="preserve"> CE</w:t>
      </w:r>
      <w:r w:rsidRPr="0034382E">
        <w:rPr>
          <w:rFonts w:ascii="Arial" w:hAnsi="Arial" w:cs="Arial"/>
          <w:color w:val="000000" w:themeColor="text1"/>
          <w:sz w:val="22"/>
          <w:szCs w:val="22"/>
        </w:rPr>
        <w:t>. However, expectations are CE will generate future sales.</w:t>
      </w:r>
    </w:p>
    <w:p w14:paraId="5609F27A" w14:textId="77777777" w:rsidR="00C22BF8" w:rsidRPr="0034382E" w:rsidRDefault="00C22BF8" w:rsidP="0034382E">
      <w:pPr>
        <w:spacing w:line="360" w:lineRule="auto"/>
        <w:rPr>
          <w:rFonts w:ascii="Arial" w:hAnsi="Arial" w:cs="Arial"/>
          <w:color w:val="000000" w:themeColor="text1"/>
          <w:sz w:val="22"/>
          <w:szCs w:val="22"/>
        </w:rPr>
      </w:pPr>
    </w:p>
    <w:p w14:paraId="56A826D5" w14:textId="636018F8" w:rsidR="00D47F74"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Additionally, sales can also be increased</w:t>
      </w:r>
      <w:r w:rsidR="000A1ECD" w:rsidRPr="0034382E">
        <w:rPr>
          <w:rFonts w:ascii="Arial" w:hAnsi="Arial" w:cs="Arial"/>
          <w:color w:val="000000" w:themeColor="text1"/>
          <w:sz w:val="22"/>
          <w:szCs w:val="22"/>
        </w:rPr>
        <w:t xml:space="preserve"> and strategised</w:t>
      </w:r>
      <w:r w:rsidR="00C22BF8" w:rsidRPr="0034382E">
        <w:rPr>
          <w:rFonts w:ascii="Arial" w:hAnsi="Arial" w:cs="Arial"/>
          <w:color w:val="000000" w:themeColor="text1"/>
          <w:sz w:val="22"/>
          <w:szCs w:val="22"/>
        </w:rPr>
        <w:t xml:space="preserve">, ensuring sales are transacted </w:t>
      </w:r>
      <w:r w:rsidR="00AF0FC9" w:rsidRPr="0034382E">
        <w:rPr>
          <w:rFonts w:ascii="Arial" w:hAnsi="Arial" w:cs="Arial"/>
          <w:color w:val="000000" w:themeColor="text1"/>
          <w:sz w:val="22"/>
          <w:szCs w:val="22"/>
        </w:rPr>
        <w:t>with</w:t>
      </w:r>
      <w:r w:rsidR="00C22BF8" w:rsidRPr="0034382E">
        <w:rPr>
          <w:rFonts w:ascii="Arial" w:hAnsi="Arial" w:cs="Arial"/>
          <w:color w:val="000000" w:themeColor="text1"/>
          <w:sz w:val="22"/>
          <w:szCs w:val="22"/>
        </w:rPr>
        <w:t xml:space="preserve"> </w:t>
      </w:r>
      <w:r w:rsidR="00AF0FC9" w:rsidRPr="0034382E">
        <w:rPr>
          <w:rFonts w:ascii="Arial" w:hAnsi="Arial" w:cs="Arial"/>
          <w:color w:val="000000" w:themeColor="text1"/>
          <w:sz w:val="22"/>
          <w:szCs w:val="22"/>
        </w:rPr>
        <w:t>appropriate pricing plans</w:t>
      </w:r>
      <w:r w:rsidR="000A1ECD"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 xml:space="preserve"> </w:t>
      </w:r>
      <w:r w:rsidR="00A24E31">
        <w:rPr>
          <w:rFonts w:ascii="Arial" w:hAnsi="Arial" w:cs="Arial"/>
          <w:color w:val="000000" w:themeColor="text1"/>
          <w:sz w:val="22"/>
          <w:szCs w:val="22"/>
        </w:rPr>
        <w:t>Moreover</w:t>
      </w:r>
      <w:r w:rsidRPr="0034382E">
        <w:rPr>
          <w:rFonts w:ascii="Arial" w:hAnsi="Arial" w:cs="Arial"/>
          <w:color w:val="000000" w:themeColor="text1"/>
          <w:sz w:val="22"/>
          <w:szCs w:val="22"/>
        </w:rPr>
        <w:t xml:space="preserve">, a rise in sales could still affect the ROCE if sales margins are low. </w:t>
      </w:r>
      <w:r w:rsidR="00DF63BD" w:rsidRPr="0034382E">
        <w:rPr>
          <w:rFonts w:ascii="Arial" w:hAnsi="Arial" w:cs="Arial"/>
          <w:color w:val="000000" w:themeColor="text1"/>
          <w:sz w:val="22"/>
          <w:szCs w:val="22"/>
        </w:rPr>
        <w:t xml:space="preserve">More excellent efficiency plan could be introduced to reduce OE caused by light and heat. The hotel has an increase of 12.5% on debt capital </w:t>
      </w:r>
      <w:r w:rsidR="00AF0FC9" w:rsidRPr="0034382E">
        <w:rPr>
          <w:rFonts w:ascii="Arial" w:hAnsi="Arial" w:cs="Arial"/>
          <w:color w:val="000000" w:themeColor="text1"/>
          <w:sz w:val="22"/>
          <w:szCs w:val="22"/>
        </w:rPr>
        <w:t>with bank overdrafts up by 66.7%, which needs to be managed more effectively.</w:t>
      </w:r>
    </w:p>
    <w:p w14:paraId="0BE6A488" w14:textId="77777777" w:rsidR="00D47F74" w:rsidRPr="0034382E" w:rsidRDefault="00D47F74" w:rsidP="0034382E">
      <w:pPr>
        <w:spacing w:line="360" w:lineRule="auto"/>
        <w:rPr>
          <w:rFonts w:ascii="Arial" w:hAnsi="Arial" w:cs="Arial"/>
          <w:color w:val="000000" w:themeColor="text1"/>
          <w:sz w:val="22"/>
          <w:szCs w:val="22"/>
        </w:rPr>
      </w:pPr>
    </w:p>
    <w:p w14:paraId="2A429F25" w14:textId="77777777" w:rsidR="00052E2B" w:rsidRPr="0034382E" w:rsidRDefault="00052E2B" w:rsidP="0034382E">
      <w:pPr>
        <w:spacing w:line="360" w:lineRule="auto"/>
        <w:rPr>
          <w:rFonts w:ascii="Arial" w:hAnsi="Arial" w:cs="Arial"/>
          <w:b/>
          <w:bCs/>
          <w:color w:val="000000" w:themeColor="text1"/>
          <w:sz w:val="22"/>
          <w:szCs w:val="22"/>
        </w:rPr>
      </w:pPr>
    </w:p>
    <w:p w14:paraId="25B63A89" w14:textId="77777777" w:rsidR="00D47F74"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The Asset turnover is an indication of the number of times the total investment has resulted in sales</w:t>
      </w:r>
      <w:r w:rsidR="009A3D4E" w:rsidRPr="0034382E">
        <w:rPr>
          <w:rFonts w:ascii="Arial" w:hAnsi="Arial" w:cs="Arial"/>
          <w:color w:val="000000" w:themeColor="text1"/>
          <w:sz w:val="22"/>
          <w:szCs w:val="22"/>
        </w:rPr>
        <w:t>; t</w:t>
      </w:r>
      <w:r w:rsidRPr="0034382E">
        <w:rPr>
          <w:rFonts w:ascii="Arial" w:hAnsi="Arial" w:cs="Arial"/>
          <w:color w:val="000000" w:themeColor="text1"/>
          <w:sz w:val="22"/>
          <w:szCs w:val="22"/>
        </w:rPr>
        <w:t>his measured the value of revenue showing an increase in monetary value from 2018-2019</w:t>
      </w:r>
      <w:r w:rsidR="00443B06" w:rsidRPr="0034382E">
        <w:rPr>
          <w:rFonts w:ascii="Arial" w:hAnsi="Arial" w:cs="Arial"/>
          <w:color w:val="000000" w:themeColor="text1"/>
          <w:sz w:val="22"/>
          <w:szCs w:val="22"/>
        </w:rPr>
        <w:t xml:space="preserve"> </w:t>
      </w:r>
      <w:r w:rsidR="00443B06" w:rsidRPr="0034382E">
        <w:rPr>
          <w:rFonts w:ascii="Arial" w:eastAsia="Times New Roman" w:hAnsi="Arial" w:cs="Arial"/>
          <w:color w:val="000000" w:themeColor="text1"/>
          <w:sz w:val="22"/>
          <w:szCs w:val="22"/>
          <w:shd w:val="clear" w:color="auto" w:fill="FFFFFF"/>
          <w:lang w:eastAsia="en-GB"/>
        </w:rPr>
        <w:t>(Holmes, Sugden and Gee, 2005)</w:t>
      </w:r>
      <w:r w:rsidRPr="0034382E">
        <w:rPr>
          <w:rFonts w:ascii="Arial" w:hAnsi="Arial" w:cs="Arial"/>
          <w:color w:val="000000" w:themeColor="text1"/>
          <w:sz w:val="22"/>
          <w:szCs w:val="22"/>
        </w:rPr>
        <w:t>.  The AD reflects a 0.06pence increase with the performan</w:t>
      </w:r>
      <w:r w:rsidR="00810A1A" w:rsidRPr="0034382E">
        <w:rPr>
          <w:rFonts w:ascii="Arial" w:hAnsi="Arial" w:cs="Arial"/>
          <w:color w:val="000000" w:themeColor="text1"/>
          <w:sz w:val="22"/>
          <w:szCs w:val="22"/>
        </w:rPr>
        <w:t xml:space="preserve">ce difference, </w:t>
      </w:r>
      <w:r w:rsidRPr="0034382E">
        <w:rPr>
          <w:rFonts w:ascii="Arial" w:hAnsi="Arial" w:cs="Arial"/>
          <w:color w:val="000000" w:themeColor="text1"/>
          <w:sz w:val="22"/>
          <w:szCs w:val="22"/>
        </w:rPr>
        <w:t>reflecting a 5.7%</w:t>
      </w:r>
      <w:r w:rsidR="00810A1A" w:rsidRPr="0034382E">
        <w:rPr>
          <w:rFonts w:ascii="Arial" w:hAnsi="Arial" w:cs="Arial"/>
          <w:color w:val="000000" w:themeColor="text1"/>
          <w:sz w:val="22"/>
          <w:szCs w:val="22"/>
        </w:rPr>
        <w:t xml:space="preserve"> increase</w:t>
      </w:r>
      <w:r w:rsidRPr="0034382E">
        <w:rPr>
          <w:rFonts w:ascii="Arial" w:hAnsi="Arial" w:cs="Arial"/>
          <w:color w:val="000000" w:themeColor="text1"/>
          <w:sz w:val="22"/>
          <w:szCs w:val="22"/>
        </w:rPr>
        <w:t>. This indicates the efficiency within which the hotel i</w:t>
      </w:r>
      <w:r w:rsidR="00810A1A" w:rsidRPr="0034382E">
        <w:rPr>
          <w:rFonts w:ascii="Arial" w:hAnsi="Arial" w:cs="Arial"/>
          <w:color w:val="000000" w:themeColor="text1"/>
          <w:sz w:val="22"/>
          <w:szCs w:val="22"/>
        </w:rPr>
        <w:t>n</w:t>
      </w:r>
      <w:r w:rsidRPr="0034382E">
        <w:rPr>
          <w:rFonts w:ascii="Arial" w:hAnsi="Arial" w:cs="Arial"/>
          <w:color w:val="000000" w:themeColor="text1"/>
          <w:sz w:val="22"/>
          <w:szCs w:val="22"/>
        </w:rPr>
        <w:t xml:space="preserve"> using assets to generate sales as the capital employed has risen. The asset turnover reflects how much revenue the hotel is making from each £1.00 of sales in the asset. </w:t>
      </w:r>
    </w:p>
    <w:p w14:paraId="5AF05DA7" w14:textId="158BF2F7" w:rsidR="00810A1A"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lastRenderedPageBreak/>
        <w:t xml:space="preserve">The increase in asset turnover has resulted in the </w:t>
      </w:r>
      <w:r w:rsidR="00B56A38" w:rsidRPr="0034382E">
        <w:rPr>
          <w:rFonts w:ascii="Arial" w:hAnsi="Arial" w:cs="Arial"/>
          <w:color w:val="000000" w:themeColor="text1"/>
          <w:sz w:val="22"/>
          <w:szCs w:val="22"/>
        </w:rPr>
        <w:t>9</w:t>
      </w:r>
      <w:r w:rsidRPr="0034382E">
        <w:rPr>
          <w:rFonts w:ascii="Arial" w:hAnsi="Arial" w:cs="Arial"/>
          <w:color w:val="000000" w:themeColor="text1"/>
          <w:sz w:val="22"/>
          <w:szCs w:val="22"/>
        </w:rPr>
        <w:t xml:space="preserve">.1 pence rise in revenue and the 3.2% rise in the capital employed. </w:t>
      </w:r>
      <w:r w:rsidRPr="00B14008">
        <w:rPr>
          <w:rFonts w:ascii="Arial" w:hAnsi="Arial" w:cs="Arial"/>
          <w:color w:val="000000" w:themeColor="text1"/>
          <w:sz w:val="22"/>
          <w:szCs w:val="22"/>
        </w:rPr>
        <w:t xml:space="preserve">Revenue has </w:t>
      </w:r>
      <w:r w:rsidR="00B14008" w:rsidRPr="00B14008">
        <w:rPr>
          <w:rFonts w:ascii="Arial" w:hAnsi="Arial" w:cs="Arial"/>
          <w:color w:val="000000" w:themeColor="text1"/>
          <w:sz w:val="22"/>
          <w:szCs w:val="22"/>
        </w:rPr>
        <w:t>been affected by</w:t>
      </w:r>
      <w:r w:rsidRPr="00B14008">
        <w:rPr>
          <w:rFonts w:ascii="Arial" w:hAnsi="Arial" w:cs="Arial"/>
          <w:color w:val="000000" w:themeColor="text1"/>
          <w:sz w:val="22"/>
          <w:szCs w:val="22"/>
        </w:rPr>
        <w:t xml:space="preserve"> the </w:t>
      </w:r>
      <w:r w:rsidR="007035D3" w:rsidRPr="00B14008">
        <w:rPr>
          <w:rFonts w:ascii="Arial" w:hAnsi="Arial" w:cs="Arial"/>
          <w:color w:val="000000" w:themeColor="text1"/>
          <w:sz w:val="22"/>
          <w:szCs w:val="22"/>
        </w:rPr>
        <w:t xml:space="preserve">-10% </w:t>
      </w:r>
      <w:r w:rsidRPr="00B14008">
        <w:rPr>
          <w:rFonts w:ascii="Arial" w:hAnsi="Arial" w:cs="Arial"/>
          <w:color w:val="000000" w:themeColor="text1"/>
          <w:sz w:val="22"/>
          <w:szCs w:val="22"/>
        </w:rPr>
        <w:t xml:space="preserve">fall in loan interest </w:t>
      </w:r>
      <w:r w:rsidR="00B14008" w:rsidRPr="00B14008">
        <w:rPr>
          <w:rFonts w:ascii="Arial" w:hAnsi="Arial" w:cs="Arial"/>
          <w:color w:val="000000" w:themeColor="text1"/>
          <w:sz w:val="22"/>
          <w:szCs w:val="22"/>
        </w:rPr>
        <w:t>over the period</w:t>
      </w:r>
      <w:r w:rsidRPr="0034382E">
        <w:rPr>
          <w:rFonts w:ascii="Arial" w:hAnsi="Arial" w:cs="Arial"/>
          <w:color w:val="000000" w:themeColor="text1"/>
          <w:sz w:val="22"/>
          <w:szCs w:val="22"/>
        </w:rPr>
        <w:t xml:space="preserve">. The increase in asset turnover could be a trend with the increase in sales over the two years. Conversely, a five to ten-year financial statement would give more accurate information regarding the trends as figures do change </w:t>
      </w:r>
      <w:r w:rsidR="000031D1" w:rsidRPr="0034382E">
        <w:rPr>
          <w:rFonts w:ascii="Arial" w:eastAsia="Times New Roman" w:hAnsi="Arial" w:cs="Arial"/>
          <w:color w:val="000000" w:themeColor="text1"/>
          <w:sz w:val="22"/>
          <w:szCs w:val="22"/>
          <w:shd w:val="clear" w:color="auto" w:fill="FFFFFF"/>
          <w:lang w:eastAsia="en-GB"/>
        </w:rPr>
        <w:t>(Hayes and Miller, 2011)</w:t>
      </w:r>
      <w:r w:rsidR="000031D1" w:rsidRPr="0034382E">
        <w:rPr>
          <w:rFonts w:ascii="Arial" w:eastAsia="Times New Roman" w:hAnsi="Arial" w:cs="Arial"/>
          <w:color w:val="000000" w:themeColor="text1"/>
          <w:sz w:val="22"/>
          <w:szCs w:val="22"/>
          <w:lang w:eastAsia="en-GB"/>
        </w:rPr>
        <w:t>.</w:t>
      </w:r>
    </w:p>
    <w:p w14:paraId="5245BF3C" w14:textId="77777777" w:rsidR="00D47F74" w:rsidRPr="0034382E" w:rsidRDefault="00D47F74" w:rsidP="0034382E">
      <w:pPr>
        <w:spacing w:line="360" w:lineRule="auto"/>
        <w:rPr>
          <w:rFonts w:ascii="Arial" w:hAnsi="Arial" w:cs="Arial"/>
          <w:color w:val="000000" w:themeColor="text1"/>
          <w:sz w:val="22"/>
          <w:szCs w:val="22"/>
        </w:rPr>
      </w:pPr>
    </w:p>
    <w:p w14:paraId="58C64C65" w14:textId="77777777" w:rsidR="00D47F74" w:rsidRPr="0034382E" w:rsidRDefault="00D47F74" w:rsidP="0034382E">
      <w:pPr>
        <w:spacing w:line="360" w:lineRule="auto"/>
        <w:rPr>
          <w:rFonts w:ascii="Arial" w:hAnsi="Arial" w:cs="Arial"/>
          <w:b/>
          <w:bCs/>
          <w:color w:val="000000" w:themeColor="text1"/>
          <w:sz w:val="22"/>
          <w:szCs w:val="22"/>
        </w:rPr>
      </w:pPr>
    </w:p>
    <w:p w14:paraId="4A6D923C" w14:textId="77777777" w:rsidR="00194006"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The gross profit margin (GPM) reflects the income generated from sales that is available after the cost of goods sold (COGS). The 2019 2018 period AD reflects a decline in the GPM by -6.0%. The RD also reflects a -6.0% decline. The decline in GPM was a combination of the </w:t>
      </w:r>
      <w:r w:rsidR="00251DD5" w:rsidRPr="0034382E">
        <w:rPr>
          <w:rFonts w:ascii="Arial" w:hAnsi="Arial" w:cs="Arial"/>
          <w:color w:val="000000" w:themeColor="text1"/>
          <w:sz w:val="22"/>
          <w:szCs w:val="22"/>
        </w:rPr>
        <w:t>9</w:t>
      </w:r>
      <w:r w:rsidRPr="0034382E">
        <w:rPr>
          <w:rFonts w:ascii="Arial" w:hAnsi="Arial" w:cs="Arial"/>
          <w:color w:val="000000" w:themeColor="text1"/>
          <w:sz w:val="22"/>
          <w:szCs w:val="22"/>
        </w:rPr>
        <w:t xml:space="preserve">.1% increase in sales and </w:t>
      </w:r>
      <w:r w:rsidR="00251DD5" w:rsidRPr="0034382E">
        <w:rPr>
          <w:rFonts w:ascii="Arial" w:hAnsi="Arial" w:cs="Arial"/>
          <w:color w:val="000000" w:themeColor="text1"/>
          <w:sz w:val="22"/>
          <w:szCs w:val="22"/>
        </w:rPr>
        <w:t>a 9</w:t>
      </w:r>
      <w:r w:rsidRPr="0034382E">
        <w:rPr>
          <w:rFonts w:ascii="Arial" w:hAnsi="Arial" w:cs="Arial"/>
          <w:color w:val="000000" w:themeColor="text1"/>
          <w:sz w:val="22"/>
          <w:szCs w:val="22"/>
        </w:rPr>
        <w:t xml:space="preserve">.1% increase in gross profit with a 0.3% rise in operating cost. </w:t>
      </w:r>
    </w:p>
    <w:p w14:paraId="688FF5F0" w14:textId="77777777" w:rsidR="00194006" w:rsidRPr="0034382E" w:rsidRDefault="00194006" w:rsidP="0034382E">
      <w:pPr>
        <w:spacing w:line="360" w:lineRule="auto"/>
        <w:rPr>
          <w:rFonts w:ascii="Arial" w:hAnsi="Arial" w:cs="Arial"/>
          <w:color w:val="000000" w:themeColor="text1"/>
          <w:sz w:val="22"/>
          <w:szCs w:val="22"/>
        </w:rPr>
      </w:pPr>
    </w:p>
    <w:p w14:paraId="75DAF8D6" w14:textId="5F99DE72" w:rsidR="00D47F74"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The higher level of analysis reveals that the decline in gross profit can be a possibility of the rise in the operation cost. Net operating profit analysed reflected -5.0% fall in AD and an additional</w:t>
      </w:r>
      <w:r w:rsidR="009E32F6"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 xml:space="preserve">-5.0% fall in </w:t>
      </w:r>
      <w:r w:rsidR="009A3D4E" w:rsidRPr="0034382E">
        <w:rPr>
          <w:rFonts w:ascii="Arial" w:hAnsi="Arial" w:cs="Arial"/>
          <w:color w:val="000000" w:themeColor="text1"/>
          <w:sz w:val="22"/>
          <w:szCs w:val="22"/>
        </w:rPr>
        <w:t>RD</w:t>
      </w:r>
      <w:r w:rsidRPr="0034382E">
        <w:rPr>
          <w:rFonts w:ascii="Arial" w:hAnsi="Arial" w:cs="Arial"/>
          <w:color w:val="000000" w:themeColor="text1"/>
          <w:sz w:val="22"/>
          <w:szCs w:val="22"/>
        </w:rPr>
        <w:t>.</w:t>
      </w:r>
      <w:r w:rsidR="00251DD5" w:rsidRPr="0034382E">
        <w:rPr>
          <w:rFonts w:ascii="Arial" w:hAnsi="Arial" w:cs="Arial"/>
          <w:color w:val="000000" w:themeColor="text1"/>
          <w:sz w:val="22"/>
          <w:szCs w:val="22"/>
        </w:rPr>
        <w:t xml:space="preserve"> The 1.6% rise in operating profit, combined with </w:t>
      </w:r>
      <w:r w:rsidR="0034382E" w:rsidRPr="0034382E">
        <w:rPr>
          <w:rFonts w:ascii="Arial" w:hAnsi="Arial" w:cs="Arial"/>
          <w:color w:val="000000" w:themeColor="text1"/>
          <w:sz w:val="22"/>
          <w:szCs w:val="22"/>
        </w:rPr>
        <w:t>a 9.1</w:t>
      </w:r>
      <w:r w:rsidR="00251DD5" w:rsidRPr="0034382E">
        <w:rPr>
          <w:rFonts w:ascii="Arial" w:hAnsi="Arial" w:cs="Arial"/>
          <w:color w:val="000000" w:themeColor="text1"/>
          <w:sz w:val="22"/>
          <w:szCs w:val="22"/>
        </w:rPr>
        <w:t xml:space="preserve">% rise in revenue, has been affected by a </w:t>
      </w:r>
      <w:r w:rsidR="00B56A38" w:rsidRPr="0034382E">
        <w:rPr>
          <w:rFonts w:ascii="Arial" w:hAnsi="Arial" w:cs="Arial"/>
          <w:color w:val="000000" w:themeColor="text1"/>
          <w:sz w:val="22"/>
          <w:szCs w:val="22"/>
        </w:rPr>
        <w:t xml:space="preserve">3.4% rise in the </w:t>
      </w:r>
      <w:r w:rsidR="00EB6D4E" w:rsidRPr="0034382E">
        <w:rPr>
          <w:rFonts w:ascii="Arial" w:hAnsi="Arial" w:cs="Arial"/>
          <w:color w:val="000000" w:themeColor="text1"/>
          <w:sz w:val="22"/>
          <w:szCs w:val="22"/>
        </w:rPr>
        <w:t>operating cost</w:t>
      </w:r>
      <w:r w:rsidR="00EC4E4F">
        <w:rPr>
          <w:rFonts w:ascii="Arial" w:hAnsi="Arial" w:cs="Arial"/>
          <w:color w:val="000000" w:themeColor="text1"/>
          <w:sz w:val="22"/>
          <w:szCs w:val="22"/>
        </w:rPr>
        <w:t xml:space="preserve"> as shown in </w:t>
      </w:r>
      <w:r w:rsidR="00A43F4A">
        <w:rPr>
          <w:rFonts w:ascii="Arial" w:hAnsi="Arial" w:cs="Arial"/>
          <w:color w:val="000000" w:themeColor="text1"/>
          <w:sz w:val="22"/>
          <w:szCs w:val="22"/>
        </w:rPr>
        <w:t>f</w:t>
      </w:r>
      <w:r w:rsidR="00EC4E4F">
        <w:rPr>
          <w:rFonts w:ascii="Arial" w:hAnsi="Arial" w:cs="Arial"/>
          <w:color w:val="000000" w:themeColor="text1"/>
          <w:sz w:val="22"/>
          <w:szCs w:val="22"/>
        </w:rPr>
        <w:t>igure 1.1 below.</w:t>
      </w:r>
    </w:p>
    <w:p w14:paraId="6C892539" w14:textId="77777777" w:rsidR="00637079" w:rsidRPr="0034382E" w:rsidRDefault="00637079" w:rsidP="0034382E">
      <w:pPr>
        <w:spacing w:line="360" w:lineRule="auto"/>
        <w:rPr>
          <w:rFonts w:ascii="Arial" w:hAnsi="Arial" w:cs="Arial"/>
          <w:color w:val="000000" w:themeColor="text1"/>
          <w:sz w:val="22"/>
          <w:szCs w:val="22"/>
        </w:rPr>
      </w:pPr>
    </w:p>
    <w:p w14:paraId="6465E2BB" w14:textId="77777777" w:rsidR="005640D6" w:rsidRPr="0034382E" w:rsidRDefault="005640D6" w:rsidP="0034382E">
      <w:pPr>
        <w:spacing w:line="360" w:lineRule="auto"/>
        <w:rPr>
          <w:rFonts w:ascii="Arial" w:hAnsi="Arial" w:cs="Arial"/>
          <w:color w:val="000000" w:themeColor="text1"/>
          <w:sz w:val="22"/>
          <w:szCs w:val="22"/>
        </w:rPr>
      </w:pPr>
    </w:p>
    <w:p w14:paraId="33B816D9" w14:textId="240CA923" w:rsidR="005640D6" w:rsidRDefault="00592046" w:rsidP="0034382E">
      <w:pPr>
        <w:spacing w:line="360" w:lineRule="auto"/>
        <w:rPr>
          <w:rFonts w:ascii="Arial" w:hAnsi="Arial" w:cs="Arial"/>
          <w:color w:val="000000" w:themeColor="text1"/>
          <w:sz w:val="22"/>
          <w:szCs w:val="22"/>
        </w:rPr>
      </w:pPr>
      <w:r w:rsidRPr="0034382E">
        <w:rPr>
          <w:rFonts w:ascii="Arial" w:hAnsi="Arial" w:cs="Arial"/>
          <w:noProof/>
          <w:color w:val="000000" w:themeColor="text1"/>
          <w:sz w:val="22"/>
          <w:szCs w:val="22"/>
        </w:rPr>
        <w:drawing>
          <wp:inline distT="0" distB="0" distL="0" distR="0" wp14:anchorId="209315AB" wp14:editId="45B315DD">
            <wp:extent cx="4572000" cy="2743200"/>
            <wp:effectExtent l="0" t="0" r="12700" b="12700"/>
            <wp:docPr id="3" name="Chart 3">
              <a:extLst xmlns:a="http://schemas.openxmlformats.org/drawingml/2006/main">
                <a:ext uri="{FF2B5EF4-FFF2-40B4-BE49-F238E27FC236}">
                  <a16:creationId xmlns:a16="http://schemas.microsoft.com/office/drawing/2014/main" id="{EB7C5931-1A9F-614B-B46B-BF7E47D035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4C16834" w14:textId="64680FF2" w:rsidR="007E1BBC" w:rsidRPr="0034382E" w:rsidRDefault="007E1BBC" w:rsidP="0034382E">
      <w:pPr>
        <w:spacing w:line="360" w:lineRule="auto"/>
        <w:rPr>
          <w:rFonts w:ascii="Arial" w:hAnsi="Arial" w:cs="Arial"/>
          <w:color w:val="000000" w:themeColor="text1"/>
          <w:sz w:val="22"/>
          <w:szCs w:val="22"/>
        </w:rPr>
      </w:pPr>
      <w:r>
        <w:rPr>
          <w:rFonts w:ascii="Arial" w:hAnsi="Arial" w:cs="Arial"/>
          <w:color w:val="000000" w:themeColor="text1"/>
          <w:sz w:val="22"/>
          <w:szCs w:val="22"/>
        </w:rPr>
        <w:t>Figure I.I</w:t>
      </w:r>
    </w:p>
    <w:p w14:paraId="3851406D" w14:textId="77777777" w:rsidR="00EB6D4E" w:rsidRPr="0034382E" w:rsidRDefault="00EB6D4E" w:rsidP="0034382E">
      <w:pPr>
        <w:spacing w:line="360" w:lineRule="auto"/>
        <w:rPr>
          <w:rFonts w:ascii="Arial" w:hAnsi="Arial" w:cs="Arial"/>
          <w:color w:val="000000" w:themeColor="text1"/>
          <w:sz w:val="22"/>
          <w:szCs w:val="22"/>
        </w:rPr>
      </w:pPr>
    </w:p>
    <w:p w14:paraId="202154EA" w14:textId="77777777" w:rsidR="005640D6" w:rsidRPr="0034382E" w:rsidRDefault="005640D6" w:rsidP="0034382E">
      <w:pPr>
        <w:spacing w:line="360" w:lineRule="auto"/>
        <w:rPr>
          <w:rFonts w:ascii="Arial" w:hAnsi="Arial" w:cs="Arial"/>
          <w:b/>
          <w:bCs/>
          <w:color w:val="000000" w:themeColor="text1"/>
          <w:sz w:val="22"/>
          <w:szCs w:val="22"/>
        </w:rPr>
      </w:pPr>
    </w:p>
    <w:p w14:paraId="39C35B24" w14:textId="77777777" w:rsidR="005640D6" w:rsidRPr="0034382E" w:rsidRDefault="005640D6" w:rsidP="0034382E">
      <w:pPr>
        <w:spacing w:line="360" w:lineRule="auto"/>
        <w:rPr>
          <w:rFonts w:ascii="Arial" w:hAnsi="Arial" w:cs="Arial"/>
          <w:b/>
          <w:bCs/>
          <w:color w:val="000000" w:themeColor="text1"/>
          <w:sz w:val="22"/>
          <w:szCs w:val="22"/>
        </w:rPr>
      </w:pPr>
    </w:p>
    <w:p w14:paraId="168C4E85" w14:textId="77777777" w:rsidR="000111C5" w:rsidRDefault="000111C5" w:rsidP="0034382E">
      <w:pPr>
        <w:spacing w:line="360" w:lineRule="auto"/>
        <w:rPr>
          <w:rFonts w:ascii="Arial" w:hAnsi="Arial" w:cs="Arial"/>
          <w:b/>
          <w:bCs/>
          <w:color w:val="000000" w:themeColor="text1"/>
          <w:sz w:val="22"/>
          <w:szCs w:val="22"/>
        </w:rPr>
      </w:pPr>
    </w:p>
    <w:p w14:paraId="1FAD0103" w14:textId="77777777" w:rsidR="000111C5" w:rsidRDefault="000111C5" w:rsidP="0034382E">
      <w:pPr>
        <w:spacing w:line="360" w:lineRule="auto"/>
        <w:rPr>
          <w:rFonts w:ascii="Arial" w:hAnsi="Arial" w:cs="Arial"/>
          <w:b/>
          <w:bCs/>
          <w:color w:val="000000" w:themeColor="text1"/>
          <w:sz w:val="22"/>
          <w:szCs w:val="22"/>
        </w:rPr>
      </w:pPr>
    </w:p>
    <w:p w14:paraId="4B0C8883" w14:textId="77777777" w:rsidR="000111C5" w:rsidRDefault="000111C5" w:rsidP="0034382E">
      <w:pPr>
        <w:spacing w:line="360" w:lineRule="auto"/>
        <w:rPr>
          <w:rFonts w:ascii="Arial" w:hAnsi="Arial" w:cs="Arial"/>
          <w:b/>
          <w:bCs/>
          <w:color w:val="000000" w:themeColor="text1"/>
          <w:sz w:val="22"/>
          <w:szCs w:val="22"/>
        </w:rPr>
      </w:pPr>
    </w:p>
    <w:p w14:paraId="2A64C2D1" w14:textId="77777777" w:rsidR="00EB6D4E"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lastRenderedPageBreak/>
        <w:t>Efficiency Ratio</w:t>
      </w:r>
      <w:r w:rsidR="00AC7C3C" w:rsidRPr="0034382E">
        <w:rPr>
          <w:rFonts w:ascii="Arial" w:hAnsi="Arial" w:cs="Arial"/>
          <w:b/>
          <w:bCs/>
          <w:color w:val="000000" w:themeColor="text1"/>
          <w:sz w:val="22"/>
          <w:szCs w:val="22"/>
        </w:rPr>
        <w:t>s</w:t>
      </w:r>
    </w:p>
    <w:p w14:paraId="76929594" w14:textId="4A35F65B" w:rsidR="00AC7C3C" w:rsidRPr="0034382E" w:rsidRDefault="00EC4E4F" w:rsidP="0034382E">
      <w:pPr>
        <w:spacing w:line="360" w:lineRule="auto"/>
        <w:rPr>
          <w:rFonts w:ascii="Arial" w:hAnsi="Arial" w:cs="Arial"/>
          <w:color w:val="000000" w:themeColor="text1"/>
          <w:sz w:val="22"/>
          <w:szCs w:val="22"/>
        </w:rPr>
      </w:pPr>
      <w:r>
        <w:rPr>
          <w:rFonts w:ascii="Arial" w:hAnsi="Arial" w:cs="Arial"/>
          <w:color w:val="000000" w:themeColor="text1"/>
          <w:sz w:val="22"/>
          <w:szCs w:val="22"/>
        </w:rPr>
        <w:t>Evaluating n</w:t>
      </w:r>
      <w:r w:rsidR="00EB6D4E" w:rsidRPr="0034382E">
        <w:rPr>
          <w:rFonts w:ascii="Arial" w:hAnsi="Arial" w:cs="Arial"/>
          <w:color w:val="000000" w:themeColor="text1"/>
          <w:sz w:val="22"/>
          <w:szCs w:val="22"/>
        </w:rPr>
        <w:t xml:space="preserve">on-current asset turnover </w:t>
      </w:r>
      <w:r w:rsidR="00592046" w:rsidRPr="0034382E">
        <w:rPr>
          <w:rFonts w:ascii="Arial" w:hAnsi="Arial" w:cs="Arial"/>
          <w:color w:val="000000" w:themeColor="text1"/>
          <w:sz w:val="22"/>
          <w:szCs w:val="22"/>
        </w:rPr>
        <w:t>indicat</w:t>
      </w:r>
      <w:r>
        <w:rPr>
          <w:rFonts w:ascii="Arial" w:hAnsi="Arial" w:cs="Arial"/>
          <w:color w:val="000000" w:themeColor="text1"/>
          <w:sz w:val="22"/>
          <w:szCs w:val="22"/>
        </w:rPr>
        <w:t xml:space="preserve">es </w:t>
      </w:r>
      <w:r w:rsidR="00592046" w:rsidRPr="0034382E">
        <w:rPr>
          <w:rFonts w:ascii="Arial" w:hAnsi="Arial" w:cs="Arial"/>
          <w:color w:val="000000" w:themeColor="text1"/>
          <w:sz w:val="22"/>
          <w:szCs w:val="22"/>
        </w:rPr>
        <w:t>how efficient</w:t>
      </w:r>
      <w:r>
        <w:rPr>
          <w:rFonts w:ascii="Arial" w:hAnsi="Arial" w:cs="Arial"/>
          <w:color w:val="000000" w:themeColor="text1"/>
          <w:sz w:val="22"/>
          <w:szCs w:val="22"/>
        </w:rPr>
        <w:t>ly</w:t>
      </w:r>
      <w:r w:rsidR="00592046" w:rsidRPr="0034382E">
        <w:rPr>
          <w:rFonts w:ascii="Arial" w:hAnsi="Arial" w:cs="Arial"/>
          <w:color w:val="000000" w:themeColor="text1"/>
          <w:sz w:val="22"/>
          <w:szCs w:val="22"/>
        </w:rPr>
        <w:t xml:space="preserve"> assets are performing. The AD</w:t>
      </w:r>
      <w:r w:rsidR="00EB6D4E" w:rsidRPr="0034382E">
        <w:rPr>
          <w:rFonts w:ascii="Arial" w:hAnsi="Arial" w:cs="Arial"/>
          <w:color w:val="000000" w:themeColor="text1"/>
          <w:sz w:val="22"/>
          <w:szCs w:val="22"/>
        </w:rPr>
        <w:t xml:space="preserve"> </w:t>
      </w:r>
      <w:r w:rsidR="00996089" w:rsidRPr="0034382E">
        <w:rPr>
          <w:rFonts w:ascii="Arial" w:hAnsi="Arial" w:cs="Arial"/>
          <w:color w:val="000000" w:themeColor="text1"/>
          <w:sz w:val="22"/>
          <w:szCs w:val="22"/>
        </w:rPr>
        <w:t>indicates</w:t>
      </w:r>
      <w:r w:rsidR="00EB6D4E" w:rsidRPr="0034382E">
        <w:rPr>
          <w:rFonts w:ascii="Arial" w:hAnsi="Arial" w:cs="Arial"/>
          <w:color w:val="000000" w:themeColor="text1"/>
          <w:sz w:val="22"/>
          <w:szCs w:val="22"/>
        </w:rPr>
        <w:t xml:space="preserve"> a 0.</w:t>
      </w:r>
      <w:r w:rsidR="00592046" w:rsidRPr="0034382E">
        <w:rPr>
          <w:rFonts w:ascii="Arial" w:hAnsi="Arial" w:cs="Arial"/>
          <w:color w:val="000000" w:themeColor="text1"/>
          <w:sz w:val="22"/>
          <w:szCs w:val="22"/>
        </w:rPr>
        <w:t>07</w:t>
      </w:r>
      <w:r w:rsidR="00EB6D4E" w:rsidRPr="0034382E">
        <w:rPr>
          <w:rFonts w:ascii="Arial" w:hAnsi="Arial" w:cs="Arial"/>
          <w:color w:val="000000" w:themeColor="text1"/>
          <w:sz w:val="22"/>
          <w:szCs w:val="22"/>
        </w:rPr>
        <w:t>pence increase</w:t>
      </w:r>
      <w:r w:rsidR="009A3D4E" w:rsidRPr="0034382E">
        <w:rPr>
          <w:rFonts w:ascii="Arial" w:hAnsi="Arial" w:cs="Arial"/>
          <w:color w:val="000000" w:themeColor="text1"/>
          <w:sz w:val="22"/>
          <w:szCs w:val="22"/>
        </w:rPr>
        <w:t xml:space="preserve"> and t</w:t>
      </w:r>
      <w:r w:rsidR="00EB6D4E" w:rsidRPr="0034382E">
        <w:rPr>
          <w:rFonts w:ascii="Arial" w:hAnsi="Arial" w:cs="Arial"/>
          <w:color w:val="000000" w:themeColor="text1"/>
          <w:sz w:val="22"/>
          <w:szCs w:val="22"/>
        </w:rPr>
        <w:t xml:space="preserve">he </w:t>
      </w:r>
      <w:r w:rsidR="00592046" w:rsidRPr="0034382E">
        <w:rPr>
          <w:rFonts w:ascii="Arial" w:hAnsi="Arial" w:cs="Arial"/>
          <w:color w:val="000000" w:themeColor="text1"/>
          <w:sz w:val="22"/>
          <w:szCs w:val="22"/>
        </w:rPr>
        <w:t>RD</w:t>
      </w:r>
      <w:r w:rsidR="00EB6D4E" w:rsidRPr="0034382E">
        <w:rPr>
          <w:rFonts w:ascii="Arial" w:hAnsi="Arial" w:cs="Arial"/>
          <w:color w:val="000000" w:themeColor="text1"/>
          <w:sz w:val="22"/>
          <w:szCs w:val="22"/>
        </w:rPr>
        <w:t xml:space="preserve"> reflected a 5.6</w:t>
      </w:r>
      <w:r w:rsidR="00592046" w:rsidRPr="0034382E">
        <w:rPr>
          <w:rFonts w:ascii="Arial" w:hAnsi="Arial" w:cs="Arial"/>
          <w:color w:val="000000" w:themeColor="text1"/>
          <w:sz w:val="22"/>
          <w:szCs w:val="22"/>
        </w:rPr>
        <w:t>%</w:t>
      </w:r>
      <w:r w:rsidR="00EB6D4E" w:rsidRPr="0034382E">
        <w:rPr>
          <w:rFonts w:ascii="Arial" w:hAnsi="Arial" w:cs="Arial"/>
          <w:color w:val="000000" w:themeColor="text1"/>
          <w:sz w:val="22"/>
          <w:szCs w:val="22"/>
        </w:rPr>
        <w:t xml:space="preserve"> increase</w:t>
      </w:r>
      <w:r w:rsidR="00592046" w:rsidRPr="0034382E">
        <w:rPr>
          <w:rFonts w:ascii="Arial" w:hAnsi="Arial" w:cs="Arial"/>
          <w:color w:val="000000" w:themeColor="text1"/>
          <w:sz w:val="22"/>
          <w:szCs w:val="22"/>
        </w:rPr>
        <w:t xml:space="preserve"> </w:t>
      </w:r>
      <w:r w:rsidR="009A3D4E" w:rsidRPr="0034382E">
        <w:rPr>
          <w:rFonts w:ascii="Arial" w:hAnsi="Arial" w:cs="Arial"/>
          <w:color w:val="000000" w:themeColor="text1"/>
          <w:sz w:val="22"/>
          <w:szCs w:val="22"/>
        </w:rPr>
        <w:t xml:space="preserve">up </w:t>
      </w:r>
      <w:r w:rsidR="00592046" w:rsidRPr="0034382E">
        <w:rPr>
          <w:rFonts w:ascii="Arial" w:hAnsi="Arial" w:cs="Arial"/>
          <w:color w:val="000000" w:themeColor="text1"/>
          <w:sz w:val="22"/>
          <w:szCs w:val="22"/>
        </w:rPr>
        <w:t>from last year</w:t>
      </w:r>
      <w:r w:rsidR="00EB6D4E" w:rsidRPr="0034382E">
        <w:rPr>
          <w:rFonts w:ascii="Arial" w:hAnsi="Arial" w:cs="Arial"/>
          <w:color w:val="000000" w:themeColor="text1"/>
          <w:sz w:val="22"/>
          <w:szCs w:val="22"/>
        </w:rPr>
        <w:t xml:space="preserve">. The </w:t>
      </w:r>
      <w:r w:rsidR="003A2024" w:rsidRPr="0034382E">
        <w:rPr>
          <w:rFonts w:ascii="Arial" w:hAnsi="Arial" w:cs="Arial"/>
          <w:color w:val="000000" w:themeColor="text1"/>
          <w:sz w:val="22"/>
          <w:szCs w:val="22"/>
        </w:rPr>
        <w:t>overall 5.6</w:t>
      </w:r>
      <w:r w:rsidR="00592046" w:rsidRPr="0034382E">
        <w:rPr>
          <w:rFonts w:ascii="Arial" w:hAnsi="Arial" w:cs="Arial"/>
          <w:color w:val="000000" w:themeColor="text1"/>
          <w:sz w:val="22"/>
          <w:szCs w:val="22"/>
        </w:rPr>
        <w:t>%</w:t>
      </w:r>
      <w:r w:rsidR="003A2024" w:rsidRPr="0034382E">
        <w:rPr>
          <w:rFonts w:ascii="Arial" w:hAnsi="Arial" w:cs="Arial"/>
          <w:color w:val="000000" w:themeColor="text1"/>
          <w:sz w:val="22"/>
          <w:szCs w:val="22"/>
        </w:rPr>
        <w:t xml:space="preserve"> increase was a combination of the </w:t>
      </w:r>
      <w:r w:rsidR="00EB6D4E" w:rsidRPr="0034382E">
        <w:rPr>
          <w:rFonts w:ascii="Arial" w:hAnsi="Arial" w:cs="Arial"/>
          <w:color w:val="000000" w:themeColor="text1"/>
          <w:sz w:val="22"/>
          <w:szCs w:val="22"/>
        </w:rPr>
        <w:t>9.1</w:t>
      </w:r>
      <w:r w:rsidR="003A2024" w:rsidRPr="0034382E">
        <w:rPr>
          <w:rFonts w:ascii="Arial" w:hAnsi="Arial" w:cs="Arial"/>
          <w:color w:val="000000" w:themeColor="text1"/>
          <w:sz w:val="22"/>
          <w:szCs w:val="22"/>
        </w:rPr>
        <w:t>% rise in revenue and the 3.3% rise in non-current assets.</w:t>
      </w:r>
      <w:r w:rsidR="00592046" w:rsidRPr="0034382E">
        <w:rPr>
          <w:rFonts w:ascii="Arial" w:hAnsi="Arial" w:cs="Arial"/>
          <w:color w:val="000000" w:themeColor="text1"/>
          <w:sz w:val="22"/>
          <w:szCs w:val="22"/>
        </w:rPr>
        <w:t xml:space="preserve"> Pr</w:t>
      </w:r>
      <w:r w:rsidR="009A3D4E" w:rsidRPr="0034382E">
        <w:rPr>
          <w:rFonts w:ascii="Arial" w:hAnsi="Arial" w:cs="Arial"/>
          <w:color w:val="000000" w:themeColor="text1"/>
          <w:sz w:val="22"/>
          <w:szCs w:val="22"/>
        </w:rPr>
        <w:t>o</w:t>
      </w:r>
      <w:r w:rsidR="00592046" w:rsidRPr="0034382E">
        <w:rPr>
          <w:rFonts w:ascii="Arial" w:hAnsi="Arial" w:cs="Arial"/>
          <w:color w:val="000000" w:themeColor="text1"/>
          <w:sz w:val="22"/>
          <w:szCs w:val="22"/>
        </w:rPr>
        <w:t>bable cause for the assets performing well could be due to the increase in sales.</w:t>
      </w:r>
    </w:p>
    <w:p w14:paraId="70813DCF" w14:textId="77777777" w:rsidR="00EB6D4E"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 </w:t>
      </w:r>
    </w:p>
    <w:p w14:paraId="292D0F88" w14:textId="34F4B7D6" w:rsidR="00654C0D"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With no</w:t>
      </w:r>
      <w:r w:rsidR="00B10557" w:rsidRPr="0034382E">
        <w:rPr>
          <w:rFonts w:ascii="Arial" w:hAnsi="Arial" w:cs="Arial"/>
          <w:color w:val="000000" w:themeColor="text1"/>
          <w:sz w:val="22"/>
          <w:szCs w:val="22"/>
        </w:rPr>
        <w:t>n-current assets depreciating over time, selling unwanted assets can improve the revenue per pound (£). A high turnover shows that the company is efficiently utilising assets to generate sales.</w:t>
      </w:r>
      <w:r w:rsidR="00A83798" w:rsidRPr="0034382E">
        <w:rPr>
          <w:rFonts w:ascii="Arial" w:hAnsi="Arial" w:cs="Arial"/>
          <w:color w:val="000000" w:themeColor="text1"/>
          <w:sz w:val="22"/>
          <w:szCs w:val="22"/>
        </w:rPr>
        <w:t xml:space="preserve"> Conversely, a low asset turnover would indicate the company is failing to use assets to generate sales.</w:t>
      </w:r>
    </w:p>
    <w:p w14:paraId="40B9AC73" w14:textId="77777777" w:rsidR="00A83798" w:rsidRPr="0034382E" w:rsidRDefault="00A83798" w:rsidP="0034382E">
      <w:pPr>
        <w:spacing w:line="360" w:lineRule="auto"/>
        <w:rPr>
          <w:rFonts w:ascii="Arial" w:hAnsi="Arial" w:cs="Arial"/>
          <w:color w:val="000000" w:themeColor="text1"/>
          <w:sz w:val="22"/>
          <w:szCs w:val="22"/>
        </w:rPr>
      </w:pPr>
    </w:p>
    <w:p w14:paraId="2E197BAA" w14:textId="445F0AC8" w:rsidR="00E83A6A"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Inventory turnover interlinks with the efficiency of maintain</w:t>
      </w:r>
      <w:r w:rsidR="00217A7F" w:rsidRPr="0034382E">
        <w:rPr>
          <w:rFonts w:ascii="Arial" w:hAnsi="Arial" w:cs="Arial"/>
          <w:color w:val="000000" w:themeColor="text1"/>
          <w:sz w:val="22"/>
          <w:szCs w:val="22"/>
        </w:rPr>
        <w:t xml:space="preserve">ing </w:t>
      </w:r>
      <w:r w:rsidRPr="0034382E">
        <w:rPr>
          <w:rFonts w:ascii="Arial" w:hAnsi="Arial" w:cs="Arial"/>
          <w:color w:val="000000" w:themeColor="text1"/>
          <w:sz w:val="22"/>
          <w:szCs w:val="22"/>
        </w:rPr>
        <w:t xml:space="preserve">inventory and the </w:t>
      </w:r>
      <w:r w:rsidR="00217A7F" w:rsidRPr="0034382E">
        <w:rPr>
          <w:rFonts w:ascii="Arial" w:hAnsi="Arial" w:cs="Arial"/>
          <w:color w:val="000000" w:themeColor="text1"/>
          <w:sz w:val="22"/>
          <w:szCs w:val="22"/>
        </w:rPr>
        <w:t xml:space="preserve">liquidity it generates. This </w:t>
      </w:r>
      <w:r w:rsidRPr="0034382E">
        <w:rPr>
          <w:rFonts w:ascii="Arial" w:hAnsi="Arial" w:cs="Arial"/>
          <w:color w:val="000000" w:themeColor="text1"/>
          <w:sz w:val="22"/>
          <w:szCs w:val="22"/>
        </w:rPr>
        <w:t>reflects the number of days the company is taking to turn over stock, resulting in sales. There</w:t>
      </w:r>
      <w:r w:rsidR="00217A7F"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has been a massive improvement between the two years with 2018 taking nearly two (2) years to turn over stock</w:t>
      </w:r>
      <w:r w:rsidR="00217A7F" w:rsidRPr="0034382E">
        <w:rPr>
          <w:rFonts w:ascii="Arial" w:hAnsi="Arial" w:cs="Arial"/>
          <w:color w:val="000000" w:themeColor="text1"/>
          <w:sz w:val="22"/>
          <w:szCs w:val="22"/>
        </w:rPr>
        <w:t xml:space="preserve"> and 2019 turning over</w:t>
      </w:r>
      <w:r w:rsidR="003B570E">
        <w:rPr>
          <w:rFonts w:ascii="Arial" w:hAnsi="Arial" w:cs="Arial"/>
          <w:color w:val="000000" w:themeColor="text1"/>
          <w:sz w:val="22"/>
          <w:szCs w:val="22"/>
        </w:rPr>
        <w:t xml:space="preserve"> </w:t>
      </w:r>
      <w:r w:rsidR="00217A7F" w:rsidRPr="0034382E">
        <w:rPr>
          <w:rFonts w:ascii="Arial" w:hAnsi="Arial" w:cs="Arial"/>
          <w:color w:val="000000" w:themeColor="text1"/>
          <w:sz w:val="22"/>
          <w:szCs w:val="22"/>
        </w:rPr>
        <w:t xml:space="preserve">stock in just over a year. </w:t>
      </w:r>
      <w:r w:rsidRPr="0034382E">
        <w:rPr>
          <w:rFonts w:ascii="Arial" w:hAnsi="Arial" w:cs="Arial"/>
          <w:color w:val="000000" w:themeColor="text1"/>
          <w:sz w:val="22"/>
          <w:szCs w:val="22"/>
        </w:rPr>
        <w:t xml:space="preserve"> </w:t>
      </w:r>
      <w:r w:rsidR="00A43F4A">
        <w:t xml:space="preserve">There has therefore been a significant improvement in the hotel’s performance in almost halving its inventory turnover as shown in </w:t>
      </w:r>
      <w:r w:rsidR="007E1BBC">
        <w:rPr>
          <w:rFonts w:ascii="Arial" w:hAnsi="Arial" w:cs="Arial"/>
          <w:color w:val="000000" w:themeColor="text1"/>
          <w:sz w:val="22"/>
          <w:szCs w:val="22"/>
        </w:rPr>
        <w:t>figure 1.2</w:t>
      </w:r>
      <w:r w:rsidR="00A43F4A">
        <w:rPr>
          <w:rFonts w:ascii="Arial" w:hAnsi="Arial" w:cs="Arial"/>
          <w:color w:val="000000" w:themeColor="text1"/>
          <w:sz w:val="22"/>
          <w:szCs w:val="22"/>
        </w:rPr>
        <w:t xml:space="preserve"> below.</w:t>
      </w:r>
    </w:p>
    <w:p w14:paraId="22A9F1F7" w14:textId="77777777" w:rsidR="00E83A6A" w:rsidRPr="0034382E" w:rsidRDefault="00E83A6A" w:rsidP="0034382E">
      <w:pPr>
        <w:spacing w:line="360" w:lineRule="auto"/>
        <w:rPr>
          <w:rFonts w:ascii="Arial" w:hAnsi="Arial" w:cs="Arial"/>
          <w:color w:val="000000" w:themeColor="text1"/>
          <w:sz w:val="22"/>
          <w:szCs w:val="22"/>
        </w:rPr>
      </w:pPr>
    </w:p>
    <w:p w14:paraId="6CB455F6" w14:textId="0738933B" w:rsidR="005640D6" w:rsidRDefault="00592046" w:rsidP="0034382E">
      <w:pPr>
        <w:spacing w:line="360" w:lineRule="auto"/>
        <w:rPr>
          <w:rFonts w:ascii="Arial" w:hAnsi="Arial" w:cs="Arial"/>
          <w:color w:val="000000" w:themeColor="text1"/>
          <w:sz w:val="22"/>
          <w:szCs w:val="22"/>
        </w:rPr>
      </w:pPr>
      <w:r w:rsidRPr="0034382E">
        <w:rPr>
          <w:rFonts w:ascii="Arial" w:hAnsi="Arial" w:cs="Arial"/>
          <w:noProof/>
          <w:color w:val="000000" w:themeColor="text1"/>
          <w:sz w:val="22"/>
          <w:szCs w:val="22"/>
        </w:rPr>
        <w:drawing>
          <wp:inline distT="0" distB="0" distL="0" distR="0" wp14:anchorId="79023DF0" wp14:editId="660F130D">
            <wp:extent cx="4572000" cy="2743200"/>
            <wp:effectExtent l="0" t="0" r="12700" b="12700"/>
            <wp:docPr id="4" name="Chart 4">
              <a:extLst xmlns:a="http://schemas.openxmlformats.org/drawingml/2006/main">
                <a:ext uri="{FF2B5EF4-FFF2-40B4-BE49-F238E27FC236}">
                  <a16:creationId xmlns:a16="http://schemas.microsoft.com/office/drawing/2014/main" id="{73F73E73-F662-5F4A-ADF1-8F1BFF013B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074E985" w14:textId="7849F190" w:rsidR="007E1BBC" w:rsidRPr="0034382E" w:rsidRDefault="007E1BBC" w:rsidP="0034382E">
      <w:pPr>
        <w:spacing w:line="360" w:lineRule="auto"/>
        <w:rPr>
          <w:rFonts w:ascii="Arial" w:hAnsi="Arial" w:cs="Arial"/>
          <w:color w:val="000000" w:themeColor="text1"/>
          <w:sz w:val="22"/>
          <w:szCs w:val="22"/>
        </w:rPr>
      </w:pPr>
      <w:r>
        <w:rPr>
          <w:rFonts w:ascii="Arial" w:hAnsi="Arial" w:cs="Arial"/>
          <w:color w:val="000000" w:themeColor="text1"/>
          <w:sz w:val="22"/>
          <w:szCs w:val="22"/>
        </w:rPr>
        <w:t>Figure 1.2</w:t>
      </w:r>
    </w:p>
    <w:p w14:paraId="5D52B846" w14:textId="77777777" w:rsidR="00052E2B" w:rsidRPr="0034382E" w:rsidRDefault="00052E2B" w:rsidP="0034382E">
      <w:pPr>
        <w:spacing w:line="360" w:lineRule="auto"/>
        <w:rPr>
          <w:rFonts w:ascii="Arial" w:hAnsi="Arial" w:cs="Arial"/>
          <w:b/>
          <w:bCs/>
          <w:color w:val="000000" w:themeColor="text1"/>
          <w:sz w:val="22"/>
          <w:szCs w:val="22"/>
        </w:rPr>
      </w:pPr>
    </w:p>
    <w:p w14:paraId="497443A6" w14:textId="77777777" w:rsidR="002E7448" w:rsidRDefault="002E7448" w:rsidP="0034382E">
      <w:pPr>
        <w:spacing w:line="360" w:lineRule="auto"/>
        <w:rPr>
          <w:rFonts w:ascii="Arial" w:hAnsi="Arial" w:cs="Arial"/>
          <w:b/>
          <w:bCs/>
          <w:color w:val="000000" w:themeColor="text1"/>
          <w:sz w:val="22"/>
          <w:szCs w:val="22"/>
        </w:rPr>
      </w:pPr>
    </w:p>
    <w:p w14:paraId="0C541891" w14:textId="77777777" w:rsidR="002E7448" w:rsidRDefault="002E7448" w:rsidP="0034382E">
      <w:pPr>
        <w:spacing w:line="360" w:lineRule="auto"/>
        <w:rPr>
          <w:rFonts w:ascii="Arial" w:hAnsi="Arial" w:cs="Arial"/>
          <w:b/>
          <w:bCs/>
          <w:color w:val="000000" w:themeColor="text1"/>
          <w:sz w:val="22"/>
          <w:szCs w:val="22"/>
        </w:rPr>
      </w:pPr>
    </w:p>
    <w:p w14:paraId="0CEC01EF" w14:textId="77777777" w:rsidR="003752DD" w:rsidRDefault="003752DD" w:rsidP="0034382E">
      <w:pPr>
        <w:spacing w:line="360" w:lineRule="auto"/>
        <w:rPr>
          <w:rFonts w:ascii="Arial" w:hAnsi="Arial" w:cs="Arial"/>
          <w:b/>
          <w:bCs/>
          <w:color w:val="000000" w:themeColor="text1"/>
          <w:sz w:val="22"/>
          <w:szCs w:val="22"/>
        </w:rPr>
      </w:pPr>
    </w:p>
    <w:p w14:paraId="33CEF1A3" w14:textId="77777777" w:rsidR="00A43F4A" w:rsidRDefault="00A43F4A" w:rsidP="0034382E">
      <w:pPr>
        <w:spacing w:line="360" w:lineRule="auto"/>
        <w:rPr>
          <w:rFonts w:ascii="Arial" w:hAnsi="Arial" w:cs="Arial"/>
          <w:b/>
          <w:bCs/>
          <w:color w:val="000000" w:themeColor="text1"/>
          <w:sz w:val="22"/>
          <w:szCs w:val="22"/>
        </w:rPr>
      </w:pPr>
    </w:p>
    <w:p w14:paraId="432F7A70" w14:textId="2CF7A703" w:rsidR="00CC041B"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lastRenderedPageBreak/>
        <w:t>Liquidity</w:t>
      </w:r>
    </w:p>
    <w:p w14:paraId="0F78E000" w14:textId="77777777" w:rsidR="00CC041B" w:rsidRPr="0034382E" w:rsidRDefault="00CC041B" w:rsidP="0034382E">
      <w:pPr>
        <w:spacing w:line="360" w:lineRule="auto"/>
        <w:rPr>
          <w:rFonts w:ascii="Arial" w:hAnsi="Arial" w:cs="Arial"/>
          <w:b/>
          <w:bCs/>
          <w:color w:val="000000" w:themeColor="text1"/>
          <w:sz w:val="22"/>
          <w:szCs w:val="22"/>
        </w:rPr>
      </w:pPr>
    </w:p>
    <w:p w14:paraId="2B361427" w14:textId="77777777" w:rsidR="00CC041B"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The ability of the hotel paying its debt and the ability of the debtors paying the hotel is of extreme importance</w:t>
      </w:r>
      <w:r w:rsidR="00197C37" w:rsidRPr="0034382E">
        <w:rPr>
          <w:rFonts w:ascii="Arial" w:hAnsi="Arial" w:cs="Arial"/>
          <w:color w:val="000000" w:themeColor="text1"/>
          <w:sz w:val="22"/>
          <w:szCs w:val="22"/>
        </w:rPr>
        <w:t xml:space="preserve">, which places the hotel in a liquid position </w:t>
      </w:r>
      <w:r w:rsidR="000031D1" w:rsidRPr="0034382E">
        <w:rPr>
          <w:rFonts w:ascii="Arial" w:eastAsia="Times New Roman" w:hAnsi="Arial" w:cs="Arial"/>
          <w:color w:val="000000" w:themeColor="text1"/>
          <w:sz w:val="22"/>
          <w:szCs w:val="22"/>
          <w:shd w:val="clear" w:color="auto" w:fill="FFFFFF"/>
          <w:lang w:eastAsia="en-GB"/>
        </w:rPr>
        <w:t>(Holmes, Sugden and Gee, 2005)</w:t>
      </w:r>
      <w:r w:rsidR="00197C37" w:rsidRPr="0034382E">
        <w:rPr>
          <w:rFonts w:ascii="Arial" w:hAnsi="Arial" w:cs="Arial"/>
          <w:color w:val="000000" w:themeColor="text1"/>
          <w:sz w:val="22"/>
          <w:szCs w:val="22"/>
        </w:rPr>
        <w:t>.</w:t>
      </w:r>
      <w:r w:rsidR="00AA772B" w:rsidRPr="0034382E">
        <w:rPr>
          <w:rFonts w:ascii="Arial" w:hAnsi="Arial" w:cs="Arial"/>
          <w:color w:val="000000" w:themeColor="text1"/>
          <w:sz w:val="22"/>
          <w:szCs w:val="22"/>
        </w:rPr>
        <w:t xml:space="preserve"> </w:t>
      </w:r>
      <w:r w:rsidR="00197C37" w:rsidRPr="0034382E">
        <w:rPr>
          <w:rFonts w:ascii="Arial" w:hAnsi="Arial" w:cs="Arial"/>
          <w:color w:val="000000" w:themeColor="text1"/>
          <w:sz w:val="22"/>
          <w:szCs w:val="22"/>
        </w:rPr>
        <w:t xml:space="preserve">The current ratio reflects the working capital used to pay short term debts and manage the daily running of the hotel.  </w:t>
      </w:r>
      <w:r w:rsidRPr="0034382E">
        <w:rPr>
          <w:rFonts w:ascii="Arial" w:hAnsi="Arial" w:cs="Arial"/>
          <w:color w:val="000000" w:themeColor="text1"/>
          <w:sz w:val="22"/>
          <w:szCs w:val="22"/>
        </w:rPr>
        <w:t xml:space="preserve">With the </w:t>
      </w:r>
      <w:r w:rsidR="00197C37" w:rsidRPr="0034382E">
        <w:rPr>
          <w:rFonts w:ascii="Arial" w:hAnsi="Arial" w:cs="Arial"/>
          <w:color w:val="000000" w:themeColor="text1"/>
          <w:sz w:val="22"/>
          <w:szCs w:val="22"/>
        </w:rPr>
        <w:t>AD slipping</w:t>
      </w:r>
      <w:r w:rsidRPr="0034382E">
        <w:rPr>
          <w:rFonts w:ascii="Arial" w:hAnsi="Arial" w:cs="Arial"/>
          <w:color w:val="000000" w:themeColor="text1"/>
          <w:sz w:val="22"/>
          <w:szCs w:val="22"/>
        </w:rPr>
        <w:t xml:space="preserve"> by -0.1times and the </w:t>
      </w:r>
      <w:r w:rsidR="00197C37" w:rsidRPr="0034382E">
        <w:rPr>
          <w:rFonts w:ascii="Arial" w:hAnsi="Arial" w:cs="Arial"/>
          <w:color w:val="000000" w:themeColor="text1"/>
          <w:sz w:val="22"/>
          <w:szCs w:val="22"/>
        </w:rPr>
        <w:t>RD</w:t>
      </w:r>
      <w:r w:rsidRPr="0034382E">
        <w:rPr>
          <w:rFonts w:ascii="Arial" w:hAnsi="Arial" w:cs="Arial"/>
          <w:color w:val="000000" w:themeColor="text1"/>
          <w:sz w:val="22"/>
          <w:szCs w:val="22"/>
        </w:rPr>
        <w:t xml:space="preserve"> drop</w:t>
      </w:r>
      <w:r w:rsidR="00197C37" w:rsidRPr="0034382E">
        <w:rPr>
          <w:rFonts w:ascii="Arial" w:hAnsi="Arial" w:cs="Arial"/>
          <w:color w:val="000000" w:themeColor="text1"/>
          <w:sz w:val="22"/>
          <w:szCs w:val="22"/>
        </w:rPr>
        <w:t>ping</w:t>
      </w:r>
      <w:r w:rsidRPr="0034382E">
        <w:rPr>
          <w:rFonts w:ascii="Arial" w:hAnsi="Arial" w:cs="Arial"/>
          <w:color w:val="000000" w:themeColor="text1"/>
          <w:sz w:val="22"/>
          <w:szCs w:val="22"/>
        </w:rPr>
        <w:t xml:space="preserve"> by -6.7</w:t>
      </w:r>
      <w:r w:rsidR="00197C37"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the third level of analysis looks at the possible cause.  </w:t>
      </w:r>
    </w:p>
    <w:p w14:paraId="54AFDFD4" w14:textId="77777777" w:rsidR="00D32C66" w:rsidRPr="0034382E" w:rsidRDefault="00D32C66" w:rsidP="0034382E">
      <w:pPr>
        <w:spacing w:line="360" w:lineRule="auto"/>
        <w:rPr>
          <w:rFonts w:ascii="Arial" w:hAnsi="Arial" w:cs="Arial"/>
          <w:color w:val="000000" w:themeColor="text1"/>
          <w:sz w:val="22"/>
          <w:szCs w:val="22"/>
        </w:rPr>
      </w:pPr>
    </w:p>
    <w:p w14:paraId="7A2AA2AD" w14:textId="2B3D58DF" w:rsidR="00D32C66"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Current assets ha</w:t>
      </w:r>
      <w:r w:rsidR="00197C37" w:rsidRPr="0034382E">
        <w:rPr>
          <w:rFonts w:ascii="Arial" w:hAnsi="Arial" w:cs="Arial"/>
          <w:color w:val="000000" w:themeColor="text1"/>
          <w:sz w:val="22"/>
          <w:szCs w:val="22"/>
        </w:rPr>
        <w:t>ve</w:t>
      </w:r>
      <w:r w:rsidRPr="0034382E">
        <w:rPr>
          <w:rFonts w:ascii="Arial" w:hAnsi="Arial" w:cs="Arial"/>
          <w:color w:val="000000" w:themeColor="text1"/>
          <w:sz w:val="22"/>
          <w:szCs w:val="22"/>
        </w:rPr>
        <w:t xml:space="preserve"> gone up by 12.6</w:t>
      </w:r>
      <w:r w:rsidR="00AA772B" w:rsidRPr="0034382E">
        <w:rPr>
          <w:rFonts w:ascii="Arial" w:hAnsi="Arial" w:cs="Arial"/>
          <w:color w:val="000000" w:themeColor="text1"/>
          <w:sz w:val="22"/>
          <w:szCs w:val="22"/>
        </w:rPr>
        <w:t>%</w:t>
      </w:r>
      <w:r w:rsidRPr="0034382E">
        <w:rPr>
          <w:rFonts w:ascii="Arial" w:hAnsi="Arial" w:cs="Arial"/>
          <w:color w:val="000000" w:themeColor="text1"/>
          <w:sz w:val="22"/>
          <w:szCs w:val="22"/>
        </w:rPr>
        <w:t>, and current liabilities have gone up by 20.7</w:t>
      </w:r>
      <w:r w:rsidR="00AA772B" w:rsidRPr="0034382E">
        <w:rPr>
          <w:rFonts w:ascii="Arial" w:hAnsi="Arial" w:cs="Arial"/>
          <w:color w:val="000000" w:themeColor="text1"/>
          <w:sz w:val="22"/>
          <w:szCs w:val="22"/>
        </w:rPr>
        <w:t>%</w:t>
      </w:r>
      <w:r w:rsidRPr="0034382E">
        <w:rPr>
          <w:rFonts w:ascii="Arial" w:hAnsi="Arial" w:cs="Arial"/>
          <w:color w:val="000000" w:themeColor="text1"/>
          <w:sz w:val="22"/>
          <w:szCs w:val="22"/>
        </w:rPr>
        <w:t>, giving the overall -6.7</w:t>
      </w:r>
      <w:r w:rsidR="00012337">
        <w:rPr>
          <w:rFonts w:ascii="Arial" w:hAnsi="Arial" w:cs="Arial"/>
          <w:color w:val="000000" w:themeColor="text1"/>
          <w:sz w:val="22"/>
          <w:szCs w:val="22"/>
        </w:rPr>
        <w:t>%</w:t>
      </w:r>
      <w:r w:rsidRPr="0034382E">
        <w:rPr>
          <w:rFonts w:ascii="Arial" w:hAnsi="Arial" w:cs="Arial"/>
          <w:color w:val="000000" w:themeColor="text1"/>
          <w:sz w:val="22"/>
          <w:szCs w:val="22"/>
        </w:rPr>
        <w:t xml:space="preserve"> in current ratio. </w:t>
      </w:r>
      <w:r w:rsidR="008962E5" w:rsidRPr="0034382E">
        <w:rPr>
          <w:rFonts w:ascii="Arial" w:hAnsi="Arial" w:cs="Arial"/>
          <w:color w:val="000000" w:themeColor="text1"/>
          <w:sz w:val="22"/>
          <w:szCs w:val="22"/>
        </w:rPr>
        <w:t xml:space="preserve"> </w:t>
      </w:r>
      <w:r w:rsidR="000031D1" w:rsidRPr="0034382E">
        <w:rPr>
          <w:rFonts w:ascii="Arial" w:eastAsia="Times New Roman" w:hAnsi="Arial" w:cs="Arial"/>
          <w:color w:val="000000" w:themeColor="text1"/>
          <w:sz w:val="22"/>
          <w:szCs w:val="22"/>
          <w:shd w:val="clear" w:color="auto" w:fill="FFFFFF"/>
          <w:lang w:eastAsia="en-GB"/>
        </w:rPr>
        <w:t>Marr (2012)</w:t>
      </w:r>
      <w:r w:rsidR="000031D1" w:rsidRPr="0034382E">
        <w:rPr>
          <w:rFonts w:ascii="Arial" w:eastAsia="Times New Roman" w:hAnsi="Arial" w:cs="Arial"/>
          <w:color w:val="000000" w:themeColor="text1"/>
          <w:sz w:val="22"/>
          <w:szCs w:val="22"/>
          <w:lang w:eastAsia="en-GB"/>
        </w:rPr>
        <w:t xml:space="preserve"> concludes</w:t>
      </w:r>
      <w:r w:rsidR="008962E5" w:rsidRPr="0034382E">
        <w:rPr>
          <w:rFonts w:ascii="Arial" w:hAnsi="Arial" w:cs="Arial"/>
          <w:color w:val="000000" w:themeColor="text1"/>
          <w:sz w:val="22"/>
          <w:szCs w:val="22"/>
        </w:rPr>
        <w:t xml:space="preserve"> that i</w:t>
      </w:r>
      <w:r w:rsidRPr="0034382E">
        <w:rPr>
          <w:rFonts w:ascii="Arial" w:hAnsi="Arial" w:cs="Arial"/>
          <w:color w:val="000000" w:themeColor="text1"/>
          <w:sz w:val="22"/>
          <w:szCs w:val="22"/>
        </w:rPr>
        <w:t>n measuring the hotel</w:t>
      </w:r>
      <w:r w:rsidR="00AA772B" w:rsidRPr="0034382E">
        <w:rPr>
          <w:rFonts w:ascii="Arial" w:hAnsi="Arial" w:cs="Arial"/>
          <w:color w:val="000000" w:themeColor="text1"/>
          <w:sz w:val="22"/>
          <w:szCs w:val="22"/>
        </w:rPr>
        <w:t>’</w:t>
      </w:r>
      <w:r w:rsidRPr="0034382E">
        <w:rPr>
          <w:rFonts w:ascii="Arial" w:hAnsi="Arial" w:cs="Arial"/>
          <w:color w:val="000000" w:themeColor="text1"/>
          <w:sz w:val="22"/>
          <w:szCs w:val="22"/>
        </w:rPr>
        <w:t>s short term l</w:t>
      </w:r>
      <w:r w:rsidR="00AA772B" w:rsidRPr="0034382E">
        <w:rPr>
          <w:rFonts w:ascii="Arial" w:hAnsi="Arial" w:cs="Arial"/>
          <w:color w:val="000000" w:themeColor="text1"/>
          <w:sz w:val="22"/>
          <w:szCs w:val="22"/>
        </w:rPr>
        <w:t xml:space="preserve">ability to liquidise </w:t>
      </w:r>
      <w:r w:rsidRPr="0034382E">
        <w:rPr>
          <w:rFonts w:ascii="Arial" w:hAnsi="Arial" w:cs="Arial"/>
          <w:color w:val="000000" w:themeColor="text1"/>
          <w:sz w:val="22"/>
          <w:szCs w:val="22"/>
        </w:rPr>
        <w:t>assets,</w:t>
      </w:r>
      <w:r w:rsidR="008962E5" w:rsidRPr="0034382E">
        <w:rPr>
          <w:rFonts w:ascii="Arial" w:hAnsi="Arial" w:cs="Arial"/>
          <w:color w:val="000000" w:themeColor="text1"/>
          <w:sz w:val="22"/>
          <w:szCs w:val="22"/>
        </w:rPr>
        <w:t xml:space="preserve"> the hotel’s </w:t>
      </w:r>
      <w:r w:rsidR="00AA772B" w:rsidRPr="0034382E">
        <w:rPr>
          <w:rFonts w:ascii="Arial" w:hAnsi="Arial" w:cs="Arial"/>
          <w:color w:val="000000" w:themeColor="text1"/>
          <w:sz w:val="22"/>
          <w:szCs w:val="22"/>
        </w:rPr>
        <w:t xml:space="preserve">current </w:t>
      </w:r>
      <w:r w:rsidR="008962E5" w:rsidRPr="0034382E">
        <w:rPr>
          <w:rFonts w:ascii="Arial" w:hAnsi="Arial" w:cs="Arial"/>
          <w:color w:val="000000" w:themeColor="text1"/>
          <w:sz w:val="22"/>
          <w:szCs w:val="22"/>
        </w:rPr>
        <w:t>liabilit</w:t>
      </w:r>
      <w:r w:rsidR="00AA772B" w:rsidRPr="0034382E">
        <w:rPr>
          <w:rFonts w:ascii="Arial" w:hAnsi="Arial" w:cs="Arial"/>
          <w:color w:val="000000" w:themeColor="text1"/>
          <w:sz w:val="22"/>
          <w:szCs w:val="22"/>
        </w:rPr>
        <w:t>ies</w:t>
      </w:r>
      <w:r w:rsidR="008962E5" w:rsidRPr="0034382E">
        <w:rPr>
          <w:rFonts w:ascii="Arial" w:hAnsi="Arial" w:cs="Arial"/>
          <w:color w:val="000000" w:themeColor="text1"/>
          <w:sz w:val="22"/>
          <w:szCs w:val="22"/>
        </w:rPr>
        <w:t xml:space="preserve"> have to be taken into account.</w:t>
      </w:r>
    </w:p>
    <w:p w14:paraId="50AFBECF" w14:textId="77777777" w:rsidR="000163EA" w:rsidRPr="0034382E" w:rsidRDefault="000163EA" w:rsidP="0034382E">
      <w:pPr>
        <w:spacing w:line="360" w:lineRule="auto"/>
        <w:rPr>
          <w:rFonts w:ascii="Arial" w:hAnsi="Arial" w:cs="Arial"/>
          <w:color w:val="000000" w:themeColor="text1"/>
          <w:sz w:val="22"/>
          <w:szCs w:val="22"/>
        </w:rPr>
      </w:pPr>
    </w:p>
    <w:p w14:paraId="2572E610" w14:textId="6B872B77" w:rsidR="00A43F4A" w:rsidRPr="00A43F4A" w:rsidRDefault="00592046" w:rsidP="00A43F4A">
      <w:pPr>
        <w:pStyle w:val="CommentText"/>
        <w:spacing w:line="360" w:lineRule="auto"/>
        <w:rPr>
          <w:rFonts w:ascii="Arial" w:hAnsi="Arial" w:cs="Arial"/>
          <w:sz w:val="22"/>
          <w:szCs w:val="22"/>
        </w:rPr>
      </w:pPr>
      <w:r w:rsidRPr="00A43F4A">
        <w:rPr>
          <w:rFonts w:ascii="Arial" w:hAnsi="Arial" w:cs="Arial"/>
          <w:color w:val="000000" w:themeColor="text1"/>
          <w:sz w:val="22"/>
          <w:szCs w:val="22"/>
        </w:rPr>
        <w:t xml:space="preserve">The -6.7 times drop in the current ratio </w:t>
      </w:r>
      <w:r w:rsidR="00A43F4A" w:rsidRPr="00A43F4A">
        <w:rPr>
          <w:rFonts w:ascii="Arial" w:hAnsi="Arial" w:cs="Arial"/>
          <w:color w:val="000000" w:themeColor="text1"/>
          <w:sz w:val="22"/>
          <w:szCs w:val="22"/>
        </w:rPr>
        <w:t>as shown in table 1a</w:t>
      </w:r>
      <w:r w:rsidR="00012337">
        <w:rPr>
          <w:rFonts w:ascii="Arial" w:hAnsi="Arial" w:cs="Arial"/>
          <w:color w:val="000000" w:themeColor="text1"/>
          <w:sz w:val="22"/>
          <w:szCs w:val="22"/>
        </w:rPr>
        <w:t>,</w:t>
      </w:r>
      <w:r w:rsidR="00A43F4A" w:rsidRPr="00A43F4A">
        <w:rPr>
          <w:rFonts w:ascii="Arial" w:hAnsi="Arial" w:cs="Arial"/>
          <w:color w:val="000000" w:themeColor="text1"/>
          <w:sz w:val="22"/>
          <w:szCs w:val="22"/>
        </w:rPr>
        <w:t xml:space="preserve"> demonstrates</w:t>
      </w:r>
      <w:r w:rsidRPr="00A43F4A">
        <w:rPr>
          <w:rFonts w:ascii="Arial" w:hAnsi="Arial" w:cs="Arial"/>
          <w:color w:val="000000" w:themeColor="text1"/>
          <w:sz w:val="22"/>
          <w:szCs w:val="22"/>
        </w:rPr>
        <w:t xml:space="preserve"> that the cash position </w:t>
      </w:r>
      <w:r w:rsidR="00274A37" w:rsidRPr="00A43F4A">
        <w:rPr>
          <w:rFonts w:ascii="Arial" w:hAnsi="Arial" w:cs="Arial"/>
          <w:color w:val="000000" w:themeColor="text1"/>
          <w:sz w:val="22"/>
          <w:szCs w:val="22"/>
        </w:rPr>
        <w:t xml:space="preserve">is </w:t>
      </w:r>
      <w:r w:rsidRPr="00A43F4A">
        <w:rPr>
          <w:rFonts w:ascii="Arial" w:hAnsi="Arial" w:cs="Arial"/>
          <w:color w:val="000000" w:themeColor="text1"/>
          <w:sz w:val="22"/>
          <w:szCs w:val="22"/>
        </w:rPr>
        <w:t xml:space="preserve">weaker than the previous year. </w:t>
      </w:r>
      <w:r w:rsidR="00A43F4A" w:rsidRPr="00A43F4A">
        <w:rPr>
          <w:rFonts w:ascii="Arial" w:hAnsi="Arial" w:cs="Arial"/>
          <w:sz w:val="22"/>
          <w:szCs w:val="22"/>
        </w:rPr>
        <w:t xml:space="preserve">This indicates that there may be a cash problem, and there is the need to secure other financing. However, all aspects and ratios must be studied to get a clear picture and an in-depth view. </w:t>
      </w:r>
    </w:p>
    <w:p w14:paraId="0137DDB3" w14:textId="43F0B96C" w:rsidR="000163EA" w:rsidRPr="00A43F4A" w:rsidRDefault="000163EA" w:rsidP="00A43F4A">
      <w:pPr>
        <w:spacing w:line="360" w:lineRule="auto"/>
        <w:rPr>
          <w:rFonts w:ascii="Arial" w:hAnsi="Arial" w:cs="Arial"/>
          <w:color w:val="000000" w:themeColor="text1"/>
          <w:sz w:val="22"/>
          <w:szCs w:val="22"/>
        </w:rPr>
      </w:pPr>
    </w:p>
    <w:p w14:paraId="5740CEFA" w14:textId="77777777" w:rsidR="00D04FE3" w:rsidRPr="0034382E" w:rsidRDefault="00D04FE3" w:rsidP="0034382E">
      <w:pPr>
        <w:spacing w:line="360" w:lineRule="auto"/>
        <w:rPr>
          <w:rFonts w:ascii="Arial" w:hAnsi="Arial" w:cs="Arial"/>
          <w:color w:val="000000" w:themeColor="text1"/>
          <w:sz w:val="22"/>
          <w:szCs w:val="22"/>
        </w:rPr>
      </w:pPr>
    </w:p>
    <w:p w14:paraId="6C513A70" w14:textId="6FCA52D1" w:rsidR="00545F4F"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The acid test has been used as another </w:t>
      </w:r>
      <w:r w:rsidR="003A664B" w:rsidRPr="0034382E">
        <w:rPr>
          <w:rFonts w:ascii="Arial" w:hAnsi="Arial" w:cs="Arial"/>
          <w:color w:val="000000" w:themeColor="text1"/>
          <w:sz w:val="22"/>
          <w:szCs w:val="22"/>
        </w:rPr>
        <w:t>liquidity ratio giving a more in</w:t>
      </w:r>
      <w:r w:rsidR="00274A37">
        <w:rPr>
          <w:rFonts w:ascii="Arial" w:hAnsi="Arial" w:cs="Arial"/>
          <w:color w:val="000000" w:themeColor="text1"/>
          <w:sz w:val="22"/>
          <w:szCs w:val="22"/>
        </w:rPr>
        <w:t>-</w:t>
      </w:r>
      <w:r w:rsidR="003A664B" w:rsidRPr="0034382E">
        <w:rPr>
          <w:rFonts w:ascii="Arial" w:hAnsi="Arial" w:cs="Arial"/>
          <w:color w:val="000000" w:themeColor="text1"/>
          <w:sz w:val="22"/>
          <w:szCs w:val="22"/>
        </w:rPr>
        <w:t>de</w:t>
      </w:r>
      <w:r w:rsidR="00274A37">
        <w:rPr>
          <w:rFonts w:ascii="Arial" w:hAnsi="Arial" w:cs="Arial"/>
          <w:color w:val="000000" w:themeColor="text1"/>
          <w:sz w:val="22"/>
          <w:szCs w:val="22"/>
        </w:rPr>
        <w:t>pth</w:t>
      </w:r>
      <w:r w:rsidR="003A664B" w:rsidRPr="0034382E">
        <w:rPr>
          <w:rFonts w:ascii="Arial" w:hAnsi="Arial" w:cs="Arial"/>
          <w:color w:val="000000" w:themeColor="text1"/>
          <w:sz w:val="22"/>
          <w:szCs w:val="22"/>
        </w:rPr>
        <w:t xml:space="preserve"> look into the hotel</w:t>
      </w:r>
      <w:r w:rsidR="00274A37">
        <w:rPr>
          <w:rFonts w:ascii="Arial" w:hAnsi="Arial" w:cs="Arial"/>
          <w:color w:val="000000" w:themeColor="text1"/>
          <w:sz w:val="22"/>
          <w:szCs w:val="22"/>
        </w:rPr>
        <w:t>’</w:t>
      </w:r>
      <w:r w:rsidR="003A664B" w:rsidRPr="0034382E">
        <w:rPr>
          <w:rFonts w:ascii="Arial" w:hAnsi="Arial" w:cs="Arial"/>
          <w:color w:val="000000" w:themeColor="text1"/>
          <w:sz w:val="22"/>
          <w:szCs w:val="22"/>
        </w:rPr>
        <w:t>s financing structure</w:t>
      </w:r>
      <w:r w:rsidR="00274A37">
        <w:rPr>
          <w:rFonts w:ascii="Arial" w:hAnsi="Arial" w:cs="Arial"/>
          <w:color w:val="000000" w:themeColor="text1"/>
          <w:sz w:val="22"/>
          <w:szCs w:val="22"/>
        </w:rPr>
        <w:t>;</w:t>
      </w:r>
      <w:r w:rsidR="007C4958" w:rsidRPr="0034382E">
        <w:rPr>
          <w:rFonts w:ascii="Arial" w:hAnsi="Arial" w:cs="Arial"/>
          <w:color w:val="000000" w:themeColor="text1"/>
          <w:sz w:val="22"/>
          <w:szCs w:val="22"/>
        </w:rPr>
        <w:t xml:space="preserve"> it ignores inventory assets which might be difficult turning into cash. </w:t>
      </w:r>
      <w:r w:rsidR="003A664B" w:rsidRPr="0034382E">
        <w:rPr>
          <w:rFonts w:ascii="Arial" w:hAnsi="Arial" w:cs="Arial"/>
          <w:color w:val="000000" w:themeColor="text1"/>
          <w:sz w:val="22"/>
          <w:szCs w:val="22"/>
        </w:rPr>
        <w:t xml:space="preserve"> </w:t>
      </w:r>
      <w:r w:rsidR="00087F26" w:rsidRPr="0034382E">
        <w:rPr>
          <w:rFonts w:ascii="Arial" w:hAnsi="Arial" w:cs="Arial"/>
          <w:color w:val="000000" w:themeColor="text1"/>
          <w:sz w:val="22"/>
          <w:szCs w:val="22"/>
        </w:rPr>
        <w:t xml:space="preserve">The first analysis indicates a fall in the </w:t>
      </w:r>
      <w:r w:rsidR="006D1270" w:rsidRPr="0034382E">
        <w:rPr>
          <w:rFonts w:ascii="Arial" w:hAnsi="Arial" w:cs="Arial"/>
          <w:color w:val="000000" w:themeColor="text1"/>
          <w:sz w:val="22"/>
          <w:szCs w:val="22"/>
        </w:rPr>
        <w:t>AD</w:t>
      </w:r>
      <w:r w:rsidR="00087F26" w:rsidRPr="0034382E">
        <w:rPr>
          <w:rFonts w:ascii="Arial" w:hAnsi="Arial" w:cs="Arial"/>
          <w:color w:val="000000" w:themeColor="text1"/>
          <w:sz w:val="22"/>
          <w:szCs w:val="22"/>
        </w:rPr>
        <w:t xml:space="preserve"> by -0.</w:t>
      </w:r>
      <w:r w:rsidR="006D1270" w:rsidRPr="0034382E">
        <w:rPr>
          <w:rFonts w:ascii="Arial" w:hAnsi="Arial" w:cs="Arial"/>
          <w:color w:val="000000" w:themeColor="text1"/>
          <w:sz w:val="22"/>
          <w:szCs w:val="22"/>
        </w:rPr>
        <w:t xml:space="preserve">08times </w:t>
      </w:r>
      <w:r w:rsidR="00087F26" w:rsidRPr="0034382E">
        <w:rPr>
          <w:rFonts w:ascii="Arial" w:hAnsi="Arial" w:cs="Arial"/>
          <w:color w:val="000000" w:themeColor="text1"/>
          <w:sz w:val="22"/>
          <w:szCs w:val="22"/>
        </w:rPr>
        <w:t xml:space="preserve">with </w:t>
      </w:r>
      <w:r w:rsidR="006D1270" w:rsidRPr="0034382E">
        <w:rPr>
          <w:rFonts w:ascii="Arial" w:hAnsi="Arial" w:cs="Arial"/>
          <w:color w:val="000000" w:themeColor="text1"/>
          <w:sz w:val="22"/>
          <w:szCs w:val="22"/>
        </w:rPr>
        <w:t xml:space="preserve">the RD </w:t>
      </w:r>
      <w:r w:rsidR="00087F26" w:rsidRPr="0034382E">
        <w:rPr>
          <w:rFonts w:ascii="Arial" w:hAnsi="Arial" w:cs="Arial"/>
          <w:color w:val="000000" w:themeColor="text1"/>
          <w:sz w:val="22"/>
          <w:szCs w:val="22"/>
        </w:rPr>
        <w:t>showing a -6.6</w:t>
      </w:r>
      <w:r w:rsidR="006D1270" w:rsidRPr="0034382E">
        <w:rPr>
          <w:rFonts w:ascii="Arial" w:hAnsi="Arial" w:cs="Arial"/>
          <w:color w:val="000000" w:themeColor="text1"/>
          <w:sz w:val="22"/>
          <w:szCs w:val="22"/>
        </w:rPr>
        <w:t>%</w:t>
      </w:r>
      <w:r w:rsidR="00087F26" w:rsidRPr="0034382E">
        <w:rPr>
          <w:rFonts w:ascii="Arial" w:hAnsi="Arial" w:cs="Arial"/>
          <w:color w:val="000000" w:themeColor="text1"/>
          <w:sz w:val="22"/>
          <w:szCs w:val="22"/>
        </w:rPr>
        <w:t xml:space="preserve"> fall</w:t>
      </w:r>
      <w:r w:rsidR="006D1270" w:rsidRPr="0034382E">
        <w:rPr>
          <w:rFonts w:ascii="Arial" w:hAnsi="Arial" w:cs="Arial"/>
          <w:color w:val="000000" w:themeColor="text1"/>
          <w:sz w:val="22"/>
          <w:szCs w:val="22"/>
        </w:rPr>
        <w:t>, meaning that for every pound [£] owed 0.08pence is paid back.</w:t>
      </w:r>
      <w:r w:rsidR="00087F26" w:rsidRPr="0034382E">
        <w:rPr>
          <w:rFonts w:ascii="Arial" w:hAnsi="Arial" w:cs="Arial"/>
          <w:color w:val="000000" w:themeColor="text1"/>
          <w:sz w:val="22"/>
          <w:szCs w:val="22"/>
        </w:rPr>
        <w:t xml:space="preserve"> The 12.5% increase in stocks, </w:t>
      </w:r>
      <w:r w:rsidRPr="0034382E">
        <w:rPr>
          <w:rFonts w:ascii="Arial" w:hAnsi="Arial" w:cs="Arial"/>
          <w:color w:val="000000" w:themeColor="text1"/>
          <w:sz w:val="22"/>
          <w:szCs w:val="22"/>
        </w:rPr>
        <w:t>6</w:t>
      </w:r>
      <w:r w:rsidR="00087F26" w:rsidRPr="0034382E">
        <w:rPr>
          <w:rFonts w:ascii="Arial" w:hAnsi="Arial" w:cs="Arial"/>
          <w:color w:val="000000" w:themeColor="text1"/>
          <w:sz w:val="22"/>
          <w:szCs w:val="22"/>
        </w:rPr>
        <w:t xml:space="preserve">.6% increase in total assets </w:t>
      </w:r>
      <w:r w:rsidRPr="0034382E">
        <w:rPr>
          <w:rFonts w:ascii="Arial" w:hAnsi="Arial" w:cs="Arial"/>
          <w:color w:val="000000" w:themeColor="text1"/>
          <w:sz w:val="22"/>
          <w:szCs w:val="22"/>
        </w:rPr>
        <w:t xml:space="preserve">in addition to </w:t>
      </w:r>
      <w:r w:rsidR="00087F26" w:rsidRPr="0034382E">
        <w:rPr>
          <w:rFonts w:ascii="Arial" w:hAnsi="Arial" w:cs="Arial"/>
          <w:color w:val="000000" w:themeColor="text1"/>
          <w:sz w:val="22"/>
          <w:szCs w:val="22"/>
        </w:rPr>
        <w:t>the 20.7</w:t>
      </w:r>
      <w:r w:rsidRPr="0034382E">
        <w:rPr>
          <w:rFonts w:ascii="Arial" w:hAnsi="Arial" w:cs="Arial"/>
          <w:color w:val="000000" w:themeColor="text1"/>
          <w:sz w:val="22"/>
          <w:szCs w:val="22"/>
        </w:rPr>
        <w:t>%</w:t>
      </w:r>
      <w:r w:rsidR="00087F26" w:rsidRPr="0034382E">
        <w:rPr>
          <w:rFonts w:ascii="Arial" w:hAnsi="Arial" w:cs="Arial"/>
          <w:color w:val="000000" w:themeColor="text1"/>
          <w:sz w:val="22"/>
          <w:szCs w:val="22"/>
        </w:rPr>
        <w:t xml:space="preserve"> increase </w:t>
      </w:r>
      <w:r w:rsidR="00B22546" w:rsidRPr="0034382E">
        <w:rPr>
          <w:rFonts w:ascii="Arial" w:hAnsi="Arial" w:cs="Arial"/>
          <w:color w:val="000000" w:themeColor="text1"/>
          <w:sz w:val="22"/>
          <w:szCs w:val="22"/>
        </w:rPr>
        <w:t>in current liability</w:t>
      </w:r>
      <w:r w:rsidR="00274A37">
        <w:rPr>
          <w:rFonts w:ascii="Arial" w:hAnsi="Arial" w:cs="Arial"/>
          <w:color w:val="000000" w:themeColor="text1"/>
          <w:sz w:val="22"/>
          <w:szCs w:val="22"/>
        </w:rPr>
        <w:t>,</w:t>
      </w:r>
      <w:r w:rsidR="00B22546" w:rsidRPr="0034382E">
        <w:rPr>
          <w:rFonts w:ascii="Arial" w:hAnsi="Arial" w:cs="Arial"/>
          <w:color w:val="000000" w:themeColor="text1"/>
          <w:sz w:val="22"/>
          <w:szCs w:val="22"/>
        </w:rPr>
        <w:t xml:space="preserve"> </w:t>
      </w:r>
      <w:r w:rsidR="00087F26" w:rsidRPr="0034382E">
        <w:rPr>
          <w:rFonts w:ascii="Arial" w:hAnsi="Arial" w:cs="Arial"/>
          <w:color w:val="000000" w:themeColor="text1"/>
          <w:sz w:val="22"/>
          <w:szCs w:val="22"/>
        </w:rPr>
        <w:t>is a combination of the overall -6.6</w:t>
      </w:r>
      <w:r w:rsidR="006D1270" w:rsidRPr="0034382E">
        <w:rPr>
          <w:rFonts w:ascii="Arial" w:hAnsi="Arial" w:cs="Arial"/>
          <w:color w:val="000000" w:themeColor="text1"/>
          <w:sz w:val="22"/>
          <w:szCs w:val="22"/>
        </w:rPr>
        <w:t xml:space="preserve">% </w:t>
      </w:r>
      <w:r w:rsidR="00087F26" w:rsidRPr="0034382E">
        <w:rPr>
          <w:rFonts w:ascii="Arial" w:hAnsi="Arial" w:cs="Arial"/>
          <w:color w:val="000000" w:themeColor="text1"/>
          <w:sz w:val="22"/>
          <w:szCs w:val="22"/>
        </w:rPr>
        <w:t>fall in the acid test</w:t>
      </w:r>
      <w:r w:rsidR="006771D0" w:rsidRPr="0034382E">
        <w:rPr>
          <w:rFonts w:ascii="Arial" w:hAnsi="Arial" w:cs="Arial"/>
          <w:color w:val="000000" w:themeColor="text1"/>
          <w:sz w:val="22"/>
          <w:szCs w:val="22"/>
        </w:rPr>
        <w:t xml:space="preserve"> (appendix 1)</w:t>
      </w:r>
      <w:r w:rsidR="00087F26" w:rsidRPr="0034382E">
        <w:rPr>
          <w:rFonts w:ascii="Arial" w:hAnsi="Arial" w:cs="Arial"/>
          <w:color w:val="000000" w:themeColor="text1"/>
          <w:sz w:val="22"/>
          <w:szCs w:val="22"/>
        </w:rPr>
        <w:t xml:space="preserve">.  </w:t>
      </w:r>
    </w:p>
    <w:p w14:paraId="033BDC64" w14:textId="77777777" w:rsidR="00545F4F" w:rsidRPr="0034382E" w:rsidRDefault="00545F4F" w:rsidP="0034382E">
      <w:pPr>
        <w:spacing w:line="360" w:lineRule="auto"/>
        <w:rPr>
          <w:rFonts w:ascii="Arial" w:hAnsi="Arial" w:cs="Arial"/>
          <w:color w:val="000000" w:themeColor="text1"/>
          <w:sz w:val="22"/>
          <w:szCs w:val="22"/>
        </w:rPr>
      </w:pPr>
    </w:p>
    <w:p w14:paraId="2A82ABFD" w14:textId="79214BC3" w:rsidR="00D04FE3"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However, if the accounts receivable [debt</w:t>
      </w:r>
      <w:r w:rsidR="000E0962">
        <w:rPr>
          <w:rFonts w:ascii="Arial" w:hAnsi="Arial" w:cs="Arial"/>
          <w:color w:val="000000" w:themeColor="text1"/>
          <w:sz w:val="22"/>
          <w:szCs w:val="22"/>
        </w:rPr>
        <w:t>ors</w:t>
      </w:r>
      <w:r w:rsidRPr="0034382E">
        <w:rPr>
          <w:rFonts w:ascii="Arial" w:hAnsi="Arial" w:cs="Arial"/>
          <w:color w:val="000000" w:themeColor="text1"/>
          <w:sz w:val="22"/>
          <w:szCs w:val="22"/>
        </w:rPr>
        <w:t>] take longer than usual to settle, the acid test will not reflect an accurate result</w:t>
      </w:r>
      <w:r w:rsidR="000031D1" w:rsidRPr="0034382E">
        <w:rPr>
          <w:rFonts w:ascii="Arial" w:hAnsi="Arial" w:cs="Arial"/>
          <w:color w:val="000000" w:themeColor="text1"/>
          <w:sz w:val="22"/>
          <w:szCs w:val="22"/>
        </w:rPr>
        <w:t xml:space="preserve"> </w:t>
      </w:r>
      <w:r w:rsidR="000031D1" w:rsidRPr="0034382E">
        <w:rPr>
          <w:rFonts w:ascii="Arial" w:eastAsia="Times New Roman" w:hAnsi="Arial" w:cs="Arial"/>
          <w:color w:val="000000" w:themeColor="text1"/>
          <w:sz w:val="22"/>
          <w:szCs w:val="22"/>
          <w:shd w:val="clear" w:color="auto" w:fill="FFFFFF"/>
          <w:lang w:eastAsia="en-GB"/>
        </w:rPr>
        <w:t>(Walsh, 2008)</w:t>
      </w:r>
      <w:r w:rsidRPr="0034382E">
        <w:rPr>
          <w:rFonts w:ascii="Arial" w:hAnsi="Arial" w:cs="Arial"/>
          <w:color w:val="000000" w:themeColor="text1"/>
          <w:sz w:val="22"/>
          <w:szCs w:val="22"/>
        </w:rPr>
        <w:t>.</w:t>
      </w:r>
      <w:r w:rsidR="003A7B0B" w:rsidRPr="0034382E">
        <w:rPr>
          <w:rFonts w:ascii="Arial" w:hAnsi="Arial" w:cs="Arial"/>
          <w:color w:val="000000" w:themeColor="text1"/>
          <w:sz w:val="22"/>
          <w:szCs w:val="22"/>
        </w:rPr>
        <w:t xml:space="preserve"> </w:t>
      </w:r>
      <w:r w:rsidR="00A24E31">
        <w:rPr>
          <w:rFonts w:ascii="Arial" w:hAnsi="Arial" w:cs="Arial"/>
          <w:color w:val="000000" w:themeColor="text1"/>
          <w:sz w:val="22"/>
          <w:szCs w:val="22"/>
        </w:rPr>
        <w:t>In addition</w:t>
      </w:r>
      <w:r w:rsidR="003A7B0B" w:rsidRPr="0034382E">
        <w:rPr>
          <w:rFonts w:ascii="Arial" w:hAnsi="Arial" w:cs="Arial"/>
          <w:color w:val="000000" w:themeColor="text1"/>
          <w:sz w:val="22"/>
          <w:szCs w:val="22"/>
        </w:rPr>
        <w:t xml:space="preserve">, if the hotel’s accounts </w:t>
      </w:r>
      <w:r w:rsidR="00694F3B" w:rsidRPr="0034382E">
        <w:rPr>
          <w:rFonts w:ascii="Arial" w:hAnsi="Arial" w:cs="Arial"/>
          <w:color w:val="000000" w:themeColor="text1"/>
          <w:sz w:val="22"/>
          <w:szCs w:val="22"/>
        </w:rPr>
        <w:t>payable</w:t>
      </w:r>
      <w:r w:rsidR="003A7B0B" w:rsidRPr="0034382E">
        <w:rPr>
          <w:rFonts w:ascii="Arial" w:hAnsi="Arial" w:cs="Arial"/>
          <w:color w:val="000000" w:themeColor="text1"/>
          <w:sz w:val="22"/>
          <w:szCs w:val="22"/>
        </w:rPr>
        <w:t xml:space="preserve"> are due </w:t>
      </w:r>
      <w:r w:rsidR="00DC1941" w:rsidRPr="0034382E">
        <w:rPr>
          <w:rFonts w:ascii="Arial" w:hAnsi="Arial" w:cs="Arial"/>
          <w:color w:val="000000" w:themeColor="text1"/>
          <w:sz w:val="22"/>
          <w:szCs w:val="22"/>
        </w:rPr>
        <w:t>to be paid</w:t>
      </w:r>
      <w:r w:rsidR="00274A37">
        <w:rPr>
          <w:rFonts w:ascii="Arial" w:hAnsi="Arial" w:cs="Arial"/>
          <w:color w:val="000000" w:themeColor="text1"/>
          <w:sz w:val="22"/>
          <w:szCs w:val="22"/>
        </w:rPr>
        <w:t>,</w:t>
      </w:r>
      <w:r w:rsidR="003A7B0B" w:rsidRPr="0034382E">
        <w:rPr>
          <w:rFonts w:ascii="Arial" w:hAnsi="Arial" w:cs="Arial"/>
          <w:color w:val="000000" w:themeColor="text1"/>
          <w:sz w:val="22"/>
          <w:szCs w:val="22"/>
        </w:rPr>
        <w:t xml:space="preserve"> but the accounts receivable are scheduled to be received later, this will negatively affect the acid test</w:t>
      </w:r>
      <w:r w:rsidR="000031D1" w:rsidRPr="0034382E">
        <w:rPr>
          <w:rFonts w:ascii="Arial" w:hAnsi="Arial" w:cs="Arial"/>
          <w:color w:val="000000" w:themeColor="text1"/>
          <w:sz w:val="22"/>
          <w:szCs w:val="22"/>
        </w:rPr>
        <w:t xml:space="preserve">. </w:t>
      </w:r>
      <w:r w:rsidR="00D80C4C" w:rsidRPr="0034382E">
        <w:rPr>
          <w:rFonts w:ascii="Arial" w:hAnsi="Arial" w:cs="Arial"/>
          <w:color w:val="000000" w:themeColor="text1"/>
          <w:sz w:val="22"/>
          <w:szCs w:val="22"/>
        </w:rPr>
        <w:t xml:space="preserve"> </w:t>
      </w:r>
      <w:r w:rsidR="00AA772B" w:rsidRPr="0034382E">
        <w:rPr>
          <w:rFonts w:ascii="Arial" w:hAnsi="Arial" w:cs="Arial"/>
          <w:color w:val="000000" w:themeColor="text1"/>
          <w:sz w:val="22"/>
          <w:szCs w:val="22"/>
        </w:rPr>
        <w:t>B</w:t>
      </w:r>
      <w:r w:rsidR="00D80C4C" w:rsidRPr="0034382E">
        <w:rPr>
          <w:rFonts w:ascii="Arial" w:hAnsi="Arial" w:cs="Arial"/>
          <w:color w:val="000000" w:themeColor="text1"/>
          <w:sz w:val="22"/>
          <w:szCs w:val="22"/>
        </w:rPr>
        <w:t xml:space="preserve">ank overdrafts which are placed in the current liabilities have a specific time, agreed to be paid, which is generally upheld by the bank (Holmes, Sugden and Gee 2005). </w:t>
      </w:r>
    </w:p>
    <w:p w14:paraId="720CE393" w14:textId="77777777" w:rsidR="00A453D8" w:rsidRPr="0034382E" w:rsidRDefault="00A453D8" w:rsidP="0034382E">
      <w:pPr>
        <w:spacing w:line="360" w:lineRule="auto"/>
        <w:rPr>
          <w:rFonts w:ascii="Arial" w:hAnsi="Arial" w:cs="Arial"/>
          <w:color w:val="000000" w:themeColor="text1"/>
          <w:sz w:val="22"/>
          <w:szCs w:val="22"/>
        </w:rPr>
      </w:pPr>
    </w:p>
    <w:p w14:paraId="73836700" w14:textId="12E52D71" w:rsidR="00A453D8"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 xml:space="preserve">The acid test is indicating that the </w:t>
      </w:r>
      <w:r w:rsidR="00A43F4A">
        <w:rPr>
          <w:rFonts w:ascii="Arial" w:hAnsi="Arial" w:cs="Arial"/>
          <w:color w:val="000000" w:themeColor="text1"/>
          <w:sz w:val="22"/>
          <w:szCs w:val="22"/>
        </w:rPr>
        <w:t>business</w:t>
      </w:r>
      <w:r w:rsidRPr="0034382E">
        <w:rPr>
          <w:rFonts w:ascii="Arial" w:hAnsi="Arial" w:cs="Arial"/>
          <w:color w:val="000000" w:themeColor="text1"/>
          <w:sz w:val="22"/>
          <w:szCs w:val="22"/>
        </w:rPr>
        <w:t xml:space="preserve"> </w:t>
      </w:r>
      <w:r w:rsidR="00F105D1" w:rsidRPr="0034382E">
        <w:rPr>
          <w:rFonts w:ascii="Arial" w:hAnsi="Arial" w:cs="Arial"/>
          <w:color w:val="000000" w:themeColor="text1"/>
          <w:sz w:val="22"/>
          <w:szCs w:val="22"/>
        </w:rPr>
        <w:t xml:space="preserve">should </w:t>
      </w:r>
      <w:r w:rsidR="00274A37">
        <w:rPr>
          <w:rFonts w:ascii="Arial" w:hAnsi="Arial" w:cs="Arial"/>
          <w:color w:val="000000" w:themeColor="text1"/>
          <w:sz w:val="22"/>
          <w:szCs w:val="22"/>
        </w:rPr>
        <w:t>be</w:t>
      </w:r>
      <w:r w:rsidR="00F105D1" w:rsidRPr="0034382E">
        <w:rPr>
          <w:rFonts w:ascii="Arial" w:hAnsi="Arial" w:cs="Arial"/>
          <w:color w:val="000000" w:themeColor="text1"/>
          <w:sz w:val="22"/>
          <w:szCs w:val="22"/>
        </w:rPr>
        <w:t xml:space="preserve"> cautio</w:t>
      </w:r>
      <w:r w:rsidR="00274A37">
        <w:rPr>
          <w:rFonts w:ascii="Arial" w:hAnsi="Arial" w:cs="Arial"/>
          <w:color w:val="000000" w:themeColor="text1"/>
          <w:sz w:val="22"/>
          <w:szCs w:val="22"/>
        </w:rPr>
        <w:t>us</w:t>
      </w:r>
      <w:r w:rsidR="00F105D1" w:rsidRPr="0034382E">
        <w:rPr>
          <w:rFonts w:ascii="Arial" w:hAnsi="Arial" w:cs="Arial"/>
          <w:color w:val="000000" w:themeColor="text1"/>
          <w:sz w:val="22"/>
          <w:szCs w:val="22"/>
        </w:rPr>
        <w:t xml:space="preserve"> </w:t>
      </w:r>
      <w:r w:rsidR="00274A37">
        <w:rPr>
          <w:rFonts w:ascii="Arial" w:hAnsi="Arial" w:cs="Arial"/>
          <w:color w:val="000000" w:themeColor="text1"/>
          <w:sz w:val="22"/>
          <w:szCs w:val="22"/>
        </w:rPr>
        <w:t xml:space="preserve">regarding </w:t>
      </w:r>
      <w:r w:rsidR="00F105D1" w:rsidRPr="0034382E">
        <w:rPr>
          <w:rFonts w:ascii="Arial" w:hAnsi="Arial" w:cs="Arial"/>
          <w:color w:val="000000" w:themeColor="text1"/>
          <w:sz w:val="22"/>
          <w:szCs w:val="22"/>
        </w:rPr>
        <w:t>its</w:t>
      </w:r>
      <w:r w:rsidR="00545F4F" w:rsidRPr="0034382E">
        <w:rPr>
          <w:rFonts w:ascii="Arial" w:hAnsi="Arial" w:cs="Arial"/>
          <w:color w:val="000000" w:themeColor="text1"/>
          <w:sz w:val="22"/>
          <w:szCs w:val="22"/>
        </w:rPr>
        <w:t xml:space="preserve"> ability to satisfy its</w:t>
      </w:r>
      <w:r w:rsidRPr="0034382E">
        <w:rPr>
          <w:rFonts w:ascii="Arial" w:hAnsi="Arial" w:cs="Arial"/>
          <w:color w:val="000000" w:themeColor="text1"/>
          <w:sz w:val="22"/>
          <w:szCs w:val="22"/>
        </w:rPr>
        <w:t xml:space="preserve"> </w:t>
      </w:r>
      <w:r w:rsidR="00545F4F" w:rsidRPr="0034382E">
        <w:rPr>
          <w:rFonts w:ascii="Arial" w:hAnsi="Arial" w:cs="Arial"/>
          <w:color w:val="000000" w:themeColor="text1"/>
          <w:sz w:val="22"/>
          <w:szCs w:val="22"/>
        </w:rPr>
        <w:t xml:space="preserve">current </w:t>
      </w:r>
      <w:r w:rsidRPr="0034382E">
        <w:rPr>
          <w:rFonts w:ascii="Arial" w:hAnsi="Arial" w:cs="Arial"/>
          <w:color w:val="000000" w:themeColor="text1"/>
          <w:sz w:val="22"/>
          <w:szCs w:val="22"/>
        </w:rPr>
        <w:t xml:space="preserve">liabilities. With the acid test much lower than the current ratio, an additional indication is that the hotel is heavily dependent on its stock </w:t>
      </w:r>
      <w:r w:rsidR="000031D1" w:rsidRPr="0034382E">
        <w:rPr>
          <w:rFonts w:ascii="Arial" w:eastAsia="Times New Roman" w:hAnsi="Arial" w:cs="Arial"/>
          <w:color w:val="000000" w:themeColor="text1"/>
          <w:sz w:val="22"/>
          <w:szCs w:val="22"/>
          <w:shd w:val="clear" w:color="auto" w:fill="FFFFFF"/>
          <w:lang w:eastAsia="en-GB"/>
        </w:rPr>
        <w:t>(Marr, 2012)</w:t>
      </w:r>
      <w:r w:rsidRPr="0034382E">
        <w:rPr>
          <w:rFonts w:ascii="Arial" w:hAnsi="Arial" w:cs="Arial"/>
          <w:color w:val="000000" w:themeColor="text1"/>
          <w:sz w:val="22"/>
          <w:szCs w:val="22"/>
        </w:rPr>
        <w:t>.</w:t>
      </w:r>
      <w:r w:rsidR="00F105D1" w:rsidRPr="0034382E">
        <w:rPr>
          <w:rFonts w:ascii="Arial" w:hAnsi="Arial" w:cs="Arial"/>
          <w:color w:val="000000" w:themeColor="text1"/>
          <w:sz w:val="22"/>
          <w:szCs w:val="22"/>
        </w:rPr>
        <w:t xml:space="preserve"> Woods and Sangster (2008) concluded that business, in spite of profitability, will fail if not adequately liquid.</w:t>
      </w:r>
    </w:p>
    <w:p w14:paraId="13135AB9" w14:textId="77777777" w:rsidR="007C4958" w:rsidRPr="0034382E" w:rsidRDefault="007C4958" w:rsidP="0034382E">
      <w:pPr>
        <w:spacing w:line="360" w:lineRule="auto"/>
        <w:rPr>
          <w:rFonts w:ascii="Arial" w:hAnsi="Arial" w:cs="Arial"/>
          <w:color w:val="000000" w:themeColor="text1"/>
          <w:sz w:val="22"/>
          <w:szCs w:val="22"/>
        </w:rPr>
      </w:pPr>
    </w:p>
    <w:p w14:paraId="688C1816" w14:textId="77777777" w:rsidR="00120D9E" w:rsidRPr="0034382E" w:rsidRDefault="00120D9E" w:rsidP="0034382E">
      <w:pPr>
        <w:spacing w:line="360" w:lineRule="auto"/>
        <w:rPr>
          <w:rFonts w:ascii="Arial" w:hAnsi="Arial" w:cs="Arial"/>
          <w:color w:val="000000" w:themeColor="text1"/>
          <w:sz w:val="22"/>
          <w:szCs w:val="22"/>
        </w:rPr>
      </w:pPr>
    </w:p>
    <w:p w14:paraId="6184FCA0" w14:textId="34B143C6" w:rsidR="009F0B48" w:rsidRPr="00172886" w:rsidRDefault="00274A37" w:rsidP="0034382E">
      <w:pPr>
        <w:spacing w:line="360" w:lineRule="auto"/>
        <w:rPr>
          <w:rFonts w:ascii="Arial" w:hAnsi="Arial" w:cs="Arial"/>
          <w:color w:val="000000" w:themeColor="text1"/>
          <w:sz w:val="22"/>
          <w:szCs w:val="22"/>
        </w:rPr>
      </w:pPr>
      <w:r>
        <w:rPr>
          <w:rFonts w:ascii="Arial" w:hAnsi="Arial" w:cs="Arial"/>
          <w:color w:val="000000" w:themeColor="text1"/>
          <w:sz w:val="22"/>
          <w:szCs w:val="22"/>
        </w:rPr>
        <w:lastRenderedPageBreak/>
        <w:t>The c</w:t>
      </w:r>
      <w:r w:rsidR="007C4958" w:rsidRPr="0034382E">
        <w:rPr>
          <w:rFonts w:ascii="Arial" w:hAnsi="Arial" w:cs="Arial"/>
          <w:color w:val="000000" w:themeColor="text1"/>
          <w:sz w:val="22"/>
          <w:szCs w:val="22"/>
        </w:rPr>
        <w:t>reditor days</w:t>
      </w:r>
      <w:r w:rsidR="00592046" w:rsidRPr="0034382E">
        <w:rPr>
          <w:rFonts w:ascii="Arial" w:hAnsi="Arial" w:cs="Arial"/>
          <w:color w:val="000000" w:themeColor="text1"/>
          <w:sz w:val="22"/>
          <w:szCs w:val="22"/>
        </w:rPr>
        <w:t xml:space="preserve"> ratio reflects the amount of time the hotel tak</w:t>
      </w:r>
      <w:r>
        <w:rPr>
          <w:rFonts w:ascii="Arial" w:hAnsi="Arial" w:cs="Arial"/>
          <w:color w:val="000000" w:themeColor="text1"/>
          <w:sz w:val="22"/>
          <w:szCs w:val="22"/>
        </w:rPr>
        <w:t>es</w:t>
      </w:r>
      <w:r w:rsidR="00592046" w:rsidRPr="0034382E">
        <w:rPr>
          <w:rFonts w:ascii="Arial" w:hAnsi="Arial" w:cs="Arial"/>
          <w:color w:val="000000" w:themeColor="text1"/>
          <w:sz w:val="22"/>
          <w:szCs w:val="22"/>
        </w:rPr>
        <w:t xml:space="preserve"> to pay </w:t>
      </w:r>
      <w:r w:rsidR="00AA772B" w:rsidRPr="0034382E">
        <w:rPr>
          <w:rFonts w:ascii="Arial" w:hAnsi="Arial" w:cs="Arial"/>
          <w:color w:val="000000" w:themeColor="text1"/>
          <w:sz w:val="22"/>
          <w:szCs w:val="22"/>
        </w:rPr>
        <w:t>its</w:t>
      </w:r>
      <w:r w:rsidR="00592046" w:rsidRPr="0034382E">
        <w:rPr>
          <w:rFonts w:ascii="Arial" w:hAnsi="Arial" w:cs="Arial"/>
          <w:color w:val="000000" w:themeColor="text1"/>
          <w:sz w:val="22"/>
          <w:szCs w:val="22"/>
        </w:rPr>
        <w:t xml:space="preserve"> creditors. Taking longer to pay</w:t>
      </w:r>
      <w:r>
        <w:rPr>
          <w:rFonts w:ascii="Arial" w:hAnsi="Arial" w:cs="Arial"/>
          <w:color w:val="000000" w:themeColor="text1"/>
          <w:sz w:val="22"/>
          <w:szCs w:val="22"/>
        </w:rPr>
        <w:t>,</w:t>
      </w:r>
      <w:r w:rsidR="00592046" w:rsidRPr="0034382E">
        <w:rPr>
          <w:rFonts w:ascii="Arial" w:hAnsi="Arial" w:cs="Arial"/>
          <w:color w:val="000000" w:themeColor="text1"/>
          <w:sz w:val="22"/>
          <w:szCs w:val="22"/>
        </w:rPr>
        <w:t xml:space="preserve"> maximises the hotel’s cash flow</w:t>
      </w:r>
      <w:r w:rsidR="00A519DB" w:rsidRPr="0034382E">
        <w:rPr>
          <w:rFonts w:ascii="Arial" w:hAnsi="Arial" w:cs="Arial"/>
          <w:color w:val="000000" w:themeColor="text1"/>
          <w:sz w:val="22"/>
          <w:szCs w:val="22"/>
        </w:rPr>
        <w:t xml:space="preserve">, </w:t>
      </w:r>
      <w:r w:rsidR="008544F7">
        <w:rPr>
          <w:rFonts w:ascii="Arial" w:hAnsi="Arial" w:cs="Arial"/>
          <w:color w:val="000000" w:themeColor="text1"/>
          <w:sz w:val="22"/>
          <w:szCs w:val="22"/>
        </w:rPr>
        <w:t>if</w:t>
      </w:r>
      <w:r w:rsidR="008544F7" w:rsidRPr="0034382E">
        <w:rPr>
          <w:rFonts w:ascii="Arial" w:hAnsi="Arial" w:cs="Arial"/>
          <w:color w:val="000000" w:themeColor="text1"/>
          <w:sz w:val="22"/>
          <w:szCs w:val="22"/>
        </w:rPr>
        <w:t xml:space="preserve"> </w:t>
      </w:r>
      <w:r w:rsidR="00A519DB" w:rsidRPr="0034382E">
        <w:rPr>
          <w:rFonts w:ascii="Arial" w:hAnsi="Arial" w:cs="Arial"/>
          <w:color w:val="000000" w:themeColor="text1"/>
          <w:sz w:val="22"/>
          <w:szCs w:val="22"/>
        </w:rPr>
        <w:t>it</w:t>
      </w:r>
      <w:r w:rsidR="00774043" w:rsidRPr="0034382E">
        <w:rPr>
          <w:rFonts w:ascii="Arial" w:hAnsi="Arial" w:cs="Arial"/>
          <w:color w:val="000000" w:themeColor="text1"/>
          <w:sz w:val="22"/>
          <w:szCs w:val="22"/>
        </w:rPr>
        <w:t xml:space="preserve"> i</w:t>
      </w:r>
      <w:r w:rsidR="00A519DB" w:rsidRPr="0034382E">
        <w:rPr>
          <w:rFonts w:ascii="Arial" w:hAnsi="Arial" w:cs="Arial"/>
          <w:color w:val="000000" w:themeColor="text1"/>
          <w:sz w:val="22"/>
          <w:szCs w:val="22"/>
        </w:rPr>
        <w:t xml:space="preserve">s done legally and morally. </w:t>
      </w:r>
      <w:r>
        <w:rPr>
          <w:rFonts w:ascii="Arial" w:hAnsi="Arial" w:cs="Arial"/>
          <w:color w:val="000000" w:themeColor="text1"/>
          <w:sz w:val="22"/>
          <w:szCs w:val="22"/>
        </w:rPr>
        <w:t xml:space="preserve">In </w:t>
      </w:r>
      <w:r w:rsidR="00A519DB" w:rsidRPr="0034382E">
        <w:rPr>
          <w:rFonts w:ascii="Arial" w:hAnsi="Arial" w:cs="Arial"/>
          <w:color w:val="000000" w:themeColor="text1"/>
          <w:sz w:val="22"/>
          <w:szCs w:val="22"/>
        </w:rPr>
        <w:t xml:space="preserve">the two (2) year </w:t>
      </w:r>
      <w:r>
        <w:rPr>
          <w:rFonts w:ascii="Arial" w:hAnsi="Arial" w:cs="Arial"/>
          <w:color w:val="000000" w:themeColor="text1"/>
          <w:sz w:val="22"/>
          <w:szCs w:val="22"/>
        </w:rPr>
        <w:t xml:space="preserve">period </w:t>
      </w:r>
      <w:r w:rsidR="00A519DB" w:rsidRPr="0034382E">
        <w:rPr>
          <w:rFonts w:ascii="Arial" w:hAnsi="Arial" w:cs="Arial"/>
          <w:color w:val="000000" w:themeColor="text1"/>
          <w:sz w:val="22"/>
          <w:szCs w:val="22"/>
        </w:rPr>
        <w:t xml:space="preserve">creditor days </w:t>
      </w:r>
      <w:r w:rsidR="00614246">
        <w:rPr>
          <w:rFonts w:ascii="Arial" w:hAnsi="Arial" w:cs="Arial"/>
          <w:color w:val="000000" w:themeColor="text1"/>
          <w:sz w:val="22"/>
          <w:szCs w:val="22"/>
        </w:rPr>
        <w:t xml:space="preserve">figure </w:t>
      </w:r>
      <w:r w:rsidR="00A519DB" w:rsidRPr="0034382E">
        <w:rPr>
          <w:rFonts w:ascii="Arial" w:hAnsi="Arial" w:cs="Arial"/>
          <w:color w:val="000000" w:themeColor="text1"/>
          <w:sz w:val="22"/>
          <w:szCs w:val="22"/>
        </w:rPr>
        <w:t xml:space="preserve">has nearly halved </w:t>
      </w:r>
      <w:r w:rsidR="00614246">
        <w:rPr>
          <w:rFonts w:ascii="Arial" w:hAnsi="Arial" w:cs="Arial"/>
          <w:color w:val="000000" w:themeColor="text1"/>
          <w:sz w:val="22"/>
          <w:szCs w:val="22"/>
        </w:rPr>
        <w:t xml:space="preserve">from </w:t>
      </w:r>
      <w:r w:rsidR="00A519DB" w:rsidRPr="0034382E">
        <w:rPr>
          <w:rFonts w:ascii="Arial" w:hAnsi="Arial" w:cs="Arial"/>
          <w:color w:val="000000" w:themeColor="text1"/>
          <w:sz w:val="22"/>
          <w:szCs w:val="22"/>
        </w:rPr>
        <w:t>the previous year</w:t>
      </w:r>
      <w:r w:rsidR="00614246">
        <w:rPr>
          <w:rFonts w:ascii="Arial" w:hAnsi="Arial" w:cs="Arial"/>
          <w:color w:val="000000" w:themeColor="text1"/>
          <w:sz w:val="22"/>
          <w:szCs w:val="22"/>
        </w:rPr>
        <w:t xml:space="preserve"> a</w:t>
      </w:r>
      <w:r w:rsidR="000E0962">
        <w:rPr>
          <w:rFonts w:ascii="Arial" w:hAnsi="Arial" w:cs="Arial"/>
          <w:color w:val="000000" w:themeColor="text1"/>
          <w:sz w:val="22"/>
          <w:szCs w:val="22"/>
        </w:rPr>
        <w:t>s</w:t>
      </w:r>
      <w:r w:rsidR="00614246">
        <w:rPr>
          <w:rFonts w:ascii="Arial" w:hAnsi="Arial" w:cs="Arial"/>
          <w:color w:val="000000" w:themeColor="text1"/>
          <w:sz w:val="22"/>
          <w:szCs w:val="22"/>
        </w:rPr>
        <w:t xml:space="preserve"> indicated in figure 1.3 below.</w:t>
      </w:r>
      <w:r w:rsidR="003A7B0B" w:rsidRPr="0034382E">
        <w:rPr>
          <w:rFonts w:ascii="Arial" w:hAnsi="Arial" w:cs="Arial"/>
          <w:color w:val="000000" w:themeColor="text1"/>
          <w:sz w:val="22"/>
          <w:szCs w:val="22"/>
        </w:rPr>
        <w:t xml:space="preserve"> The third level of analysis </w:t>
      </w:r>
      <w:r w:rsidR="000675E2" w:rsidRPr="0034382E">
        <w:rPr>
          <w:rFonts w:ascii="Arial" w:hAnsi="Arial" w:cs="Arial"/>
          <w:color w:val="000000" w:themeColor="text1"/>
          <w:sz w:val="22"/>
          <w:szCs w:val="22"/>
        </w:rPr>
        <w:t xml:space="preserve">shows </w:t>
      </w:r>
      <w:r w:rsidR="00AB0543" w:rsidRPr="0034382E">
        <w:rPr>
          <w:rFonts w:ascii="Arial" w:hAnsi="Arial" w:cs="Arial"/>
          <w:color w:val="000000" w:themeColor="text1"/>
          <w:sz w:val="22"/>
          <w:szCs w:val="22"/>
        </w:rPr>
        <w:t>th</w:t>
      </w:r>
      <w:r w:rsidR="000E0962">
        <w:rPr>
          <w:rFonts w:ascii="Arial" w:hAnsi="Arial" w:cs="Arial"/>
          <w:color w:val="000000" w:themeColor="text1"/>
          <w:sz w:val="22"/>
          <w:szCs w:val="22"/>
        </w:rPr>
        <w:t>at</w:t>
      </w:r>
      <w:r w:rsidR="00AB0543" w:rsidRPr="0034382E">
        <w:rPr>
          <w:rFonts w:ascii="Arial" w:hAnsi="Arial" w:cs="Arial"/>
          <w:color w:val="000000" w:themeColor="text1"/>
          <w:sz w:val="22"/>
          <w:szCs w:val="22"/>
        </w:rPr>
        <w:t xml:space="preserve"> creditor days </w:t>
      </w:r>
      <w:r>
        <w:rPr>
          <w:rFonts w:ascii="Arial" w:hAnsi="Arial" w:cs="Arial"/>
          <w:color w:val="000000" w:themeColor="text1"/>
          <w:sz w:val="22"/>
          <w:szCs w:val="22"/>
        </w:rPr>
        <w:t>are</w:t>
      </w:r>
      <w:r w:rsidR="00AB0543" w:rsidRPr="0034382E">
        <w:rPr>
          <w:rFonts w:ascii="Arial" w:hAnsi="Arial" w:cs="Arial"/>
          <w:color w:val="000000" w:themeColor="text1"/>
          <w:sz w:val="22"/>
          <w:szCs w:val="22"/>
        </w:rPr>
        <w:t xml:space="preserve"> positive, which is a good position. </w:t>
      </w:r>
      <w:r w:rsidR="005F462F">
        <w:rPr>
          <w:rFonts w:ascii="Arial" w:hAnsi="Arial" w:cs="Arial"/>
          <w:color w:val="000000" w:themeColor="text1"/>
          <w:sz w:val="22"/>
          <w:szCs w:val="22"/>
        </w:rPr>
        <w:t>Nevertheless</w:t>
      </w:r>
      <w:r w:rsidR="00AB0543" w:rsidRPr="00172886">
        <w:rPr>
          <w:rFonts w:ascii="Arial" w:hAnsi="Arial" w:cs="Arial"/>
          <w:color w:val="000000" w:themeColor="text1"/>
          <w:sz w:val="22"/>
          <w:szCs w:val="22"/>
        </w:rPr>
        <w:t xml:space="preserve">, </w:t>
      </w:r>
      <w:r w:rsidR="00AB4F6B" w:rsidRPr="00172886">
        <w:rPr>
          <w:rFonts w:ascii="Arial" w:hAnsi="Arial" w:cs="Arial"/>
          <w:color w:val="000000" w:themeColor="text1"/>
          <w:sz w:val="22"/>
          <w:szCs w:val="22"/>
        </w:rPr>
        <w:t xml:space="preserve">the position is that </w:t>
      </w:r>
      <w:r w:rsidR="00AB0543" w:rsidRPr="00172886">
        <w:rPr>
          <w:rFonts w:ascii="Arial" w:hAnsi="Arial" w:cs="Arial"/>
          <w:color w:val="000000" w:themeColor="text1"/>
          <w:sz w:val="22"/>
          <w:szCs w:val="22"/>
        </w:rPr>
        <w:t xml:space="preserve">creditor days </w:t>
      </w:r>
      <w:r w:rsidR="00614246" w:rsidRPr="00172886">
        <w:rPr>
          <w:rFonts w:ascii="Arial" w:hAnsi="Arial" w:cs="Arial"/>
          <w:color w:val="000000" w:themeColor="text1"/>
          <w:sz w:val="22"/>
          <w:szCs w:val="22"/>
        </w:rPr>
        <w:t>failed to improve.</w:t>
      </w:r>
      <w:r w:rsidR="00AB0543" w:rsidRPr="00172886">
        <w:rPr>
          <w:rFonts w:ascii="Arial" w:hAnsi="Arial" w:cs="Arial"/>
          <w:color w:val="000000" w:themeColor="text1"/>
          <w:sz w:val="22"/>
          <w:szCs w:val="22"/>
        </w:rPr>
        <w:t xml:space="preserve"> </w:t>
      </w:r>
      <w:r w:rsidR="00614246" w:rsidRPr="00172886">
        <w:rPr>
          <w:rFonts w:ascii="Arial" w:hAnsi="Arial" w:cs="Arial"/>
          <w:color w:val="000000" w:themeColor="text1"/>
          <w:sz w:val="22"/>
          <w:szCs w:val="22"/>
        </w:rPr>
        <w:t>I</w:t>
      </w:r>
      <w:r w:rsidR="00AB0543" w:rsidRPr="00172886">
        <w:rPr>
          <w:rFonts w:ascii="Arial" w:hAnsi="Arial" w:cs="Arial"/>
          <w:color w:val="000000" w:themeColor="text1"/>
          <w:sz w:val="22"/>
          <w:szCs w:val="22"/>
        </w:rPr>
        <w:t>mprovement</w:t>
      </w:r>
      <w:r w:rsidR="00614246" w:rsidRPr="00172886">
        <w:rPr>
          <w:rFonts w:ascii="Arial" w:hAnsi="Arial" w:cs="Arial"/>
          <w:color w:val="000000" w:themeColor="text1"/>
          <w:sz w:val="22"/>
          <w:szCs w:val="22"/>
        </w:rPr>
        <w:t>s were</w:t>
      </w:r>
      <w:r w:rsidR="00AB0543" w:rsidRPr="00172886">
        <w:rPr>
          <w:rFonts w:ascii="Arial" w:hAnsi="Arial" w:cs="Arial"/>
          <w:color w:val="000000" w:themeColor="text1"/>
          <w:sz w:val="22"/>
          <w:szCs w:val="22"/>
        </w:rPr>
        <w:t xml:space="preserve"> </w:t>
      </w:r>
      <w:r w:rsidR="00614246" w:rsidRPr="00172886">
        <w:rPr>
          <w:rFonts w:ascii="Arial" w:hAnsi="Arial" w:cs="Arial"/>
          <w:color w:val="000000" w:themeColor="text1"/>
          <w:sz w:val="22"/>
          <w:szCs w:val="22"/>
        </w:rPr>
        <w:t xml:space="preserve">showed </w:t>
      </w:r>
      <w:r w:rsidR="00AB0543" w:rsidRPr="00172886">
        <w:rPr>
          <w:rFonts w:ascii="Arial" w:hAnsi="Arial" w:cs="Arial"/>
          <w:color w:val="000000" w:themeColor="text1"/>
          <w:sz w:val="22"/>
          <w:szCs w:val="22"/>
        </w:rPr>
        <w:t>in working capital</w:t>
      </w:r>
      <w:r w:rsidR="00614246" w:rsidRPr="00172886">
        <w:rPr>
          <w:rFonts w:ascii="Arial" w:hAnsi="Arial" w:cs="Arial"/>
          <w:color w:val="000000" w:themeColor="text1"/>
          <w:sz w:val="22"/>
          <w:szCs w:val="22"/>
        </w:rPr>
        <w:t>, which was</w:t>
      </w:r>
      <w:r w:rsidR="00120D9E" w:rsidRPr="00172886">
        <w:rPr>
          <w:rFonts w:ascii="Arial" w:hAnsi="Arial" w:cs="Arial"/>
          <w:color w:val="000000" w:themeColor="text1"/>
          <w:sz w:val="22"/>
          <w:szCs w:val="22"/>
        </w:rPr>
        <w:t xml:space="preserve"> a result of creditors days falling and debtor days increasing.</w:t>
      </w:r>
      <w:r w:rsidR="00AB4F6B" w:rsidRPr="00172886">
        <w:rPr>
          <w:rFonts w:ascii="Arial" w:hAnsi="Arial" w:cs="Arial"/>
          <w:color w:val="000000" w:themeColor="text1"/>
          <w:sz w:val="22"/>
          <w:szCs w:val="22"/>
        </w:rPr>
        <w:t xml:space="preserve"> </w:t>
      </w:r>
    </w:p>
    <w:p w14:paraId="45DC70E6" w14:textId="77777777" w:rsidR="00AB0543" w:rsidRPr="0034382E" w:rsidRDefault="00AB0543" w:rsidP="0034382E">
      <w:pPr>
        <w:spacing w:line="360" w:lineRule="auto"/>
        <w:rPr>
          <w:rFonts w:ascii="Arial" w:hAnsi="Arial" w:cs="Arial"/>
          <w:color w:val="000000" w:themeColor="text1"/>
          <w:sz w:val="22"/>
          <w:szCs w:val="22"/>
        </w:rPr>
      </w:pPr>
    </w:p>
    <w:p w14:paraId="7467E13F" w14:textId="77777777" w:rsidR="009F0B48" w:rsidRPr="0034382E" w:rsidRDefault="009F0B48" w:rsidP="0034382E">
      <w:pPr>
        <w:spacing w:line="360" w:lineRule="auto"/>
        <w:rPr>
          <w:rFonts w:ascii="Arial" w:hAnsi="Arial" w:cs="Arial"/>
          <w:color w:val="000000" w:themeColor="text1"/>
          <w:sz w:val="22"/>
          <w:szCs w:val="22"/>
        </w:rPr>
      </w:pPr>
    </w:p>
    <w:p w14:paraId="503929BE" w14:textId="77777777" w:rsidR="009F0B48" w:rsidRPr="0034382E" w:rsidRDefault="009F0B48" w:rsidP="0034382E">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34382E" w:rsidRPr="0034382E" w14:paraId="47E1A0E8" w14:textId="77777777" w:rsidTr="009F0B48">
        <w:tc>
          <w:tcPr>
            <w:tcW w:w="1501" w:type="dxa"/>
          </w:tcPr>
          <w:p w14:paraId="3C03419B" w14:textId="77777777" w:rsidR="009F0B48" w:rsidRPr="0034382E" w:rsidRDefault="009F0B48" w:rsidP="0034382E">
            <w:pPr>
              <w:spacing w:line="360" w:lineRule="auto"/>
              <w:rPr>
                <w:rFonts w:ascii="Arial" w:hAnsi="Arial" w:cs="Arial"/>
                <w:color w:val="000000" w:themeColor="text1"/>
                <w:sz w:val="22"/>
                <w:szCs w:val="22"/>
              </w:rPr>
            </w:pPr>
          </w:p>
        </w:tc>
        <w:tc>
          <w:tcPr>
            <w:tcW w:w="1501" w:type="dxa"/>
          </w:tcPr>
          <w:p w14:paraId="63F89A25" w14:textId="77777777" w:rsidR="009F0B48"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t>2019 (days)</w:t>
            </w:r>
          </w:p>
        </w:tc>
        <w:tc>
          <w:tcPr>
            <w:tcW w:w="1502" w:type="dxa"/>
          </w:tcPr>
          <w:p w14:paraId="533E582E" w14:textId="77777777" w:rsidR="009F0B48"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t>2018 (days)</w:t>
            </w:r>
          </w:p>
        </w:tc>
        <w:tc>
          <w:tcPr>
            <w:tcW w:w="1502" w:type="dxa"/>
          </w:tcPr>
          <w:p w14:paraId="19C9B547" w14:textId="77777777" w:rsidR="009F0B48"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t>AD (days)</w:t>
            </w:r>
          </w:p>
        </w:tc>
        <w:tc>
          <w:tcPr>
            <w:tcW w:w="1502" w:type="dxa"/>
          </w:tcPr>
          <w:p w14:paraId="6A3C3317" w14:textId="77777777" w:rsidR="009F0B48"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t>RD (%)</w:t>
            </w:r>
          </w:p>
        </w:tc>
        <w:tc>
          <w:tcPr>
            <w:tcW w:w="1502" w:type="dxa"/>
          </w:tcPr>
          <w:p w14:paraId="2280F271" w14:textId="77777777" w:rsidR="009F0B48"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t>Outcome</w:t>
            </w:r>
          </w:p>
        </w:tc>
      </w:tr>
      <w:tr w:rsidR="0034382E" w:rsidRPr="0034382E" w14:paraId="7CF61890" w14:textId="77777777" w:rsidTr="009F0B48">
        <w:tc>
          <w:tcPr>
            <w:tcW w:w="1501" w:type="dxa"/>
          </w:tcPr>
          <w:p w14:paraId="35E6C58A"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Creditor days</w:t>
            </w:r>
          </w:p>
        </w:tc>
        <w:tc>
          <w:tcPr>
            <w:tcW w:w="1501" w:type="dxa"/>
          </w:tcPr>
          <w:p w14:paraId="71351021"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373.6</w:t>
            </w:r>
          </w:p>
        </w:tc>
        <w:tc>
          <w:tcPr>
            <w:tcW w:w="1502" w:type="dxa"/>
          </w:tcPr>
          <w:p w14:paraId="1BB8A964"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648.9</w:t>
            </w:r>
          </w:p>
        </w:tc>
        <w:tc>
          <w:tcPr>
            <w:tcW w:w="1502" w:type="dxa"/>
          </w:tcPr>
          <w:p w14:paraId="16472E48"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-275.3</w:t>
            </w:r>
          </w:p>
        </w:tc>
        <w:tc>
          <w:tcPr>
            <w:tcW w:w="1502" w:type="dxa"/>
          </w:tcPr>
          <w:p w14:paraId="43C74889"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-42.4</w:t>
            </w:r>
          </w:p>
        </w:tc>
        <w:tc>
          <w:tcPr>
            <w:tcW w:w="1502" w:type="dxa"/>
          </w:tcPr>
          <w:p w14:paraId="4F369B71"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Adverse</w:t>
            </w:r>
          </w:p>
        </w:tc>
      </w:tr>
      <w:tr w:rsidR="0034382E" w:rsidRPr="0034382E" w14:paraId="6D72D665" w14:textId="77777777" w:rsidTr="009F0B48">
        <w:tc>
          <w:tcPr>
            <w:tcW w:w="1501" w:type="dxa"/>
          </w:tcPr>
          <w:p w14:paraId="08193657"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Debtors</w:t>
            </w:r>
          </w:p>
        </w:tc>
        <w:tc>
          <w:tcPr>
            <w:tcW w:w="1501" w:type="dxa"/>
          </w:tcPr>
          <w:p w14:paraId="4A465BFB"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109.5</w:t>
            </w:r>
          </w:p>
        </w:tc>
        <w:tc>
          <w:tcPr>
            <w:tcW w:w="1502" w:type="dxa"/>
          </w:tcPr>
          <w:p w14:paraId="084384C1"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106.2</w:t>
            </w:r>
          </w:p>
        </w:tc>
        <w:tc>
          <w:tcPr>
            <w:tcW w:w="1502" w:type="dxa"/>
          </w:tcPr>
          <w:p w14:paraId="2148880D"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3.3</w:t>
            </w:r>
          </w:p>
        </w:tc>
        <w:tc>
          <w:tcPr>
            <w:tcW w:w="1502" w:type="dxa"/>
          </w:tcPr>
          <w:p w14:paraId="76982D71"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3.1</w:t>
            </w:r>
          </w:p>
        </w:tc>
        <w:tc>
          <w:tcPr>
            <w:tcW w:w="1502" w:type="dxa"/>
          </w:tcPr>
          <w:p w14:paraId="47143645"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Favourable</w:t>
            </w:r>
          </w:p>
        </w:tc>
      </w:tr>
      <w:tr w:rsidR="006553B7" w:rsidRPr="0034382E" w14:paraId="7F91CCFE" w14:textId="77777777" w:rsidTr="009F0B48">
        <w:tc>
          <w:tcPr>
            <w:tcW w:w="1501" w:type="dxa"/>
          </w:tcPr>
          <w:p w14:paraId="6997DF05"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Days holding money</w:t>
            </w:r>
          </w:p>
        </w:tc>
        <w:tc>
          <w:tcPr>
            <w:tcW w:w="1501" w:type="dxa"/>
          </w:tcPr>
          <w:p w14:paraId="0253A640"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264.1</w:t>
            </w:r>
          </w:p>
        </w:tc>
        <w:tc>
          <w:tcPr>
            <w:tcW w:w="1502" w:type="dxa"/>
          </w:tcPr>
          <w:p w14:paraId="5E1D9A26"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542.7</w:t>
            </w:r>
          </w:p>
        </w:tc>
        <w:tc>
          <w:tcPr>
            <w:tcW w:w="1502" w:type="dxa"/>
          </w:tcPr>
          <w:p w14:paraId="30AF86CA"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-278.6</w:t>
            </w:r>
          </w:p>
        </w:tc>
        <w:tc>
          <w:tcPr>
            <w:tcW w:w="1502" w:type="dxa"/>
          </w:tcPr>
          <w:p w14:paraId="58D2BBD6"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-45.5</w:t>
            </w:r>
          </w:p>
        </w:tc>
        <w:tc>
          <w:tcPr>
            <w:tcW w:w="1502" w:type="dxa"/>
          </w:tcPr>
          <w:p w14:paraId="277CF362" w14:textId="77777777" w:rsidR="009F0B48"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Adverse</w:t>
            </w:r>
          </w:p>
        </w:tc>
      </w:tr>
    </w:tbl>
    <w:p w14:paraId="177216AD" w14:textId="30E40030" w:rsidR="009F0B48" w:rsidRPr="0034382E" w:rsidRDefault="00AB4F6B" w:rsidP="0034382E">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Figure </w:t>
      </w:r>
      <w:r w:rsidR="000F1C55">
        <w:rPr>
          <w:rFonts w:ascii="Arial" w:hAnsi="Arial" w:cs="Arial"/>
          <w:color w:val="000000" w:themeColor="text1"/>
          <w:sz w:val="22"/>
          <w:szCs w:val="22"/>
        </w:rPr>
        <w:t>1</w:t>
      </w:r>
      <w:r>
        <w:rPr>
          <w:rFonts w:ascii="Arial" w:hAnsi="Arial" w:cs="Arial"/>
          <w:color w:val="000000" w:themeColor="text1"/>
          <w:sz w:val="22"/>
          <w:szCs w:val="22"/>
        </w:rPr>
        <w:t>.</w:t>
      </w:r>
      <w:r w:rsidR="000F1C55">
        <w:rPr>
          <w:rFonts w:ascii="Arial" w:hAnsi="Arial" w:cs="Arial"/>
          <w:color w:val="000000" w:themeColor="text1"/>
          <w:sz w:val="22"/>
          <w:szCs w:val="22"/>
        </w:rPr>
        <w:t>3</w:t>
      </w:r>
    </w:p>
    <w:p w14:paraId="0EDC9BA1" w14:textId="77777777" w:rsidR="006C1BAB" w:rsidRPr="0034382E" w:rsidRDefault="006C1BAB" w:rsidP="0034382E">
      <w:pPr>
        <w:spacing w:line="360" w:lineRule="auto"/>
        <w:rPr>
          <w:rFonts w:ascii="Arial" w:hAnsi="Arial" w:cs="Arial"/>
          <w:color w:val="000000" w:themeColor="text1"/>
          <w:sz w:val="22"/>
          <w:szCs w:val="22"/>
        </w:rPr>
      </w:pPr>
    </w:p>
    <w:p w14:paraId="1EF63EFB" w14:textId="08B455D0" w:rsidR="00764A06" w:rsidRPr="0034382E" w:rsidRDefault="00AB4F6B" w:rsidP="0034382E">
      <w:pPr>
        <w:spacing w:line="360" w:lineRule="auto"/>
        <w:rPr>
          <w:rFonts w:ascii="Arial" w:hAnsi="Arial" w:cs="Arial"/>
          <w:color w:val="000000" w:themeColor="text1"/>
          <w:sz w:val="22"/>
          <w:szCs w:val="22"/>
        </w:rPr>
      </w:pPr>
      <w:r>
        <w:rPr>
          <w:rFonts w:ascii="Arial" w:hAnsi="Arial" w:cs="Arial"/>
          <w:color w:val="000000" w:themeColor="text1"/>
          <w:sz w:val="22"/>
          <w:szCs w:val="22"/>
        </w:rPr>
        <w:t>The d</w:t>
      </w:r>
      <w:r w:rsidR="00592046" w:rsidRPr="0034382E">
        <w:rPr>
          <w:rFonts w:ascii="Arial" w:hAnsi="Arial" w:cs="Arial"/>
          <w:color w:val="000000" w:themeColor="text1"/>
          <w:sz w:val="22"/>
          <w:szCs w:val="22"/>
        </w:rPr>
        <w:t>ebtor days ratio indicates how long money owing to the business is taking to be paid</w:t>
      </w:r>
      <w:r w:rsidR="00960F4D" w:rsidRPr="0034382E">
        <w:rPr>
          <w:rFonts w:ascii="Arial" w:hAnsi="Arial" w:cs="Arial"/>
          <w:color w:val="000000" w:themeColor="text1"/>
          <w:sz w:val="22"/>
          <w:szCs w:val="22"/>
        </w:rPr>
        <w:t xml:space="preserve">. </w:t>
      </w:r>
      <w:r w:rsidR="00592046" w:rsidRPr="0034382E">
        <w:rPr>
          <w:rFonts w:ascii="Arial" w:hAnsi="Arial" w:cs="Arial"/>
          <w:color w:val="000000" w:themeColor="text1"/>
          <w:sz w:val="22"/>
          <w:szCs w:val="22"/>
        </w:rPr>
        <w:t xml:space="preserve">Analysis </w:t>
      </w:r>
      <w:r w:rsidR="00960F4D" w:rsidRPr="0034382E">
        <w:rPr>
          <w:rFonts w:ascii="Arial" w:hAnsi="Arial" w:cs="Arial"/>
          <w:color w:val="000000" w:themeColor="text1"/>
          <w:sz w:val="22"/>
          <w:szCs w:val="22"/>
        </w:rPr>
        <w:t xml:space="preserve">indicates an AD of </w:t>
      </w:r>
      <w:r w:rsidR="00592046" w:rsidRPr="0034382E">
        <w:rPr>
          <w:rFonts w:ascii="Arial" w:hAnsi="Arial" w:cs="Arial"/>
          <w:color w:val="000000" w:themeColor="text1"/>
          <w:sz w:val="22"/>
          <w:szCs w:val="22"/>
        </w:rPr>
        <w:t>3.3 days</w:t>
      </w:r>
      <w:r w:rsidR="00960F4D" w:rsidRPr="0034382E">
        <w:rPr>
          <w:rFonts w:ascii="Arial" w:hAnsi="Arial" w:cs="Arial"/>
          <w:color w:val="000000" w:themeColor="text1"/>
          <w:sz w:val="22"/>
          <w:szCs w:val="22"/>
        </w:rPr>
        <w:t xml:space="preserve"> and an RD of</w:t>
      </w:r>
      <w:r w:rsidR="00592046" w:rsidRPr="0034382E">
        <w:rPr>
          <w:rFonts w:ascii="Arial" w:hAnsi="Arial" w:cs="Arial"/>
          <w:color w:val="000000" w:themeColor="text1"/>
          <w:sz w:val="22"/>
          <w:szCs w:val="22"/>
        </w:rPr>
        <w:t xml:space="preserve"> 3.</w:t>
      </w:r>
      <w:r w:rsidR="00960F4D" w:rsidRPr="0034382E">
        <w:rPr>
          <w:rFonts w:ascii="Arial" w:hAnsi="Arial" w:cs="Arial"/>
          <w:color w:val="000000" w:themeColor="text1"/>
          <w:sz w:val="22"/>
          <w:szCs w:val="22"/>
        </w:rPr>
        <w:t>1%</w:t>
      </w:r>
      <w:r w:rsidR="00592046" w:rsidRPr="0034382E">
        <w:rPr>
          <w:rFonts w:ascii="Arial" w:hAnsi="Arial" w:cs="Arial"/>
          <w:color w:val="000000" w:themeColor="text1"/>
          <w:sz w:val="22"/>
          <w:szCs w:val="22"/>
        </w:rPr>
        <w:t>.</w:t>
      </w:r>
      <w:r w:rsidR="00614246">
        <w:rPr>
          <w:rFonts w:ascii="Arial" w:hAnsi="Arial" w:cs="Arial"/>
          <w:color w:val="000000" w:themeColor="text1"/>
          <w:sz w:val="22"/>
          <w:szCs w:val="22"/>
        </w:rPr>
        <w:t xml:space="preserve"> </w:t>
      </w:r>
      <w:r w:rsidR="00764A06" w:rsidRPr="0034382E">
        <w:rPr>
          <w:rFonts w:ascii="Arial" w:hAnsi="Arial" w:cs="Arial"/>
          <w:color w:val="000000" w:themeColor="text1"/>
          <w:sz w:val="22"/>
          <w:szCs w:val="22"/>
        </w:rPr>
        <w:t>With sales increasing by 9.1% and debtors 12.5</w:t>
      </w:r>
      <w:r w:rsidR="00960F4D" w:rsidRPr="0034382E">
        <w:rPr>
          <w:rFonts w:ascii="Arial" w:hAnsi="Arial" w:cs="Arial"/>
          <w:color w:val="000000" w:themeColor="text1"/>
          <w:sz w:val="22"/>
          <w:szCs w:val="22"/>
        </w:rPr>
        <w:t>%</w:t>
      </w:r>
      <w:r w:rsidR="00764A06" w:rsidRPr="0034382E">
        <w:rPr>
          <w:rFonts w:ascii="Arial" w:hAnsi="Arial" w:cs="Arial"/>
          <w:color w:val="000000" w:themeColor="text1"/>
          <w:sz w:val="22"/>
          <w:szCs w:val="22"/>
        </w:rPr>
        <w:t xml:space="preserve"> the overall 3.</w:t>
      </w:r>
      <w:r w:rsidR="00960F4D" w:rsidRPr="0034382E">
        <w:rPr>
          <w:rFonts w:ascii="Arial" w:hAnsi="Arial" w:cs="Arial"/>
          <w:color w:val="000000" w:themeColor="text1"/>
          <w:sz w:val="22"/>
          <w:szCs w:val="22"/>
        </w:rPr>
        <w:t>3</w:t>
      </w:r>
      <w:r w:rsidR="00764A06" w:rsidRPr="0034382E">
        <w:rPr>
          <w:rFonts w:ascii="Arial" w:hAnsi="Arial" w:cs="Arial"/>
          <w:color w:val="000000" w:themeColor="text1"/>
          <w:sz w:val="22"/>
          <w:szCs w:val="22"/>
        </w:rPr>
        <w:t xml:space="preserve"> days for the payment to be made to the hotels is reflected</w:t>
      </w:r>
      <w:r w:rsidR="00614246">
        <w:rPr>
          <w:rFonts w:ascii="Arial" w:hAnsi="Arial" w:cs="Arial"/>
          <w:color w:val="000000" w:themeColor="text1"/>
          <w:sz w:val="22"/>
          <w:szCs w:val="22"/>
        </w:rPr>
        <w:t xml:space="preserve"> as shown in figure 1.4 below.</w:t>
      </w:r>
      <w:r w:rsidR="00592046" w:rsidRPr="0034382E">
        <w:rPr>
          <w:rFonts w:ascii="Arial" w:hAnsi="Arial" w:cs="Arial"/>
          <w:color w:val="000000" w:themeColor="text1"/>
          <w:sz w:val="22"/>
          <w:szCs w:val="22"/>
        </w:rPr>
        <w:t xml:space="preserve"> </w:t>
      </w:r>
    </w:p>
    <w:p w14:paraId="67DAE3EB" w14:textId="33A8BF98" w:rsidR="005640D6" w:rsidRDefault="00592046" w:rsidP="0034382E">
      <w:pPr>
        <w:spacing w:line="360" w:lineRule="auto"/>
        <w:rPr>
          <w:rFonts w:ascii="Arial" w:hAnsi="Arial" w:cs="Arial"/>
          <w:b/>
          <w:bCs/>
          <w:color w:val="000000" w:themeColor="text1"/>
          <w:sz w:val="22"/>
          <w:szCs w:val="22"/>
        </w:rPr>
      </w:pPr>
      <w:r w:rsidRPr="0034382E">
        <w:rPr>
          <w:rFonts w:ascii="Arial" w:hAnsi="Arial" w:cs="Arial"/>
          <w:noProof/>
          <w:color w:val="000000" w:themeColor="text1"/>
          <w:sz w:val="22"/>
          <w:szCs w:val="22"/>
        </w:rPr>
        <w:drawing>
          <wp:inline distT="0" distB="0" distL="0" distR="0" wp14:anchorId="0039A4A0" wp14:editId="3E6D2D85">
            <wp:extent cx="4572000" cy="2743200"/>
            <wp:effectExtent l="0" t="0" r="12700" b="12700"/>
            <wp:docPr id="5" name="Chart 5">
              <a:extLst xmlns:a="http://schemas.openxmlformats.org/drawingml/2006/main">
                <a:ext uri="{FF2B5EF4-FFF2-40B4-BE49-F238E27FC236}">
                  <a16:creationId xmlns:a16="http://schemas.microsoft.com/office/drawing/2014/main" id="{C81AE3D6-7628-CC43-A9BE-04AA922BFB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E67031F" w14:textId="77777777" w:rsidR="003752DD" w:rsidRPr="00614246" w:rsidRDefault="000F1C55" w:rsidP="0034382E">
      <w:pPr>
        <w:spacing w:line="360" w:lineRule="auto"/>
        <w:rPr>
          <w:rFonts w:ascii="Arial" w:hAnsi="Arial" w:cs="Arial"/>
          <w:color w:val="000000" w:themeColor="text1"/>
          <w:sz w:val="22"/>
          <w:szCs w:val="22"/>
        </w:rPr>
      </w:pPr>
      <w:r w:rsidRPr="00614246">
        <w:rPr>
          <w:rFonts w:ascii="Arial" w:hAnsi="Arial" w:cs="Arial"/>
          <w:color w:val="000000" w:themeColor="text1"/>
          <w:sz w:val="22"/>
          <w:szCs w:val="22"/>
        </w:rPr>
        <w:t>Figure 1.4</w:t>
      </w:r>
    </w:p>
    <w:p w14:paraId="494FB1E2" w14:textId="77777777" w:rsidR="003752DD" w:rsidRDefault="003752DD" w:rsidP="0034382E">
      <w:pPr>
        <w:spacing w:line="360" w:lineRule="auto"/>
        <w:rPr>
          <w:rFonts w:ascii="Arial" w:hAnsi="Arial" w:cs="Arial"/>
          <w:b/>
          <w:bCs/>
          <w:color w:val="000000" w:themeColor="text1"/>
          <w:sz w:val="22"/>
          <w:szCs w:val="22"/>
        </w:rPr>
      </w:pPr>
    </w:p>
    <w:p w14:paraId="5EAF21EE" w14:textId="77777777" w:rsidR="003752DD" w:rsidRDefault="003752DD" w:rsidP="0034382E">
      <w:pPr>
        <w:spacing w:line="360" w:lineRule="auto"/>
        <w:rPr>
          <w:rFonts w:ascii="Arial" w:hAnsi="Arial" w:cs="Arial"/>
          <w:b/>
          <w:bCs/>
          <w:color w:val="000000" w:themeColor="text1"/>
          <w:sz w:val="22"/>
          <w:szCs w:val="22"/>
        </w:rPr>
      </w:pPr>
    </w:p>
    <w:p w14:paraId="2125B84B" w14:textId="77777777" w:rsidR="003752DD" w:rsidRDefault="003752DD" w:rsidP="0034382E">
      <w:pPr>
        <w:spacing w:line="360" w:lineRule="auto"/>
        <w:rPr>
          <w:rFonts w:ascii="Arial" w:hAnsi="Arial" w:cs="Arial"/>
          <w:b/>
          <w:bCs/>
          <w:color w:val="000000" w:themeColor="text1"/>
          <w:sz w:val="22"/>
          <w:szCs w:val="22"/>
        </w:rPr>
      </w:pPr>
    </w:p>
    <w:p w14:paraId="7635E8CA" w14:textId="239CC576" w:rsidR="00764A06"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lastRenderedPageBreak/>
        <w:t>Capital Structure</w:t>
      </w:r>
      <w:r w:rsidR="00387E6D">
        <w:rPr>
          <w:rFonts w:ascii="Arial" w:hAnsi="Arial" w:cs="Arial"/>
          <w:b/>
          <w:bCs/>
          <w:color w:val="000000" w:themeColor="text1"/>
          <w:sz w:val="22"/>
          <w:szCs w:val="22"/>
        </w:rPr>
        <w:t xml:space="preserve">  </w:t>
      </w:r>
    </w:p>
    <w:p w14:paraId="0D3075FC" w14:textId="77777777" w:rsidR="00764A06" w:rsidRPr="0034382E" w:rsidRDefault="00764A06" w:rsidP="0034382E">
      <w:pPr>
        <w:spacing w:line="360" w:lineRule="auto"/>
        <w:rPr>
          <w:rFonts w:ascii="Arial" w:hAnsi="Arial" w:cs="Arial"/>
          <w:color w:val="000000" w:themeColor="text1"/>
          <w:sz w:val="22"/>
          <w:szCs w:val="22"/>
        </w:rPr>
      </w:pPr>
    </w:p>
    <w:p w14:paraId="172B0DE8" w14:textId="0F81DC19" w:rsidR="00E9428F" w:rsidRPr="0034382E" w:rsidRDefault="00592046" w:rsidP="0034382E">
      <w:pPr>
        <w:spacing w:line="360" w:lineRule="auto"/>
        <w:rPr>
          <w:rFonts w:ascii="Arial" w:eastAsia="Times New Roman" w:hAnsi="Arial" w:cs="Arial"/>
          <w:color w:val="000000" w:themeColor="text1"/>
          <w:sz w:val="22"/>
          <w:szCs w:val="22"/>
          <w:lang w:eastAsia="en-GB"/>
        </w:rPr>
      </w:pPr>
      <w:r w:rsidRPr="0034382E">
        <w:rPr>
          <w:rFonts w:ascii="Arial" w:hAnsi="Arial" w:cs="Arial"/>
          <w:color w:val="000000" w:themeColor="text1"/>
          <w:sz w:val="22"/>
          <w:szCs w:val="22"/>
        </w:rPr>
        <w:t xml:space="preserve">The hotel can </w:t>
      </w:r>
      <w:r w:rsidR="00AB4F6B">
        <w:rPr>
          <w:rFonts w:ascii="Arial" w:hAnsi="Arial" w:cs="Arial"/>
          <w:color w:val="000000" w:themeColor="text1"/>
          <w:sz w:val="22"/>
          <w:szCs w:val="22"/>
        </w:rPr>
        <w:t xml:space="preserve">sometimes </w:t>
      </w:r>
      <w:r w:rsidRPr="0034382E">
        <w:rPr>
          <w:rFonts w:ascii="Arial" w:hAnsi="Arial" w:cs="Arial"/>
          <w:color w:val="000000" w:themeColor="text1"/>
          <w:sz w:val="22"/>
          <w:szCs w:val="22"/>
        </w:rPr>
        <w:t>finance assets with</w:t>
      </w:r>
      <w:r w:rsidR="00AB4F6B">
        <w:rPr>
          <w:rFonts w:ascii="Arial" w:hAnsi="Arial" w:cs="Arial"/>
          <w:color w:val="000000" w:themeColor="text1"/>
          <w:sz w:val="22"/>
          <w:szCs w:val="22"/>
        </w:rPr>
        <w:t xml:space="preserve"> </w:t>
      </w:r>
      <w:r w:rsidRPr="0034382E">
        <w:rPr>
          <w:rFonts w:ascii="Arial" w:hAnsi="Arial" w:cs="Arial"/>
          <w:color w:val="000000" w:themeColor="text1"/>
          <w:sz w:val="22"/>
          <w:szCs w:val="22"/>
        </w:rPr>
        <w:t>debts</w:t>
      </w:r>
      <w:r w:rsidR="00AB4F6B">
        <w:rPr>
          <w:rFonts w:ascii="Arial" w:hAnsi="Arial" w:cs="Arial"/>
          <w:color w:val="000000" w:themeColor="text1"/>
          <w:sz w:val="22"/>
          <w:szCs w:val="22"/>
        </w:rPr>
        <w:t>,</w:t>
      </w:r>
      <w:r w:rsidR="00EF0BD4" w:rsidRPr="0034382E">
        <w:rPr>
          <w:rFonts w:ascii="Arial" w:hAnsi="Arial" w:cs="Arial"/>
          <w:color w:val="000000" w:themeColor="text1"/>
          <w:sz w:val="22"/>
          <w:szCs w:val="22"/>
        </w:rPr>
        <w:t xml:space="preserve"> which can be risky. </w:t>
      </w:r>
      <w:r w:rsidR="00AB4F6B">
        <w:rPr>
          <w:rFonts w:ascii="Arial" w:hAnsi="Arial" w:cs="Arial"/>
          <w:color w:val="000000" w:themeColor="text1"/>
          <w:sz w:val="22"/>
          <w:szCs w:val="22"/>
        </w:rPr>
        <w:t>Studying c</w:t>
      </w:r>
      <w:r w:rsidR="00EF0BD4" w:rsidRPr="0034382E">
        <w:rPr>
          <w:rFonts w:ascii="Arial" w:hAnsi="Arial" w:cs="Arial"/>
          <w:color w:val="000000" w:themeColor="text1"/>
          <w:sz w:val="22"/>
          <w:szCs w:val="22"/>
        </w:rPr>
        <w:t xml:space="preserve">apital </w:t>
      </w:r>
      <w:r w:rsidR="00AB4F6B">
        <w:rPr>
          <w:rFonts w:ascii="Arial" w:hAnsi="Arial" w:cs="Arial"/>
          <w:color w:val="000000" w:themeColor="text1"/>
          <w:sz w:val="22"/>
          <w:szCs w:val="22"/>
        </w:rPr>
        <w:t>s</w:t>
      </w:r>
      <w:r w:rsidR="00EF0BD4" w:rsidRPr="0034382E">
        <w:rPr>
          <w:rFonts w:ascii="Arial" w:hAnsi="Arial" w:cs="Arial"/>
          <w:color w:val="000000" w:themeColor="text1"/>
          <w:sz w:val="22"/>
          <w:szCs w:val="22"/>
        </w:rPr>
        <w:t xml:space="preserve">tructure ratios </w:t>
      </w:r>
      <w:r w:rsidR="00AB4F6B">
        <w:rPr>
          <w:rFonts w:ascii="Arial" w:hAnsi="Arial" w:cs="Arial"/>
          <w:color w:val="000000" w:themeColor="text1"/>
          <w:sz w:val="22"/>
          <w:szCs w:val="22"/>
        </w:rPr>
        <w:t xml:space="preserve">highlights </w:t>
      </w:r>
      <w:r w:rsidR="00EF0BD4" w:rsidRPr="0034382E">
        <w:rPr>
          <w:rFonts w:ascii="Arial" w:hAnsi="Arial" w:cs="Arial"/>
          <w:color w:val="000000" w:themeColor="text1"/>
          <w:sz w:val="22"/>
          <w:szCs w:val="22"/>
        </w:rPr>
        <w:t xml:space="preserve">the hotel’s financing ability, showing the risk the hotel has taken on its assets </w:t>
      </w:r>
      <w:r w:rsidR="000031D1" w:rsidRPr="0034382E">
        <w:rPr>
          <w:rFonts w:ascii="Arial" w:eastAsia="Times New Roman" w:hAnsi="Arial" w:cs="Arial"/>
          <w:color w:val="000000" w:themeColor="text1"/>
          <w:sz w:val="22"/>
          <w:szCs w:val="22"/>
          <w:shd w:val="clear" w:color="auto" w:fill="FFFFFF"/>
          <w:lang w:eastAsia="en-GB"/>
        </w:rPr>
        <w:t>(Walsh, 2008)</w:t>
      </w:r>
      <w:r w:rsidR="00EF0BD4" w:rsidRPr="0034382E">
        <w:rPr>
          <w:rFonts w:ascii="Arial" w:hAnsi="Arial" w:cs="Arial"/>
          <w:color w:val="000000" w:themeColor="text1"/>
          <w:sz w:val="22"/>
          <w:szCs w:val="22"/>
        </w:rPr>
        <w:t>. The d</w:t>
      </w:r>
      <w:r w:rsidR="00764A06" w:rsidRPr="0034382E">
        <w:rPr>
          <w:rFonts w:ascii="Arial" w:hAnsi="Arial" w:cs="Arial"/>
          <w:color w:val="000000" w:themeColor="text1"/>
          <w:sz w:val="22"/>
          <w:szCs w:val="22"/>
        </w:rPr>
        <w:t>ebt to equity [leverage] analysis indicated a</w:t>
      </w:r>
      <w:r w:rsidR="004E783F" w:rsidRPr="0034382E">
        <w:rPr>
          <w:rFonts w:ascii="Arial" w:hAnsi="Arial" w:cs="Arial"/>
          <w:color w:val="000000" w:themeColor="text1"/>
          <w:sz w:val="22"/>
          <w:szCs w:val="22"/>
        </w:rPr>
        <w:t xml:space="preserve"> -6.6% fall in the </w:t>
      </w:r>
      <w:r w:rsidR="00EF0BD4" w:rsidRPr="0034382E">
        <w:rPr>
          <w:rFonts w:ascii="Arial" w:hAnsi="Arial" w:cs="Arial"/>
          <w:color w:val="000000" w:themeColor="text1"/>
          <w:sz w:val="22"/>
          <w:szCs w:val="22"/>
        </w:rPr>
        <w:t>AD, with the RD indicating</w:t>
      </w:r>
      <w:r w:rsidR="004E783F" w:rsidRPr="0034382E">
        <w:rPr>
          <w:rFonts w:ascii="Arial" w:hAnsi="Arial" w:cs="Arial"/>
          <w:color w:val="000000" w:themeColor="text1"/>
          <w:sz w:val="22"/>
          <w:szCs w:val="22"/>
        </w:rPr>
        <w:t xml:space="preserve"> a -73.7% fa</w:t>
      </w:r>
      <w:r w:rsidR="00EF0BD4" w:rsidRPr="0034382E">
        <w:rPr>
          <w:rFonts w:ascii="Arial" w:hAnsi="Arial" w:cs="Arial"/>
          <w:color w:val="000000" w:themeColor="text1"/>
          <w:sz w:val="22"/>
          <w:szCs w:val="22"/>
        </w:rPr>
        <w:t>ll</w:t>
      </w:r>
      <w:r w:rsidR="004E783F"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With debt capital down by -3.3% and total equity indicating a 0.9% raise, the overall -73.7% is reflected.</w:t>
      </w:r>
      <w:r w:rsidR="00EF0BD4"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 xml:space="preserve">This could be a sign that the hotel is not utilising </w:t>
      </w:r>
      <w:r w:rsidR="00E54491" w:rsidRPr="0034382E">
        <w:rPr>
          <w:rFonts w:ascii="Arial" w:hAnsi="Arial" w:cs="Arial"/>
          <w:color w:val="000000" w:themeColor="text1"/>
          <w:sz w:val="22"/>
          <w:szCs w:val="22"/>
        </w:rPr>
        <w:t>financial leveraging, which could increase total equity</w:t>
      </w:r>
    </w:p>
    <w:p w14:paraId="69C12A16" w14:textId="77777777" w:rsidR="00E54491" w:rsidRPr="0034382E" w:rsidRDefault="00E54491" w:rsidP="0034382E">
      <w:pPr>
        <w:spacing w:line="360" w:lineRule="auto"/>
        <w:rPr>
          <w:rFonts w:ascii="Arial" w:hAnsi="Arial" w:cs="Arial"/>
          <w:color w:val="000000" w:themeColor="text1"/>
          <w:sz w:val="22"/>
          <w:szCs w:val="22"/>
        </w:rPr>
      </w:pPr>
    </w:p>
    <w:p w14:paraId="32787FA9" w14:textId="3B8AC1E2" w:rsidR="005867DC"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Co</w:t>
      </w:r>
      <w:r w:rsidR="00AB4F6B">
        <w:rPr>
          <w:rFonts w:ascii="Arial" w:hAnsi="Arial" w:cs="Arial"/>
          <w:color w:val="000000" w:themeColor="text1"/>
          <w:sz w:val="22"/>
          <w:szCs w:val="22"/>
        </w:rPr>
        <w:t>mparing</w:t>
      </w:r>
      <w:r w:rsidRPr="0034382E">
        <w:rPr>
          <w:rFonts w:ascii="Arial" w:hAnsi="Arial" w:cs="Arial"/>
          <w:color w:val="000000" w:themeColor="text1"/>
          <w:sz w:val="22"/>
          <w:szCs w:val="22"/>
        </w:rPr>
        <w:t xml:space="preserve"> the hotel’s total debt to the total capital, the</w:t>
      </w:r>
      <w:r w:rsidR="00E54491" w:rsidRPr="0034382E">
        <w:rPr>
          <w:rFonts w:ascii="Arial" w:hAnsi="Arial" w:cs="Arial"/>
          <w:color w:val="000000" w:themeColor="text1"/>
          <w:sz w:val="22"/>
          <w:szCs w:val="22"/>
        </w:rPr>
        <w:t xml:space="preserve"> debt to capital ratio analysis </w:t>
      </w:r>
      <w:r w:rsidR="00AB4F6B">
        <w:rPr>
          <w:rFonts w:ascii="Arial" w:hAnsi="Arial" w:cs="Arial"/>
          <w:color w:val="000000" w:themeColor="text1"/>
          <w:sz w:val="22"/>
          <w:szCs w:val="22"/>
        </w:rPr>
        <w:t>showed</w:t>
      </w:r>
      <w:r w:rsidR="00E54491" w:rsidRPr="0034382E">
        <w:rPr>
          <w:rFonts w:ascii="Arial" w:hAnsi="Arial" w:cs="Arial"/>
          <w:color w:val="000000" w:themeColor="text1"/>
          <w:sz w:val="22"/>
          <w:szCs w:val="22"/>
        </w:rPr>
        <w:t xml:space="preserve"> a</w:t>
      </w:r>
      <w:r w:rsidR="00B41614" w:rsidRPr="0034382E">
        <w:rPr>
          <w:rFonts w:ascii="Arial" w:hAnsi="Arial" w:cs="Arial"/>
          <w:color w:val="000000" w:themeColor="text1"/>
          <w:sz w:val="22"/>
          <w:szCs w:val="22"/>
        </w:rPr>
        <w:t>n</w:t>
      </w:r>
      <w:r w:rsidRPr="0034382E">
        <w:rPr>
          <w:rFonts w:ascii="Arial" w:hAnsi="Arial" w:cs="Arial"/>
          <w:color w:val="000000" w:themeColor="text1"/>
          <w:sz w:val="22"/>
          <w:szCs w:val="22"/>
        </w:rPr>
        <w:t xml:space="preserve"> AD</w:t>
      </w:r>
      <w:r w:rsidR="00E54491" w:rsidRPr="0034382E">
        <w:rPr>
          <w:rFonts w:ascii="Arial" w:hAnsi="Arial" w:cs="Arial"/>
          <w:color w:val="000000" w:themeColor="text1"/>
          <w:sz w:val="22"/>
          <w:szCs w:val="22"/>
        </w:rPr>
        <w:t xml:space="preserve"> of 0.1% in the first analysis</w:t>
      </w:r>
      <w:r w:rsidRPr="0034382E">
        <w:rPr>
          <w:rFonts w:ascii="Arial" w:hAnsi="Arial" w:cs="Arial"/>
          <w:color w:val="000000" w:themeColor="text1"/>
          <w:sz w:val="22"/>
          <w:szCs w:val="22"/>
        </w:rPr>
        <w:t xml:space="preserve"> and an indication</w:t>
      </w:r>
      <w:r w:rsidR="00E54491"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of</w:t>
      </w:r>
      <w:r w:rsidR="00E54491" w:rsidRPr="0034382E">
        <w:rPr>
          <w:rFonts w:ascii="Arial" w:hAnsi="Arial" w:cs="Arial"/>
          <w:color w:val="000000" w:themeColor="text1"/>
          <w:sz w:val="22"/>
          <w:szCs w:val="22"/>
        </w:rPr>
        <w:t xml:space="preserve"> -4.1% fall in </w:t>
      </w:r>
      <w:r w:rsidRPr="0034382E">
        <w:rPr>
          <w:rFonts w:ascii="Arial" w:hAnsi="Arial" w:cs="Arial"/>
          <w:color w:val="000000" w:themeColor="text1"/>
          <w:sz w:val="22"/>
          <w:szCs w:val="22"/>
        </w:rPr>
        <w:t>AD</w:t>
      </w:r>
      <w:r w:rsidR="00E54491" w:rsidRPr="009536BF">
        <w:rPr>
          <w:rFonts w:ascii="Arial" w:hAnsi="Arial" w:cs="Arial"/>
          <w:color w:val="000000" w:themeColor="text1"/>
          <w:sz w:val="22"/>
          <w:szCs w:val="22"/>
        </w:rPr>
        <w:t>.</w:t>
      </w:r>
      <w:r w:rsidR="00B41614" w:rsidRPr="009536BF">
        <w:rPr>
          <w:rFonts w:ascii="Arial" w:hAnsi="Arial" w:cs="Arial"/>
          <w:color w:val="000000" w:themeColor="text1"/>
          <w:sz w:val="22"/>
          <w:szCs w:val="22"/>
        </w:rPr>
        <w:t xml:space="preserve"> The </w:t>
      </w:r>
      <w:r w:rsidRPr="009536BF">
        <w:rPr>
          <w:rFonts w:ascii="Arial" w:hAnsi="Arial" w:cs="Arial"/>
          <w:color w:val="000000" w:themeColor="text1"/>
          <w:sz w:val="22"/>
          <w:szCs w:val="22"/>
        </w:rPr>
        <w:t xml:space="preserve">-0.6% </w:t>
      </w:r>
      <w:r w:rsidR="009536BF" w:rsidRPr="009536BF">
        <w:rPr>
          <w:rFonts w:ascii="Arial" w:hAnsi="Arial" w:cs="Arial"/>
          <w:color w:val="000000" w:themeColor="text1"/>
          <w:sz w:val="22"/>
          <w:szCs w:val="22"/>
        </w:rPr>
        <w:t xml:space="preserve">fall </w:t>
      </w:r>
      <w:r w:rsidRPr="009536BF">
        <w:rPr>
          <w:rFonts w:ascii="Arial" w:hAnsi="Arial" w:cs="Arial"/>
          <w:color w:val="000000" w:themeColor="text1"/>
          <w:sz w:val="22"/>
          <w:szCs w:val="22"/>
        </w:rPr>
        <w:t xml:space="preserve">in capital and 1.6% in operating profit is a combination of the -3.3% in debt capital accumulating </w:t>
      </w:r>
      <w:r w:rsidRPr="0034382E">
        <w:rPr>
          <w:rFonts w:ascii="Arial" w:hAnsi="Arial" w:cs="Arial"/>
          <w:color w:val="000000" w:themeColor="text1"/>
          <w:sz w:val="22"/>
          <w:szCs w:val="22"/>
        </w:rPr>
        <w:t>to the overall -4.1% in debt capital</w:t>
      </w:r>
      <w:r w:rsidR="00AB4F6B">
        <w:rPr>
          <w:rFonts w:ascii="Arial" w:hAnsi="Arial" w:cs="Arial"/>
          <w:color w:val="000000" w:themeColor="text1"/>
          <w:sz w:val="22"/>
          <w:szCs w:val="22"/>
        </w:rPr>
        <w:t xml:space="preserve">. </w:t>
      </w:r>
      <w:r w:rsidRPr="0034382E">
        <w:rPr>
          <w:rFonts w:ascii="Arial" w:hAnsi="Arial" w:cs="Arial"/>
          <w:color w:val="000000" w:themeColor="text1"/>
          <w:sz w:val="22"/>
          <w:szCs w:val="22"/>
        </w:rPr>
        <w:t xml:space="preserve">The hotel is not highly leveraged, which reduces the risk of insolvency, </w:t>
      </w:r>
      <w:r w:rsidR="00EF0BD4" w:rsidRPr="0034382E">
        <w:rPr>
          <w:rFonts w:ascii="Arial" w:hAnsi="Arial" w:cs="Arial"/>
          <w:color w:val="000000" w:themeColor="text1"/>
          <w:sz w:val="22"/>
          <w:szCs w:val="22"/>
        </w:rPr>
        <w:t xml:space="preserve">taking advantage of </w:t>
      </w:r>
      <w:r w:rsidRPr="0034382E">
        <w:rPr>
          <w:rFonts w:ascii="Arial" w:hAnsi="Arial" w:cs="Arial"/>
          <w:color w:val="000000" w:themeColor="text1"/>
          <w:sz w:val="22"/>
          <w:szCs w:val="22"/>
        </w:rPr>
        <w:t xml:space="preserve">financial leverage </w:t>
      </w:r>
      <w:r w:rsidR="00EF0BD4" w:rsidRPr="0034382E">
        <w:rPr>
          <w:rFonts w:ascii="Arial" w:hAnsi="Arial" w:cs="Arial"/>
          <w:color w:val="000000" w:themeColor="text1"/>
          <w:sz w:val="22"/>
          <w:szCs w:val="22"/>
        </w:rPr>
        <w:t>could</w:t>
      </w:r>
      <w:r w:rsidRPr="0034382E">
        <w:rPr>
          <w:rFonts w:ascii="Arial" w:hAnsi="Arial" w:cs="Arial"/>
          <w:color w:val="000000" w:themeColor="text1"/>
          <w:sz w:val="22"/>
          <w:szCs w:val="22"/>
        </w:rPr>
        <w:t xml:space="preserve"> increase profitability.</w:t>
      </w:r>
    </w:p>
    <w:p w14:paraId="53C63EED" w14:textId="77777777" w:rsidR="007557F0" w:rsidRPr="0034382E" w:rsidRDefault="007557F0" w:rsidP="0034382E">
      <w:pPr>
        <w:spacing w:line="360" w:lineRule="auto"/>
        <w:rPr>
          <w:rFonts w:ascii="Arial" w:hAnsi="Arial" w:cs="Arial"/>
          <w:color w:val="000000" w:themeColor="text1"/>
          <w:sz w:val="22"/>
          <w:szCs w:val="22"/>
        </w:rPr>
      </w:pPr>
    </w:p>
    <w:p w14:paraId="7768DD57" w14:textId="097D715C" w:rsidR="007557F0"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Conversely, with bank overdrafts omitted from the gearing ratios</w:t>
      </w:r>
      <w:r w:rsidR="00964EFB" w:rsidRPr="0034382E">
        <w:rPr>
          <w:rFonts w:ascii="Arial" w:hAnsi="Arial" w:cs="Arial"/>
          <w:color w:val="000000" w:themeColor="text1"/>
          <w:sz w:val="22"/>
          <w:szCs w:val="22"/>
        </w:rPr>
        <w:t xml:space="preserve"> and solely kept as current liabilities</w:t>
      </w:r>
      <w:r w:rsidRPr="0034382E">
        <w:rPr>
          <w:rFonts w:ascii="Arial" w:hAnsi="Arial" w:cs="Arial"/>
          <w:color w:val="000000" w:themeColor="text1"/>
          <w:sz w:val="22"/>
          <w:szCs w:val="22"/>
        </w:rPr>
        <w:t xml:space="preserve">, it is imperative to use interest cover ratio to identify the hotel's ability in </w:t>
      </w:r>
      <w:r w:rsidR="00964EFB" w:rsidRPr="0034382E">
        <w:rPr>
          <w:rFonts w:ascii="Arial" w:hAnsi="Arial" w:cs="Arial"/>
          <w:color w:val="000000" w:themeColor="text1"/>
          <w:sz w:val="22"/>
          <w:szCs w:val="22"/>
        </w:rPr>
        <w:t xml:space="preserve">meeting </w:t>
      </w:r>
      <w:r w:rsidRPr="0034382E">
        <w:rPr>
          <w:rFonts w:ascii="Arial" w:hAnsi="Arial" w:cs="Arial"/>
          <w:color w:val="000000" w:themeColor="text1"/>
          <w:sz w:val="22"/>
          <w:szCs w:val="22"/>
        </w:rPr>
        <w:t xml:space="preserve">its interest payments. The first level of the analysis identifies 25.9 times interest in the </w:t>
      </w:r>
      <w:r w:rsidR="00964EFB" w:rsidRPr="0034382E">
        <w:rPr>
          <w:rFonts w:ascii="Arial" w:hAnsi="Arial" w:cs="Arial"/>
          <w:color w:val="000000" w:themeColor="text1"/>
          <w:sz w:val="22"/>
          <w:szCs w:val="22"/>
        </w:rPr>
        <w:t>AD</w:t>
      </w:r>
      <w:r w:rsidR="00B3617A" w:rsidRPr="0034382E">
        <w:rPr>
          <w:rFonts w:ascii="Arial" w:hAnsi="Arial" w:cs="Arial"/>
          <w:color w:val="000000" w:themeColor="text1"/>
          <w:sz w:val="22"/>
          <w:szCs w:val="22"/>
        </w:rPr>
        <w:t xml:space="preserve"> and </w:t>
      </w:r>
      <w:r w:rsidR="00964EFB" w:rsidRPr="0034382E">
        <w:rPr>
          <w:rFonts w:ascii="Arial" w:hAnsi="Arial" w:cs="Arial"/>
          <w:color w:val="000000" w:themeColor="text1"/>
          <w:sz w:val="22"/>
          <w:szCs w:val="22"/>
        </w:rPr>
        <w:t>12.9</w:t>
      </w:r>
      <w:r w:rsidR="00B3617A" w:rsidRPr="0034382E">
        <w:rPr>
          <w:rFonts w:ascii="Arial" w:hAnsi="Arial" w:cs="Arial"/>
          <w:color w:val="000000" w:themeColor="text1"/>
          <w:sz w:val="22"/>
          <w:szCs w:val="22"/>
        </w:rPr>
        <w:t>% in RD.</w:t>
      </w:r>
      <w:r w:rsidR="00387E6D">
        <w:rPr>
          <w:rFonts w:ascii="Arial" w:hAnsi="Arial" w:cs="Arial"/>
          <w:color w:val="000000" w:themeColor="text1"/>
          <w:sz w:val="22"/>
          <w:szCs w:val="22"/>
        </w:rPr>
        <w:t xml:space="preserve"> </w:t>
      </w:r>
    </w:p>
    <w:p w14:paraId="0D004B3E" w14:textId="77777777" w:rsidR="00507619" w:rsidRPr="0034382E" w:rsidRDefault="00507619" w:rsidP="0034382E">
      <w:pPr>
        <w:spacing w:line="360" w:lineRule="auto"/>
        <w:rPr>
          <w:rFonts w:ascii="Arial" w:hAnsi="Arial" w:cs="Arial"/>
          <w:color w:val="000000" w:themeColor="text1"/>
          <w:sz w:val="22"/>
          <w:szCs w:val="22"/>
        </w:rPr>
      </w:pPr>
    </w:p>
    <w:p w14:paraId="19E75D30" w14:textId="1BFB9719" w:rsidR="00E54491"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The 1.6% rise in the OP and the -10.0% in the finance charge is a combination </w:t>
      </w:r>
      <w:r w:rsidR="00777D26" w:rsidRPr="0034382E">
        <w:rPr>
          <w:rFonts w:ascii="Arial" w:hAnsi="Arial" w:cs="Arial"/>
          <w:color w:val="000000" w:themeColor="text1"/>
          <w:sz w:val="22"/>
          <w:szCs w:val="22"/>
        </w:rPr>
        <w:t>of</w:t>
      </w:r>
      <w:r w:rsidRPr="0034382E">
        <w:rPr>
          <w:rFonts w:ascii="Arial" w:hAnsi="Arial" w:cs="Arial"/>
          <w:color w:val="000000" w:themeColor="text1"/>
          <w:sz w:val="22"/>
          <w:szCs w:val="22"/>
        </w:rPr>
        <w:t xml:space="preserve"> the overall 12.9</w:t>
      </w:r>
      <w:r w:rsidR="00B3617A" w:rsidRPr="0034382E">
        <w:rPr>
          <w:rFonts w:ascii="Arial" w:hAnsi="Arial" w:cs="Arial"/>
          <w:color w:val="000000" w:themeColor="text1"/>
          <w:sz w:val="22"/>
          <w:szCs w:val="22"/>
        </w:rPr>
        <w:t>%</w:t>
      </w:r>
      <w:r w:rsidRPr="0034382E">
        <w:rPr>
          <w:rFonts w:ascii="Arial" w:hAnsi="Arial" w:cs="Arial"/>
          <w:color w:val="000000" w:themeColor="text1"/>
          <w:sz w:val="22"/>
          <w:szCs w:val="22"/>
        </w:rPr>
        <w:t xml:space="preserve"> in interest cover. </w:t>
      </w:r>
      <w:r w:rsidR="00777D26" w:rsidRPr="0034382E">
        <w:rPr>
          <w:rFonts w:ascii="Arial" w:hAnsi="Arial" w:cs="Arial"/>
          <w:color w:val="000000" w:themeColor="text1"/>
          <w:sz w:val="22"/>
          <w:szCs w:val="22"/>
        </w:rPr>
        <w:t xml:space="preserve">This indicates that the hotel's financial health is being able to sustain its interest obligations from operating revenue. Conversely, this could again be an indication that the hotel is missing out or reluctant to take up leveraging opportunities that could potentially increase revenue. </w:t>
      </w:r>
    </w:p>
    <w:p w14:paraId="1DE04C23" w14:textId="77777777" w:rsidR="009536BF" w:rsidRPr="0034382E" w:rsidRDefault="009536BF" w:rsidP="0034382E">
      <w:pPr>
        <w:spacing w:line="360" w:lineRule="auto"/>
        <w:rPr>
          <w:rFonts w:ascii="Arial" w:hAnsi="Arial" w:cs="Arial"/>
          <w:color w:val="000000" w:themeColor="text1"/>
          <w:sz w:val="22"/>
          <w:szCs w:val="22"/>
        </w:rPr>
      </w:pPr>
    </w:p>
    <w:p w14:paraId="0F9930EA" w14:textId="77777777" w:rsidR="003752DD" w:rsidRDefault="00592046" w:rsidP="0034382E">
      <w:pPr>
        <w:spacing w:line="360" w:lineRule="auto"/>
        <w:rPr>
          <w:rFonts w:ascii="Arial" w:hAnsi="Arial" w:cs="Arial"/>
          <w:color w:val="000000" w:themeColor="text1"/>
          <w:sz w:val="22"/>
          <w:szCs w:val="22"/>
        </w:rPr>
      </w:pPr>
      <w:r w:rsidRPr="0034382E">
        <w:rPr>
          <w:rFonts w:ascii="Arial" w:hAnsi="Arial" w:cs="Arial"/>
          <w:noProof/>
          <w:color w:val="000000" w:themeColor="text1"/>
          <w:sz w:val="22"/>
          <w:szCs w:val="22"/>
        </w:rPr>
        <w:drawing>
          <wp:inline distT="0" distB="0" distL="0" distR="0" wp14:anchorId="7D782546" wp14:editId="053AF47B">
            <wp:extent cx="4572000" cy="2743200"/>
            <wp:effectExtent l="0" t="0" r="12700" b="12700"/>
            <wp:docPr id="6" name="Chart 6">
              <a:extLst xmlns:a="http://schemas.openxmlformats.org/drawingml/2006/main">
                <a:ext uri="{FF2B5EF4-FFF2-40B4-BE49-F238E27FC236}">
                  <a16:creationId xmlns:a16="http://schemas.microsoft.com/office/drawing/2014/main" id="{90D66F44-7F41-2D41-996E-B346D8A8FB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300245B" w14:textId="77777777" w:rsidR="003752DD" w:rsidRDefault="000F1C55" w:rsidP="0034382E">
      <w:pPr>
        <w:spacing w:line="360" w:lineRule="auto"/>
        <w:rPr>
          <w:rFonts w:ascii="Arial" w:hAnsi="Arial" w:cs="Arial"/>
          <w:color w:val="000000" w:themeColor="text1"/>
          <w:sz w:val="22"/>
          <w:szCs w:val="22"/>
        </w:rPr>
      </w:pPr>
      <w:r>
        <w:rPr>
          <w:rFonts w:ascii="Arial" w:hAnsi="Arial" w:cs="Arial"/>
          <w:color w:val="000000" w:themeColor="text1"/>
          <w:sz w:val="22"/>
          <w:szCs w:val="22"/>
        </w:rPr>
        <w:t>Figure 1.5</w:t>
      </w:r>
    </w:p>
    <w:p w14:paraId="43BBF039" w14:textId="77777777" w:rsidR="009536BF" w:rsidRDefault="009536BF" w:rsidP="0034382E">
      <w:pPr>
        <w:spacing w:line="360" w:lineRule="auto"/>
        <w:rPr>
          <w:rFonts w:ascii="Arial" w:hAnsi="Arial" w:cs="Arial"/>
          <w:b/>
          <w:bCs/>
          <w:color w:val="000000" w:themeColor="text1"/>
          <w:sz w:val="22"/>
          <w:szCs w:val="22"/>
        </w:rPr>
      </w:pPr>
    </w:p>
    <w:p w14:paraId="7813EBD3" w14:textId="2C729B48" w:rsidR="00E16752" w:rsidRPr="003752DD" w:rsidRDefault="007E1BBC" w:rsidP="0034382E">
      <w:pPr>
        <w:spacing w:line="360" w:lineRule="auto"/>
        <w:rPr>
          <w:rFonts w:ascii="Arial" w:hAnsi="Arial" w:cs="Arial"/>
          <w:color w:val="000000" w:themeColor="text1"/>
          <w:sz w:val="22"/>
          <w:szCs w:val="22"/>
        </w:rPr>
      </w:pPr>
      <w:r>
        <w:rPr>
          <w:rFonts w:ascii="Arial" w:hAnsi="Arial" w:cs="Arial"/>
          <w:b/>
          <w:bCs/>
          <w:color w:val="000000" w:themeColor="text1"/>
          <w:sz w:val="22"/>
          <w:szCs w:val="22"/>
        </w:rPr>
        <w:t>(II</w:t>
      </w:r>
      <w:r w:rsidR="00592046" w:rsidRPr="0034382E">
        <w:rPr>
          <w:rFonts w:ascii="Arial" w:hAnsi="Arial" w:cs="Arial"/>
          <w:b/>
          <w:bCs/>
          <w:color w:val="000000" w:themeColor="text1"/>
          <w:sz w:val="22"/>
          <w:szCs w:val="22"/>
        </w:rPr>
        <w:t>c</w:t>
      </w:r>
      <w:r>
        <w:rPr>
          <w:rFonts w:ascii="Arial" w:hAnsi="Arial" w:cs="Arial"/>
          <w:b/>
          <w:bCs/>
          <w:color w:val="000000" w:themeColor="text1"/>
          <w:sz w:val="22"/>
          <w:szCs w:val="22"/>
        </w:rPr>
        <w:t>)</w:t>
      </w:r>
      <w:r w:rsidR="00592046" w:rsidRPr="0034382E">
        <w:rPr>
          <w:rFonts w:ascii="Arial" w:hAnsi="Arial" w:cs="Arial"/>
          <w:b/>
          <w:bCs/>
          <w:color w:val="000000" w:themeColor="text1"/>
          <w:sz w:val="22"/>
          <w:szCs w:val="22"/>
        </w:rPr>
        <w:t>. Round-Up of Analysis</w:t>
      </w:r>
    </w:p>
    <w:p w14:paraId="2F4B04C0" w14:textId="77777777" w:rsidR="00A42C9F" w:rsidRPr="0034382E" w:rsidRDefault="00A42C9F" w:rsidP="0034382E">
      <w:pPr>
        <w:spacing w:line="360" w:lineRule="auto"/>
        <w:rPr>
          <w:rFonts w:ascii="Arial" w:hAnsi="Arial" w:cs="Arial"/>
          <w:b/>
          <w:bCs/>
          <w:color w:val="000000" w:themeColor="text1"/>
          <w:sz w:val="22"/>
          <w:szCs w:val="22"/>
        </w:rPr>
      </w:pPr>
    </w:p>
    <w:p w14:paraId="762B8592" w14:textId="2CACF863" w:rsidR="00A42C9F" w:rsidRPr="0034382E" w:rsidRDefault="00592046" w:rsidP="0034382E">
      <w:pPr>
        <w:spacing w:line="360" w:lineRule="auto"/>
        <w:rPr>
          <w:rFonts w:ascii="Arial" w:hAnsi="Arial" w:cs="Arial"/>
          <w:color w:val="000000" w:themeColor="text1"/>
          <w:sz w:val="22"/>
          <w:szCs w:val="22"/>
        </w:rPr>
      </w:pPr>
      <w:r w:rsidRPr="0034382E">
        <w:rPr>
          <w:rFonts w:ascii="Arial" w:hAnsi="Arial" w:cs="Arial"/>
          <w:color w:val="000000" w:themeColor="text1"/>
          <w:sz w:val="22"/>
          <w:szCs w:val="22"/>
        </w:rPr>
        <w:t xml:space="preserve">The overall performance </w:t>
      </w:r>
      <w:r w:rsidR="00387E6D">
        <w:rPr>
          <w:rFonts w:ascii="Arial" w:hAnsi="Arial" w:cs="Arial"/>
          <w:color w:val="000000" w:themeColor="text1"/>
          <w:sz w:val="22"/>
          <w:szCs w:val="22"/>
        </w:rPr>
        <w:t xml:space="preserve">analysis </w:t>
      </w:r>
      <w:r w:rsidR="009536BF">
        <w:rPr>
          <w:rFonts w:ascii="Arial" w:hAnsi="Arial" w:cs="Arial"/>
          <w:color w:val="000000" w:themeColor="text1"/>
          <w:sz w:val="22"/>
          <w:szCs w:val="22"/>
        </w:rPr>
        <w:t xml:space="preserve">indicated that </w:t>
      </w:r>
      <w:r w:rsidR="00390A74" w:rsidRPr="0034382E">
        <w:rPr>
          <w:rFonts w:ascii="Arial" w:hAnsi="Arial" w:cs="Arial"/>
          <w:color w:val="000000" w:themeColor="text1"/>
          <w:sz w:val="22"/>
          <w:szCs w:val="22"/>
        </w:rPr>
        <w:t>the business has improved. The assets are turning over much quicker, generating revenue. The long</w:t>
      </w:r>
      <w:r w:rsidR="00E47835">
        <w:rPr>
          <w:rFonts w:ascii="Arial" w:hAnsi="Arial" w:cs="Arial"/>
          <w:color w:val="000000" w:themeColor="text1"/>
          <w:sz w:val="22"/>
          <w:szCs w:val="22"/>
        </w:rPr>
        <w:t>-</w:t>
      </w:r>
      <w:r w:rsidR="00390A74" w:rsidRPr="0034382E">
        <w:rPr>
          <w:rFonts w:ascii="Arial" w:hAnsi="Arial" w:cs="Arial"/>
          <w:color w:val="000000" w:themeColor="text1"/>
          <w:sz w:val="22"/>
          <w:szCs w:val="22"/>
        </w:rPr>
        <w:t>term liabilities have decreased, but the business has borrowed more in trade payables and increased its overdr</w:t>
      </w:r>
      <w:r w:rsidR="00387E6D">
        <w:rPr>
          <w:rFonts w:ascii="Arial" w:hAnsi="Arial" w:cs="Arial"/>
          <w:color w:val="000000" w:themeColor="text1"/>
          <w:sz w:val="22"/>
          <w:szCs w:val="22"/>
        </w:rPr>
        <w:t>af</w:t>
      </w:r>
      <w:r w:rsidR="00390A74" w:rsidRPr="0034382E">
        <w:rPr>
          <w:rFonts w:ascii="Arial" w:hAnsi="Arial" w:cs="Arial"/>
          <w:color w:val="000000" w:themeColor="text1"/>
          <w:sz w:val="22"/>
          <w:szCs w:val="22"/>
        </w:rPr>
        <w:t>t for the short term.</w:t>
      </w:r>
      <w:r w:rsidR="009536BF">
        <w:rPr>
          <w:rFonts w:ascii="Arial" w:hAnsi="Arial" w:cs="Arial"/>
          <w:color w:val="000000" w:themeColor="text1"/>
          <w:sz w:val="22"/>
          <w:szCs w:val="22"/>
        </w:rPr>
        <w:t xml:space="preserve"> The results of </w:t>
      </w:r>
      <w:r w:rsidR="004135F0">
        <w:rPr>
          <w:rFonts w:ascii="Arial" w:hAnsi="Arial" w:cs="Arial"/>
          <w:color w:val="000000" w:themeColor="text1"/>
          <w:sz w:val="22"/>
          <w:szCs w:val="22"/>
        </w:rPr>
        <w:t xml:space="preserve">this </w:t>
      </w:r>
      <w:r w:rsidR="00EE711C" w:rsidRPr="0034382E">
        <w:rPr>
          <w:rFonts w:ascii="Arial" w:hAnsi="Arial" w:cs="Arial"/>
          <w:color w:val="000000" w:themeColor="text1"/>
          <w:sz w:val="22"/>
          <w:szCs w:val="22"/>
        </w:rPr>
        <w:t xml:space="preserve">analysis </w:t>
      </w:r>
      <w:r w:rsidR="004135F0">
        <w:rPr>
          <w:rFonts w:ascii="Arial" w:hAnsi="Arial" w:cs="Arial"/>
          <w:color w:val="000000" w:themeColor="text1"/>
          <w:sz w:val="22"/>
          <w:szCs w:val="22"/>
        </w:rPr>
        <w:t>indicates</w:t>
      </w:r>
      <w:r w:rsidR="00EE711C" w:rsidRPr="0034382E">
        <w:rPr>
          <w:rFonts w:ascii="Arial" w:hAnsi="Arial" w:cs="Arial"/>
          <w:color w:val="000000" w:themeColor="text1"/>
          <w:sz w:val="22"/>
          <w:szCs w:val="22"/>
        </w:rPr>
        <w:t xml:space="preserve"> the overall improvement </w:t>
      </w:r>
      <w:r w:rsidR="009536BF">
        <w:rPr>
          <w:rFonts w:ascii="Arial" w:hAnsi="Arial" w:cs="Arial"/>
          <w:color w:val="000000" w:themeColor="text1"/>
          <w:sz w:val="22"/>
          <w:szCs w:val="22"/>
        </w:rPr>
        <w:t xml:space="preserve">forecast for </w:t>
      </w:r>
      <w:r w:rsidR="00172886">
        <w:rPr>
          <w:rFonts w:ascii="Arial" w:hAnsi="Arial" w:cs="Arial"/>
          <w:color w:val="000000" w:themeColor="text1"/>
          <w:sz w:val="22"/>
          <w:szCs w:val="22"/>
        </w:rPr>
        <w:t xml:space="preserve">the </w:t>
      </w:r>
      <w:r w:rsidR="00172886" w:rsidRPr="0034382E">
        <w:rPr>
          <w:rFonts w:ascii="Arial" w:hAnsi="Arial" w:cs="Arial"/>
          <w:color w:val="000000" w:themeColor="text1"/>
          <w:sz w:val="22"/>
          <w:szCs w:val="22"/>
        </w:rPr>
        <w:t>2020</w:t>
      </w:r>
      <w:r w:rsidR="00EE711C" w:rsidRPr="0034382E">
        <w:rPr>
          <w:rFonts w:ascii="Arial" w:hAnsi="Arial" w:cs="Arial"/>
          <w:color w:val="000000" w:themeColor="text1"/>
          <w:sz w:val="22"/>
          <w:szCs w:val="22"/>
        </w:rPr>
        <w:t xml:space="preserve"> financial year, would </w:t>
      </w:r>
      <w:r w:rsidR="009536BF">
        <w:rPr>
          <w:rFonts w:ascii="Arial" w:hAnsi="Arial" w:cs="Arial"/>
          <w:color w:val="000000" w:themeColor="text1"/>
          <w:sz w:val="22"/>
          <w:szCs w:val="22"/>
        </w:rPr>
        <w:t xml:space="preserve">be </w:t>
      </w:r>
      <w:r w:rsidR="00EE711C" w:rsidRPr="0034382E">
        <w:rPr>
          <w:rFonts w:ascii="Arial" w:hAnsi="Arial" w:cs="Arial"/>
          <w:color w:val="000000" w:themeColor="text1"/>
          <w:sz w:val="22"/>
          <w:szCs w:val="22"/>
        </w:rPr>
        <w:t xml:space="preserve">to </w:t>
      </w:r>
      <w:r w:rsidR="009536BF">
        <w:rPr>
          <w:rFonts w:ascii="Arial" w:hAnsi="Arial" w:cs="Arial"/>
          <w:color w:val="000000" w:themeColor="text1"/>
          <w:sz w:val="22"/>
          <w:szCs w:val="22"/>
        </w:rPr>
        <w:t xml:space="preserve">consider more long term </w:t>
      </w:r>
      <w:r w:rsidR="00EE711C" w:rsidRPr="0034382E">
        <w:rPr>
          <w:rFonts w:ascii="Arial" w:hAnsi="Arial" w:cs="Arial"/>
          <w:color w:val="000000" w:themeColor="text1"/>
          <w:sz w:val="22"/>
          <w:szCs w:val="22"/>
        </w:rPr>
        <w:t>borrow</w:t>
      </w:r>
      <w:r w:rsidR="009536BF">
        <w:rPr>
          <w:rFonts w:ascii="Arial" w:hAnsi="Arial" w:cs="Arial"/>
          <w:color w:val="000000" w:themeColor="text1"/>
          <w:sz w:val="22"/>
          <w:szCs w:val="22"/>
        </w:rPr>
        <w:t xml:space="preserve">ing, </w:t>
      </w:r>
      <w:r w:rsidR="004135F0">
        <w:rPr>
          <w:rFonts w:ascii="Arial" w:hAnsi="Arial" w:cs="Arial"/>
          <w:color w:val="000000" w:themeColor="text1"/>
          <w:sz w:val="22"/>
          <w:szCs w:val="22"/>
        </w:rPr>
        <w:t xml:space="preserve">and </w:t>
      </w:r>
      <w:r w:rsidR="00EE711C" w:rsidRPr="0034382E">
        <w:rPr>
          <w:rFonts w:ascii="Arial" w:hAnsi="Arial" w:cs="Arial"/>
          <w:color w:val="000000" w:themeColor="text1"/>
          <w:sz w:val="22"/>
          <w:szCs w:val="22"/>
        </w:rPr>
        <w:t>invest</w:t>
      </w:r>
      <w:r w:rsidR="004135F0">
        <w:rPr>
          <w:rFonts w:ascii="Arial" w:hAnsi="Arial" w:cs="Arial"/>
          <w:color w:val="000000" w:themeColor="text1"/>
          <w:sz w:val="22"/>
          <w:szCs w:val="22"/>
        </w:rPr>
        <w:t xml:space="preserve"> </w:t>
      </w:r>
      <w:r w:rsidR="00EE711C" w:rsidRPr="0034382E">
        <w:rPr>
          <w:rFonts w:ascii="Arial" w:hAnsi="Arial" w:cs="Arial"/>
          <w:color w:val="000000" w:themeColor="text1"/>
          <w:sz w:val="22"/>
          <w:szCs w:val="22"/>
        </w:rPr>
        <w:t xml:space="preserve">in assets as </w:t>
      </w:r>
      <w:r w:rsidR="004135F0">
        <w:rPr>
          <w:rFonts w:ascii="Arial" w:hAnsi="Arial" w:cs="Arial"/>
          <w:color w:val="000000" w:themeColor="text1"/>
          <w:sz w:val="22"/>
          <w:szCs w:val="22"/>
        </w:rPr>
        <w:t xml:space="preserve">they </w:t>
      </w:r>
      <w:r w:rsidR="00EE711C" w:rsidRPr="0034382E">
        <w:rPr>
          <w:rFonts w:ascii="Arial" w:hAnsi="Arial" w:cs="Arial"/>
          <w:color w:val="000000" w:themeColor="text1"/>
          <w:sz w:val="22"/>
          <w:szCs w:val="22"/>
        </w:rPr>
        <w:t xml:space="preserve">are turning over. More time should also be negotiated with suppliers, allowing the hotel to </w:t>
      </w:r>
      <w:r w:rsidR="00387E6D">
        <w:rPr>
          <w:rFonts w:ascii="Arial" w:hAnsi="Arial" w:cs="Arial"/>
          <w:color w:val="000000" w:themeColor="text1"/>
          <w:sz w:val="22"/>
          <w:szCs w:val="22"/>
        </w:rPr>
        <w:t xml:space="preserve">retain </w:t>
      </w:r>
      <w:r w:rsidR="0034382E">
        <w:rPr>
          <w:rFonts w:ascii="Arial" w:hAnsi="Arial" w:cs="Arial"/>
          <w:color w:val="000000" w:themeColor="text1"/>
          <w:sz w:val="22"/>
          <w:szCs w:val="22"/>
        </w:rPr>
        <w:t>creditors</w:t>
      </w:r>
      <w:r w:rsidR="00EE711C" w:rsidRPr="0034382E">
        <w:rPr>
          <w:rFonts w:ascii="Arial" w:hAnsi="Arial" w:cs="Arial"/>
          <w:color w:val="000000" w:themeColor="text1"/>
          <w:sz w:val="22"/>
          <w:szCs w:val="22"/>
        </w:rPr>
        <w:t xml:space="preserve"> cash for prolonged periods</w:t>
      </w:r>
      <w:r w:rsidR="00387E6D">
        <w:rPr>
          <w:rFonts w:ascii="Arial" w:hAnsi="Arial" w:cs="Arial"/>
          <w:color w:val="000000" w:themeColor="text1"/>
          <w:sz w:val="22"/>
          <w:szCs w:val="22"/>
        </w:rPr>
        <w:t>,</w:t>
      </w:r>
      <w:r w:rsidR="00EE711C" w:rsidRPr="0034382E">
        <w:rPr>
          <w:rFonts w:ascii="Arial" w:hAnsi="Arial" w:cs="Arial"/>
          <w:color w:val="000000" w:themeColor="text1"/>
          <w:sz w:val="22"/>
          <w:szCs w:val="22"/>
        </w:rPr>
        <w:t xml:space="preserve"> </w:t>
      </w:r>
      <w:r w:rsidR="0061368A" w:rsidRPr="0034382E">
        <w:rPr>
          <w:rFonts w:ascii="Arial" w:hAnsi="Arial" w:cs="Arial"/>
          <w:color w:val="000000" w:themeColor="text1"/>
          <w:sz w:val="22"/>
          <w:szCs w:val="22"/>
        </w:rPr>
        <w:t>maximising cashflow.</w:t>
      </w:r>
      <w:r w:rsidR="00EE711C" w:rsidRPr="0034382E">
        <w:rPr>
          <w:rFonts w:ascii="Arial" w:hAnsi="Arial" w:cs="Arial"/>
          <w:color w:val="000000" w:themeColor="text1"/>
          <w:sz w:val="22"/>
          <w:szCs w:val="22"/>
        </w:rPr>
        <w:t xml:space="preserve"> </w:t>
      </w:r>
      <w:r w:rsidR="00F86691" w:rsidRPr="0034382E">
        <w:rPr>
          <w:rFonts w:ascii="Arial" w:hAnsi="Arial" w:cs="Arial"/>
          <w:color w:val="000000" w:themeColor="text1"/>
          <w:sz w:val="22"/>
          <w:szCs w:val="22"/>
        </w:rPr>
        <w:t>Although the</w:t>
      </w:r>
      <w:r w:rsidR="00387E6D">
        <w:rPr>
          <w:rFonts w:ascii="Arial" w:hAnsi="Arial" w:cs="Arial"/>
          <w:color w:val="000000" w:themeColor="text1"/>
          <w:sz w:val="22"/>
          <w:szCs w:val="22"/>
        </w:rPr>
        <w:t xml:space="preserve">re is </w:t>
      </w:r>
      <w:r w:rsidR="00F86691" w:rsidRPr="0034382E">
        <w:rPr>
          <w:rFonts w:ascii="Arial" w:hAnsi="Arial" w:cs="Arial"/>
          <w:color w:val="000000" w:themeColor="text1"/>
          <w:sz w:val="22"/>
          <w:szCs w:val="22"/>
        </w:rPr>
        <w:t>improvement in asset turnover, the gross profit margin is trending downwards, which can be an indication of increased competition within the hospitality industry</w:t>
      </w:r>
      <w:r w:rsidR="00387E6D">
        <w:rPr>
          <w:rFonts w:ascii="Arial" w:hAnsi="Arial" w:cs="Arial"/>
          <w:color w:val="000000" w:themeColor="text1"/>
          <w:sz w:val="22"/>
          <w:szCs w:val="22"/>
        </w:rPr>
        <w:t>.</w:t>
      </w:r>
      <w:r w:rsidR="00F86691" w:rsidRPr="0034382E">
        <w:rPr>
          <w:rFonts w:ascii="Arial" w:hAnsi="Arial" w:cs="Arial"/>
          <w:color w:val="000000" w:themeColor="text1"/>
          <w:sz w:val="22"/>
          <w:szCs w:val="22"/>
        </w:rPr>
        <w:t xml:space="preserve"> </w:t>
      </w:r>
      <w:r w:rsidR="00387E6D">
        <w:rPr>
          <w:rFonts w:ascii="Arial" w:hAnsi="Arial" w:cs="Arial"/>
          <w:color w:val="000000" w:themeColor="text1"/>
          <w:sz w:val="22"/>
          <w:szCs w:val="22"/>
        </w:rPr>
        <w:t xml:space="preserve">This </w:t>
      </w:r>
      <w:r w:rsidR="00F86691" w:rsidRPr="0034382E">
        <w:rPr>
          <w:rFonts w:ascii="Arial" w:hAnsi="Arial" w:cs="Arial"/>
          <w:color w:val="000000" w:themeColor="text1"/>
          <w:sz w:val="22"/>
          <w:szCs w:val="22"/>
        </w:rPr>
        <w:t>suppres</w:t>
      </w:r>
      <w:r w:rsidR="00387E6D">
        <w:rPr>
          <w:rFonts w:ascii="Arial" w:hAnsi="Arial" w:cs="Arial"/>
          <w:color w:val="000000" w:themeColor="text1"/>
          <w:sz w:val="22"/>
          <w:szCs w:val="22"/>
        </w:rPr>
        <w:t>es</w:t>
      </w:r>
      <w:r w:rsidR="00F86691" w:rsidRPr="0034382E">
        <w:rPr>
          <w:rFonts w:ascii="Arial" w:hAnsi="Arial" w:cs="Arial"/>
          <w:color w:val="000000" w:themeColor="text1"/>
          <w:sz w:val="22"/>
          <w:szCs w:val="22"/>
        </w:rPr>
        <w:t xml:space="preserve"> profits margins</w:t>
      </w:r>
      <w:r w:rsidR="006301A6">
        <w:rPr>
          <w:rFonts w:ascii="Arial" w:hAnsi="Arial" w:cs="Arial"/>
          <w:color w:val="000000" w:themeColor="text1"/>
          <w:sz w:val="22"/>
          <w:szCs w:val="22"/>
        </w:rPr>
        <w:t xml:space="preserve">, </w:t>
      </w:r>
      <w:r w:rsidR="00387E6D">
        <w:rPr>
          <w:rFonts w:ascii="Arial" w:hAnsi="Arial" w:cs="Arial"/>
          <w:color w:val="000000" w:themeColor="text1"/>
          <w:sz w:val="22"/>
          <w:szCs w:val="22"/>
        </w:rPr>
        <w:t>as does</w:t>
      </w:r>
      <w:r w:rsidR="006301A6">
        <w:rPr>
          <w:rFonts w:ascii="Arial" w:hAnsi="Arial" w:cs="Arial"/>
          <w:color w:val="000000" w:themeColor="text1"/>
          <w:sz w:val="22"/>
          <w:szCs w:val="22"/>
        </w:rPr>
        <w:t xml:space="preserve"> the huge increase in COS.</w:t>
      </w:r>
      <w:r w:rsidR="00F86691" w:rsidRPr="0034382E">
        <w:rPr>
          <w:rFonts w:ascii="Arial" w:hAnsi="Arial" w:cs="Arial"/>
          <w:color w:val="000000" w:themeColor="text1"/>
          <w:sz w:val="22"/>
          <w:szCs w:val="22"/>
        </w:rPr>
        <w:t xml:space="preserve"> </w:t>
      </w:r>
      <w:r w:rsidRPr="0034382E">
        <w:rPr>
          <w:rFonts w:ascii="Arial" w:hAnsi="Arial" w:cs="Arial"/>
          <w:color w:val="000000" w:themeColor="text1"/>
          <w:sz w:val="22"/>
          <w:szCs w:val="22"/>
        </w:rPr>
        <w:t>An understanding of ratio</w:t>
      </w:r>
      <w:r w:rsidR="00387E6D">
        <w:rPr>
          <w:rFonts w:ascii="Arial" w:hAnsi="Arial" w:cs="Arial"/>
          <w:color w:val="000000" w:themeColor="text1"/>
          <w:sz w:val="22"/>
          <w:szCs w:val="22"/>
        </w:rPr>
        <w:t>s</w:t>
      </w:r>
      <w:r w:rsidRPr="0034382E">
        <w:rPr>
          <w:rFonts w:ascii="Arial" w:hAnsi="Arial" w:cs="Arial"/>
          <w:color w:val="000000" w:themeColor="text1"/>
          <w:sz w:val="22"/>
          <w:szCs w:val="22"/>
        </w:rPr>
        <w:t xml:space="preserve"> and their fluctuations </w:t>
      </w:r>
      <w:r w:rsidR="00387E6D">
        <w:rPr>
          <w:rFonts w:ascii="Arial" w:hAnsi="Arial" w:cs="Arial"/>
          <w:color w:val="000000" w:themeColor="text1"/>
          <w:sz w:val="22"/>
          <w:szCs w:val="22"/>
        </w:rPr>
        <w:t>is</w:t>
      </w:r>
      <w:r w:rsidRPr="0034382E">
        <w:rPr>
          <w:rFonts w:ascii="Arial" w:hAnsi="Arial" w:cs="Arial"/>
          <w:color w:val="000000" w:themeColor="text1"/>
          <w:sz w:val="22"/>
          <w:szCs w:val="22"/>
        </w:rPr>
        <w:t xml:space="preserve"> essential for hotel management</w:t>
      </w:r>
      <w:r w:rsidR="00387E6D">
        <w:rPr>
          <w:rFonts w:ascii="Arial" w:hAnsi="Arial" w:cs="Arial"/>
          <w:color w:val="000000" w:themeColor="text1"/>
          <w:sz w:val="22"/>
          <w:szCs w:val="22"/>
        </w:rPr>
        <w:t>.</w:t>
      </w:r>
      <w:r w:rsidRPr="0034382E">
        <w:rPr>
          <w:rFonts w:ascii="Arial" w:hAnsi="Arial" w:cs="Arial"/>
          <w:color w:val="000000" w:themeColor="text1"/>
          <w:sz w:val="22"/>
          <w:szCs w:val="22"/>
        </w:rPr>
        <w:t xml:space="preserve"> </w:t>
      </w:r>
      <w:r w:rsidR="00387E6D">
        <w:rPr>
          <w:rFonts w:ascii="Arial" w:hAnsi="Arial" w:cs="Arial"/>
          <w:color w:val="000000" w:themeColor="text1"/>
          <w:sz w:val="22"/>
          <w:szCs w:val="22"/>
        </w:rPr>
        <w:t>G</w:t>
      </w:r>
      <w:r w:rsidR="00286878" w:rsidRPr="0034382E">
        <w:rPr>
          <w:rFonts w:ascii="Arial" w:hAnsi="Arial" w:cs="Arial"/>
          <w:color w:val="000000" w:themeColor="text1"/>
          <w:sz w:val="22"/>
          <w:szCs w:val="22"/>
        </w:rPr>
        <w:t>lobalisation can affect credit-deposit ratios in relation to net-liabilities and the accessing of loans (Das and Das 2019).</w:t>
      </w:r>
      <w:r w:rsidR="00BF167A">
        <w:rPr>
          <w:rFonts w:ascii="Arial" w:hAnsi="Arial" w:cs="Arial"/>
          <w:color w:val="000000" w:themeColor="text1"/>
          <w:sz w:val="22"/>
          <w:szCs w:val="22"/>
        </w:rPr>
        <w:t xml:space="preserve"> However</w:t>
      </w:r>
      <w:r w:rsidRPr="0034382E">
        <w:rPr>
          <w:rFonts w:ascii="Arial" w:hAnsi="Arial" w:cs="Arial"/>
          <w:color w:val="000000" w:themeColor="text1"/>
          <w:sz w:val="22"/>
          <w:szCs w:val="22"/>
        </w:rPr>
        <w:t>, the limitations involved i</w:t>
      </w:r>
      <w:r w:rsidR="004135F0">
        <w:rPr>
          <w:rFonts w:ascii="Arial" w:hAnsi="Arial" w:cs="Arial"/>
          <w:color w:val="000000" w:themeColor="text1"/>
          <w:sz w:val="22"/>
          <w:szCs w:val="22"/>
        </w:rPr>
        <w:t xml:space="preserve">n the study of </w:t>
      </w:r>
      <w:r w:rsidRPr="0034382E">
        <w:rPr>
          <w:rFonts w:ascii="Arial" w:hAnsi="Arial" w:cs="Arial"/>
          <w:color w:val="000000" w:themeColor="text1"/>
          <w:sz w:val="22"/>
          <w:szCs w:val="22"/>
        </w:rPr>
        <w:t xml:space="preserve">ratios </w:t>
      </w:r>
      <w:r w:rsidR="004135F0">
        <w:rPr>
          <w:rFonts w:ascii="Arial" w:hAnsi="Arial" w:cs="Arial"/>
          <w:color w:val="000000" w:themeColor="text1"/>
          <w:sz w:val="22"/>
          <w:szCs w:val="22"/>
        </w:rPr>
        <w:t xml:space="preserve">is </w:t>
      </w:r>
      <w:r w:rsidRPr="0034382E">
        <w:rPr>
          <w:rFonts w:ascii="Arial" w:hAnsi="Arial" w:cs="Arial"/>
          <w:color w:val="000000" w:themeColor="text1"/>
          <w:sz w:val="22"/>
          <w:szCs w:val="22"/>
        </w:rPr>
        <w:t xml:space="preserve">that they do not provide a cause to the situation affecting the </w:t>
      </w:r>
      <w:r w:rsidR="00172886" w:rsidRPr="0034382E">
        <w:rPr>
          <w:rFonts w:ascii="Arial" w:hAnsi="Arial" w:cs="Arial"/>
          <w:color w:val="000000" w:themeColor="text1"/>
          <w:sz w:val="22"/>
          <w:szCs w:val="22"/>
        </w:rPr>
        <w:t>business and</w:t>
      </w:r>
      <w:r w:rsidR="004135F0">
        <w:rPr>
          <w:rFonts w:ascii="Arial" w:hAnsi="Arial" w:cs="Arial"/>
          <w:color w:val="000000" w:themeColor="text1"/>
          <w:sz w:val="22"/>
          <w:szCs w:val="22"/>
        </w:rPr>
        <w:t xml:space="preserve"> would </w:t>
      </w:r>
      <w:r w:rsidR="00BD5D6B" w:rsidRPr="0034382E">
        <w:rPr>
          <w:rFonts w:ascii="Arial" w:hAnsi="Arial" w:cs="Arial"/>
          <w:color w:val="000000" w:themeColor="text1"/>
          <w:sz w:val="22"/>
          <w:szCs w:val="22"/>
        </w:rPr>
        <w:t xml:space="preserve">not be understood </w:t>
      </w:r>
      <w:r w:rsidR="004135F0">
        <w:rPr>
          <w:rFonts w:ascii="Arial" w:hAnsi="Arial" w:cs="Arial"/>
          <w:color w:val="000000" w:themeColor="text1"/>
          <w:sz w:val="22"/>
          <w:szCs w:val="22"/>
        </w:rPr>
        <w:t xml:space="preserve">except by a </w:t>
      </w:r>
      <w:r w:rsidR="00BD5D6B" w:rsidRPr="0034382E">
        <w:rPr>
          <w:rFonts w:ascii="Arial" w:hAnsi="Arial" w:cs="Arial"/>
          <w:color w:val="000000" w:themeColor="text1"/>
          <w:sz w:val="22"/>
          <w:szCs w:val="22"/>
        </w:rPr>
        <w:t xml:space="preserve">financial </w:t>
      </w:r>
      <w:r w:rsidR="004135F0">
        <w:rPr>
          <w:rFonts w:ascii="Arial" w:hAnsi="Arial" w:cs="Arial"/>
          <w:color w:val="000000" w:themeColor="text1"/>
          <w:sz w:val="22"/>
          <w:szCs w:val="22"/>
        </w:rPr>
        <w:t>expert</w:t>
      </w:r>
      <w:r w:rsidR="00BD5D6B" w:rsidRPr="0034382E">
        <w:rPr>
          <w:rFonts w:ascii="Arial" w:hAnsi="Arial" w:cs="Arial"/>
          <w:color w:val="000000" w:themeColor="text1"/>
          <w:sz w:val="22"/>
          <w:szCs w:val="22"/>
        </w:rPr>
        <w:t>.</w:t>
      </w:r>
    </w:p>
    <w:p w14:paraId="7EB02161" w14:textId="77777777" w:rsidR="00EE711C" w:rsidRPr="0034382E" w:rsidRDefault="00EE711C" w:rsidP="0034382E">
      <w:pPr>
        <w:spacing w:line="360" w:lineRule="auto"/>
        <w:rPr>
          <w:rFonts w:ascii="Arial" w:hAnsi="Arial" w:cs="Arial"/>
          <w:color w:val="000000" w:themeColor="text1"/>
          <w:sz w:val="22"/>
          <w:szCs w:val="22"/>
        </w:rPr>
      </w:pPr>
    </w:p>
    <w:p w14:paraId="45FD8372" w14:textId="77777777" w:rsidR="000111C5" w:rsidRDefault="000111C5" w:rsidP="0034382E">
      <w:pPr>
        <w:spacing w:line="360" w:lineRule="auto"/>
        <w:rPr>
          <w:rFonts w:ascii="Arial" w:hAnsi="Arial" w:cs="Arial"/>
          <w:b/>
          <w:bCs/>
          <w:color w:val="000000" w:themeColor="text1"/>
          <w:sz w:val="22"/>
          <w:szCs w:val="22"/>
        </w:rPr>
      </w:pPr>
    </w:p>
    <w:p w14:paraId="29A873F9" w14:textId="77777777" w:rsidR="000111C5" w:rsidRDefault="000111C5" w:rsidP="0034382E">
      <w:pPr>
        <w:spacing w:line="360" w:lineRule="auto"/>
        <w:rPr>
          <w:rFonts w:ascii="Arial" w:hAnsi="Arial" w:cs="Arial"/>
          <w:b/>
          <w:bCs/>
          <w:color w:val="000000" w:themeColor="text1"/>
          <w:sz w:val="22"/>
          <w:szCs w:val="22"/>
        </w:rPr>
      </w:pPr>
    </w:p>
    <w:p w14:paraId="3E75DCD7" w14:textId="77777777" w:rsidR="00E16752" w:rsidRPr="0034382E" w:rsidRDefault="00592046" w:rsidP="0034382E">
      <w:pPr>
        <w:spacing w:line="360" w:lineRule="auto"/>
        <w:rPr>
          <w:rFonts w:ascii="Arial" w:hAnsi="Arial" w:cs="Arial"/>
          <w:b/>
          <w:bCs/>
          <w:color w:val="000000" w:themeColor="text1"/>
          <w:sz w:val="22"/>
          <w:szCs w:val="22"/>
        </w:rPr>
      </w:pPr>
      <w:r w:rsidRPr="0034382E">
        <w:rPr>
          <w:rFonts w:ascii="Arial" w:hAnsi="Arial" w:cs="Arial"/>
          <w:b/>
          <w:bCs/>
          <w:color w:val="000000" w:themeColor="text1"/>
          <w:sz w:val="22"/>
          <w:szCs w:val="22"/>
        </w:rPr>
        <w:t>3. Conclusion</w:t>
      </w:r>
    </w:p>
    <w:p w14:paraId="4AA60596" w14:textId="77777777" w:rsidR="00EE711C" w:rsidRPr="0034382E" w:rsidRDefault="00EE711C" w:rsidP="0034382E">
      <w:pPr>
        <w:spacing w:line="360" w:lineRule="auto"/>
        <w:rPr>
          <w:rFonts w:ascii="Arial" w:hAnsi="Arial" w:cs="Arial"/>
          <w:b/>
          <w:bCs/>
          <w:color w:val="000000" w:themeColor="text1"/>
          <w:sz w:val="22"/>
          <w:szCs w:val="22"/>
        </w:rPr>
      </w:pPr>
    </w:p>
    <w:p w14:paraId="296B64FF" w14:textId="7BDC4BAF" w:rsidR="00FC1346" w:rsidRPr="00BF167A" w:rsidRDefault="00592046" w:rsidP="00BF167A">
      <w:pPr>
        <w:pStyle w:val="CommentText"/>
        <w:spacing w:line="360" w:lineRule="auto"/>
        <w:rPr>
          <w:rFonts w:ascii="Arial" w:hAnsi="Arial" w:cs="Arial"/>
          <w:sz w:val="22"/>
          <w:szCs w:val="22"/>
        </w:rPr>
      </w:pPr>
      <w:r w:rsidRPr="00172886">
        <w:rPr>
          <w:rFonts w:ascii="Arial" w:hAnsi="Arial" w:cs="Arial"/>
          <w:color w:val="000000" w:themeColor="text1"/>
          <w:sz w:val="22"/>
          <w:szCs w:val="22"/>
        </w:rPr>
        <w:t xml:space="preserve">In concluding, </w:t>
      </w:r>
      <w:r w:rsidR="0061368A" w:rsidRPr="00172886">
        <w:rPr>
          <w:rFonts w:ascii="Arial" w:hAnsi="Arial" w:cs="Arial"/>
          <w:color w:val="000000" w:themeColor="text1"/>
          <w:sz w:val="22"/>
          <w:szCs w:val="22"/>
        </w:rPr>
        <w:t xml:space="preserve">this </w:t>
      </w:r>
      <w:r w:rsidR="004135F0" w:rsidRPr="00172886">
        <w:rPr>
          <w:rFonts w:ascii="Arial" w:hAnsi="Arial" w:cs="Arial"/>
          <w:color w:val="000000" w:themeColor="text1"/>
          <w:sz w:val="22"/>
          <w:szCs w:val="22"/>
        </w:rPr>
        <w:t xml:space="preserve">analysis </w:t>
      </w:r>
      <w:r w:rsidR="0061368A" w:rsidRPr="00172886">
        <w:rPr>
          <w:rFonts w:ascii="Arial" w:hAnsi="Arial" w:cs="Arial"/>
          <w:color w:val="000000" w:themeColor="text1"/>
          <w:sz w:val="22"/>
          <w:szCs w:val="22"/>
        </w:rPr>
        <w:t>of</w:t>
      </w:r>
      <w:r w:rsidR="004135F0" w:rsidRPr="00172886">
        <w:rPr>
          <w:rFonts w:ascii="Arial" w:hAnsi="Arial" w:cs="Arial"/>
          <w:color w:val="000000" w:themeColor="text1"/>
          <w:sz w:val="22"/>
          <w:szCs w:val="22"/>
        </w:rPr>
        <w:t xml:space="preserve"> the income and financial statements has identified areas </w:t>
      </w:r>
      <w:r w:rsidR="00172886" w:rsidRPr="00172886">
        <w:rPr>
          <w:rFonts w:ascii="Arial" w:hAnsi="Arial" w:cs="Arial"/>
          <w:color w:val="000000" w:themeColor="text1"/>
          <w:sz w:val="22"/>
          <w:szCs w:val="22"/>
        </w:rPr>
        <w:t>of strengths</w:t>
      </w:r>
      <w:r w:rsidR="0061368A" w:rsidRPr="00172886">
        <w:rPr>
          <w:rFonts w:ascii="Arial" w:hAnsi="Arial" w:cs="Arial"/>
          <w:color w:val="000000" w:themeColor="text1"/>
          <w:sz w:val="22"/>
          <w:szCs w:val="22"/>
        </w:rPr>
        <w:t xml:space="preserve"> and weaknesses.</w:t>
      </w:r>
      <w:r w:rsidR="00655CB4" w:rsidRPr="00172886">
        <w:rPr>
          <w:rFonts w:ascii="Arial" w:hAnsi="Arial" w:cs="Arial"/>
          <w:color w:val="000000" w:themeColor="text1"/>
          <w:sz w:val="22"/>
          <w:szCs w:val="22"/>
        </w:rPr>
        <w:t xml:space="preserve"> The appropriate ratio calculation</w:t>
      </w:r>
      <w:r w:rsidR="00FC1346" w:rsidRPr="00172886">
        <w:rPr>
          <w:rFonts w:ascii="Arial" w:hAnsi="Arial" w:cs="Arial"/>
          <w:color w:val="000000" w:themeColor="text1"/>
          <w:sz w:val="22"/>
          <w:szCs w:val="22"/>
        </w:rPr>
        <w:t>s</w:t>
      </w:r>
      <w:r w:rsidR="00655CB4" w:rsidRPr="00172886">
        <w:rPr>
          <w:rFonts w:ascii="Arial" w:hAnsi="Arial" w:cs="Arial"/>
          <w:color w:val="000000" w:themeColor="text1"/>
          <w:sz w:val="22"/>
          <w:szCs w:val="22"/>
        </w:rPr>
        <w:t xml:space="preserve"> made a high contrast in identifying areas in the report to </w:t>
      </w:r>
      <w:r w:rsidR="00FC1346" w:rsidRPr="00172886">
        <w:rPr>
          <w:rFonts w:ascii="Arial" w:hAnsi="Arial" w:cs="Arial"/>
          <w:color w:val="000000" w:themeColor="text1"/>
          <w:sz w:val="22"/>
          <w:szCs w:val="22"/>
        </w:rPr>
        <w:t>demonstrated</w:t>
      </w:r>
      <w:r w:rsidR="00655CB4" w:rsidRPr="00172886">
        <w:rPr>
          <w:rFonts w:ascii="Arial" w:hAnsi="Arial" w:cs="Arial"/>
          <w:color w:val="000000" w:themeColor="text1"/>
          <w:sz w:val="22"/>
          <w:szCs w:val="22"/>
        </w:rPr>
        <w:t xml:space="preserve"> areas for caution and improvement. The appropriate use of ratios</w:t>
      </w:r>
      <w:r w:rsidR="00FC1346" w:rsidRPr="00172886">
        <w:rPr>
          <w:rFonts w:ascii="Arial" w:hAnsi="Arial" w:cs="Arial"/>
          <w:color w:val="000000" w:themeColor="text1"/>
          <w:sz w:val="22"/>
          <w:szCs w:val="22"/>
        </w:rPr>
        <w:t xml:space="preserve"> showed </w:t>
      </w:r>
      <w:r w:rsidR="00655CB4" w:rsidRPr="00172886">
        <w:rPr>
          <w:rFonts w:ascii="Arial" w:hAnsi="Arial" w:cs="Arial"/>
          <w:color w:val="000000" w:themeColor="text1"/>
          <w:sz w:val="22"/>
          <w:szCs w:val="22"/>
        </w:rPr>
        <w:t xml:space="preserve">how </w:t>
      </w:r>
      <w:r w:rsidR="00FC1346" w:rsidRPr="00172886">
        <w:rPr>
          <w:rFonts w:ascii="Arial" w:hAnsi="Arial" w:cs="Arial"/>
          <w:color w:val="000000" w:themeColor="text1"/>
          <w:sz w:val="22"/>
          <w:szCs w:val="22"/>
        </w:rPr>
        <w:t xml:space="preserve">they </w:t>
      </w:r>
      <w:r w:rsidR="00655CB4" w:rsidRPr="00172886">
        <w:rPr>
          <w:rFonts w:ascii="Arial" w:hAnsi="Arial" w:cs="Arial"/>
          <w:color w:val="000000" w:themeColor="text1"/>
          <w:sz w:val="22"/>
          <w:szCs w:val="22"/>
        </w:rPr>
        <w:t>interlinked</w:t>
      </w:r>
      <w:r w:rsidR="00FC1346" w:rsidRPr="00172886">
        <w:rPr>
          <w:rFonts w:ascii="Arial" w:hAnsi="Arial" w:cs="Arial"/>
          <w:color w:val="000000" w:themeColor="text1"/>
          <w:sz w:val="22"/>
          <w:szCs w:val="22"/>
        </w:rPr>
        <w:t>;</w:t>
      </w:r>
      <w:r w:rsidR="00655CB4" w:rsidRPr="00172886">
        <w:rPr>
          <w:rFonts w:ascii="Arial" w:hAnsi="Arial" w:cs="Arial"/>
          <w:color w:val="000000" w:themeColor="text1"/>
          <w:sz w:val="22"/>
          <w:szCs w:val="22"/>
        </w:rPr>
        <w:t xml:space="preserve"> one specific ratio </w:t>
      </w:r>
      <w:r w:rsidR="00FC1346" w:rsidRPr="00172886">
        <w:rPr>
          <w:rFonts w:ascii="Arial" w:hAnsi="Arial" w:cs="Arial"/>
          <w:color w:val="000000" w:themeColor="text1"/>
          <w:sz w:val="22"/>
          <w:szCs w:val="22"/>
        </w:rPr>
        <w:t xml:space="preserve">is not </w:t>
      </w:r>
      <w:r w:rsidR="00BF167A">
        <w:rPr>
          <w:rFonts w:ascii="Arial" w:hAnsi="Arial" w:cs="Arial"/>
          <w:color w:val="000000" w:themeColor="text1"/>
          <w:sz w:val="22"/>
          <w:szCs w:val="22"/>
        </w:rPr>
        <w:t xml:space="preserve">a </w:t>
      </w:r>
      <w:r w:rsidR="00655CB4" w:rsidRPr="00172886">
        <w:rPr>
          <w:rFonts w:ascii="Arial" w:hAnsi="Arial" w:cs="Arial"/>
          <w:color w:val="000000" w:themeColor="text1"/>
          <w:sz w:val="22"/>
          <w:szCs w:val="22"/>
        </w:rPr>
        <w:t>true reflection, as seen in the acid tests</w:t>
      </w:r>
      <w:r w:rsidR="00FC1346" w:rsidRPr="00172886">
        <w:rPr>
          <w:rFonts w:ascii="Arial" w:hAnsi="Arial" w:cs="Arial"/>
          <w:color w:val="000000" w:themeColor="text1"/>
          <w:sz w:val="22"/>
          <w:szCs w:val="22"/>
        </w:rPr>
        <w:t>’</w:t>
      </w:r>
      <w:r w:rsidR="00655CB4" w:rsidRPr="00172886">
        <w:rPr>
          <w:rFonts w:ascii="Arial" w:hAnsi="Arial" w:cs="Arial"/>
          <w:color w:val="000000" w:themeColor="text1"/>
          <w:sz w:val="22"/>
          <w:szCs w:val="22"/>
        </w:rPr>
        <w:t xml:space="preserve"> ratio calculations</w:t>
      </w:r>
      <w:r w:rsidR="004135F0" w:rsidRPr="00172886">
        <w:rPr>
          <w:rFonts w:ascii="Arial" w:hAnsi="Arial" w:cs="Arial"/>
          <w:color w:val="000000" w:themeColor="text1"/>
          <w:sz w:val="22"/>
          <w:szCs w:val="22"/>
        </w:rPr>
        <w:t xml:space="preserve">. </w:t>
      </w:r>
      <w:r w:rsidR="004135F0" w:rsidRPr="00172886">
        <w:rPr>
          <w:rFonts w:ascii="Arial" w:hAnsi="Arial" w:cs="Arial"/>
          <w:sz w:val="22"/>
          <w:szCs w:val="22"/>
        </w:rPr>
        <w:t>It is important that management understand</w:t>
      </w:r>
      <w:r w:rsidR="00BF167A">
        <w:rPr>
          <w:rFonts w:ascii="Arial" w:hAnsi="Arial" w:cs="Arial"/>
          <w:sz w:val="22"/>
          <w:szCs w:val="22"/>
        </w:rPr>
        <w:t>s</w:t>
      </w:r>
      <w:r w:rsidR="004135F0" w:rsidRPr="00172886">
        <w:rPr>
          <w:rFonts w:ascii="Arial" w:hAnsi="Arial" w:cs="Arial"/>
          <w:sz w:val="22"/>
          <w:szCs w:val="22"/>
        </w:rPr>
        <w:t xml:space="preserve"> the importance and use of these ratios</w:t>
      </w:r>
      <w:r w:rsidR="00BF167A">
        <w:rPr>
          <w:rFonts w:ascii="Arial" w:hAnsi="Arial" w:cs="Arial"/>
          <w:sz w:val="22"/>
          <w:szCs w:val="22"/>
        </w:rPr>
        <w:t xml:space="preserve"> clearly. </w:t>
      </w:r>
      <w:r w:rsidR="00655CB4" w:rsidRPr="00172886">
        <w:rPr>
          <w:rFonts w:ascii="Arial" w:hAnsi="Arial" w:cs="Arial"/>
          <w:color w:val="000000" w:themeColor="text1"/>
          <w:sz w:val="22"/>
          <w:szCs w:val="22"/>
        </w:rPr>
        <w:t>Additionally, it is clear that without the use of these ratios, the analysation reflecting the</w:t>
      </w:r>
      <w:r w:rsidR="00172886">
        <w:rPr>
          <w:rFonts w:ascii="Arial" w:hAnsi="Arial" w:cs="Arial"/>
          <w:color w:val="000000" w:themeColor="text1"/>
          <w:sz w:val="22"/>
          <w:szCs w:val="22"/>
        </w:rPr>
        <w:t xml:space="preserve"> </w:t>
      </w:r>
      <w:r w:rsidR="00655CB4" w:rsidRPr="00172886">
        <w:rPr>
          <w:rFonts w:ascii="Arial" w:hAnsi="Arial" w:cs="Arial"/>
          <w:color w:val="000000" w:themeColor="text1"/>
          <w:sz w:val="22"/>
          <w:szCs w:val="22"/>
        </w:rPr>
        <w:t xml:space="preserve">performance of the hotel would be compromised. </w:t>
      </w:r>
    </w:p>
    <w:p w14:paraId="76F89E9E" w14:textId="77777777" w:rsidR="00FC1346" w:rsidRDefault="00FC1346" w:rsidP="0034382E">
      <w:pPr>
        <w:spacing w:line="360" w:lineRule="auto"/>
        <w:rPr>
          <w:rFonts w:ascii="Arial" w:hAnsi="Arial" w:cs="Arial"/>
          <w:color w:val="000000" w:themeColor="text1"/>
          <w:sz w:val="22"/>
          <w:szCs w:val="22"/>
        </w:rPr>
      </w:pPr>
    </w:p>
    <w:p w14:paraId="3D6CB5D1" w14:textId="77777777" w:rsidR="00FC1346" w:rsidRPr="00172886" w:rsidRDefault="0061368A" w:rsidP="0034382E">
      <w:pPr>
        <w:spacing w:line="360" w:lineRule="auto"/>
        <w:rPr>
          <w:rFonts w:ascii="Arial" w:hAnsi="Arial" w:cs="Arial"/>
          <w:b/>
          <w:bCs/>
          <w:color w:val="000000" w:themeColor="text1"/>
          <w:sz w:val="22"/>
          <w:szCs w:val="22"/>
        </w:rPr>
      </w:pPr>
      <w:r w:rsidRPr="00172886">
        <w:rPr>
          <w:rFonts w:ascii="Arial" w:hAnsi="Arial" w:cs="Arial"/>
          <w:b/>
          <w:bCs/>
          <w:color w:val="000000" w:themeColor="text1"/>
          <w:sz w:val="22"/>
          <w:szCs w:val="22"/>
        </w:rPr>
        <w:t xml:space="preserve"> Recommendations </w:t>
      </w:r>
    </w:p>
    <w:p w14:paraId="7A2FF579" w14:textId="4C36D328" w:rsidR="003752DD" w:rsidRDefault="00FC1346" w:rsidP="003752DD">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hotel needs to </w:t>
      </w:r>
      <w:r w:rsidR="0061368A" w:rsidRPr="0034382E">
        <w:rPr>
          <w:rFonts w:ascii="Arial" w:hAnsi="Arial" w:cs="Arial"/>
          <w:color w:val="000000" w:themeColor="text1"/>
          <w:sz w:val="22"/>
          <w:szCs w:val="22"/>
        </w:rPr>
        <w:t>source goods from other manufactures in bulk which can</w:t>
      </w:r>
      <w:r>
        <w:rPr>
          <w:rFonts w:ascii="Arial" w:hAnsi="Arial" w:cs="Arial"/>
          <w:color w:val="000000" w:themeColor="text1"/>
          <w:sz w:val="22"/>
          <w:szCs w:val="22"/>
        </w:rPr>
        <w:t xml:space="preserve"> </w:t>
      </w:r>
      <w:r w:rsidR="0061368A" w:rsidRPr="0034382E">
        <w:rPr>
          <w:rFonts w:ascii="Arial" w:hAnsi="Arial" w:cs="Arial"/>
          <w:color w:val="000000" w:themeColor="text1"/>
          <w:sz w:val="22"/>
          <w:szCs w:val="22"/>
        </w:rPr>
        <w:t>reduce the cost of good</w:t>
      </w:r>
      <w:r>
        <w:rPr>
          <w:rFonts w:ascii="Arial" w:hAnsi="Arial" w:cs="Arial"/>
          <w:color w:val="000000" w:themeColor="text1"/>
          <w:sz w:val="22"/>
          <w:szCs w:val="22"/>
        </w:rPr>
        <w:t>s</w:t>
      </w:r>
      <w:r w:rsidR="0061368A" w:rsidRPr="0034382E">
        <w:rPr>
          <w:rFonts w:ascii="Arial" w:hAnsi="Arial" w:cs="Arial"/>
          <w:color w:val="000000" w:themeColor="text1"/>
          <w:sz w:val="22"/>
          <w:szCs w:val="22"/>
        </w:rPr>
        <w:t xml:space="preserve"> sold.</w:t>
      </w:r>
      <w:r w:rsidR="00655CB4" w:rsidRPr="0034382E">
        <w:rPr>
          <w:rFonts w:ascii="Arial" w:hAnsi="Arial" w:cs="Arial"/>
          <w:color w:val="000000" w:themeColor="text1"/>
          <w:sz w:val="22"/>
          <w:szCs w:val="22"/>
        </w:rPr>
        <w:t xml:space="preserve"> </w:t>
      </w:r>
      <w:r>
        <w:rPr>
          <w:rFonts w:ascii="Arial" w:hAnsi="Arial" w:cs="Arial"/>
          <w:color w:val="000000" w:themeColor="text1"/>
          <w:sz w:val="22"/>
          <w:szCs w:val="22"/>
        </w:rPr>
        <w:t>N</w:t>
      </w:r>
      <w:r w:rsidR="00655CB4" w:rsidRPr="0034382E">
        <w:rPr>
          <w:rFonts w:ascii="Arial" w:hAnsi="Arial" w:cs="Arial"/>
          <w:color w:val="000000" w:themeColor="text1"/>
          <w:sz w:val="22"/>
          <w:szCs w:val="22"/>
        </w:rPr>
        <w:t xml:space="preserve">on-current assets </w:t>
      </w:r>
      <w:r>
        <w:rPr>
          <w:rFonts w:ascii="Arial" w:hAnsi="Arial" w:cs="Arial"/>
          <w:color w:val="000000" w:themeColor="text1"/>
          <w:sz w:val="22"/>
          <w:szCs w:val="22"/>
        </w:rPr>
        <w:t xml:space="preserve">need to be </w:t>
      </w:r>
      <w:r w:rsidR="00655CB4" w:rsidRPr="0034382E">
        <w:rPr>
          <w:rFonts w:ascii="Arial" w:hAnsi="Arial" w:cs="Arial"/>
          <w:color w:val="000000" w:themeColor="text1"/>
          <w:sz w:val="22"/>
          <w:szCs w:val="22"/>
        </w:rPr>
        <w:t xml:space="preserve">sold for capital employed to be </w:t>
      </w:r>
      <w:r w:rsidR="00BF167A">
        <w:rPr>
          <w:rFonts w:ascii="Arial" w:hAnsi="Arial" w:cs="Arial"/>
          <w:color w:val="000000" w:themeColor="text1"/>
          <w:sz w:val="22"/>
          <w:szCs w:val="22"/>
        </w:rPr>
        <w:t xml:space="preserve">more </w:t>
      </w:r>
      <w:r w:rsidR="00C2045B">
        <w:rPr>
          <w:rFonts w:ascii="Arial" w:hAnsi="Arial" w:cs="Arial"/>
          <w:color w:val="000000" w:themeColor="text1"/>
          <w:sz w:val="22"/>
          <w:szCs w:val="22"/>
        </w:rPr>
        <w:t>effective</w:t>
      </w:r>
      <w:r w:rsidR="00655CB4" w:rsidRPr="0034382E">
        <w:rPr>
          <w:rFonts w:ascii="Arial" w:hAnsi="Arial" w:cs="Arial"/>
          <w:color w:val="000000" w:themeColor="text1"/>
          <w:sz w:val="22"/>
          <w:szCs w:val="22"/>
        </w:rPr>
        <w:t xml:space="preserve">. </w:t>
      </w:r>
      <w:r w:rsidR="00080FAA" w:rsidRPr="0034382E">
        <w:rPr>
          <w:rFonts w:ascii="Arial" w:hAnsi="Arial" w:cs="Arial"/>
          <w:color w:val="000000" w:themeColor="text1"/>
          <w:sz w:val="22"/>
          <w:szCs w:val="22"/>
        </w:rPr>
        <w:t xml:space="preserve">Areas within expenses should be addressed regarding the </w:t>
      </w:r>
      <w:r w:rsidR="00C2045B">
        <w:rPr>
          <w:rFonts w:ascii="Arial" w:hAnsi="Arial" w:cs="Arial"/>
          <w:color w:val="000000" w:themeColor="text1"/>
          <w:sz w:val="22"/>
          <w:szCs w:val="22"/>
        </w:rPr>
        <w:t xml:space="preserve">conservation and </w:t>
      </w:r>
      <w:r w:rsidR="00080FAA" w:rsidRPr="0034382E">
        <w:rPr>
          <w:rFonts w:ascii="Arial" w:hAnsi="Arial" w:cs="Arial"/>
          <w:color w:val="000000" w:themeColor="text1"/>
          <w:sz w:val="22"/>
          <w:szCs w:val="22"/>
        </w:rPr>
        <w:t xml:space="preserve">use of green energy </w:t>
      </w:r>
      <w:r w:rsidR="00C2045B">
        <w:rPr>
          <w:rFonts w:ascii="Arial" w:hAnsi="Arial" w:cs="Arial"/>
          <w:color w:val="000000" w:themeColor="text1"/>
          <w:sz w:val="22"/>
          <w:szCs w:val="22"/>
        </w:rPr>
        <w:t>(</w:t>
      </w:r>
      <w:r w:rsidR="00080FAA" w:rsidRPr="0034382E">
        <w:rPr>
          <w:rFonts w:ascii="Arial" w:hAnsi="Arial" w:cs="Arial"/>
          <w:color w:val="000000" w:themeColor="text1"/>
          <w:sz w:val="22"/>
          <w:szCs w:val="22"/>
        </w:rPr>
        <w:t>light</w:t>
      </w:r>
      <w:r w:rsidR="00C2045B">
        <w:rPr>
          <w:rFonts w:ascii="Arial" w:hAnsi="Arial" w:cs="Arial"/>
          <w:color w:val="000000" w:themeColor="text1"/>
          <w:sz w:val="22"/>
          <w:szCs w:val="22"/>
        </w:rPr>
        <w:t>ing</w:t>
      </w:r>
      <w:r w:rsidR="00080FAA" w:rsidRPr="0034382E">
        <w:rPr>
          <w:rFonts w:ascii="Arial" w:hAnsi="Arial" w:cs="Arial"/>
          <w:color w:val="000000" w:themeColor="text1"/>
          <w:sz w:val="22"/>
          <w:szCs w:val="22"/>
        </w:rPr>
        <w:t xml:space="preserve"> and heating</w:t>
      </w:r>
      <w:r w:rsidR="00C2045B">
        <w:rPr>
          <w:rFonts w:ascii="Arial" w:hAnsi="Arial" w:cs="Arial"/>
          <w:color w:val="000000" w:themeColor="text1"/>
          <w:sz w:val="22"/>
          <w:szCs w:val="22"/>
        </w:rPr>
        <w:t>)</w:t>
      </w:r>
      <w:r w:rsidR="00080FAA" w:rsidRPr="0034382E">
        <w:rPr>
          <w:rFonts w:ascii="Arial" w:hAnsi="Arial" w:cs="Arial"/>
          <w:color w:val="000000" w:themeColor="text1"/>
          <w:sz w:val="22"/>
          <w:szCs w:val="22"/>
        </w:rPr>
        <w:t>.</w:t>
      </w:r>
    </w:p>
    <w:p w14:paraId="4D86FB72" w14:textId="4E69339B" w:rsidR="00172886" w:rsidRDefault="00172886" w:rsidP="003752DD">
      <w:pPr>
        <w:spacing w:line="360" w:lineRule="auto"/>
        <w:rPr>
          <w:rFonts w:ascii="Arial" w:hAnsi="Arial" w:cs="Arial"/>
          <w:color w:val="000000" w:themeColor="text1"/>
          <w:sz w:val="22"/>
          <w:szCs w:val="22"/>
        </w:rPr>
      </w:pPr>
    </w:p>
    <w:p w14:paraId="34EDB06E" w14:textId="77777777" w:rsidR="00172886" w:rsidRDefault="00172886" w:rsidP="003752DD">
      <w:pPr>
        <w:spacing w:line="360" w:lineRule="auto"/>
        <w:rPr>
          <w:rFonts w:ascii="Arial" w:hAnsi="Arial" w:cs="Arial"/>
          <w:color w:val="000000" w:themeColor="text1"/>
          <w:sz w:val="22"/>
          <w:szCs w:val="22"/>
        </w:rPr>
      </w:pPr>
    </w:p>
    <w:p w14:paraId="0FE11731" w14:textId="77777777" w:rsidR="00BF167A" w:rsidRDefault="00BF167A" w:rsidP="003752DD">
      <w:pPr>
        <w:spacing w:line="360" w:lineRule="auto"/>
        <w:rPr>
          <w:rFonts w:ascii="Arial" w:eastAsia="Times New Roman" w:hAnsi="Arial" w:cs="Arial"/>
          <w:b/>
          <w:bCs/>
          <w:color w:val="000000"/>
          <w:sz w:val="22"/>
          <w:szCs w:val="22"/>
          <w:lang w:eastAsia="en-GB"/>
        </w:rPr>
      </w:pPr>
    </w:p>
    <w:p w14:paraId="025DB3E1" w14:textId="4C7DC450" w:rsidR="003752DD" w:rsidRPr="003752DD" w:rsidRDefault="003752DD" w:rsidP="003752DD">
      <w:pPr>
        <w:spacing w:line="360" w:lineRule="auto"/>
        <w:rPr>
          <w:rFonts w:ascii="Arial" w:hAnsi="Arial" w:cs="Arial"/>
          <w:color w:val="000000" w:themeColor="text1"/>
          <w:sz w:val="22"/>
          <w:szCs w:val="22"/>
        </w:rPr>
      </w:pPr>
      <w:r w:rsidRPr="00637079">
        <w:rPr>
          <w:rFonts w:ascii="Arial" w:eastAsia="Times New Roman" w:hAnsi="Arial" w:cs="Arial"/>
          <w:b/>
          <w:bCs/>
          <w:color w:val="000000"/>
          <w:sz w:val="22"/>
          <w:szCs w:val="22"/>
          <w:lang w:eastAsia="en-GB"/>
        </w:rPr>
        <w:lastRenderedPageBreak/>
        <w:t>References</w:t>
      </w:r>
    </w:p>
    <w:p w14:paraId="5FCA7642"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Atrill, P. and McLaney, E., 2009. Management Accounting for Decision Makers. 6th ed. Harlow: Pearson.</w:t>
      </w:r>
    </w:p>
    <w:p w14:paraId="7527B2AB"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Corporate Financial Institute, 2020. [image] Available at</w:t>
      </w:r>
      <w:r>
        <w:rPr>
          <w:rFonts w:ascii="Arial" w:eastAsia="Times New Roman" w:hAnsi="Arial" w:cs="Arial"/>
          <w:color w:val="000000"/>
          <w:sz w:val="22"/>
          <w:szCs w:val="22"/>
          <w:lang w:eastAsia="en-GB"/>
        </w:rPr>
        <w:t xml:space="preserve">: </w:t>
      </w:r>
      <w:r w:rsidRPr="000111C5">
        <w:rPr>
          <w:rFonts w:ascii="Arial" w:eastAsia="Times New Roman" w:hAnsi="Arial" w:cs="Arial"/>
          <w:color w:val="000000"/>
          <w:sz w:val="22"/>
          <w:szCs w:val="22"/>
          <w:lang w:eastAsia="en-GB"/>
        </w:rPr>
        <w:t>https://corporatefinanceinstitute.com/resources/knowledge/finance/corporate-finance-ratios [Accessed 7 July 2020].</w:t>
      </w:r>
    </w:p>
    <w:p w14:paraId="0EFE4229" w14:textId="77777777" w:rsidR="003752DD" w:rsidRPr="000111C5" w:rsidRDefault="003752DD" w:rsidP="003752DD">
      <w:pPr>
        <w:spacing w:line="360" w:lineRule="auto"/>
        <w:rPr>
          <w:rFonts w:ascii="Arial" w:eastAsia="Times New Roman" w:hAnsi="Arial" w:cs="Arial"/>
          <w:sz w:val="22"/>
          <w:szCs w:val="22"/>
          <w:lang w:eastAsia="en-GB"/>
        </w:rPr>
      </w:pPr>
      <w:r w:rsidRPr="000111C5">
        <w:rPr>
          <w:rFonts w:ascii="Arial" w:eastAsia="Times New Roman" w:hAnsi="Arial" w:cs="Arial"/>
          <w:color w:val="222222"/>
          <w:sz w:val="22"/>
          <w:szCs w:val="22"/>
          <w:shd w:val="clear" w:color="auto" w:fill="FFFFFF"/>
          <w:lang w:eastAsia="en-GB"/>
        </w:rPr>
        <w:t>Das, R.C. and Das, U., 2019. Analysis of fluctuations in Credit-Deposit Ratio of Indian States: From Pre-Globalization to Post-Financial Crisis Phase. In </w:t>
      </w:r>
      <w:r w:rsidRPr="000111C5">
        <w:rPr>
          <w:rFonts w:ascii="Arial" w:eastAsia="Times New Roman" w:hAnsi="Arial" w:cs="Arial"/>
          <w:color w:val="222222"/>
          <w:sz w:val="22"/>
          <w:szCs w:val="22"/>
          <w:lang w:eastAsia="en-GB"/>
        </w:rPr>
        <w:t>Handbook of Research on Managerial Thinking in Global Business Economics</w:t>
      </w:r>
      <w:r w:rsidRPr="000111C5">
        <w:rPr>
          <w:rFonts w:ascii="Arial" w:eastAsia="Times New Roman" w:hAnsi="Arial" w:cs="Arial"/>
          <w:color w:val="222222"/>
          <w:sz w:val="22"/>
          <w:szCs w:val="22"/>
          <w:shd w:val="clear" w:color="auto" w:fill="FFFFFF"/>
          <w:lang w:eastAsia="en-GB"/>
        </w:rPr>
        <w:t> (pp. 229-245). IGI Global.</w:t>
      </w:r>
    </w:p>
    <w:p w14:paraId="4B3CD212" w14:textId="77777777" w:rsidR="003752DD" w:rsidRPr="000111C5" w:rsidRDefault="003752DD" w:rsidP="003752DD">
      <w:pPr>
        <w:spacing w:line="360" w:lineRule="auto"/>
        <w:rPr>
          <w:rFonts w:ascii="Arial" w:hAnsi="Arial" w:cs="Arial"/>
          <w:sz w:val="22"/>
          <w:szCs w:val="22"/>
        </w:rPr>
      </w:pPr>
    </w:p>
    <w:p w14:paraId="7753D8B3" w14:textId="77777777" w:rsidR="003752DD" w:rsidRPr="000111C5" w:rsidRDefault="003752DD" w:rsidP="003752DD">
      <w:pPr>
        <w:shd w:val="clear" w:color="auto" w:fill="FFFFFF"/>
        <w:spacing w:after="180" w:line="360" w:lineRule="auto"/>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Drury, C., 2018. Management and Cost Accounting. 10th ed. London: Cengage.</w:t>
      </w:r>
    </w:p>
    <w:p w14:paraId="66AD34E6"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Guilding, C., 2014. Accounting Essentials for Hospitality Managers. 3rd ed. New York: Routledge.</w:t>
      </w:r>
    </w:p>
    <w:p w14:paraId="1DD34EB9"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Hayes, D. and Miller, A., 2011. Revenue Management for The Hospitality Industry. Hoboken, N.J.: Wiley.</w:t>
      </w:r>
    </w:p>
    <w:p w14:paraId="4E7FC9A7"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Holmes, G., Sugden, A. and Gee, P., 2005. Interpreting Company Reports and Accounts. 9th ed. Harlow: Financial Times Prentice Hall.</w:t>
      </w:r>
    </w:p>
    <w:p w14:paraId="1767D939"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Horner, D., 2017. Accounting for Non-Accountants. 11th ed. London: Kogan Page Ltd.</w:t>
      </w:r>
    </w:p>
    <w:p w14:paraId="0605131D"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Marr, B., 2012. Key Performance Indicators. The 75 Measures Every Manager Needs to Know. Harlow: Pearson.</w:t>
      </w:r>
    </w:p>
    <w:p w14:paraId="0BBAE3E1"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Sangster, A. and Wood, F., 2008. Frank Wood's Business Accounting 1. 11th ed. Harlow: Prentice Hall.</w:t>
      </w:r>
    </w:p>
    <w:p w14:paraId="1BC4E5E3" w14:textId="77777777" w:rsidR="003752DD" w:rsidRPr="000111C5" w:rsidRDefault="003752DD" w:rsidP="003752DD">
      <w:pPr>
        <w:shd w:val="clear" w:color="auto" w:fill="FFFFFF"/>
        <w:spacing w:after="180" w:line="360" w:lineRule="auto"/>
        <w:ind w:left="450" w:hanging="450"/>
        <w:rPr>
          <w:rFonts w:ascii="Arial" w:eastAsia="Times New Roman" w:hAnsi="Arial" w:cs="Arial"/>
          <w:color w:val="000000"/>
          <w:sz w:val="22"/>
          <w:szCs w:val="22"/>
          <w:lang w:eastAsia="en-GB"/>
        </w:rPr>
      </w:pPr>
      <w:r w:rsidRPr="000111C5">
        <w:rPr>
          <w:rFonts w:ascii="Arial" w:eastAsia="Times New Roman" w:hAnsi="Arial" w:cs="Arial"/>
          <w:color w:val="000000"/>
          <w:sz w:val="22"/>
          <w:szCs w:val="22"/>
          <w:lang w:eastAsia="en-GB"/>
        </w:rPr>
        <w:t>Walsh, C., 2008. Key Management Ratios. The 100+ Ratios Every Manager Needs to Know. 4th ed. Harlow, England: Prentice Hall/Financial Times.</w:t>
      </w:r>
    </w:p>
    <w:p w14:paraId="6BB40350" w14:textId="77777777" w:rsidR="003752DD" w:rsidRPr="000111C5" w:rsidRDefault="003752DD" w:rsidP="003752DD">
      <w:pPr>
        <w:spacing w:line="360" w:lineRule="auto"/>
        <w:rPr>
          <w:rFonts w:ascii="Arial" w:hAnsi="Arial" w:cs="Arial"/>
          <w:sz w:val="22"/>
          <w:szCs w:val="22"/>
        </w:rPr>
      </w:pPr>
    </w:p>
    <w:p w14:paraId="071617EF" w14:textId="77777777" w:rsidR="003752DD" w:rsidRDefault="003752DD">
      <w:pPr>
        <w:rPr>
          <w:rFonts w:ascii="Times New Roman" w:hAnsi="Times New Roman" w:cs="Times New Roman"/>
        </w:rPr>
      </w:pPr>
    </w:p>
    <w:p w14:paraId="39134E17" w14:textId="77777777" w:rsidR="003752DD" w:rsidRDefault="003752DD">
      <w:pPr>
        <w:rPr>
          <w:rFonts w:ascii="Times New Roman" w:hAnsi="Times New Roman" w:cs="Times New Roman"/>
        </w:rPr>
      </w:pPr>
    </w:p>
    <w:p w14:paraId="1F6A99CD" w14:textId="77777777" w:rsidR="003752DD" w:rsidRDefault="003752DD">
      <w:pPr>
        <w:rPr>
          <w:rFonts w:ascii="Times New Roman" w:hAnsi="Times New Roman" w:cs="Times New Roman"/>
        </w:rPr>
      </w:pPr>
    </w:p>
    <w:p w14:paraId="74574FB8" w14:textId="77777777" w:rsidR="003752DD" w:rsidRDefault="003752DD">
      <w:pPr>
        <w:rPr>
          <w:rFonts w:ascii="Times New Roman" w:hAnsi="Times New Roman" w:cs="Times New Roman"/>
        </w:rPr>
      </w:pPr>
    </w:p>
    <w:p w14:paraId="392E3DC5" w14:textId="77777777" w:rsidR="003752DD" w:rsidRDefault="003752DD">
      <w:pPr>
        <w:rPr>
          <w:rFonts w:ascii="Times New Roman" w:hAnsi="Times New Roman" w:cs="Times New Roman"/>
        </w:rPr>
      </w:pPr>
    </w:p>
    <w:p w14:paraId="4B9C15DD" w14:textId="77777777" w:rsidR="003752DD" w:rsidRDefault="003752DD">
      <w:pPr>
        <w:rPr>
          <w:rFonts w:ascii="Times New Roman" w:hAnsi="Times New Roman" w:cs="Times New Roman"/>
        </w:rPr>
      </w:pPr>
    </w:p>
    <w:p w14:paraId="1104196A" w14:textId="77777777" w:rsidR="003752DD" w:rsidRDefault="003752DD">
      <w:pPr>
        <w:rPr>
          <w:rFonts w:ascii="Times New Roman" w:hAnsi="Times New Roman" w:cs="Times New Roman"/>
        </w:rPr>
      </w:pPr>
    </w:p>
    <w:p w14:paraId="3BC6FE13" w14:textId="77777777" w:rsidR="003752DD" w:rsidRDefault="003752DD">
      <w:pPr>
        <w:rPr>
          <w:rFonts w:ascii="Times New Roman" w:hAnsi="Times New Roman" w:cs="Times New Roman"/>
        </w:rPr>
      </w:pPr>
    </w:p>
    <w:p w14:paraId="1D37D7C7" w14:textId="77777777" w:rsidR="003752DD" w:rsidRDefault="003752DD">
      <w:pPr>
        <w:rPr>
          <w:rFonts w:ascii="Times New Roman" w:hAnsi="Times New Roman" w:cs="Times New Roman"/>
        </w:rPr>
      </w:pPr>
    </w:p>
    <w:p w14:paraId="4806735D" w14:textId="77777777" w:rsidR="003752DD" w:rsidRDefault="003752DD">
      <w:pPr>
        <w:rPr>
          <w:rFonts w:ascii="Times New Roman" w:hAnsi="Times New Roman" w:cs="Times New Roman"/>
        </w:rPr>
      </w:pPr>
    </w:p>
    <w:p w14:paraId="33C9322B" w14:textId="77777777" w:rsidR="003752DD" w:rsidRDefault="003752DD">
      <w:pPr>
        <w:rPr>
          <w:rFonts w:ascii="Times New Roman" w:hAnsi="Times New Roman" w:cs="Times New Roman"/>
        </w:rPr>
      </w:pPr>
    </w:p>
    <w:p w14:paraId="44C06E93" w14:textId="1CE90DF5" w:rsidR="000111C5" w:rsidRDefault="00592046">
      <w:pPr>
        <w:rPr>
          <w:rFonts w:ascii="Times New Roman" w:hAnsi="Times New Roman" w:cs="Times New Roman"/>
        </w:rPr>
      </w:pPr>
      <w:r>
        <w:rPr>
          <w:rFonts w:ascii="Times New Roman" w:hAnsi="Times New Roman" w:cs="Times New Roman"/>
        </w:rPr>
        <w:lastRenderedPageBreak/>
        <w:t>Appendices</w:t>
      </w:r>
    </w:p>
    <w:p w14:paraId="255EE481" w14:textId="77777777" w:rsidR="00EF55F9" w:rsidRDefault="00FB5269">
      <w:pPr>
        <w:rPr>
          <w:rFonts w:ascii="Times New Roman" w:hAnsi="Times New Roman" w:cs="Times New Roman"/>
        </w:rPr>
      </w:pPr>
      <w:r>
        <w:rPr>
          <w:noProof/>
        </w:rPr>
        <w:object w:dxaOrig="23000" w:dyaOrig="24240" w14:anchorId="41C1C4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99.1pt;height:526pt;mso-width-percent:0;mso-height-percent:0;mso-width-percent:0;mso-height-percent:0" o:ole="">
            <v:imagedata r:id="rId19" o:title=""/>
          </v:shape>
          <o:OLEObject Type="Embed" ProgID="Excel.Sheet.12" ShapeID="_x0000_i1025" DrawAspect="Content" ObjectID="_1655923994" r:id="rId20"/>
        </w:object>
      </w:r>
    </w:p>
    <w:p w14:paraId="4471004E" w14:textId="77777777" w:rsidR="00EF55F9" w:rsidRDefault="00EF55F9">
      <w:pPr>
        <w:rPr>
          <w:rFonts w:ascii="Times New Roman" w:hAnsi="Times New Roman" w:cs="Times New Roman"/>
        </w:rPr>
      </w:pPr>
    </w:p>
    <w:p w14:paraId="3E258934" w14:textId="77777777" w:rsidR="00592046" w:rsidRDefault="00592046">
      <w:pPr>
        <w:rPr>
          <w:rFonts w:ascii="Times New Roman" w:hAnsi="Times New Roman" w:cs="Times New Roman"/>
        </w:rPr>
      </w:pPr>
    </w:p>
    <w:p w14:paraId="410D53B3" w14:textId="77777777" w:rsidR="00592046" w:rsidRDefault="00592046">
      <w:pPr>
        <w:rPr>
          <w:rFonts w:ascii="Times New Roman" w:hAnsi="Times New Roman" w:cs="Times New Roman"/>
        </w:rPr>
      </w:pPr>
    </w:p>
    <w:p w14:paraId="3750E2A1" w14:textId="77777777" w:rsidR="000111C5" w:rsidRDefault="000111C5">
      <w:pPr>
        <w:rPr>
          <w:rFonts w:ascii="Times New Roman" w:hAnsi="Times New Roman" w:cs="Times New Roman"/>
        </w:rPr>
      </w:pPr>
    </w:p>
    <w:p w14:paraId="351303D8" w14:textId="77777777" w:rsidR="000111C5" w:rsidRDefault="000111C5">
      <w:pPr>
        <w:rPr>
          <w:rFonts w:ascii="Times New Roman" w:hAnsi="Times New Roman" w:cs="Times New Roman"/>
        </w:rPr>
      </w:pPr>
    </w:p>
    <w:p w14:paraId="358748A4" w14:textId="77777777" w:rsidR="000111C5" w:rsidRDefault="000111C5">
      <w:pPr>
        <w:rPr>
          <w:rFonts w:ascii="Times New Roman" w:hAnsi="Times New Roman" w:cs="Times New Roman"/>
        </w:rPr>
      </w:pPr>
    </w:p>
    <w:p w14:paraId="21FA86E2" w14:textId="77777777" w:rsidR="000111C5" w:rsidRDefault="000111C5">
      <w:pPr>
        <w:rPr>
          <w:rFonts w:ascii="Times New Roman" w:hAnsi="Times New Roman" w:cs="Times New Roman"/>
        </w:rPr>
      </w:pPr>
    </w:p>
    <w:p w14:paraId="231554A2" w14:textId="77777777" w:rsidR="000111C5" w:rsidRDefault="000111C5">
      <w:pPr>
        <w:rPr>
          <w:rFonts w:ascii="Times New Roman" w:hAnsi="Times New Roman" w:cs="Times New Roman"/>
        </w:rPr>
      </w:pPr>
    </w:p>
    <w:p w14:paraId="045C9E1A" w14:textId="77777777" w:rsidR="000111C5" w:rsidRDefault="000111C5">
      <w:pPr>
        <w:rPr>
          <w:rFonts w:ascii="Times New Roman" w:hAnsi="Times New Roman" w:cs="Times New Roman"/>
        </w:rPr>
      </w:pPr>
    </w:p>
    <w:p w14:paraId="7029F75A" w14:textId="77777777" w:rsidR="000111C5" w:rsidRDefault="000111C5">
      <w:pPr>
        <w:rPr>
          <w:rFonts w:ascii="Times New Roman" w:hAnsi="Times New Roman" w:cs="Times New Roman"/>
        </w:rPr>
      </w:pPr>
    </w:p>
    <w:p w14:paraId="15032279" w14:textId="77777777" w:rsidR="00637079" w:rsidRDefault="00637079" w:rsidP="000111C5">
      <w:pPr>
        <w:shd w:val="clear" w:color="auto" w:fill="FFFFFF"/>
        <w:spacing w:after="100" w:afterAutospacing="1" w:line="360" w:lineRule="auto"/>
        <w:outlineLvl w:val="1"/>
        <w:rPr>
          <w:rFonts w:ascii="Times New Roman" w:hAnsi="Times New Roman" w:cs="Times New Roman"/>
        </w:rPr>
      </w:pPr>
    </w:p>
    <w:sectPr w:rsidR="00637079" w:rsidSect="00EF55F9">
      <w:footerReference w:type="even" r:id="rId21"/>
      <w:footerReference w:type="default" r:id="rId22"/>
      <w:pgSz w:w="11900" w:h="16840"/>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66C91" w14:textId="77777777" w:rsidR="00FB5269" w:rsidRDefault="00FB5269" w:rsidP="00EF55F9">
      <w:r>
        <w:separator/>
      </w:r>
    </w:p>
  </w:endnote>
  <w:endnote w:type="continuationSeparator" w:id="0">
    <w:p w14:paraId="404C5E8F" w14:textId="77777777" w:rsidR="00FB5269" w:rsidRDefault="00FB5269" w:rsidP="00EF5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4433221"/>
      <w:docPartObj>
        <w:docPartGallery w:val="Page Numbers (Bottom of Page)"/>
        <w:docPartUnique/>
      </w:docPartObj>
    </w:sdtPr>
    <w:sdtEndPr>
      <w:rPr>
        <w:rStyle w:val="PageNumber"/>
      </w:rPr>
    </w:sdtEndPr>
    <w:sdtContent>
      <w:p w14:paraId="1657A5A6" w14:textId="77777777" w:rsidR="00EF55F9" w:rsidRDefault="00EF55F9" w:rsidP="00EF55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7A9BC9" w14:textId="77777777" w:rsidR="00EF55F9" w:rsidRDefault="00EF55F9" w:rsidP="00EF55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64487380"/>
      <w:docPartObj>
        <w:docPartGallery w:val="Page Numbers (Bottom of Page)"/>
        <w:docPartUnique/>
      </w:docPartObj>
    </w:sdtPr>
    <w:sdtEndPr>
      <w:rPr>
        <w:rStyle w:val="PageNumber"/>
      </w:rPr>
    </w:sdtEndPr>
    <w:sdtContent>
      <w:p w14:paraId="34B77257" w14:textId="77777777" w:rsidR="00EF55F9" w:rsidRDefault="00EF55F9" w:rsidP="00EF55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AA41C1" w14:textId="77777777" w:rsidR="00EF55F9" w:rsidRDefault="00EF55F9" w:rsidP="00EF55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5D2FC0" w14:textId="77777777" w:rsidR="00FB5269" w:rsidRDefault="00FB5269" w:rsidP="00EF55F9">
      <w:r>
        <w:separator/>
      </w:r>
    </w:p>
  </w:footnote>
  <w:footnote w:type="continuationSeparator" w:id="0">
    <w:p w14:paraId="787F9F1C" w14:textId="77777777" w:rsidR="00FB5269" w:rsidRDefault="00FB5269" w:rsidP="00EF5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87142"/>
    <w:multiLevelType w:val="hybridMultilevel"/>
    <w:tmpl w:val="48066E86"/>
    <w:lvl w:ilvl="0" w:tplc="D5606740">
      <w:start w:val="1"/>
      <w:numFmt w:val="decimal"/>
      <w:lvlText w:val="%1)"/>
      <w:lvlJc w:val="left"/>
      <w:pPr>
        <w:ind w:left="720" w:hanging="360"/>
      </w:pPr>
      <w:rPr>
        <w:rFonts w:hint="default"/>
      </w:rPr>
    </w:lvl>
    <w:lvl w:ilvl="1" w:tplc="5BAAE124" w:tentative="1">
      <w:start w:val="1"/>
      <w:numFmt w:val="lowerLetter"/>
      <w:lvlText w:val="%2."/>
      <w:lvlJc w:val="left"/>
      <w:pPr>
        <w:ind w:left="1440" w:hanging="360"/>
      </w:pPr>
    </w:lvl>
    <w:lvl w:ilvl="2" w:tplc="D25EE876" w:tentative="1">
      <w:start w:val="1"/>
      <w:numFmt w:val="lowerRoman"/>
      <w:lvlText w:val="%3."/>
      <w:lvlJc w:val="right"/>
      <w:pPr>
        <w:ind w:left="2160" w:hanging="180"/>
      </w:pPr>
    </w:lvl>
    <w:lvl w:ilvl="3" w:tplc="88CA4EC6" w:tentative="1">
      <w:start w:val="1"/>
      <w:numFmt w:val="decimal"/>
      <w:lvlText w:val="%4."/>
      <w:lvlJc w:val="left"/>
      <w:pPr>
        <w:ind w:left="2880" w:hanging="360"/>
      </w:pPr>
    </w:lvl>
    <w:lvl w:ilvl="4" w:tplc="6DE0C4CE" w:tentative="1">
      <w:start w:val="1"/>
      <w:numFmt w:val="lowerLetter"/>
      <w:lvlText w:val="%5."/>
      <w:lvlJc w:val="left"/>
      <w:pPr>
        <w:ind w:left="3600" w:hanging="360"/>
      </w:pPr>
    </w:lvl>
    <w:lvl w:ilvl="5" w:tplc="B5F40884" w:tentative="1">
      <w:start w:val="1"/>
      <w:numFmt w:val="lowerRoman"/>
      <w:lvlText w:val="%6."/>
      <w:lvlJc w:val="right"/>
      <w:pPr>
        <w:ind w:left="4320" w:hanging="180"/>
      </w:pPr>
    </w:lvl>
    <w:lvl w:ilvl="6" w:tplc="106EAE76" w:tentative="1">
      <w:start w:val="1"/>
      <w:numFmt w:val="decimal"/>
      <w:lvlText w:val="%7."/>
      <w:lvlJc w:val="left"/>
      <w:pPr>
        <w:ind w:left="5040" w:hanging="360"/>
      </w:pPr>
    </w:lvl>
    <w:lvl w:ilvl="7" w:tplc="631ECB54" w:tentative="1">
      <w:start w:val="1"/>
      <w:numFmt w:val="lowerLetter"/>
      <w:lvlText w:val="%8."/>
      <w:lvlJc w:val="left"/>
      <w:pPr>
        <w:ind w:left="5760" w:hanging="360"/>
      </w:pPr>
    </w:lvl>
    <w:lvl w:ilvl="8" w:tplc="E8EC3D78" w:tentative="1">
      <w:start w:val="1"/>
      <w:numFmt w:val="lowerRoman"/>
      <w:lvlText w:val="%9."/>
      <w:lvlJc w:val="right"/>
      <w:pPr>
        <w:ind w:left="6480" w:hanging="180"/>
      </w:pPr>
    </w:lvl>
  </w:abstractNum>
  <w:abstractNum w:abstractNumId="1" w15:restartNumberingAfterBreak="0">
    <w:nsid w:val="2D403349"/>
    <w:multiLevelType w:val="hybridMultilevel"/>
    <w:tmpl w:val="7C86ABD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843FDD"/>
    <w:multiLevelType w:val="hybridMultilevel"/>
    <w:tmpl w:val="B8D8D0F6"/>
    <w:lvl w:ilvl="0" w:tplc="C59A40CC">
      <w:start w:val="1"/>
      <w:numFmt w:val="decimal"/>
      <w:lvlText w:val="%1."/>
      <w:lvlJc w:val="left"/>
      <w:pPr>
        <w:ind w:left="720" w:hanging="360"/>
      </w:pPr>
      <w:rPr>
        <w:rFonts w:hint="default"/>
      </w:rPr>
    </w:lvl>
    <w:lvl w:ilvl="1" w:tplc="21A03AE4" w:tentative="1">
      <w:start w:val="1"/>
      <w:numFmt w:val="lowerLetter"/>
      <w:lvlText w:val="%2."/>
      <w:lvlJc w:val="left"/>
      <w:pPr>
        <w:ind w:left="1440" w:hanging="360"/>
      </w:pPr>
    </w:lvl>
    <w:lvl w:ilvl="2" w:tplc="ADD2C2A0" w:tentative="1">
      <w:start w:val="1"/>
      <w:numFmt w:val="lowerRoman"/>
      <w:lvlText w:val="%3."/>
      <w:lvlJc w:val="right"/>
      <w:pPr>
        <w:ind w:left="2160" w:hanging="180"/>
      </w:pPr>
    </w:lvl>
    <w:lvl w:ilvl="3" w:tplc="252C59FC" w:tentative="1">
      <w:start w:val="1"/>
      <w:numFmt w:val="decimal"/>
      <w:lvlText w:val="%4."/>
      <w:lvlJc w:val="left"/>
      <w:pPr>
        <w:ind w:left="2880" w:hanging="360"/>
      </w:pPr>
    </w:lvl>
    <w:lvl w:ilvl="4" w:tplc="801633DE" w:tentative="1">
      <w:start w:val="1"/>
      <w:numFmt w:val="lowerLetter"/>
      <w:lvlText w:val="%5."/>
      <w:lvlJc w:val="left"/>
      <w:pPr>
        <w:ind w:left="3600" w:hanging="360"/>
      </w:pPr>
    </w:lvl>
    <w:lvl w:ilvl="5" w:tplc="3CCE04DC" w:tentative="1">
      <w:start w:val="1"/>
      <w:numFmt w:val="lowerRoman"/>
      <w:lvlText w:val="%6."/>
      <w:lvlJc w:val="right"/>
      <w:pPr>
        <w:ind w:left="4320" w:hanging="180"/>
      </w:pPr>
    </w:lvl>
    <w:lvl w:ilvl="6" w:tplc="AC142538" w:tentative="1">
      <w:start w:val="1"/>
      <w:numFmt w:val="decimal"/>
      <w:lvlText w:val="%7."/>
      <w:lvlJc w:val="left"/>
      <w:pPr>
        <w:ind w:left="5040" w:hanging="360"/>
      </w:pPr>
    </w:lvl>
    <w:lvl w:ilvl="7" w:tplc="33C6B694" w:tentative="1">
      <w:start w:val="1"/>
      <w:numFmt w:val="lowerLetter"/>
      <w:lvlText w:val="%8."/>
      <w:lvlJc w:val="left"/>
      <w:pPr>
        <w:ind w:left="5760" w:hanging="360"/>
      </w:pPr>
    </w:lvl>
    <w:lvl w:ilvl="8" w:tplc="F746EA96" w:tentative="1">
      <w:start w:val="1"/>
      <w:numFmt w:val="lowerRoman"/>
      <w:lvlText w:val="%9."/>
      <w:lvlJc w:val="right"/>
      <w:pPr>
        <w:ind w:left="6480" w:hanging="180"/>
      </w:pPr>
    </w:lvl>
  </w:abstractNum>
  <w:abstractNum w:abstractNumId="3" w15:restartNumberingAfterBreak="0">
    <w:nsid w:val="37FA2E66"/>
    <w:multiLevelType w:val="hybridMultilevel"/>
    <w:tmpl w:val="702E137A"/>
    <w:lvl w:ilvl="0" w:tplc="4C62AA32">
      <w:start w:val="1"/>
      <w:numFmt w:val="decimal"/>
      <w:lvlText w:val="%1)"/>
      <w:lvlJc w:val="left"/>
      <w:pPr>
        <w:ind w:left="720" w:hanging="360"/>
      </w:pPr>
      <w:rPr>
        <w:rFonts w:hint="default"/>
      </w:rPr>
    </w:lvl>
    <w:lvl w:ilvl="1" w:tplc="AB5ED1A0" w:tentative="1">
      <w:start w:val="1"/>
      <w:numFmt w:val="lowerLetter"/>
      <w:lvlText w:val="%2."/>
      <w:lvlJc w:val="left"/>
      <w:pPr>
        <w:ind w:left="1440" w:hanging="360"/>
      </w:pPr>
    </w:lvl>
    <w:lvl w:ilvl="2" w:tplc="713449EA" w:tentative="1">
      <w:start w:val="1"/>
      <w:numFmt w:val="lowerRoman"/>
      <w:lvlText w:val="%3."/>
      <w:lvlJc w:val="right"/>
      <w:pPr>
        <w:ind w:left="2160" w:hanging="180"/>
      </w:pPr>
    </w:lvl>
    <w:lvl w:ilvl="3" w:tplc="FF3656B0" w:tentative="1">
      <w:start w:val="1"/>
      <w:numFmt w:val="decimal"/>
      <w:lvlText w:val="%4."/>
      <w:lvlJc w:val="left"/>
      <w:pPr>
        <w:ind w:left="2880" w:hanging="360"/>
      </w:pPr>
    </w:lvl>
    <w:lvl w:ilvl="4" w:tplc="F738AC32" w:tentative="1">
      <w:start w:val="1"/>
      <w:numFmt w:val="lowerLetter"/>
      <w:lvlText w:val="%5."/>
      <w:lvlJc w:val="left"/>
      <w:pPr>
        <w:ind w:left="3600" w:hanging="360"/>
      </w:pPr>
    </w:lvl>
    <w:lvl w:ilvl="5" w:tplc="7D521352" w:tentative="1">
      <w:start w:val="1"/>
      <w:numFmt w:val="lowerRoman"/>
      <w:lvlText w:val="%6."/>
      <w:lvlJc w:val="right"/>
      <w:pPr>
        <w:ind w:left="4320" w:hanging="180"/>
      </w:pPr>
    </w:lvl>
    <w:lvl w:ilvl="6" w:tplc="73AAC8EE" w:tentative="1">
      <w:start w:val="1"/>
      <w:numFmt w:val="decimal"/>
      <w:lvlText w:val="%7."/>
      <w:lvlJc w:val="left"/>
      <w:pPr>
        <w:ind w:left="5040" w:hanging="360"/>
      </w:pPr>
    </w:lvl>
    <w:lvl w:ilvl="7" w:tplc="FCB8DE92" w:tentative="1">
      <w:start w:val="1"/>
      <w:numFmt w:val="lowerLetter"/>
      <w:lvlText w:val="%8."/>
      <w:lvlJc w:val="left"/>
      <w:pPr>
        <w:ind w:left="5760" w:hanging="360"/>
      </w:pPr>
    </w:lvl>
    <w:lvl w:ilvl="8" w:tplc="039CAF48" w:tentative="1">
      <w:start w:val="1"/>
      <w:numFmt w:val="lowerRoman"/>
      <w:lvlText w:val="%9."/>
      <w:lvlJc w:val="right"/>
      <w:pPr>
        <w:ind w:left="6480" w:hanging="180"/>
      </w:pPr>
    </w:lvl>
  </w:abstractNum>
  <w:abstractNum w:abstractNumId="4" w15:restartNumberingAfterBreak="0">
    <w:nsid w:val="3E5A4D3E"/>
    <w:multiLevelType w:val="hybridMultilevel"/>
    <w:tmpl w:val="6E9CC5CC"/>
    <w:lvl w:ilvl="0" w:tplc="56EE3906">
      <w:start w:val="1"/>
      <w:numFmt w:val="lowerLetter"/>
      <w:lvlText w:val="(%1)"/>
      <w:lvlJc w:val="left"/>
      <w:pPr>
        <w:ind w:left="720" w:hanging="360"/>
      </w:pPr>
      <w:rPr>
        <w:rFonts w:hint="default"/>
      </w:rPr>
    </w:lvl>
    <w:lvl w:ilvl="1" w:tplc="EFE84856" w:tentative="1">
      <w:start w:val="1"/>
      <w:numFmt w:val="lowerLetter"/>
      <w:lvlText w:val="%2."/>
      <w:lvlJc w:val="left"/>
      <w:pPr>
        <w:ind w:left="1440" w:hanging="360"/>
      </w:pPr>
    </w:lvl>
    <w:lvl w:ilvl="2" w:tplc="76AE79AE" w:tentative="1">
      <w:start w:val="1"/>
      <w:numFmt w:val="lowerRoman"/>
      <w:lvlText w:val="%3."/>
      <w:lvlJc w:val="right"/>
      <w:pPr>
        <w:ind w:left="2160" w:hanging="180"/>
      </w:pPr>
    </w:lvl>
    <w:lvl w:ilvl="3" w:tplc="8294ED26" w:tentative="1">
      <w:start w:val="1"/>
      <w:numFmt w:val="decimal"/>
      <w:lvlText w:val="%4."/>
      <w:lvlJc w:val="left"/>
      <w:pPr>
        <w:ind w:left="2880" w:hanging="360"/>
      </w:pPr>
    </w:lvl>
    <w:lvl w:ilvl="4" w:tplc="671C0FBE" w:tentative="1">
      <w:start w:val="1"/>
      <w:numFmt w:val="lowerLetter"/>
      <w:lvlText w:val="%5."/>
      <w:lvlJc w:val="left"/>
      <w:pPr>
        <w:ind w:left="3600" w:hanging="360"/>
      </w:pPr>
    </w:lvl>
    <w:lvl w:ilvl="5" w:tplc="5E2052A2" w:tentative="1">
      <w:start w:val="1"/>
      <w:numFmt w:val="lowerRoman"/>
      <w:lvlText w:val="%6."/>
      <w:lvlJc w:val="right"/>
      <w:pPr>
        <w:ind w:left="4320" w:hanging="180"/>
      </w:pPr>
    </w:lvl>
    <w:lvl w:ilvl="6" w:tplc="9D88D9F4" w:tentative="1">
      <w:start w:val="1"/>
      <w:numFmt w:val="decimal"/>
      <w:lvlText w:val="%7."/>
      <w:lvlJc w:val="left"/>
      <w:pPr>
        <w:ind w:left="5040" w:hanging="360"/>
      </w:pPr>
    </w:lvl>
    <w:lvl w:ilvl="7" w:tplc="1F58C86E" w:tentative="1">
      <w:start w:val="1"/>
      <w:numFmt w:val="lowerLetter"/>
      <w:lvlText w:val="%8."/>
      <w:lvlJc w:val="left"/>
      <w:pPr>
        <w:ind w:left="5760" w:hanging="360"/>
      </w:pPr>
    </w:lvl>
    <w:lvl w:ilvl="8" w:tplc="B1A8FCA0" w:tentative="1">
      <w:start w:val="1"/>
      <w:numFmt w:val="lowerRoman"/>
      <w:lvlText w:val="%9."/>
      <w:lvlJc w:val="right"/>
      <w:pPr>
        <w:ind w:left="6480" w:hanging="180"/>
      </w:pPr>
    </w:lvl>
  </w:abstractNum>
  <w:abstractNum w:abstractNumId="5" w15:restartNumberingAfterBreak="0">
    <w:nsid w:val="43973100"/>
    <w:multiLevelType w:val="hybridMultilevel"/>
    <w:tmpl w:val="9B105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16695B"/>
    <w:multiLevelType w:val="hybridMultilevel"/>
    <w:tmpl w:val="251633DA"/>
    <w:lvl w:ilvl="0" w:tplc="85CA273A">
      <w:start w:val="1"/>
      <w:numFmt w:val="decimal"/>
      <w:lvlText w:val="%1."/>
      <w:lvlJc w:val="left"/>
      <w:pPr>
        <w:ind w:left="720" w:hanging="360"/>
      </w:pPr>
      <w:rPr>
        <w:rFonts w:hint="default"/>
      </w:rPr>
    </w:lvl>
    <w:lvl w:ilvl="1" w:tplc="6750EBCA" w:tentative="1">
      <w:start w:val="1"/>
      <w:numFmt w:val="lowerLetter"/>
      <w:lvlText w:val="%2."/>
      <w:lvlJc w:val="left"/>
      <w:pPr>
        <w:ind w:left="1440" w:hanging="360"/>
      </w:pPr>
    </w:lvl>
    <w:lvl w:ilvl="2" w:tplc="41A47DE8" w:tentative="1">
      <w:start w:val="1"/>
      <w:numFmt w:val="lowerRoman"/>
      <w:lvlText w:val="%3."/>
      <w:lvlJc w:val="right"/>
      <w:pPr>
        <w:ind w:left="2160" w:hanging="180"/>
      </w:pPr>
    </w:lvl>
    <w:lvl w:ilvl="3" w:tplc="BD6C6AA4" w:tentative="1">
      <w:start w:val="1"/>
      <w:numFmt w:val="decimal"/>
      <w:lvlText w:val="%4."/>
      <w:lvlJc w:val="left"/>
      <w:pPr>
        <w:ind w:left="2880" w:hanging="360"/>
      </w:pPr>
    </w:lvl>
    <w:lvl w:ilvl="4" w:tplc="9D681922" w:tentative="1">
      <w:start w:val="1"/>
      <w:numFmt w:val="lowerLetter"/>
      <w:lvlText w:val="%5."/>
      <w:lvlJc w:val="left"/>
      <w:pPr>
        <w:ind w:left="3600" w:hanging="360"/>
      </w:pPr>
    </w:lvl>
    <w:lvl w:ilvl="5" w:tplc="A202C908" w:tentative="1">
      <w:start w:val="1"/>
      <w:numFmt w:val="lowerRoman"/>
      <w:lvlText w:val="%6."/>
      <w:lvlJc w:val="right"/>
      <w:pPr>
        <w:ind w:left="4320" w:hanging="180"/>
      </w:pPr>
    </w:lvl>
    <w:lvl w:ilvl="6" w:tplc="CE9A9EFC" w:tentative="1">
      <w:start w:val="1"/>
      <w:numFmt w:val="decimal"/>
      <w:lvlText w:val="%7."/>
      <w:lvlJc w:val="left"/>
      <w:pPr>
        <w:ind w:left="5040" w:hanging="360"/>
      </w:pPr>
    </w:lvl>
    <w:lvl w:ilvl="7" w:tplc="CD0E22B2" w:tentative="1">
      <w:start w:val="1"/>
      <w:numFmt w:val="lowerLetter"/>
      <w:lvlText w:val="%8."/>
      <w:lvlJc w:val="left"/>
      <w:pPr>
        <w:ind w:left="5760" w:hanging="360"/>
      </w:pPr>
    </w:lvl>
    <w:lvl w:ilvl="8" w:tplc="58A41488" w:tentative="1">
      <w:start w:val="1"/>
      <w:numFmt w:val="lowerRoman"/>
      <w:lvlText w:val="%9."/>
      <w:lvlJc w:val="right"/>
      <w:pPr>
        <w:ind w:left="6480" w:hanging="180"/>
      </w:pPr>
    </w:lvl>
  </w:abstractNum>
  <w:abstractNum w:abstractNumId="7" w15:restartNumberingAfterBreak="0">
    <w:nsid w:val="72E45C60"/>
    <w:multiLevelType w:val="hybridMultilevel"/>
    <w:tmpl w:val="86001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07430D"/>
    <w:multiLevelType w:val="hybridMultilevel"/>
    <w:tmpl w:val="E23C9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6"/>
  </w:num>
  <w:num w:numId="6">
    <w:abstractNumId w:val="7"/>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F49"/>
    <w:rsid w:val="000031D1"/>
    <w:rsid w:val="000111C5"/>
    <w:rsid w:val="00012337"/>
    <w:rsid w:val="000163EA"/>
    <w:rsid w:val="000268A6"/>
    <w:rsid w:val="0004144E"/>
    <w:rsid w:val="000510A7"/>
    <w:rsid w:val="00052E2B"/>
    <w:rsid w:val="00053D08"/>
    <w:rsid w:val="00063402"/>
    <w:rsid w:val="000675E2"/>
    <w:rsid w:val="000768BC"/>
    <w:rsid w:val="00080FAA"/>
    <w:rsid w:val="00087F26"/>
    <w:rsid w:val="0009794C"/>
    <w:rsid w:val="000A1ECD"/>
    <w:rsid w:val="000A285D"/>
    <w:rsid w:val="000B4516"/>
    <w:rsid w:val="000D5892"/>
    <w:rsid w:val="000E0962"/>
    <w:rsid w:val="000F1C55"/>
    <w:rsid w:val="000F5802"/>
    <w:rsid w:val="00120D9E"/>
    <w:rsid w:val="00133C01"/>
    <w:rsid w:val="0014226D"/>
    <w:rsid w:val="0016161C"/>
    <w:rsid w:val="00165780"/>
    <w:rsid w:val="00172886"/>
    <w:rsid w:val="00190B42"/>
    <w:rsid w:val="00194006"/>
    <w:rsid w:val="00197456"/>
    <w:rsid w:val="00197C37"/>
    <w:rsid w:val="001C3524"/>
    <w:rsid w:val="001D28F6"/>
    <w:rsid w:val="001D67A1"/>
    <w:rsid w:val="001E279C"/>
    <w:rsid w:val="00201201"/>
    <w:rsid w:val="00215B89"/>
    <w:rsid w:val="00217A7F"/>
    <w:rsid w:val="00231A9D"/>
    <w:rsid w:val="002356A9"/>
    <w:rsid w:val="00250263"/>
    <w:rsid w:val="00251DD5"/>
    <w:rsid w:val="00255732"/>
    <w:rsid w:val="00265E1A"/>
    <w:rsid w:val="00274A37"/>
    <w:rsid w:val="00277A1D"/>
    <w:rsid w:val="00282038"/>
    <w:rsid w:val="00286878"/>
    <w:rsid w:val="002E6F0C"/>
    <w:rsid w:val="002E7448"/>
    <w:rsid w:val="002F0D60"/>
    <w:rsid w:val="002F7B06"/>
    <w:rsid w:val="003230E6"/>
    <w:rsid w:val="00327B3F"/>
    <w:rsid w:val="00337F49"/>
    <w:rsid w:val="0034382E"/>
    <w:rsid w:val="00350A90"/>
    <w:rsid w:val="00355E5E"/>
    <w:rsid w:val="0036458C"/>
    <w:rsid w:val="003752DD"/>
    <w:rsid w:val="00376EBC"/>
    <w:rsid w:val="003808A5"/>
    <w:rsid w:val="00387E6D"/>
    <w:rsid w:val="003909F6"/>
    <w:rsid w:val="00390A74"/>
    <w:rsid w:val="003A2024"/>
    <w:rsid w:val="003A664B"/>
    <w:rsid w:val="003A7B0B"/>
    <w:rsid w:val="003B570E"/>
    <w:rsid w:val="003B7CAC"/>
    <w:rsid w:val="003C4F0D"/>
    <w:rsid w:val="003C7D3B"/>
    <w:rsid w:val="003E18BD"/>
    <w:rsid w:val="00404127"/>
    <w:rsid w:val="004135F0"/>
    <w:rsid w:val="004253A1"/>
    <w:rsid w:val="00430A30"/>
    <w:rsid w:val="00443B06"/>
    <w:rsid w:val="00454D14"/>
    <w:rsid w:val="004B187B"/>
    <w:rsid w:val="004C4FAD"/>
    <w:rsid w:val="004C53AF"/>
    <w:rsid w:val="004E7007"/>
    <w:rsid w:val="004E783F"/>
    <w:rsid w:val="004F4A15"/>
    <w:rsid w:val="00500C6E"/>
    <w:rsid w:val="00507619"/>
    <w:rsid w:val="00515A29"/>
    <w:rsid w:val="00545F4F"/>
    <w:rsid w:val="005640D6"/>
    <w:rsid w:val="005648C7"/>
    <w:rsid w:val="00573D0E"/>
    <w:rsid w:val="00574DF9"/>
    <w:rsid w:val="005867DC"/>
    <w:rsid w:val="005869FD"/>
    <w:rsid w:val="00592046"/>
    <w:rsid w:val="005A4150"/>
    <w:rsid w:val="005B398A"/>
    <w:rsid w:val="005D206D"/>
    <w:rsid w:val="005E1CAC"/>
    <w:rsid w:val="005F462F"/>
    <w:rsid w:val="006049D2"/>
    <w:rsid w:val="0061368A"/>
    <w:rsid w:val="00614246"/>
    <w:rsid w:val="0062709E"/>
    <w:rsid w:val="006301A6"/>
    <w:rsid w:val="00637079"/>
    <w:rsid w:val="00652B3D"/>
    <w:rsid w:val="00654C0D"/>
    <w:rsid w:val="006553B7"/>
    <w:rsid w:val="00655CB4"/>
    <w:rsid w:val="00657D15"/>
    <w:rsid w:val="00660539"/>
    <w:rsid w:val="00675A04"/>
    <w:rsid w:val="006771D0"/>
    <w:rsid w:val="00694F3B"/>
    <w:rsid w:val="006A5943"/>
    <w:rsid w:val="006C1BAB"/>
    <w:rsid w:val="006D1270"/>
    <w:rsid w:val="006D2605"/>
    <w:rsid w:val="006F14CE"/>
    <w:rsid w:val="006F1704"/>
    <w:rsid w:val="007035D3"/>
    <w:rsid w:val="00712E94"/>
    <w:rsid w:val="007204D9"/>
    <w:rsid w:val="00745506"/>
    <w:rsid w:val="00746CDC"/>
    <w:rsid w:val="00753E76"/>
    <w:rsid w:val="007557F0"/>
    <w:rsid w:val="00760EC1"/>
    <w:rsid w:val="0076116F"/>
    <w:rsid w:val="00764A06"/>
    <w:rsid w:val="00774043"/>
    <w:rsid w:val="00777D26"/>
    <w:rsid w:val="00780B5C"/>
    <w:rsid w:val="007856B7"/>
    <w:rsid w:val="007C4958"/>
    <w:rsid w:val="007D3384"/>
    <w:rsid w:val="007D7E4E"/>
    <w:rsid w:val="007E1BBC"/>
    <w:rsid w:val="007E5755"/>
    <w:rsid w:val="007E6F6C"/>
    <w:rsid w:val="00805DE7"/>
    <w:rsid w:val="00810A1A"/>
    <w:rsid w:val="00823600"/>
    <w:rsid w:val="00851D5B"/>
    <w:rsid w:val="008544F7"/>
    <w:rsid w:val="00892C71"/>
    <w:rsid w:val="00895975"/>
    <w:rsid w:val="008962E5"/>
    <w:rsid w:val="008C2683"/>
    <w:rsid w:val="008C288B"/>
    <w:rsid w:val="008C7ABE"/>
    <w:rsid w:val="008D3C1C"/>
    <w:rsid w:val="009062B6"/>
    <w:rsid w:val="00915809"/>
    <w:rsid w:val="0093751A"/>
    <w:rsid w:val="009536BF"/>
    <w:rsid w:val="00960F4D"/>
    <w:rsid w:val="00964EFB"/>
    <w:rsid w:val="00967F12"/>
    <w:rsid w:val="0098278F"/>
    <w:rsid w:val="009853A7"/>
    <w:rsid w:val="00996089"/>
    <w:rsid w:val="009971E7"/>
    <w:rsid w:val="009A23D9"/>
    <w:rsid w:val="009A3D4E"/>
    <w:rsid w:val="009B660A"/>
    <w:rsid w:val="009E32F6"/>
    <w:rsid w:val="009F0B48"/>
    <w:rsid w:val="00A22B71"/>
    <w:rsid w:val="00A24E31"/>
    <w:rsid w:val="00A42C9F"/>
    <w:rsid w:val="00A43F4A"/>
    <w:rsid w:val="00A453D8"/>
    <w:rsid w:val="00A519DB"/>
    <w:rsid w:val="00A65456"/>
    <w:rsid w:val="00A83798"/>
    <w:rsid w:val="00AA772B"/>
    <w:rsid w:val="00AB0543"/>
    <w:rsid w:val="00AB3DE0"/>
    <w:rsid w:val="00AB4F6B"/>
    <w:rsid w:val="00AC09AF"/>
    <w:rsid w:val="00AC22DE"/>
    <w:rsid w:val="00AC2DFF"/>
    <w:rsid w:val="00AC7C3C"/>
    <w:rsid w:val="00AD7D0B"/>
    <w:rsid w:val="00AF0FC9"/>
    <w:rsid w:val="00B00799"/>
    <w:rsid w:val="00B00B11"/>
    <w:rsid w:val="00B10557"/>
    <w:rsid w:val="00B14008"/>
    <w:rsid w:val="00B22546"/>
    <w:rsid w:val="00B30925"/>
    <w:rsid w:val="00B3617A"/>
    <w:rsid w:val="00B41614"/>
    <w:rsid w:val="00B507CD"/>
    <w:rsid w:val="00B56A38"/>
    <w:rsid w:val="00B773FD"/>
    <w:rsid w:val="00B850BC"/>
    <w:rsid w:val="00BA0933"/>
    <w:rsid w:val="00BB680C"/>
    <w:rsid w:val="00BC0184"/>
    <w:rsid w:val="00BC4F4B"/>
    <w:rsid w:val="00BD5D6B"/>
    <w:rsid w:val="00BE2AD5"/>
    <w:rsid w:val="00BE3B3C"/>
    <w:rsid w:val="00BF167A"/>
    <w:rsid w:val="00BF43DF"/>
    <w:rsid w:val="00C2045B"/>
    <w:rsid w:val="00C22BF8"/>
    <w:rsid w:val="00C27954"/>
    <w:rsid w:val="00C45BB7"/>
    <w:rsid w:val="00CC023A"/>
    <w:rsid w:val="00CC041B"/>
    <w:rsid w:val="00CE5D0A"/>
    <w:rsid w:val="00CF240C"/>
    <w:rsid w:val="00D04FE3"/>
    <w:rsid w:val="00D069E8"/>
    <w:rsid w:val="00D32C66"/>
    <w:rsid w:val="00D32E9A"/>
    <w:rsid w:val="00D47F74"/>
    <w:rsid w:val="00D5254A"/>
    <w:rsid w:val="00D56C0B"/>
    <w:rsid w:val="00D61B09"/>
    <w:rsid w:val="00D710DE"/>
    <w:rsid w:val="00D80C4C"/>
    <w:rsid w:val="00DB256E"/>
    <w:rsid w:val="00DB47E4"/>
    <w:rsid w:val="00DC1941"/>
    <w:rsid w:val="00DE0E01"/>
    <w:rsid w:val="00DF63BD"/>
    <w:rsid w:val="00E03810"/>
    <w:rsid w:val="00E16752"/>
    <w:rsid w:val="00E37731"/>
    <w:rsid w:val="00E41BEE"/>
    <w:rsid w:val="00E47835"/>
    <w:rsid w:val="00E51E62"/>
    <w:rsid w:val="00E54491"/>
    <w:rsid w:val="00E807C9"/>
    <w:rsid w:val="00E81AC5"/>
    <w:rsid w:val="00E83A6A"/>
    <w:rsid w:val="00E83F24"/>
    <w:rsid w:val="00E9428F"/>
    <w:rsid w:val="00EB6047"/>
    <w:rsid w:val="00EB6512"/>
    <w:rsid w:val="00EB6D4E"/>
    <w:rsid w:val="00EC0B41"/>
    <w:rsid w:val="00EC4E4F"/>
    <w:rsid w:val="00ED0045"/>
    <w:rsid w:val="00ED10FF"/>
    <w:rsid w:val="00ED4127"/>
    <w:rsid w:val="00ED7446"/>
    <w:rsid w:val="00EE02DE"/>
    <w:rsid w:val="00EE4C99"/>
    <w:rsid w:val="00EE64DF"/>
    <w:rsid w:val="00EE711C"/>
    <w:rsid w:val="00EF0BD4"/>
    <w:rsid w:val="00EF55F9"/>
    <w:rsid w:val="00F105D1"/>
    <w:rsid w:val="00F16394"/>
    <w:rsid w:val="00F44768"/>
    <w:rsid w:val="00F778DA"/>
    <w:rsid w:val="00F84EDD"/>
    <w:rsid w:val="00F86691"/>
    <w:rsid w:val="00F90C8D"/>
    <w:rsid w:val="00FB5269"/>
    <w:rsid w:val="00FB7971"/>
    <w:rsid w:val="00FC1346"/>
    <w:rsid w:val="00FD6BED"/>
    <w:rsid w:val="00FE24E6"/>
    <w:rsid w:val="00FE52ED"/>
    <w:rsid w:val="00FE60F7"/>
    <w:rsid w:val="00FF7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C938D"/>
  <w15:chartTrackingRefBased/>
  <w15:docId w15:val="{4A764FA0-20B8-FA43-BC9C-7A583F20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111C5"/>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60F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E60F7"/>
  </w:style>
  <w:style w:type="paragraph" w:styleId="ListParagraph">
    <w:name w:val="List Paragraph"/>
    <w:basedOn w:val="Normal"/>
    <w:uiPriority w:val="34"/>
    <w:qFormat/>
    <w:rsid w:val="005E1CAC"/>
    <w:pPr>
      <w:ind w:left="720"/>
      <w:contextualSpacing/>
    </w:pPr>
  </w:style>
  <w:style w:type="character" w:styleId="Hyperlink">
    <w:name w:val="Hyperlink"/>
    <w:basedOn w:val="DefaultParagraphFont"/>
    <w:uiPriority w:val="99"/>
    <w:semiHidden/>
    <w:unhideWhenUsed/>
    <w:rsid w:val="008962E5"/>
    <w:rPr>
      <w:color w:val="0000FF"/>
      <w:u w:val="single"/>
    </w:rPr>
  </w:style>
  <w:style w:type="paragraph" w:styleId="BalloonText">
    <w:name w:val="Balloon Text"/>
    <w:basedOn w:val="Normal"/>
    <w:link w:val="BalloonTextChar"/>
    <w:uiPriority w:val="99"/>
    <w:semiHidden/>
    <w:unhideWhenUsed/>
    <w:rsid w:val="001E279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279C"/>
    <w:rPr>
      <w:rFonts w:ascii="Times New Roman" w:hAnsi="Times New Roman" w:cs="Times New Roman"/>
      <w:sz w:val="18"/>
      <w:szCs w:val="18"/>
    </w:rPr>
  </w:style>
  <w:style w:type="table" w:styleId="TableGrid">
    <w:name w:val="Table Grid"/>
    <w:basedOn w:val="TableNormal"/>
    <w:uiPriority w:val="39"/>
    <w:rsid w:val="009F0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111C5"/>
    <w:rPr>
      <w:rFonts w:ascii="Times New Roman" w:eastAsia="Times New Roman" w:hAnsi="Times New Roman" w:cs="Times New Roman"/>
      <w:b/>
      <w:bCs/>
      <w:sz w:val="36"/>
      <w:szCs w:val="36"/>
      <w:lang w:eastAsia="en-GB"/>
    </w:rPr>
  </w:style>
  <w:style w:type="paragraph" w:styleId="Footer">
    <w:name w:val="footer"/>
    <w:basedOn w:val="Normal"/>
    <w:link w:val="FooterChar"/>
    <w:uiPriority w:val="99"/>
    <w:unhideWhenUsed/>
    <w:rsid w:val="00EF55F9"/>
    <w:pPr>
      <w:tabs>
        <w:tab w:val="center" w:pos="4513"/>
        <w:tab w:val="right" w:pos="9026"/>
      </w:tabs>
    </w:pPr>
  </w:style>
  <w:style w:type="character" w:customStyle="1" w:styleId="FooterChar">
    <w:name w:val="Footer Char"/>
    <w:basedOn w:val="DefaultParagraphFont"/>
    <w:link w:val="Footer"/>
    <w:uiPriority w:val="99"/>
    <w:rsid w:val="00EF55F9"/>
  </w:style>
  <w:style w:type="character" w:styleId="PageNumber">
    <w:name w:val="page number"/>
    <w:basedOn w:val="DefaultParagraphFont"/>
    <w:uiPriority w:val="99"/>
    <w:semiHidden/>
    <w:unhideWhenUsed/>
    <w:rsid w:val="00EF55F9"/>
  </w:style>
  <w:style w:type="paragraph" w:styleId="NoSpacing">
    <w:name w:val="No Spacing"/>
    <w:link w:val="NoSpacingChar"/>
    <w:uiPriority w:val="1"/>
    <w:qFormat/>
    <w:rsid w:val="00EF55F9"/>
    <w:rPr>
      <w:rFonts w:eastAsiaTheme="minorEastAsia"/>
      <w:sz w:val="22"/>
      <w:szCs w:val="22"/>
      <w:lang w:val="en-US" w:eastAsia="zh-CN"/>
    </w:rPr>
  </w:style>
  <w:style w:type="character" w:customStyle="1" w:styleId="NoSpacingChar">
    <w:name w:val="No Spacing Char"/>
    <w:basedOn w:val="DefaultParagraphFont"/>
    <w:link w:val="NoSpacing"/>
    <w:uiPriority w:val="1"/>
    <w:rsid w:val="00EF55F9"/>
    <w:rPr>
      <w:rFonts w:eastAsiaTheme="minorEastAsia"/>
      <w:sz w:val="22"/>
      <w:szCs w:val="22"/>
      <w:lang w:val="en-US" w:eastAsia="zh-CN"/>
    </w:rPr>
  </w:style>
  <w:style w:type="character" w:styleId="CommentReference">
    <w:name w:val="annotation reference"/>
    <w:basedOn w:val="DefaultParagraphFont"/>
    <w:uiPriority w:val="99"/>
    <w:semiHidden/>
    <w:unhideWhenUsed/>
    <w:rsid w:val="00BE2AD5"/>
    <w:rPr>
      <w:sz w:val="16"/>
      <w:szCs w:val="16"/>
    </w:rPr>
  </w:style>
  <w:style w:type="paragraph" w:styleId="CommentText">
    <w:name w:val="annotation text"/>
    <w:basedOn w:val="Normal"/>
    <w:link w:val="CommentTextChar"/>
    <w:uiPriority w:val="99"/>
    <w:unhideWhenUsed/>
    <w:rsid w:val="00BE2AD5"/>
    <w:rPr>
      <w:sz w:val="20"/>
      <w:szCs w:val="20"/>
    </w:rPr>
  </w:style>
  <w:style w:type="character" w:customStyle="1" w:styleId="CommentTextChar">
    <w:name w:val="Comment Text Char"/>
    <w:basedOn w:val="DefaultParagraphFont"/>
    <w:link w:val="CommentText"/>
    <w:uiPriority w:val="99"/>
    <w:rsid w:val="00BE2AD5"/>
    <w:rPr>
      <w:sz w:val="20"/>
      <w:szCs w:val="20"/>
    </w:rPr>
  </w:style>
  <w:style w:type="paragraph" w:styleId="CommentSubject">
    <w:name w:val="annotation subject"/>
    <w:basedOn w:val="CommentText"/>
    <w:next w:val="CommentText"/>
    <w:link w:val="CommentSubjectChar"/>
    <w:uiPriority w:val="99"/>
    <w:semiHidden/>
    <w:unhideWhenUsed/>
    <w:rsid w:val="00BE2AD5"/>
    <w:rPr>
      <w:b/>
      <w:bCs/>
    </w:rPr>
  </w:style>
  <w:style w:type="character" w:customStyle="1" w:styleId="CommentSubjectChar">
    <w:name w:val="Comment Subject Char"/>
    <w:basedOn w:val="CommentTextChar"/>
    <w:link w:val="CommentSubject"/>
    <w:uiPriority w:val="99"/>
    <w:semiHidden/>
    <w:rsid w:val="00BE2A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7887560">
      <w:bodyDiv w:val="1"/>
      <w:marLeft w:val="0"/>
      <w:marRight w:val="0"/>
      <w:marTop w:val="0"/>
      <w:marBottom w:val="0"/>
      <w:divBdr>
        <w:top w:val="none" w:sz="0" w:space="0" w:color="auto"/>
        <w:left w:val="none" w:sz="0" w:space="0" w:color="auto"/>
        <w:bottom w:val="none" w:sz="0" w:space="0" w:color="auto"/>
        <w:right w:val="none" w:sz="0" w:space="0" w:color="auto"/>
      </w:divBdr>
    </w:div>
    <w:div w:id="811872870">
      <w:bodyDiv w:val="1"/>
      <w:marLeft w:val="0"/>
      <w:marRight w:val="0"/>
      <w:marTop w:val="0"/>
      <w:marBottom w:val="0"/>
      <w:divBdr>
        <w:top w:val="none" w:sz="0" w:space="0" w:color="auto"/>
        <w:left w:val="none" w:sz="0" w:space="0" w:color="auto"/>
        <w:bottom w:val="none" w:sz="0" w:space="0" w:color="auto"/>
        <w:right w:val="none" w:sz="0" w:space="0" w:color="auto"/>
      </w:divBdr>
    </w:div>
    <w:div w:id="1250432627">
      <w:bodyDiv w:val="1"/>
      <w:marLeft w:val="0"/>
      <w:marRight w:val="0"/>
      <w:marTop w:val="0"/>
      <w:marBottom w:val="0"/>
      <w:divBdr>
        <w:top w:val="none" w:sz="0" w:space="0" w:color="auto"/>
        <w:left w:val="none" w:sz="0" w:space="0" w:color="auto"/>
        <w:bottom w:val="none" w:sz="0" w:space="0" w:color="auto"/>
        <w:right w:val="none" w:sz="0" w:space="0" w:color="auto"/>
      </w:divBdr>
    </w:div>
    <w:div w:id="1825969455">
      <w:bodyDiv w:val="1"/>
      <w:marLeft w:val="0"/>
      <w:marRight w:val="0"/>
      <w:marTop w:val="0"/>
      <w:marBottom w:val="0"/>
      <w:divBdr>
        <w:top w:val="none" w:sz="0" w:space="0" w:color="auto"/>
        <w:left w:val="none" w:sz="0" w:space="0" w:color="auto"/>
        <w:bottom w:val="none" w:sz="0" w:space="0" w:color="auto"/>
        <w:right w:val="none" w:sz="0" w:space="0" w:color="auto"/>
      </w:divBdr>
    </w:div>
    <w:div w:id="213451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1.jpe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ntTable" Target="fontTable.xml"/><Relationship Id="rId19" Type="http://schemas.openxmlformats.org/officeDocument/2006/relationships/image" Target="media/image2.emf"/><Relationship Id="rId4" Type="http://schemas.openxmlformats.org/officeDocument/2006/relationships/settings" Target="settings.xml"/><Relationship Id="rId14" Type="http://schemas.openxmlformats.org/officeDocument/2006/relationships/image" Target="file:////var/folders/tc/wh0gl0_150j12mx8dhqmfwz00000gp/T/com.microsoft.Word/WebArchiveCopyPasteTempFiles/Ratio-types-explanation.jpg" TargetMode="Externa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rie/Documents/Financial%20Analysis%20Report%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rie/Documents/Financial%20Analysis%20Report%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irie/Documents/Financial%20Analysis%20Report%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irie/Documents/Financial%20Analysis%20Report%20Workshee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Profitability</a:t>
            </a:r>
            <a:r>
              <a:rPr lang="en-GB" baseline="0"/>
              <a:t> Indications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Sheet1!$A$33</c:f>
              <c:strCache>
                <c:ptCount val="1"/>
                <c:pt idx="0">
                  <c:v>ROCE</c:v>
                </c:pt>
              </c:strCache>
            </c:strRef>
          </c:tx>
          <c:spPr>
            <a:solidFill>
              <a:schemeClr val="accent2"/>
            </a:solidFill>
            <a:ln>
              <a:noFill/>
            </a:ln>
            <a:effectLst/>
          </c:spPr>
          <c:invertIfNegative val="0"/>
          <c:cat>
            <c:strRef>
              <c:f>Sheet1!$B$31:$E$31</c:f>
              <c:strCache>
                <c:ptCount val="4"/>
                <c:pt idx="0">
                  <c:v>2019</c:v>
                </c:pt>
                <c:pt idx="1">
                  <c:v>2018</c:v>
                </c:pt>
                <c:pt idx="2">
                  <c:v>Difference</c:v>
                </c:pt>
                <c:pt idx="3">
                  <c:v>Performance</c:v>
                </c:pt>
              </c:strCache>
            </c:strRef>
          </c:cat>
          <c:val>
            <c:numRef>
              <c:f>Sheet1!$B$33:$E$33</c:f>
              <c:numCache>
                <c:formatCode>0.0</c:formatCode>
                <c:ptCount val="4"/>
                <c:pt idx="0">
                  <c:v>70.785540493569684</c:v>
                </c:pt>
                <c:pt idx="1">
                  <c:v>71.879483500717356</c:v>
                </c:pt>
                <c:pt idx="2">
                  <c:v>-1.0939430071476721</c:v>
                </c:pt>
                <c:pt idx="3">
                  <c:v>-1.0939430071476721</c:v>
                </c:pt>
              </c:numCache>
            </c:numRef>
          </c:val>
          <c:extLst>
            <c:ext xmlns:c16="http://schemas.microsoft.com/office/drawing/2014/chart" uri="{C3380CC4-5D6E-409C-BE32-E72D297353CC}">
              <c16:uniqueId val="{00000000-EE97-2145-99D7-5450F4332530}"/>
            </c:ext>
          </c:extLst>
        </c:ser>
        <c:ser>
          <c:idx val="2"/>
          <c:order val="2"/>
          <c:tx>
            <c:strRef>
              <c:f>Sheet1!$A$34</c:f>
              <c:strCache>
                <c:ptCount val="1"/>
                <c:pt idx="0">
                  <c:v>Asset turnover</c:v>
                </c:pt>
              </c:strCache>
            </c:strRef>
          </c:tx>
          <c:spPr>
            <a:solidFill>
              <a:schemeClr val="accent3"/>
            </a:solidFill>
            <a:ln>
              <a:noFill/>
            </a:ln>
            <a:effectLst/>
          </c:spPr>
          <c:invertIfNegative val="0"/>
          <c:cat>
            <c:strRef>
              <c:f>Sheet1!$B$31:$E$31</c:f>
              <c:strCache>
                <c:ptCount val="4"/>
                <c:pt idx="0">
                  <c:v>2019</c:v>
                </c:pt>
                <c:pt idx="1">
                  <c:v>2018</c:v>
                </c:pt>
                <c:pt idx="2">
                  <c:v>Difference</c:v>
                </c:pt>
                <c:pt idx="3">
                  <c:v>Performance</c:v>
                </c:pt>
              </c:strCache>
            </c:strRef>
          </c:cat>
          <c:val>
            <c:numRef>
              <c:f>Sheet1!$B$34:$E$34</c:f>
              <c:numCache>
                <c:formatCode>0.00</c:formatCode>
                <c:ptCount val="4"/>
                <c:pt idx="0">
                  <c:v>1.0427528675703859</c:v>
                </c:pt>
                <c:pt idx="1">
                  <c:v>0.98637015781922521</c:v>
                </c:pt>
                <c:pt idx="2">
                  <c:v>5.6382709751160665E-2</c:v>
                </c:pt>
                <c:pt idx="3" formatCode="0.0">
                  <c:v>5.7161816285903981</c:v>
                </c:pt>
              </c:numCache>
            </c:numRef>
          </c:val>
          <c:extLst>
            <c:ext xmlns:c16="http://schemas.microsoft.com/office/drawing/2014/chart" uri="{C3380CC4-5D6E-409C-BE32-E72D297353CC}">
              <c16:uniqueId val="{00000001-EE97-2145-99D7-5450F4332530}"/>
            </c:ext>
          </c:extLst>
        </c:ser>
        <c:ser>
          <c:idx val="3"/>
          <c:order val="3"/>
          <c:tx>
            <c:strRef>
              <c:f>Sheet1!$A$35</c:f>
              <c:strCache>
                <c:ptCount val="1"/>
                <c:pt idx="0">
                  <c:v>Gross profit </c:v>
                </c:pt>
              </c:strCache>
            </c:strRef>
          </c:tx>
          <c:spPr>
            <a:solidFill>
              <a:schemeClr val="accent4"/>
            </a:solidFill>
            <a:ln>
              <a:noFill/>
            </a:ln>
            <a:effectLst/>
          </c:spPr>
          <c:invertIfNegative val="0"/>
          <c:cat>
            <c:strRef>
              <c:f>Sheet1!$B$31:$E$31</c:f>
              <c:strCache>
                <c:ptCount val="4"/>
                <c:pt idx="0">
                  <c:v>2019</c:v>
                </c:pt>
                <c:pt idx="1">
                  <c:v>2018</c:v>
                </c:pt>
                <c:pt idx="2">
                  <c:v>Difference</c:v>
                </c:pt>
                <c:pt idx="3">
                  <c:v>Performance</c:v>
                </c:pt>
              </c:strCache>
            </c:strRef>
          </c:cat>
          <c:val>
            <c:numRef>
              <c:f>Sheet1!$B$35:$E$35</c:f>
              <c:numCache>
                <c:formatCode>0.0</c:formatCode>
                <c:ptCount val="4"/>
                <c:pt idx="0">
                  <c:v>85.833333333333329</c:v>
                </c:pt>
                <c:pt idx="1">
                  <c:v>91.818181818181813</c:v>
                </c:pt>
                <c:pt idx="2">
                  <c:v>-5.9848484848484844</c:v>
                </c:pt>
                <c:pt idx="3">
                  <c:v>-5.9848484848484844</c:v>
                </c:pt>
              </c:numCache>
            </c:numRef>
          </c:val>
          <c:extLst>
            <c:ext xmlns:c16="http://schemas.microsoft.com/office/drawing/2014/chart" uri="{C3380CC4-5D6E-409C-BE32-E72D297353CC}">
              <c16:uniqueId val="{00000002-EE97-2145-99D7-5450F4332530}"/>
            </c:ext>
          </c:extLst>
        </c:ser>
        <c:ser>
          <c:idx val="4"/>
          <c:order val="4"/>
          <c:tx>
            <c:strRef>
              <c:f>Sheet1!$A$36</c:f>
              <c:strCache>
                <c:ptCount val="1"/>
                <c:pt idx="0">
                  <c:v>Net operating profit </c:v>
                </c:pt>
              </c:strCache>
            </c:strRef>
          </c:tx>
          <c:spPr>
            <a:solidFill>
              <a:schemeClr val="accent5"/>
            </a:solidFill>
            <a:ln>
              <a:noFill/>
            </a:ln>
            <a:effectLst/>
          </c:spPr>
          <c:invertIfNegative val="0"/>
          <c:cat>
            <c:strRef>
              <c:f>Sheet1!$B$31:$E$31</c:f>
              <c:strCache>
                <c:ptCount val="4"/>
                <c:pt idx="0">
                  <c:v>2019</c:v>
                </c:pt>
                <c:pt idx="1">
                  <c:v>2018</c:v>
                </c:pt>
                <c:pt idx="2">
                  <c:v>Difference</c:v>
                </c:pt>
                <c:pt idx="3">
                  <c:v>Performance</c:v>
                </c:pt>
              </c:strCache>
            </c:strRef>
          </c:cat>
          <c:val>
            <c:numRef>
              <c:f>Sheet1!$B$36:$E$36</c:f>
              <c:numCache>
                <c:formatCode>0.0</c:formatCode>
                <c:ptCount val="4"/>
                <c:pt idx="0">
                  <c:v>67.88333333333334</c:v>
                </c:pt>
                <c:pt idx="1">
                  <c:v>72.872727272727275</c:v>
                </c:pt>
                <c:pt idx="2">
                  <c:v>-4.9893939393939348</c:v>
                </c:pt>
                <c:pt idx="3">
                  <c:v>-4.9893939393939348</c:v>
                </c:pt>
              </c:numCache>
            </c:numRef>
          </c:val>
          <c:extLst>
            <c:ext xmlns:c16="http://schemas.microsoft.com/office/drawing/2014/chart" uri="{C3380CC4-5D6E-409C-BE32-E72D297353CC}">
              <c16:uniqueId val="{00000003-EE97-2145-99D7-5450F4332530}"/>
            </c:ext>
          </c:extLst>
        </c:ser>
        <c:dLbls>
          <c:showLegendKey val="0"/>
          <c:showVal val="0"/>
          <c:showCatName val="0"/>
          <c:showSerName val="0"/>
          <c:showPercent val="0"/>
          <c:showBubbleSize val="0"/>
        </c:dLbls>
        <c:gapWidth val="219"/>
        <c:overlap val="-27"/>
        <c:axId val="308393824"/>
        <c:axId val="308395456"/>
        <c:extLst>
          <c:ext xmlns:c15="http://schemas.microsoft.com/office/drawing/2012/chart" uri="{02D57815-91ED-43cb-92C2-25804820EDAC}">
            <c15:filteredBarSeries>
              <c15:ser>
                <c:idx val="0"/>
                <c:order val="0"/>
                <c:tx>
                  <c:strRef>
                    <c:extLst>
                      <c:ext uri="{02D57815-91ED-43cb-92C2-25804820EDAC}">
                        <c15:formulaRef>
                          <c15:sqref>Sheet1!$A$32</c15:sqref>
                        </c15:formulaRef>
                      </c:ext>
                    </c:extLst>
                    <c:strCache>
                      <c:ptCount val="1"/>
                      <c:pt idx="0">
                        <c:v>Profitability ratios</c:v>
                      </c:pt>
                    </c:strCache>
                  </c:strRef>
                </c:tx>
                <c:spPr>
                  <a:solidFill>
                    <a:schemeClr val="accent1"/>
                  </a:solidFill>
                  <a:ln>
                    <a:noFill/>
                  </a:ln>
                  <a:effectLst/>
                </c:spPr>
                <c:invertIfNegative val="0"/>
                <c:cat>
                  <c:strRef>
                    <c:extLst>
                      <c:ext uri="{02D57815-91ED-43cb-92C2-25804820EDAC}">
                        <c15:formulaRef>
                          <c15:sqref>Sheet1!$B$31:$E$31</c15:sqref>
                        </c15:formulaRef>
                      </c:ext>
                    </c:extLst>
                    <c:strCache>
                      <c:ptCount val="4"/>
                      <c:pt idx="0">
                        <c:v>2019</c:v>
                      </c:pt>
                      <c:pt idx="1">
                        <c:v>2018</c:v>
                      </c:pt>
                      <c:pt idx="2">
                        <c:v>Difference</c:v>
                      </c:pt>
                      <c:pt idx="3">
                        <c:v>Performance</c:v>
                      </c:pt>
                    </c:strCache>
                  </c:strRef>
                </c:cat>
                <c:val>
                  <c:numRef>
                    <c:extLst>
                      <c:ext uri="{02D57815-91ED-43cb-92C2-25804820EDAC}">
                        <c15:formulaRef>
                          <c15:sqref>Sheet1!$B$32:$E$32</c15:sqref>
                        </c15:formulaRef>
                      </c:ext>
                    </c:extLst>
                    <c:numCache>
                      <c:formatCode>General</c:formatCode>
                      <c:ptCount val="4"/>
                    </c:numCache>
                  </c:numRef>
                </c:val>
                <c:extLst>
                  <c:ext xmlns:c16="http://schemas.microsoft.com/office/drawing/2014/chart" uri="{C3380CC4-5D6E-409C-BE32-E72D297353CC}">
                    <c16:uniqueId val="{00000004-EE97-2145-99D7-5450F4332530}"/>
                  </c:ext>
                </c:extLst>
              </c15:ser>
            </c15:filteredBarSeries>
          </c:ext>
        </c:extLst>
      </c:barChart>
      <c:catAx>
        <c:axId val="30839382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395456"/>
        <c:crosses val="autoZero"/>
        <c:auto val="1"/>
        <c:lblAlgn val="ctr"/>
        <c:lblOffset val="100"/>
        <c:noMultiLvlLbl val="0"/>
      </c:catAx>
      <c:valAx>
        <c:axId val="30839545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393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a:t>
            </a:r>
            <a:r>
              <a:rPr lang="en-GB" baseline="0"/>
              <a:t> Indication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Sheet1!$A$39</c:f>
              <c:strCache>
                <c:ptCount val="1"/>
                <c:pt idx="0">
                  <c:v>Non-current asset turnover</c:v>
                </c:pt>
              </c:strCache>
            </c:strRef>
          </c:tx>
          <c:spPr>
            <a:solidFill>
              <a:schemeClr val="accent2"/>
            </a:solidFill>
            <a:ln>
              <a:noFill/>
            </a:ln>
            <a:effectLst/>
          </c:spPr>
          <c:invertIfNegative val="0"/>
          <c:val>
            <c:numRef>
              <c:f>Sheet1!$B$39:$E$39</c:f>
              <c:numCache>
                <c:formatCode>0.00</c:formatCode>
                <c:ptCount val="4"/>
                <c:pt idx="0">
                  <c:v>1.2903225806451613</c:v>
                </c:pt>
                <c:pt idx="1">
                  <c:v>1.2222222222222223</c:v>
                </c:pt>
                <c:pt idx="2">
                  <c:v>6.8100358422938934E-2</c:v>
                </c:pt>
                <c:pt idx="3" formatCode="0.0">
                  <c:v>5.5718475073313671</c:v>
                </c:pt>
              </c:numCache>
            </c:numRef>
          </c:val>
          <c:extLst>
            <c:ext xmlns:c16="http://schemas.microsoft.com/office/drawing/2014/chart" uri="{C3380CC4-5D6E-409C-BE32-E72D297353CC}">
              <c16:uniqueId val="{00000000-0E1F-E245-9C7D-4E8909AAED6C}"/>
            </c:ext>
          </c:extLst>
        </c:ser>
        <c:ser>
          <c:idx val="2"/>
          <c:order val="2"/>
          <c:tx>
            <c:strRef>
              <c:f>Sheet1!$A$40</c:f>
              <c:strCache>
                <c:ptCount val="1"/>
                <c:pt idx="0">
                  <c:v>Inventory turnover (days)</c:v>
                </c:pt>
              </c:strCache>
            </c:strRef>
          </c:tx>
          <c:spPr>
            <a:solidFill>
              <a:schemeClr val="accent3"/>
            </a:solidFill>
            <a:ln>
              <a:noFill/>
            </a:ln>
            <a:effectLst/>
          </c:spPr>
          <c:invertIfNegative val="0"/>
          <c:val>
            <c:numRef>
              <c:f>Sheet1!$B$40:$E$40</c:f>
              <c:numCache>
                <c:formatCode>0.0</c:formatCode>
                <c:ptCount val="4"/>
                <c:pt idx="0">
                  <c:v>386.47058823529414</c:v>
                </c:pt>
                <c:pt idx="1">
                  <c:v>648.88888888888891</c:v>
                </c:pt>
                <c:pt idx="2">
                  <c:v>-262.41830065359477</c:v>
                </c:pt>
                <c:pt idx="3">
                  <c:v>-40.441176470588239</c:v>
                </c:pt>
              </c:numCache>
            </c:numRef>
          </c:val>
          <c:extLst>
            <c:ext xmlns:c16="http://schemas.microsoft.com/office/drawing/2014/chart" uri="{C3380CC4-5D6E-409C-BE32-E72D297353CC}">
              <c16:uniqueId val="{00000001-0E1F-E245-9C7D-4E8909AAED6C}"/>
            </c:ext>
          </c:extLst>
        </c:ser>
        <c:dLbls>
          <c:showLegendKey val="0"/>
          <c:showVal val="0"/>
          <c:showCatName val="0"/>
          <c:showSerName val="0"/>
          <c:showPercent val="0"/>
          <c:showBubbleSize val="0"/>
        </c:dLbls>
        <c:gapWidth val="219"/>
        <c:overlap val="-27"/>
        <c:axId val="273608848"/>
        <c:axId val="273610480"/>
        <c:extLst>
          <c:ext xmlns:c15="http://schemas.microsoft.com/office/drawing/2012/chart" uri="{02D57815-91ED-43cb-92C2-25804820EDAC}">
            <c15:filteredBarSeries>
              <c15:ser>
                <c:idx val="0"/>
                <c:order val="0"/>
                <c:tx>
                  <c:strRef>
                    <c:extLst>
                      <c:ext uri="{02D57815-91ED-43cb-92C2-25804820EDAC}">
                        <c15:formulaRef>
                          <c15:sqref>Sheet1!$A$38</c15:sqref>
                        </c15:formulaRef>
                      </c:ext>
                    </c:extLst>
                    <c:strCache>
                      <c:ptCount val="1"/>
                      <c:pt idx="0">
                        <c:v>Efficiency</c:v>
                      </c:pt>
                    </c:strCache>
                  </c:strRef>
                </c:tx>
                <c:spPr>
                  <a:solidFill>
                    <a:schemeClr val="accent1"/>
                  </a:solidFill>
                  <a:ln>
                    <a:noFill/>
                  </a:ln>
                  <a:effectLst/>
                </c:spPr>
                <c:invertIfNegative val="0"/>
                <c:val>
                  <c:numRef>
                    <c:extLst>
                      <c:ext uri="{02D57815-91ED-43cb-92C2-25804820EDAC}">
                        <c15:formulaRef>
                          <c15:sqref>Sheet1!$B$38:$E$38</c15:sqref>
                        </c15:formulaRef>
                      </c:ext>
                    </c:extLst>
                    <c:numCache>
                      <c:formatCode>General</c:formatCode>
                      <c:ptCount val="4"/>
                    </c:numCache>
                  </c:numRef>
                </c:val>
                <c:extLst>
                  <c:ext xmlns:c16="http://schemas.microsoft.com/office/drawing/2014/chart" uri="{C3380CC4-5D6E-409C-BE32-E72D297353CC}">
                    <c16:uniqueId val="{00000002-0E1F-E245-9C7D-4E8909AAED6C}"/>
                  </c:ext>
                </c:extLst>
              </c15:ser>
            </c15:filteredBarSeries>
          </c:ext>
        </c:extLst>
      </c:barChart>
      <c:catAx>
        <c:axId val="27360884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610480"/>
        <c:crosses val="autoZero"/>
        <c:auto val="1"/>
        <c:lblAlgn val="ctr"/>
        <c:lblOffset val="100"/>
        <c:noMultiLvlLbl val="0"/>
      </c:catAx>
      <c:valAx>
        <c:axId val="273610480"/>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608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Liquidity</a:t>
            </a:r>
            <a:r>
              <a:rPr lang="en-GB" baseline="0"/>
              <a:t> Indication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Sheet1!$A$43</c:f>
              <c:strCache>
                <c:ptCount val="1"/>
                <c:pt idx="0">
                  <c:v>Current ratio</c:v>
                </c:pt>
              </c:strCache>
            </c:strRef>
          </c:tx>
          <c:spPr>
            <a:solidFill>
              <a:schemeClr val="accent2"/>
            </a:solidFill>
            <a:ln>
              <a:noFill/>
            </a:ln>
            <a:effectLst/>
          </c:spPr>
          <c:invertIfNegative val="0"/>
          <c:val>
            <c:numRef>
              <c:f>Sheet1!$B$43:$E$43</c:f>
              <c:numCache>
                <c:formatCode>0.0</c:formatCode>
                <c:ptCount val="4"/>
                <c:pt idx="0">
                  <c:v>1.6831683168316831</c:v>
                </c:pt>
                <c:pt idx="1">
                  <c:v>1.8035847647498133</c:v>
                </c:pt>
                <c:pt idx="2" formatCode="0.00">
                  <c:v>-0.12041644791813022</c:v>
                </c:pt>
                <c:pt idx="3">
                  <c:v>-6.6765061599327682</c:v>
                </c:pt>
              </c:numCache>
            </c:numRef>
          </c:val>
          <c:extLst>
            <c:ext xmlns:c16="http://schemas.microsoft.com/office/drawing/2014/chart" uri="{C3380CC4-5D6E-409C-BE32-E72D297353CC}">
              <c16:uniqueId val="{00000000-83A4-2F4D-88CC-A4A788BD9A62}"/>
            </c:ext>
          </c:extLst>
        </c:ser>
        <c:ser>
          <c:idx val="2"/>
          <c:order val="2"/>
          <c:tx>
            <c:strRef>
              <c:f>Sheet1!$A$44</c:f>
              <c:strCache>
                <c:ptCount val="1"/>
                <c:pt idx="0">
                  <c:v>Acid test</c:v>
                </c:pt>
              </c:strCache>
            </c:strRef>
          </c:tx>
          <c:spPr>
            <a:solidFill>
              <a:schemeClr val="accent3"/>
            </a:solidFill>
            <a:ln>
              <a:noFill/>
            </a:ln>
            <a:effectLst/>
          </c:spPr>
          <c:invertIfNegative val="0"/>
          <c:val>
            <c:numRef>
              <c:f>Sheet1!$B$44:$E$44</c:f>
              <c:numCache>
                <c:formatCode>0.0</c:formatCode>
                <c:ptCount val="4"/>
                <c:pt idx="0">
                  <c:v>1.1262376237623761</c:v>
                </c:pt>
                <c:pt idx="1">
                  <c:v>1.2061239731142643</c:v>
                </c:pt>
                <c:pt idx="2" formatCode="0.00">
                  <c:v>-7.9886349351888208E-2</c:v>
                </c:pt>
                <c:pt idx="3">
                  <c:v>-6.6233945375961802</c:v>
                </c:pt>
              </c:numCache>
            </c:numRef>
          </c:val>
          <c:extLst>
            <c:ext xmlns:c16="http://schemas.microsoft.com/office/drawing/2014/chart" uri="{C3380CC4-5D6E-409C-BE32-E72D297353CC}">
              <c16:uniqueId val="{00000001-83A4-2F4D-88CC-A4A788BD9A62}"/>
            </c:ext>
          </c:extLst>
        </c:ser>
        <c:ser>
          <c:idx val="3"/>
          <c:order val="3"/>
          <c:tx>
            <c:strRef>
              <c:f>Sheet1!$A$45</c:f>
              <c:strCache>
                <c:ptCount val="1"/>
                <c:pt idx="0">
                  <c:v>Creditor days</c:v>
                </c:pt>
              </c:strCache>
            </c:strRef>
          </c:tx>
          <c:spPr>
            <a:solidFill>
              <a:schemeClr val="accent4"/>
            </a:solidFill>
            <a:ln>
              <a:noFill/>
            </a:ln>
            <a:effectLst/>
          </c:spPr>
          <c:invertIfNegative val="0"/>
          <c:val>
            <c:numRef>
              <c:f>Sheet1!$B$45:$E$45</c:f>
              <c:numCache>
                <c:formatCode>0.0</c:formatCode>
                <c:ptCount val="4"/>
                <c:pt idx="0">
                  <c:v>373.58823529411762</c:v>
                </c:pt>
                <c:pt idx="1">
                  <c:v>648.88888888888891</c:v>
                </c:pt>
                <c:pt idx="2">
                  <c:v>-275.30065359477129</c:v>
                </c:pt>
                <c:pt idx="3">
                  <c:v>-42.426470588235297</c:v>
                </c:pt>
              </c:numCache>
            </c:numRef>
          </c:val>
          <c:extLst>
            <c:ext xmlns:c16="http://schemas.microsoft.com/office/drawing/2014/chart" uri="{C3380CC4-5D6E-409C-BE32-E72D297353CC}">
              <c16:uniqueId val="{00000002-83A4-2F4D-88CC-A4A788BD9A62}"/>
            </c:ext>
          </c:extLst>
        </c:ser>
        <c:ser>
          <c:idx val="4"/>
          <c:order val="4"/>
          <c:tx>
            <c:strRef>
              <c:f>Sheet1!$A$46</c:f>
              <c:strCache>
                <c:ptCount val="1"/>
                <c:pt idx="0">
                  <c:v>Debtors days</c:v>
                </c:pt>
              </c:strCache>
            </c:strRef>
          </c:tx>
          <c:spPr>
            <a:solidFill>
              <a:schemeClr val="accent5"/>
            </a:solidFill>
            <a:ln>
              <a:noFill/>
            </a:ln>
            <a:effectLst/>
          </c:spPr>
          <c:invertIfNegative val="0"/>
          <c:val>
            <c:numRef>
              <c:f>Sheet1!$B$46:$E$46</c:f>
              <c:numCache>
                <c:formatCode>0.0</c:formatCode>
                <c:ptCount val="4"/>
                <c:pt idx="0">
                  <c:v>109.5</c:v>
                </c:pt>
                <c:pt idx="1">
                  <c:v>106.18181818181819</c:v>
                </c:pt>
                <c:pt idx="2">
                  <c:v>3.318181818181813</c:v>
                </c:pt>
                <c:pt idx="3">
                  <c:v>3.1249999999999951</c:v>
                </c:pt>
              </c:numCache>
            </c:numRef>
          </c:val>
          <c:extLst>
            <c:ext xmlns:c16="http://schemas.microsoft.com/office/drawing/2014/chart" uri="{C3380CC4-5D6E-409C-BE32-E72D297353CC}">
              <c16:uniqueId val="{00000003-83A4-2F4D-88CC-A4A788BD9A62}"/>
            </c:ext>
          </c:extLst>
        </c:ser>
        <c:dLbls>
          <c:showLegendKey val="0"/>
          <c:showVal val="0"/>
          <c:showCatName val="0"/>
          <c:showSerName val="0"/>
          <c:showPercent val="0"/>
          <c:showBubbleSize val="0"/>
        </c:dLbls>
        <c:gapWidth val="219"/>
        <c:overlap val="-27"/>
        <c:axId val="276296944"/>
        <c:axId val="276557632"/>
        <c:extLst>
          <c:ext xmlns:c15="http://schemas.microsoft.com/office/drawing/2012/chart" uri="{02D57815-91ED-43cb-92C2-25804820EDAC}">
            <c15:filteredBarSeries>
              <c15:ser>
                <c:idx val="0"/>
                <c:order val="0"/>
                <c:tx>
                  <c:strRef>
                    <c:extLst>
                      <c:ext uri="{02D57815-91ED-43cb-92C2-25804820EDAC}">
                        <c15:formulaRef>
                          <c15:sqref>Sheet1!$A$42</c15:sqref>
                        </c15:formulaRef>
                      </c:ext>
                    </c:extLst>
                    <c:strCache>
                      <c:ptCount val="1"/>
                      <c:pt idx="0">
                        <c:v>Liquidity</c:v>
                      </c:pt>
                    </c:strCache>
                  </c:strRef>
                </c:tx>
                <c:spPr>
                  <a:solidFill>
                    <a:schemeClr val="accent1"/>
                  </a:solidFill>
                  <a:ln>
                    <a:noFill/>
                  </a:ln>
                  <a:effectLst/>
                </c:spPr>
                <c:invertIfNegative val="0"/>
                <c:val>
                  <c:numRef>
                    <c:extLst>
                      <c:ext uri="{02D57815-91ED-43cb-92C2-25804820EDAC}">
                        <c15:formulaRef>
                          <c15:sqref>Sheet1!$B$42:$E$42</c15:sqref>
                        </c15:formulaRef>
                      </c:ext>
                    </c:extLst>
                    <c:numCache>
                      <c:formatCode>General</c:formatCode>
                      <c:ptCount val="4"/>
                    </c:numCache>
                  </c:numRef>
                </c:val>
                <c:extLst>
                  <c:ext xmlns:c16="http://schemas.microsoft.com/office/drawing/2014/chart" uri="{C3380CC4-5D6E-409C-BE32-E72D297353CC}">
                    <c16:uniqueId val="{00000004-83A4-2F4D-88CC-A4A788BD9A62}"/>
                  </c:ext>
                </c:extLst>
              </c15:ser>
            </c15:filteredBarSeries>
          </c:ext>
        </c:extLst>
      </c:barChart>
      <c:catAx>
        <c:axId val="27629694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557632"/>
        <c:crosses val="autoZero"/>
        <c:auto val="1"/>
        <c:lblAlgn val="ctr"/>
        <c:lblOffset val="100"/>
        <c:noMultiLvlLbl val="0"/>
      </c:catAx>
      <c:valAx>
        <c:axId val="27655763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296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Capital</a:t>
            </a:r>
            <a:r>
              <a:rPr lang="en-GB" baseline="0"/>
              <a:t> Structure Indication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Sheet1!$A$49</c:f>
              <c:strCache>
                <c:ptCount val="1"/>
                <c:pt idx="0">
                  <c:v>Debt to equity (leverage)</c:v>
                </c:pt>
              </c:strCache>
            </c:strRef>
          </c:tx>
          <c:spPr>
            <a:solidFill>
              <a:schemeClr val="accent2"/>
            </a:solidFill>
            <a:ln>
              <a:noFill/>
            </a:ln>
            <a:effectLst/>
          </c:spPr>
          <c:invertIfNegative val="0"/>
          <c:val>
            <c:numRef>
              <c:f>Sheet1!$B$49:$E$49</c:f>
              <c:numCache>
                <c:formatCode>0.0</c:formatCode>
                <c:ptCount val="4"/>
                <c:pt idx="0">
                  <c:v>2.3658019252732907</c:v>
                </c:pt>
                <c:pt idx="1">
                  <c:v>9.0108624094799215</c:v>
                </c:pt>
                <c:pt idx="2">
                  <c:v>-6.6450604842066312</c:v>
                </c:pt>
                <c:pt idx="3">
                  <c:v>-73.745000003725096</c:v>
                </c:pt>
              </c:numCache>
            </c:numRef>
          </c:val>
          <c:extLst>
            <c:ext xmlns:c16="http://schemas.microsoft.com/office/drawing/2014/chart" uri="{C3380CC4-5D6E-409C-BE32-E72D297353CC}">
              <c16:uniqueId val="{00000000-07C2-F348-87B7-EBA53F43DF09}"/>
            </c:ext>
          </c:extLst>
        </c:ser>
        <c:ser>
          <c:idx val="2"/>
          <c:order val="2"/>
          <c:tx>
            <c:strRef>
              <c:f>Sheet1!$A$50</c:f>
              <c:strCache>
                <c:ptCount val="1"/>
                <c:pt idx="0">
                  <c:v>Debt to capital</c:v>
                </c:pt>
              </c:strCache>
            </c:strRef>
          </c:tx>
          <c:spPr>
            <a:solidFill>
              <a:schemeClr val="accent3"/>
            </a:solidFill>
            <a:ln>
              <a:noFill/>
            </a:ln>
            <a:effectLst/>
          </c:spPr>
          <c:invertIfNegative val="0"/>
          <c:val>
            <c:numRef>
              <c:f>Sheet1!$B$50:$E$50</c:f>
              <c:numCache>
                <c:formatCode>0.0</c:formatCode>
                <c:ptCount val="4"/>
                <c:pt idx="0">
                  <c:v>2.311125278928913</c:v>
                </c:pt>
                <c:pt idx="1">
                  <c:v>2.4092515258592999</c:v>
                </c:pt>
                <c:pt idx="2">
                  <c:v>-9.8126246930386962E-2</c:v>
                </c:pt>
                <c:pt idx="3">
                  <c:v>-4.0728934225905951</c:v>
                </c:pt>
              </c:numCache>
            </c:numRef>
          </c:val>
          <c:extLst>
            <c:ext xmlns:c16="http://schemas.microsoft.com/office/drawing/2014/chart" uri="{C3380CC4-5D6E-409C-BE32-E72D297353CC}">
              <c16:uniqueId val="{00000001-07C2-F348-87B7-EBA53F43DF09}"/>
            </c:ext>
          </c:extLst>
        </c:ser>
        <c:ser>
          <c:idx val="3"/>
          <c:order val="3"/>
          <c:tx>
            <c:strRef>
              <c:f>Sheet1!$A$51</c:f>
              <c:strCache>
                <c:ptCount val="1"/>
                <c:pt idx="0">
                  <c:v>Interest Cover</c:v>
                </c:pt>
              </c:strCache>
            </c:strRef>
          </c:tx>
          <c:spPr>
            <a:solidFill>
              <a:schemeClr val="accent4"/>
            </a:solidFill>
            <a:ln>
              <a:noFill/>
            </a:ln>
            <a:effectLst/>
          </c:spPr>
          <c:invertIfNegative val="0"/>
          <c:val>
            <c:numRef>
              <c:f>Sheet1!$B$51:$E$51</c:f>
              <c:numCache>
                <c:formatCode>0.0</c:formatCode>
                <c:ptCount val="4"/>
                <c:pt idx="0">
                  <c:v>226.27777777777777</c:v>
                </c:pt>
                <c:pt idx="1">
                  <c:v>200.4</c:v>
                </c:pt>
                <c:pt idx="2">
                  <c:v>25.877777777777766</c:v>
                </c:pt>
                <c:pt idx="3">
                  <c:v>12.913062763362158</c:v>
                </c:pt>
              </c:numCache>
            </c:numRef>
          </c:val>
          <c:extLst>
            <c:ext xmlns:c16="http://schemas.microsoft.com/office/drawing/2014/chart" uri="{C3380CC4-5D6E-409C-BE32-E72D297353CC}">
              <c16:uniqueId val="{00000002-07C2-F348-87B7-EBA53F43DF09}"/>
            </c:ext>
          </c:extLst>
        </c:ser>
        <c:dLbls>
          <c:showLegendKey val="0"/>
          <c:showVal val="0"/>
          <c:showCatName val="0"/>
          <c:showSerName val="0"/>
          <c:showPercent val="0"/>
          <c:showBubbleSize val="0"/>
        </c:dLbls>
        <c:gapWidth val="219"/>
        <c:overlap val="-27"/>
        <c:axId val="275698144"/>
        <c:axId val="275699776"/>
        <c:extLst>
          <c:ext xmlns:c15="http://schemas.microsoft.com/office/drawing/2012/chart" uri="{02D57815-91ED-43cb-92C2-25804820EDAC}">
            <c15:filteredBarSeries>
              <c15:ser>
                <c:idx val="0"/>
                <c:order val="0"/>
                <c:tx>
                  <c:strRef>
                    <c:extLst>
                      <c:ext uri="{02D57815-91ED-43cb-92C2-25804820EDAC}">
                        <c15:formulaRef>
                          <c15:sqref>Sheet1!$A$48</c15:sqref>
                        </c15:formulaRef>
                      </c:ext>
                    </c:extLst>
                    <c:strCache>
                      <c:ptCount val="1"/>
                      <c:pt idx="0">
                        <c:v>Capital Structure</c:v>
                      </c:pt>
                    </c:strCache>
                  </c:strRef>
                </c:tx>
                <c:spPr>
                  <a:solidFill>
                    <a:schemeClr val="accent1"/>
                  </a:solidFill>
                  <a:ln>
                    <a:noFill/>
                  </a:ln>
                  <a:effectLst/>
                </c:spPr>
                <c:invertIfNegative val="0"/>
                <c:val>
                  <c:numRef>
                    <c:extLst>
                      <c:ext uri="{02D57815-91ED-43cb-92C2-25804820EDAC}">
                        <c15:formulaRef>
                          <c15:sqref>Sheet1!$B$48:$E$48</c15:sqref>
                        </c15:formulaRef>
                      </c:ext>
                    </c:extLst>
                    <c:numCache>
                      <c:formatCode>General</c:formatCode>
                      <c:ptCount val="4"/>
                    </c:numCache>
                  </c:numRef>
                </c:val>
                <c:extLst>
                  <c:ext xmlns:c16="http://schemas.microsoft.com/office/drawing/2014/chart" uri="{C3380CC4-5D6E-409C-BE32-E72D297353CC}">
                    <c16:uniqueId val="{00000003-07C2-F348-87B7-EBA53F43DF09}"/>
                  </c:ext>
                </c:extLst>
              </c15:ser>
            </c15:filteredBarSeries>
          </c:ext>
        </c:extLst>
      </c:barChart>
      <c:catAx>
        <c:axId val="27569814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699776"/>
        <c:crosses val="autoZero"/>
        <c:auto val="1"/>
        <c:lblAlgn val="ctr"/>
        <c:lblOffset val="100"/>
        <c:noMultiLvlLbl val="0"/>
      </c:catAx>
      <c:valAx>
        <c:axId val="275699776"/>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69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23T19:50:00.977"/>
    </inkml:context>
    <inkml:brush xml:id="br0">
      <inkml:brushProperty name="width" value="0.05" units="cm"/>
      <inkml:brushProperty name="height" value="0.05" units="cm"/>
      <inkml:brushProperty name="color" value="#FF0066"/>
      <inkml:brushProperty name="ignorePressure" value="1"/>
    </inkml:brush>
  </inkml:definitions>
  <inkml:trace contextRef="#ctx0" brushRef="#br0">1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2925</Words>
  <Characters>16675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Financial Management for the hotel Industry</vt:lpstr>
    </vt:vector>
  </TitlesOfParts>
  <Company>Tutor: Dr David Jenkins</Company>
  <LinksUpToDate>false</LinksUpToDate>
  <CharactersWithSpaces>19561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Module: M5X01922</dc:subject>
  <dc:creator>Rohan Dubrey (1905715)</dc:creator>
  <cp:lastModifiedBy>Rohan Dubrey (1905715)</cp:lastModifiedBy>
  <cp:revision>2</cp:revision>
  <cp:lastPrinted>2020-07-08T10:10:00Z</cp:lastPrinted>
  <dcterms:created xsi:type="dcterms:W3CDTF">2020-07-10T21:07:00Z</dcterms:created>
  <dcterms:modified xsi:type="dcterms:W3CDTF">2020-07-10T21:07:00Z</dcterms:modified>
</cp:coreProperties>
</file>