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25897" w14:textId="08135F26" w:rsidR="006B2F2E" w:rsidRPr="006B2F2E" w:rsidRDefault="006B2F2E" w:rsidP="006B2F2E">
      <w:pPr>
        <w:spacing w:after="0" w:line="240" w:lineRule="auto"/>
        <w:rPr>
          <w:rFonts w:ascii="Arial" w:eastAsia="SimSun" w:hAnsi="Arial" w:cs="Arial"/>
          <w:color w:val="000000" w:themeColor="text1"/>
          <w:kern w:val="24"/>
          <w:sz w:val="24"/>
          <w:szCs w:val="24"/>
          <w:lang w:val="en-GB" w:eastAsia="en-GB"/>
        </w:rPr>
      </w:pPr>
      <w:r w:rsidRPr="006B2F2E">
        <w:rPr>
          <w:rFonts w:ascii="Arial" w:eastAsia="SimSun" w:hAnsi="Arial" w:cs="Arial"/>
          <w:color w:val="000000" w:themeColor="text1"/>
          <w:kern w:val="24"/>
          <w:sz w:val="24"/>
          <w:szCs w:val="24"/>
          <w:lang w:val="en-GB" w:eastAsia="en-GB"/>
        </w:rPr>
        <w:t>I confirm that I have not presented any AI generated text as my own work. I confirm I have copies of my drafts, notes, and other resources I used before, and after the use of AI tools which I may be asked to provide in evidence.</w:t>
      </w:r>
    </w:p>
    <w:p w14:paraId="1B8F3116" w14:textId="403F0A7C" w:rsidR="009C1394" w:rsidRDefault="00312BB6">
      <w:pPr>
        <w:pStyle w:val="Heading1"/>
        <w:rPr>
          <w:rFonts w:ascii="Arial" w:hAnsi="Arial" w:cs="Arial"/>
          <w:color w:val="000000" w:themeColor="text1"/>
          <w:sz w:val="24"/>
          <w:szCs w:val="24"/>
        </w:rPr>
      </w:pPr>
      <w:r w:rsidRPr="00964397">
        <w:rPr>
          <w:rFonts w:ascii="Arial" w:hAnsi="Arial" w:cs="Arial"/>
          <w:color w:val="000000" w:themeColor="text1"/>
          <w:sz w:val="24"/>
          <w:szCs w:val="24"/>
        </w:rPr>
        <w:t xml:space="preserve">The Blitzkrieg Doctrine: </w:t>
      </w:r>
      <w:r w:rsidR="00FC090C">
        <w:rPr>
          <w:rFonts w:ascii="Arial" w:hAnsi="Arial" w:cs="Arial"/>
          <w:color w:val="000000" w:themeColor="text1"/>
          <w:sz w:val="24"/>
          <w:szCs w:val="24"/>
        </w:rPr>
        <w:t>Meth</w:t>
      </w:r>
      <w:r w:rsidR="00555051">
        <w:rPr>
          <w:rFonts w:ascii="Arial" w:hAnsi="Arial" w:cs="Arial"/>
          <w:color w:val="000000" w:themeColor="text1"/>
          <w:sz w:val="24"/>
          <w:szCs w:val="24"/>
        </w:rPr>
        <w:t xml:space="preserve"> fueled lightning nazi’s</w:t>
      </w:r>
    </w:p>
    <w:p w14:paraId="315C20FC" w14:textId="77777777" w:rsidR="006B2F2E" w:rsidRDefault="006B2F2E" w:rsidP="006B2F2E"/>
    <w:p w14:paraId="764E0737" w14:textId="417E126B" w:rsidR="00750EAF" w:rsidRPr="00750EAF" w:rsidRDefault="00750EAF">
      <w:pPr>
        <w:rPr>
          <w:rFonts w:ascii="Arial" w:hAnsi="Arial" w:cs="Arial"/>
          <w:b/>
          <w:bCs/>
          <w:sz w:val="24"/>
          <w:szCs w:val="24"/>
        </w:rPr>
      </w:pPr>
      <w:r w:rsidRPr="00750EAF">
        <w:rPr>
          <w:rFonts w:ascii="Arial" w:hAnsi="Arial" w:cs="Arial"/>
          <w:b/>
          <w:bCs/>
          <w:sz w:val="24"/>
          <w:szCs w:val="24"/>
        </w:rPr>
        <w:t>Introduction</w:t>
      </w:r>
    </w:p>
    <w:p w14:paraId="3C705CA9" w14:textId="1C08C90B" w:rsidR="0069585E" w:rsidRPr="00750EAF" w:rsidRDefault="00312BB6">
      <w:r w:rsidRPr="00964397">
        <w:rPr>
          <w:rFonts w:ascii="Arial" w:hAnsi="Arial" w:cs="Arial"/>
          <w:color w:val="000000" w:themeColor="text1"/>
          <w:sz w:val="24"/>
          <w:szCs w:val="24"/>
        </w:rPr>
        <w:t xml:space="preserve">The term </w:t>
      </w:r>
      <w:r w:rsidRPr="0025612C">
        <w:rPr>
          <w:rFonts w:ascii="Arial" w:hAnsi="Arial" w:cs="Arial"/>
          <w:color w:val="000000" w:themeColor="text1"/>
          <w:sz w:val="24"/>
          <w:szCs w:val="24"/>
        </w:rPr>
        <w:t>Blitzkrieg,</w:t>
      </w:r>
      <w:r w:rsidRPr="00964397">
        <w:rPr>
          <w:rFonts w:ascii="Arial" w:hAnsi="Arial" w:cs="Arial"/>
          <w:color w:val="000000" w:themeColor="text1"/>
          <w:sz w:val="24"/>
          <w:szCs w:val="24"/>
        </w:rPr>
        <w:t xml:space="preserve"> meaning “lightning war” in German, describes a method of rapid, coordinated warfare that revolutionised military operations in the early twentieth century. It combined speed, surprise, and technological integration to achieve decisive victories before the enemy could mount an effective defence. The doctrine emerged from Germany’s determination to avoid the stagnation of trench warfare experienced in the </w:t>
      </w:r>
      <w:r w:rsidR="000A5885">
        <w:rPr>
          <w:rFonts w:ascii="Arial" w:hAnsi="Arial" w:cs="Arial"/>
          <w:color w:val="000000" w:themeColor="text1"/>
          <w:sz w:val="24"/>
          <w:szCs w:val="24"/>
        </w:rPr>
        <w:t>WW1</w:t>
      </w:r>
      <w:r w:rsidRPr="00964397">
        <w:rPr>
          <w:rFonts w:ascii="Arial" w:hAnsi="Arial" w:cs="Arial"/>
          <w:color w:val="000000" w:themeColor="text1"/>
          <w:sz w:val="24"/>
          <w:szCs w:val="24"/>
        </w:rPr>
        <w:t>, replacing attrition with</w:t>
      </w:r>
      <w:r w:rsidR="002B39CB">
        <w:rPr>
          <w:rFonts w:ascii="Arial" w:hAnsi="Arial" w:cs="Arial"/>
          <w:color w:val="000000" w:themeColor="text1"/>
          <w:sz w:val="24"/>
          <w:szCs w:val="24"/>
        </w:rPr>
        <w:t xml:space="preserve"> fast paced</w:t>
      </w:r>
      <w:r w:rsidRPr="00964397">
        <w:rPr>
          <w:rFonts w:ascii="Arial" w:hAnsi="Arial" w:cs="Arial"/>
          <w:color w:val="000000" w:themeColor="text1"/>
          <w:sz w:val="24"/>
          <w:szCs w:val="24"/>
        </w:rPr>
        <w:t xml:space="preserve"> </w:t>
      </w:r>
      <w:r w:rsidR="00C83BB9" w:rsidRPr="00964397">
        <w:rPr>
          <w:rFonts w:ascii="Arial" w:hAnsi="Arial" w:cs="Arial"/>
          <w:color w:val="000000" w:themeColor="text1"/>
          <w:sz w:val="24"/>
          <w:szCs w:val="24"/>
        </w:rPr>
        <w:t>maneuver</w:t>
      </w:r>
      <w:r w:rsidR="00C83BB9">
        <w:rPr>
          <w:rFonts w:ascii="Arial" w:hAnsi="Arial" w:cs="Arial"/>
          <w:color w:val="000000" w:themeColor="text1"/>
          <w:sz w:val="24"/>
          <w:szCs w:val="24"/>
        </w:rPr>
        <w:t>ability</w:t>
      </w:r>
      <w:r w:rsidRPr="00964397">
        <w:rPr>
          <w:rFonts w:ascii="Arial" w:hAnsi="Arial" w:cs="Arial"/>
          <w:color w:val="000000" w:themeColor="text1"/>
          <w:sz w:val="24"/>
          <w:szCs w:val="24"/>
        </w:rPr>
        <w:t>, mobility, and mechanised shock. Though often perceived as a formal doctrine, Blitzkrieg was not officially codified by the German military but rather evolved through practical experimentation and adaptation</w:t>
      </w:r>
      <w:r w:rsidR="00207CC8">
        <w:rPr>
          <w:rFonts w:ascii="Arial" w:hAnsi="Arial" w:cs="Arial"/>
          <w:color w:val="000000" w:themeColor="text1"/>
          <w:sz w:val="24"/>
          <w:szCs w:val="24"/>
        </w:rPr>
        <w:t>.</w:t>
      </w:r>
      <w:r w:rsidR="0069585E" w:rsidRPr="00964397">
        <w:rPr>
          <w:rFonts w:ascii="Arial" w:hAnsi="Arial" w:cs="Arial"/>
          <w:color w:val="000000" w:themeColor="text1"/>
          <w:sz w:val="24"/>
          <w:szCs w:val="24"/>
        </w:rPr>
        <w:t xml:space="preserve"> </w:t>
      </w:r>
    </w:p>
    <w:p w14:paraId="2DA48E7D" w14:textId="34BB266D" w:rsidR="0069585E" w:rsidRDefault="00312BB6">
      <w:pPr>
        <w:rPr>
          <w:rFonts w:ascii="Arial" w:hAnsi="Arial" w:cs="Arial"/>
          <w:color w:val="000000" w:themeColor="text1"/>
          <w:sz w:val="24"/>
          <w:szCs w:val="24"/>
        </w:rPr>
      </w:pPr>
      <w:r w:rsidRPr="00964397">
        <w:rPr>
          <w:rFonts w:ascii="Arial" w:hAnsi="Arial" w:cs="Arial"/>
          <w:color w:val="000000" w:themeColor="text1"/>
          <w:sz w:val="24"/>
          <w:szCs w:val="24"/>
        </w:rPr>
        <w:t xml:space="preserve">After </w:t>
      </w:r>
      <w:r w:rsidR="00207CC8">
        <w:rPr>
          <w:rFonts w:ascii="Arial" w:hAnsi="Arial" w:cs="Arial"/>
          <w:color w:val="000000" w:themeColor="text1"/>
          <w:sz w:val="24"/>
          <w:szCs w:val="24"/>
        </w:rPr>
        <w:t>WW1</w:t>
      </w:r>
      <w:r w:rsidRPr="00964397">
        <w:rPr>
          <w:rFonts w:ascii="Arial" w:hAnsi="Arial" w:cs="Arial"/>
          <w:color w:val="000000" w:themeColor="text1"/>
          <w:sz w:val="24"/>
          <w:szCs w:val="24"/>
        </w:rPr>
        <w:t>, the Treaty of Versailles restricted Germany’s military size and capabilities, yet this constraint encouraged innovation among its officers. Thinkers such as Heinz Guderian and Erich von Manstein studied ways to restore operational flexibility through new technology and tactics. Guderian, inspired by British theorists like J.F.C. Fuller and Basil Liddell Hart, envisioned a future battlefield dominated by tanks, motorised infantry, and coordinated air support</w:t>
      </w:r>
      <w:r w:rsidR="000D7F1D">
        <w:rPr>
          <w:rFonts w:ascii="Arial" w:hAnsi="Arial" w:cs="Arial"/>
          <w:color w:val="000000" w:themeColor="text1"/>
          <w:sz w:val="24"/>
          <w:szCs w:val="24"/>
        </w:rPr>
        <w:t>.</w:t>
      </w:r>
      <w:r w:rsidR="000D7F1D">
        <w:rPr>
          <w:rStyle w:val="FootnoteReference"/>
          <w:rFonts w:ascii="Arial" w:hAnsi="Arial" w:cs="Arial"/>
          <w:color w:val="000000" w:themeColor="text1"/>
          <w:sz w:val="24"/>
          <w:szCs w:val="24"/>
        </w:rPr>
        <w:footnoteReference w:id="1"/>
      </w:r>
      <w:r w:rsidRPr="00964397">
        <w:rPr>
          <w:rFonts w:ascii="Arial" w:hAnsi="Arial" w:cs="Arial"/>
          <w:color w:val="000000" w:themeColor="text1"/>
          <w:sz w:val="24"/>
          <w:szCs w:val="24"/>
        </w:rPr>
        <w:t xml:space="preserve">The Reichswehr, Germany’s limited post-war army, secretly trained and tested mechanised tactics during the 1920s and 1930s, often in collaboration with the Soviet Union. By the outbreak of </w:t>
      </w:r>
      <w:r w:rsidR="000424FD">
        <w:rPr>
          <w:rFonts w:ascii="Arial" w:hAnsi="Arial" w:cs="Arial"/>
          <w:color w:val="000000" w:themeColor="text1"/>
          <w:sz w:val="24"/>
          <w:szCs w:val="24"/>
        </w:rPr>
        <w:t>WW2</w:t>
      </w:r>
      <w:r w:rsidRPr="00964397">
        <w:rPr>
          <w:rFonts w:ascii="Arial" w:hAnsi="Arial" w:cs="Arial"/>
          <w:color w:val="000000" w:themeColor="text1"/>
          <w:sz w:val="24"/>
          <w:szCs w:val="24"/>
        </w:rPr>
        <w:t xml:space="preserve">, Germany </w:t>
      </w:r>
      <w:r w:rsidR="00614712">
        <w:rPr>
          <w:rFonts w:ascii="Arial" w:hAnsi="Arial" w:cs="Arial"/>
          <w:color w:val="000000" w:themeColor="text1"/>
          <w:sz w:val="24"/>
          <w:szCs w:val="24"/>
        </w:rPr>
        <w:t>now</w:t>
      </w:r>
      <w:r w:rsidRPr="00964397">
        <w:rPr>
          <w:rFonts w:ascii="Arial" w:hAnsi="Arial" w:cs="Arial"/>
          <w:color w:val="000000" w:themeColor="text1"/>
          <w:sz w:val="24"/>
          <w:szCs w:val="24"/>
        </w:rPr>
        <w:t xml:space="preserve"> a </w:t>
      </w:r>
      <w:r w:rsidR="00824755">
        <w:rPr>
          <w:rFonts w:ascii="Arial" w:hAnsi="Arial" w:cs="Arial"/>
          <w:color w:val="000000" w:themeColor="text1"/>
          <w:sz w:val="24"/>
          <w:szCs w:val="24"/>
        </w:rPr>
        <w:t>highly trained</w:t>
      </w:r>
      <w:r w:rsidRPr="00964397">
        <w:rPr>
          <w:rFonts w:ascii="Arial" w:hAnsi="Arial" w:cs="Arial"/>
          <w:color w:val="000000" w:themeColor="text1"/>
          <w:sz w:val="24"/>
          <w:szCs w:val="24"/>
        </w:rPr>
        <w:t xml:space="preserve"> and technically proficient force ready to test these ideas in combat</w:t>
      </w:r>
      <w:r w:rsidR="0069585E" w:rsidRPr="00964397">
        <w:rPr>
          <w:rFonts w:ascii="Arial" w:hAnsi="Arial" w:cs="Arial"/>
          <w:color w:val="000000" w:themeColor="text1"/>
          <w:sz w:val="24"/>
          <w:szCs w:val="24"/>
        </w:rPr>
        <w:t xml:space="preserve">. </w:t>
      </w:r>
    </w:p>
    <w:p w14:paraId="22ED0950" w14:textId="3A15C3DE" w:rsidR="0069585E" w:rsidRDefault="00561383">
      <w:pPr>
        <w:rPr>
          <w:rFonts w:ascii="Arial" w:hAnsi="Arial" w:cs="Arial"/>
          <w:color w:val="000000" w:themeColor="text1"/>
          <w:sz w:val="24"/>
          <w:szCs w:val="24"/>
        </w:rPr>
      </w:pPr>
      <w:r>
        <w:rPr>
          <w:rFonts w:ascii="Arial" w:hAnsi="Arial" w:cs="Arial"/>
          <w:color w:val="000000" w:themeColor="text1"/>
          <w:sz w:val="24"/>
          <w:szCs w:val="24"/>
        </w:rPr>
        <w:t>In basic terms</w:t>
      </w:r>
      <w:r w:rsidR="00312BB6" w:rsidRPr="00964397">
        <w:rPr>
          <w:rFonts w:ascii="Arial" w:hAnsi="Arial" w:cs="Arial"/>
          <w:color w:val="000000" w:themeColor="text1"/>
          <w:sz w:val="24"/>
          <w:szCs w:val="24"/>
        </w:rPr>
        <w:t>, the Blitzkrieg Doctrine was a fusion of technological and tactical innovation. It relied on the close coordination of armoured divisions (Panzers), motorised infantry, and tactical air power provided by the Luftwaffe. The key to success lay in communication</w:t>
      </w:r>
      <w:r w:rsidR="00824755">
        <w:rPr>
          <w:rFonts w:ascii="Arial" w:hAnsi="Arial" w:cs="Arial"/>
          <w:color w:val="000000" w:themeColor="text1"/>
          <w:sz w:val="24"/>
          <w:szCs w:val="24"/>
        </w:rPr>
        <w:t xml:space="preserve"> </w:t>
      </w:r>
      <w:r w:rsidR="00312BB6" w:rsidRPr="00964397">
        <w:rPr>
          <w:rFonts w:ascii="Arial" w:hAnsi="Arial" w:cs="Arial"/>
          <w:color w:val="000000" w:themeColor="text1"/>
          <w:sz w:val="24"/>
          <w:szCs w:val="24"/>
        </w:rPr>
        <w:t>particularly the use of radio</w:t>
      </w:r>
      <w:r w:rsidR="00824755">
        <w:rPr>
          <w:rFonts w:ascii="Arial" w:hAnsi="Arial" w:cs="Arial"/>
          <w:color w:val="000000" w:themeColor="text1"/>
          <w:sz w:val="24"/>
          <w:szCs w:val="24"/>
        </w:rPr>
        <w:t xml:space="preserve"> </w:t>
      </w:r>
      <w:r w:rsidR="00312BB6" w:rsidRPr="00964397">
        <w:rPr>
          <w:rFonts w:ascii="Arial" w:hAnsi="Arial" w:cs="Arial"/>
          <w:color w:val="000000" w:themeColor="text1"/>
          <w:sz w:val="24"/>
          <w:szCs w:val="24"/>
        </w:rPr>
        <w:t xml:space="preserve">equipped tanks that allowed real-time coordination between advancing units. This gave German commanders the ability to react quickly to changing battlefield conditions, maintaining operational </w:t>
      </w:r>
      <w:r w:rsidR="0069585E" w:rsidRPr="00964397">
        <w:rPr>
          <w:rFonts w:ascii="Arial" w:hAnsi="Arial" w:cs="Arial"/>
          <w:color w:val="000000" w:themeColor="text1"/>
          <w:sz w:val="24"/>
          <w:szCs w:val="24"/>
        </w:rPr>
        <w:t>tempo,</w:t>
      </w:r>
      <w:r w:rsidR="00312BB6" w:rsidRPr="00964397">
        <w:rPr>
          <w:rFonts w:ascii="Arial" w:hAnsi="Arial" w:cs="Arial"/>
          <w:color w:val="000000" w:themeColor="text1"/>
          <w:sz w:val="24"/>
          <w:szCs w:val="24"/>
        </w:rPr>
        <w:t xml:space="preserve"> and exploiting breakthroughs.</w:t>
      </w:r>
      <w:r w:rsidR="00BF03C2">
        <w:rPr>
          <w:rStyle w:val="FootnoteReference"/>
          <w:rFonts w:ascii="Arial" w:hAnsi="Arial" w:cs="Arial"/>
          <w:color w:val="000000" w:themeColor="text1"/>
          <w:sz w:val="24"/>
          <w:szCs w:val="24"/>
        </w:rPr>
        <w:footnoteReference w:id="2"/>
      </w:r>
      <w:r w:rsidR="00312BB6" w:rsidRPr="00964397">
        <w:rPr>
          <w:rFonts w:ascii="Arial" w:hAnsi="Arial" w:cs="Arial"/>
          <w:color w:val="000000" w:themeColor="text1"/>
          <w:sz w:val="24"/>
          <w:szCs w:val="24"/>
        </w:rPr>
        <w:t xml:space="preserve"> Blitzkrieg also </w:t>
      </w:r>
      <w:r w:rsidR="00312BB6" w:rsidRPr="00964397">
        <w:rPr>
          <w:rFonts w:ascii="Arial" w:hAnsi="Arial" w:cs="Arial"/>
          <w:color w:val="000000" w:themeColor="text1"/>
          <w:sz w:val="24"/>
          <w:szCs w:val="24"/>
        </w:rPr>
        <w:lastRenderedPageBreak/>
        <w:t xml:space="preserve">depended on the concept of Schwerpunkt, or “point of main effort,” concentrating overwhelming force on a narrow front to rupture enemy lines and encircle defending troops. </w:t>
      </w:r>
    </w:p>
    <w:p w14:paraId="51E42107" w14:textId="49E97E3C" w:rsidR="00E326DF" w:rsidRDefault="00312BB6">
      <w:pPr>
        <w:rPr>
          <w:rFonts w:ascii="Arial" w:hAnsi="Arial" w:cs="Arial"/>
          <w:color w:val="000000" w:themeColor="text1"/>
          <w:sz w:val="24"/>
          <w:szCs w:val="24"/>
        </w:rPr>
      </w:pPr>
      <w:r w:rsidRPr="00964397">
        <w:rPr>
          <w:rFonts w:ascii="Arial" w:hAnsi="Arial" w:cs="Arial"/>
          <w:color w:val="000000" w:themeColor="text1"/>
          <w:sz w:val="24"/>
          <w:szCs w:val="24"/>
        </w:rPr>
        <w:t xml:space="preserve">One of the </w:t>
      </w:r>
      <w:r w:rsidR="00941263">
        <w:rPr>
          <w:rFonts w:ascii="Arial" w:hAnsi="Arial" w:cs="Arial"/>
          <w:color w:val="000000" w:themeColor="text1"/>
          <w:sz w:val="24"/>
          <w:szCs w:val="24"/>
        </w:rPr>
        <w:t>interesting</w:t>
      </w:r>
      <w:r w:rsidRPr="00964397">
        <w:rPr>
          <w:rFonts w:ascii="Arial" w:hAnsi="Arial" w:cs="Arial"/>
          <w:color w:val="000000" w:themeColor="text1"/>
          <w:sz w:val="24"/>
          <w:szCs w:val="24"/>
        </w:rPr>
        <w:t xml:space="preserve"> aspects of Blitzkrieg’s success was the use of stimulant drugs to sustain the physical and mental endurance of soldiers. The methamphetamine</w:t>
      </w:r>
      <w:r w:rsidR="008C147D">
        <w:rPr>
          <w:rFonts w:ascii="Arial" w:hAnsi="Arial" w:cs="Arial"/>
          <w:color w:val="000000" w:themeColor="text1"/>
          <w:sz w:val="24"/>
          <w:szCs w:val="24"/>
        </w:rPr>
        <w:t xml:space="preserve"> </w:t>
      </w:r>
      <w:r w:rsidRPr="00964397">
        <w:rPr>
          <w:rFonts w:ascii="Arial" w:hAnsi="Arial" w:cs="Arial"/>
          <w:color w:val="000000" w:themeColor="text1"/>
          <w:sz w:val="24"/>
          <w:szCs w:val="24"/>
        </w:rPr>
        <w:t xml:space="preserve">based drug Pervitin was issued widely to German troops during early campaigns, allowing tank crews and infantry to </w:t>
      </w:r>
      <w:r w:rsidR="002973D0">
        <w:rPr>
          <w:rFonts w:ascii="Arial" w:hAnsi="Arial" w:cs="Arial"/>
          <w:color w:val="000000" w:themeColor="text1"/>
          <w:sz w:val="24"/>
          <w:szCs w:val="24"/>
        </w:rPr>
        <w:t>power through</w:t>
      </w:r>
      <w:r w:rsidR="00684097">
        <w:rPr>
          <w:rFonts w:ascii="Arial" w:hAnsi="Arial" w:cs="Arial"/>
          <w:color w:val="000000" w:themeColor="text1"/>
          <w:sz w:val="24"/>
          <w:szCs w:val="24"/>
        </w:rPr>
        <w:t xml:space="preserve"> for</w:t>
      </w:r>
      <w:r w:rsidRPr="00964397">
        <w:rPr>
          <w:rFonts w:ascii="Arial" w:hAnsi="Arial" w:cs="Arial"/>
          <w:color w:val="000000" w:themeColor="text1"/>
          <w:sz w:val="24"/>
          <w:szCs w:val="24"/>
        </w:rPr>
        <w:t xml:space="preserve"> extended periods without sleep. As Norman Ohler notes, “German troops were routinely issued methamphetamine tablets known as Pervitin, enhancing endurance and reinforcing the myth of the unstoppable Blitzkrieg soldier.”</w:t>
      </w:r>
      <w:r w:rsidR="00627EDF">
        <w:rPr>
          <w:rStyle w:val="FootnoteReference"/>
          <w:rFonts w:ascii="Arial" w:hAnsi="Arial" w:cs="Arial"/>
          <w:color w:val="000000" w:themeColor="text1"/>
          <w:sz w:val="24"/>
          <w:szCs w:val="24"/>
        </w:rPr>
        <w:footnoteReference w:id="3"/>
      </w:r>
      <w:r w:rsidRPr="00964397">
        <w:rPr>
          <w:rFonts w:ascii="Arial" w:hAnsi="Arial" w:cs="Arial"/>
          <w:color w:val="000000" w:themeColor="text1"/>
          <w:sz w:val="24"/>
          <w:szCs w:val="24"/>
        </w:rPr>
        <w:t xml:space="preserve"> This chemical </w:t>
      </w:r>
      <w:r w:rsidR="00C010A5">
        <w:rPr>
          <w:rFonts w:ascii="Arial" w:hAnsi="Arial" w:cs="Arial"/>
          <w:color w:val="000000" w:themeColor="text1"/>
          <w:sz w:val="24"/>
          <w:szCs w:val="24"/>
        </w:rPr>
        <w:t>booster</w:t>
      </w:r>
      <w:r w:rsidRPr="00964397">
        <w:rPr>
          <w:rFonts w:ascii="Arial" w:hAnsi="Arial" w:cs="Arial"/>
          <w:color w:val="000000" w:themeColor="text1"/>
          <w:sz w:val="24"/>
          <w:szCs w:val="24"/>
        </w:rPr>
        <w:t xml:space="preserve"> contributed to the remarkable pace of operations in Poland (1939) and France (1940), where entire armies were defeated within weeks</w:t>
      </w:r>
      <w:r w:rsidR="00E326DF" w:rsidRPr="00964397">
        <w:rPr>
          <w:rFonts w:ascii="Arial" w:hAnsi="Arial" w:cs="Arial"/>
          <w:color w:val="000000" w:themeColor="text1"/>
          <w:sz w:val="24"/>
          <w:szCs w:val="24"/>
        </w:rPr>
        <w:t xml:space="preserve">. </w:t>
      </w:r>
    </w:p>
    <w:p w14:paraId="7112E11A" w14:textId="48612563" w:rsidR="005E4949" w:rsidRDefault="00312BB6">
      <w:pPr>
        <w:rPr>
          <w:rFonts w:ascii="Arial" w:hAnsi="Arial" w:cs="Arial"/>
          <w:color w:val="000000" w:themeColor="text1"/>
          <w:sz w:val="24"/>
          <w:szCs w:val="24"/>
        </w:rPr>
      </w:pPr>
      <w:r w:rsidRPr="00964397">
        <w:rPr>
          <w:rFonts w:ascii="Arial" w:hAnsi="Arial" w:cs="Arial"/>
          <w:color w:val="000000" w:themeColor="text1"/>
          <w:sz w:val="24"/>
          <w:szCs w:val="24"/>
        </w:rPr>
        <w:t>The early campaigns of the Second World War demonstrated the devastating effectiveness of Blitzkrieg. In Poland, the doctrine achieved rapid territorial gains, while in France it produced one of the most stunning military collapses in modern history. German forces bypassed the heavily fortified Maginot Line, striking through the Ardennes</w:t>
      </w:r>
      <w:r w:rsidR="00D85C73">
        <w:rPr>
          <w:rFonts w:ascii="Arial" w:hAnsi="Arial" w:cs="Arial"/>
          <w:color w:val="000000" w:themeColor="text1"/>
          <w:sz w:val="24"/>
          <w:szCs w:val="24"/>
        </w:rPr>
        <w:t xml:space="preserve">, </w:t>
      </w:r>
      <w:r w:rsidRPr="00964397">
        <w:rPr>
          <w:rFonts w:ascii="Arial" w:hAnsi="Arial" w:cs="Arial"/>
          <w:color w:val="000000" w:themeColor="text1"/>
          <w:sz w:val="24"/>
          <w:szCs w:val="24"/>
        </w:rPr>
        <w:t>a move considered impossible by the Allies. Within six weeks, France had fallen. As Karl-Heinz Frieser explains, “Blitzkrieg was not a preplanned formula but an improvised success made possible by bold leadership and the exploitation of modern technology.”</w:t>
      </w:r>
      <w:r w:rsidR="00F93BB4">
        <w:rPr>
          <w:rStyle w:val="FootnoteReference"/>
          <w:rFonts w:ascii="Arial" w:hAnsi="Arial" w:cs="Arial"/>
          <w:color w:val="000000" w:themeColor="text1"/>
          <w:sz w:val="24"/>
          <w:szCs w:val="24"/>
        </w:rPr>
        <w:footnoteReference w:id="4"/>
      </w:r>
      <w:r w:rsidR="00F93BB4">
        <w:rPr>
          <w:rFonts w:ascii="Arial" w:hAnsi="Arial" w:cs="Arial"/>
          <w:color w:val="000000" w:themeColor="text1"/>
          <w:sz w:val="24"/>
          <w:szCs w:val="24"/>
        </w:rPr>
        <w:t xml:space="preserve"> </w:t>
      </w:r>
      <w:r w:rsidRPr="00964397">
        <w:rPr>
          <w:rFonts w:ascii="Arial" w:hAnsi="Arial" w:cs="Arial"/>
          <w:color w:val="000000" w:themeColor="text1"/>
          <w:sz w:val="24"/>
          <w:szCs w:val="24"/>
        </w:rPr>
        <w:t>The doctrine also succeeded initially in the invasion of the Soviet Union (Operation Barbarossa, 1941), where massive encirclements destroyed large segments of the Red Army</w:t>
      </w:r>
      <w:r w:rsidR="005E4949" w:rsidRPr="00964397">
        <w:rPr>
          <w:rFonts w:ascii="Arial" w:hAnsi="Arial" w:cs="Arial"/>
          <w:color w:val="000000" w:themeColor="text1"/>
          <w:sz w:val="24"/>
          <w:szCs w:val="24"/>
        </w:rPr>
        <w:t xml:space="preserve">. </w:t>
      </w:r>
    </w:p>
    <w:p w14:paraId="588F007B" w14:textId="743003E8" w:rsidR="00D057C5" w:rsidRDefault="00312BB6">
      <w:pPr>
        <w:rPr>
          <w:rFonts w:ascii="Arial" w:hAnsi="Arial" w:cs="Arial"/>
          <w:color w:val="000000" w:themeColor="text1"/>
          <w:sz w:val="24"/>
          <w:szCs w:val="24"/>
        </w:rPr>
      </w:pPr>
      <w:r w:rsidRPr="00964397">
        <w:rPr>
          <w:rFonts w:ascii="Arial" w:hAnsi="Arial" w:cs="Arial"/>
          <w:color w:val="000000" w:themeColor="text1"/>
          <w:sz w:val="24"/>
          <w:szCs w:val="24"/>
        </w:rPr>
        <w:t>However, Blitzkrieg’s weaknesses became evident as the war continued. The strategy relied heavily on surprise, favourable terrain, and short supply lines</w:t>
      </w:r>
      <w:r w:rsidR="00DF5016">
        <w:rPr>
          <w:rFonts w:ascii="Arial" w:hAnsi="Arial" w:cs="Arial"/>
          <w:color w:val="000000" w:themeColor="text1"/>
          <w:sz w:val="24"/>
          <w:szCs w:val="24"/>
        </w:rPr>
        <w:t xml:space="preserve"> </w:t>
      </w:r>
      <w:r w:rsidRPr="00964397">
        <w:rPr>
          <w:rFonts w:ascii="Arial" w:hAnsi="Arial" w:cs="Arial"/>
          <w:color w:val="000000" w:themeColor="text1"/>
          <w:sz w:val="24"/>
          <w:szCs w:val="24"/>
        </w:rPr>
        <w:t xml:space="preserve">conditions that proved unsustainable in the vast expanses of the Soviet Union. By the time of the Battle of Kursk in 1943, the Red Army had adapted by constructing deep defensive belts, minefields, and anti-tank networks that neutralised the advantage of mobility. Without the element of shock, German armoured divisions were forced into costly frontal engagements. As historian Richard Overy observed, “Blitzkrieg worked brilliantly until Germany’s enemies </w:t>
      </w:r>
      <w:r w:rsidRPr="00964397">
        <w:rPr>
          <w:rFonts w:ascii="Arial" w:hAnsi="Arial" w:cs="Arial"/>
          <w:color w:val="000000" w:themeColor="text1"/>
          <w:sz w:val="24"/>
          <w:szCs w:val="24"/>
        </w:rPr>
        <w:lastRenderedPageBreak/>
        <w:t>learned to absorb the shock and strike back with depth and endurance.”</w:t>
      </w:r>
      <w:r w:rsidR="00E35AD6">
        <w:rPr>
          <w:rStyle w:val="FootnoteReference"/>
          <w:rFonts w:ascii="Arial" w:hAnsi="Arial" w:cs="Arial"/>
          <w:color w:val="000000" w:themeColor="text1"/>
          <w:sz w:val="24"/>
          <w:szCs w:val="24"/>
        </w:rPr>
        <w:footnoteReference w:id="5"/>
      </w:r>
      <w:r w:rsidRPr="00964397">
        <w:rPr>
          <w:rFonts w:ascii="Arial" w:hAnsi="Arial" w:cs="Arial"/>
          <w:color w:val="000000" w:themeColor="text1"/>
          <w:sz w:val="24"/>
          <w:szCs w:val="24"/>
        </w:rPr>
        <w:br/>
      </w:r>
      <w:r w:rsidRPr="00964397">
        <w:rPr>
          <w:rFonts w:ascii="Arial" w:hAnsi="Arial" w:cs="Arial"/>
          <w:color w:val="000000" w:themeColor="text1"/>
          <w:sz w:val="24"/>
          <w:szCs w:val="24"/>
        </w:rPr>
        <w:br/>
        <w:t xml:space="preserve">Despite its eventual limitations, the Blitzkrieg Doctrine left an enduring mark on military theory and practice. Its emphasis on combined arms operations, speed, and initiative reshaped modern warfare and influenced post-war doctrines such as the Soviet </w:t>
      </w:r>
      <w:r w:rsidRPr="002752F3">
        <w:rPr>
          <w:rFonts w:ascii="Arial" w:hAnsi="Arial" w:cs="Arial"/>
          <w:i/>
          <w:iCs/>
          <w:color w:val="000000" w:themeColor="text1"/>
          <w:sz w:val="24"/>
          <w:szCs w:val="24"/>
        </w:rPr>
        <w:t>Deep Battle</w:t>
      </w:r>
      <w:r w:rsidRPr="00964397">
        <w:rPr>
          <w:rFonts w:ascii="Arial" w:hAnsi="Arial" w:cs="Arial"/>
          <w:color w:val="000000" w:themeColor="text1"/>
          <w:sz w:val="24"/>
          <w:szCs w:val="24"/>
        </w:rPr>
        <w:t xml:space="preserve"> and NATO’s </w:t>
      </w:r>
      <w:r w:rsidRPr="00471C7D">
        <w:rPr>
          <w:rFonts w:ascii="Arial" w:hAnsi="Arial" w:cs="Arial"/>
          <w:i/>
          <w:iCs/>
          <w:color w:val="000000" w:themeColor="text1"/>
          <w:sz w:val="24"/>
          <w:szCs w:val="24"/>
        </w:rPr>
        <w:t>AirLand Battle</w:t>
      </w:r>
      <w:r w:rsidRPr="00964397">
        <w:rPr>
          <w:rFonts w:ascii="Arial" w:hAnsi="Arial" w:cs="Arial"/>
          <w:color w:val="000000" w:themeColor="text1"/>
          <w:sz w:val="24"/>
          <w:szCs w:val="24"/>
        </w:rPr>
        <w:t>. The principles of rapid dominance also re</w:t>
      </w:r>
      <w:r w:rsidR="00E82355">
        <w:rPr>
          <w:rFonts w:ascii="Arial" w:hAnsi="Arial" w:cs="Arial"/>
          <w:color w:val="000000" w:themeColor="text1"/>
          <w:sz w:val="24"/>
          <w:szCs w:val="24"/>
        </w:rPr>
        <w:t>-</w:t>
      </w:r>
      <w:r w:rsidRPr="00964397">
        <w:rPr>
          <w:rFonts w:ascii="Arial" w:hAnsi="Arial" w:cs="Arial"/>
          <w:color w:val="000000" w:themeColor="text1"/>
          <w:sz w:val="24"/>
          <w:szCs w:val="24"/>
        </w:rPr>
        <w:t>emerged in late twentieth and early twenty</w:t>
      </w:r>
      <w:r w:rsidR="009A561B">
        <w:rPr>
          <w:rFonts w:ascii="Arial" w:hAnsi="Arial" w:cs="Arial"/>
          <w:color w:val="000000" w:themeColor="text1"/>
          <w:sz w:val="24"/>
          <w:szCs w:val="24"/>
        </w:rPr>
        <w:t xml:space="preserve"> </w:t>
      </w:r>
      <w:r w:rsidRPr="00964397">
        <w:rPr>
          <w:rFonts w:ascii="Arial" w:hAnsi="Arial" w:cs="Arial"/>
          <w:color w:val="000000" w:themeColor="text1"/>
          <w:sz w:val="24"/>
          <w:szCs w:val="24"/>
        </w:rPr>
        <w:t>first</w:t>
      </w:r>
      <w:r w:rsidR="009A561B">
        <w:rPr>
          <w:rFonts w:ascii="Arial" w:hAnsi="Arial" w:cs="Arial"/>
          <w:color w:val="000000" w:themeColor="text1"/>
          <w:sz w:val="24"/>
          <w:szCs w:val="24"/>
        </w:rPr>
        <w:t xml:space="preserve"> </w:t>
      </w:r>
      <w:r w:rsidRPr="00964397">
        <w:rPr>
          <w:rFonts w:ascii="Arial" w:hAnsi="Arial" w:cs="Arial"/>
          <w:color w:val="000000" w:themeColor="text1"/>
          <w:sz w:val="24"/>
          <w:szCs w:val="24"/>
        </w:rPr>
        <w:t>century conflicts, including the U.S.</w:t>
      </w:r>
      <w:r w:rsidR="00DF5016">
        <w:rPr>
          <w:rFonts w:ascii="Arial" w:hAnsi="Arial" w:cs="Arial"/>
          <w:color w:val="000000" w:themeColor="text1"/>
          <w:sz w:val="24"/>
          <w:szCs w:val="24"/>
        </w:rPr>
        <w:t xml:space="preserve"> </w:t>
      </w:r>
      <w:r w:rsidRPr="00964397">
        <w:rPr>
          <w:rFonts w:ascii="Arial" w:hAnsi="Arial" w:cs="Arial"/>
          <w:color w:val="000000" w:themeColor="text1"/>
          <w:sz w:val="24"/>
          <w:szCs w:val="24"/>
        </w:rPr>
        <w:t>led “shock and awe” campaign in Iraq (2003). Blitzkrieg’s legacy, therefore, extends beyond its historical context, serving as a foundation for understanding how innovation, technology, and human adaptability continue to define the nature of modern conflict.</w:t>
      </w:r>
      <w:r w:rsidRPr="00964397">
        <w:rPr>
          <w:rFonts w:ascii="Arial" w:hAnsi="Arial" w:cs="Arial"/>
          <w:color w:val="000000" w:themeColor="text1"/>
          <w:sz w:val="24"/>
          <w:szCs w:val="24"/>
        </w:rPr>
        <w:br/>
      </w:r>
    </w:p>
    <w:p w14:paraId="376C17B8" w14:textId="77777777" w:rsidR="00D057C5" w:rsidRDefault="00D057C5">
      <w:pPr>
        <w:rPr>
          <w:rFonts w:ascii="Arial" w:hAnsi="Arial" w:cs="Arial"/>
          <w:color w:val="000000" w:themeColor="text1"/>
          <w:sz w:val="24"/>
          <w:szCs w:val="24"/>
        </w:rPr>
      </w:pPr>
    </w:p>
    <w:p w14:paraId="73CE352A" w14:textId="77777777" w:rsidR="00D057C5" w:rsidRDefault="00D057C5">
      <w:pPr>
        <w:rPr>
          <w:rFonts w:ascii="Arial" w:hAnsi="Arial" w:cs="Arial"/>
          <w:color w:val="000000" w:themeColor="text1"/>
          <w:sz w:val="24"/>
          <w:szCs w:val="24"/>
        </w:rPr>
      </w:pPr>
    </w:p>
    <w:p w14:paraId="7F9C8707" w14:textId="77777777" w:rsidR="00D057C5" w:rsidRDefault="00D057C5">
      <w:pPr>
        <w:rPr>
          <w:rFonts w:ascii="Arial" w:hAnsi="Arial" w:cs="Arial"/>
          <w:color w:val="000000" w:themeColor="text1"/>
          <w:sz w:val="24"/>
          <w:szCs w:val="24"/>
        </w:rPr>
      </w:pPr>
    </w:p>
    <w:p w14:paraId="7C02A16C" w14:textId="77777777" w:rsidR="00522CEE" w:rsidRDefault="00522CEE">
      <w:pPr>
        <w:rPr>
          <w:rFonts w:ascii="Arial" w:hAnsi="Arial" w:cs="Arial"/>
          <w:color w:val="000000" w:themeColor="text1"/>
          <w:sz w:val="24"/>
          <w:szCs w:val="24"/>
        </w:rPr>
      </w:pPr>
    </w:p>
    <w:p w14:paraId="376878D1" w14:textId="77777777" w:rsidR="00522CEE" w:rsidRDefault="00522CEE">
      <w:pPr>
        <w:rPr>
          <w:rFonts w:ascii="Arial" w:hAnsi="Arial" w:cs="Arial"/>
          <w:color w:val="000000" w:themeColor="text1"/>
          <w:sz w:val="24"/>
          <w:szCs w:val="24"/>
        </w:rPr>
      </w:pPr>
    </w:p>
    <w:p w14:paraId="326125F0" w14:textId="77777777" w:rsidR="00522CEE" w:rsidRDefault="00522CEE">
      <w:pPr>
        <w:rPr>
          <w:rFonts w:ascii="Arial" w:hAnsi="Arial" w:cs="Arial"/>
          <w:color w:val="000000" w:themeColor="text1"/>
          <w:sz w:val="24"/>
          <w:szCs w:val="24"/>
        </w:rPr>
      </w:pPr>
    </w:p>
    <w:p w14:paraId="18D1E179" w14:textId="77777777" w:rsidR="00522CEE" w:rsidRDefault="00522CEE">
      <w:pPr>
        <w:rPr>
          <w:rFonts w:ascii="Arial" w:hAnsi="Arial" w:cs="Arial"/>
          <w:color w:val="000000" w:themeColor="text1"/>
          <w:sz w:val="24"/>
          <w:szCs w:val="24"/>
        </w:rPr>
      </w:pPr>
    </w:p>
    <w:p w14:paraId="594E0D0E" w14:textId="77777777" w:rsidR="00522CEE" w:rsidRDefault="00522CEE">
      <w:pPr>
        <w:rPr>
          <w:rFonts w:ascii="Arial" w:hAnsi="Arial" w:cs="Arial"/>
          <w:color w:val="000000" w:themeColor="text1"/>
          <w:sz w:val="24"/>
          <w:szCs w:val="24"/>
        </w:rPr>
      </w:pPr>
    </w:p>
    <w:p w14:paraId="17EFDA55" w14:textId="77777777" w:rsidR="00522CEE" w:rsidRDefault="00522CEE">
      <w:pPr>
        <w:rPr>
          <w:rFonts w:ascii="Arial" w:hAnsi="Arial" w:cs="Arial"/>
          <w:color w:val="000000" w:themeColor="text1"/>
          <w:sz w:val="24"/>
          <w:szCs w:val="24"/>
        </w:rPr>
      </w:pPr>
    </w:p>
    <w:p w14:paraId="42BA4683" w14:textId="77777777" w:rsidR="00522CEE" w:rsidRDefault="00522CEE">
      <w:pPr>
        <w:rPr>
          <w:rFonts w:ascii="Arial" w:hAnsi="Arial" w:cs="Arial"/>
          <w:color w:val="000000" w:themeColor="text1"/>
          <w:sz w:val="24"/>
          <w:szCs w:val="24"/>
        </w:rPr>
      </w:pPr>
    </w:p>
    <w:p w14:paraId="69B0EE70" w14:textId="77777777" w:rsidR="00522CEE" w:rsidRDefault="00522CEE">
      <w:pPr>
        <w:rPr>
          <w:rFonts w:ascii="Arial" w:hAnsi="Arial" w:cs="Arial"/>
          <w:color w:val="000000" w:themeColor="text1"/>
          <w:sz w:val="24"/>
          <w:szCs w:val="24"/>
        </w:rPr>
      </w:pPr>
    </w:p>
    <w:p w14:paraId="09103F07" w14:textId="77777777" w:rsidR="00522CEE" w:rsidRDefault="00522CEE">
      <w:pPr>
        <w:rPr>
          <w:rFonts w:ascii="Arial" w:hAnsi="Arial" w:cs="Arial"/>
          <w:color w:val="000000" w:themeColor="text1"/>
          <w:sz w:val="24"/>
          <w:szCs w:val="24"/>
        </w:rPr>
      </w:pPr>
    </w:p>
    <w:p w14:paraId="1851F729" w14:textId="77777777" w:rsidR="00522CEE" w:rsidRPr="00964397" w:rsidRDefault="00522CEE">
      <w:pPr>
        <w:rPr>
          <w:rFonts w:ascii="Arial" w:hAnsi="Arial" w:cs="Arial"/>
          <w:color w:val="000000" w:themeColor="text1"/>
          <w:sz w:val="24"/>
          <w:szCs w:val="24"/>
        </w:rPr>
      </w:pPr>
    </w:p>
    <w:p w14:paraId="3C2E5D71" w14:textId="77777777" w:rsidR="00FF3847" w:rsidRDefault="00FF3847" w:rsidP="00964397">
      <w:pPr>
        <w:pStyle w:val="Heading2"/>
        <w:jc w:val="center"/>
        <w:rPr>
          <w:rFonts w:ascii="Arial" w:hAnsi="Arial" w:cs="Arial"/>
          <w:color w:val="000000" w:themeColor="text1"/>
          <w:sz w:val="24"/>
          <w:szCs w:val="24"/>
        </w:rPr>
      </w:pPr>
    </w:p>
    <w:p w14:paraId="3ECC28FC" w14:textId="77777777" w:rsidR="00FF3847" w:rsidRDefault="00FF3847">
      <w:pPr>
        <w:rPr>
          <w:rFonts w:ascii="Arial" w:eastAsiaTheme="majorEastAsia" w:hAnsi="Arial" w:cs="Arial"/>
          <w:b/>
          <w:bCs/>
          <w:color w:val="000000" w:themeColor="text1"/>
          <w:sz w:val="24"/>
          <w:szCs w:val="24"/>
        </w:rPr>
      </w:pPr>
      <w:r>
        <w:rPr>
          <w:rFonts w:ascii="Arial" w:hAnsi="Arial" w:cs="Arial"/>
          <w:color w:val="000000" w:themeColor="text1"/>
          <w:sz w:val="24"/>
          <w:szCs w:val="24"/>
        </w:rPr>
        <w:br w:type="page"/>
      </w:r>
    </w:p>
    <w:p w14:paraId="5D1675DD" w14:textId="77777777" w:rsidR="00FF3847" w:rsidRDefault="00FF3847" w:rsidP="00964397">
      <w:pPr>
        <w:pStyle w:val="Heading2"/>
        <w:jc w:val="center"/>
        <w:rPr>
          <w:rFonts w:ascii="Arial" w:hAnsi="Arial" w:cs="Arial"/>
          <w:color w:val="000000" w:themeColor="text1"/>
          <w:sz w:val="24"/>
          <w:szCs w:val="24"/>
        </w:rPr>
      </w:pPr>
    </w:p>
    <w:p w14:paraId="63CFF206" w14:textId="333F34CD" w:rsidR="009C1394" w:rsidRPr="00FF3847" w:rsidRDefault="00312BB6" w:rsidP="00FF3847">
      <w:pPr>
        <w:jc w:val="center"/>
        <w:rPr>
          <w:rFonts w:ascii="Arial" w:eastAsiaTheme="majorEastAsia" w:hAnsi="Arial" w:cs="Arial"/>
          <w:b/>
          <w:bCs/>
          <w:color w:val="000000" w:themeColor="text1"/>
          <w:sz w:val="24"/>
          <w:szCs w:val="24"/>
        </w:rPr>
      </w:pPr>
      <w:r w:rsidRPr="00FF3847">
        <w:rPr>
          <w:rFonts w:ascii="Arial" w:hAnsi="Arial" w:cs="Arial"/>
          <w:b/>
          <w:bCs/>
          <w:color w:val="000000" w:themeColor="text1"/>
          <w:sz w:val="24"/>
          <w:szCs w:val="24"/>
        </w:rPr>
        <w:t>Bibliography</w:t>
      </w:r>
    </w:p>
    <w:p w14:paraId="3B84AC7E" w14:textId="77777777" w:rsidR="009C1394" w:rsidRPr="00964397" w:rsidRDefault="00312BB6" w:rsidP="00D057C5">
      <w:pPr>
        <w:ind w:left="720" w:hanging="720"/>
        <w:rPr>
          <w:rFonts w:ascii="Arial" w:hAnsi="Arial" w:cs="Arial"/>
          <w:color w:val="000000" w:themeColor="text1"/>
          <w:sz w:val="24"/>
          <w:szCs w:val="24"/>
        </w:rPr>
      </w:pPr>
      <w:r w:rsidRPr="00964397">
        <w:rPr>
          <w:rFonts w:ascii="Arial" w:hAnsi="Arial" w:cs="Arial"/>
          <w:color w:val="000000" w:themeColor="text1"/>
          <w:sz w:val="24"/>
          <w:szCs w:val="24"/>
        </w:rPr>
        <w:t xml:space="preserve">Citino, Robert M. </w:t>
      </w:r>
      <w:r w:rsidRPr="008E6322">
        <w:rPr>
          <w:rFonts w:ascii="Arial" w:hAnsi="Arial" w:cs="Arial"/>
          <w:i/>
          <w:iCs/>
          <w:color w:val="000000" w:themeColor="text1"/>
          <w:sz w:val="24"/>
          <w:szCs w:val="24"/>
        </w:rPr>
        <w:t>The Path to Blitzkrieg: Doctrine and Training in the German Army, 1920–1939</w:t>
      </w:r>
      <w:r w:rsidRPr="00964397">
        <w:rPr>
          <w:rFonts w:ascii="Arial" w:hAnsi="Arial" w:cs="Arial"/>
          <w:color w:val="000000" w:themeColor="text1"/>
          <w:sz w:val="24"/>
          <w:szCs w:val="24"/>
        </w:rPr>
        <w:t>. Boulder, CO: Lynne Rienner Publishers, 1999.</w:t>
      </w:r>
    </w:p>
    <w:p w14:paraId="6BDA2F38" w14:textId="77777777" w:rsidR="009C1394" w:rsidRPr="00964397" w:rsidRDefault="00312BB6" w:rsidP="00D057C5">
      <w:pPr>
        <w:ind w:left="720" w:hanging="720"/>
        <w:rPr>
          <w:rFonts w:ascii="Arial" w:hAnsi="Arial" w:cs="Arial"/>
          <w:color w:val="000000" w:themeColor="text1"/>
          <w:sz w:val="24"/>
          <w:szCs w:val="24"/>
        </w:rPr>
      </w:pPr>
      <w:r w:rsidRPr="00964397">
        <w:rPr>
          <w:rFonts w:ascii="Arial" w:hAnsi="Arial" w:cs="Arial"/>
          <w:color w:val="000000" w:themeColor="text1"/>
          <w:sz w:val="24"/>
          <w:szCs w:val="24"/>
        </w:rPr>
        <w:t xml:space="preserve">Frieser, Karl-Heinz. </w:t>
      </w:r>
      <w:r w:rsidRPr="00CB5CEE">
        <w:rPr>
          <w:rFonts w:ascii="Arial" w:hAnsi="Arial" w:cs="Arial"/>
          <w:i/>
          <w:iCs/>
          <w:color w:val="000000" w:themeColor="text1"/>
          <w:sz w:val="24"/>
          <w:szCs w:val="24"/>
        </w:rPr>
        <w:t>The Blitzkrieg Legend: The 1940 Campaign in the West</w:t>
      </w:r>
      <w:r w:rsidRPr="00964397">
        <w:rPr>
          <w:rFonts w:ascii="Arial" w:hAnsi="Arial" w:cs="Arial"/>
          <w:color w:val="000000" w:themeColor="text1"/>
          <w:sz w:val="24"/>
          <w:szCs w:val="24"/>
        </w:rPr>
        <w:t>. Annapolis, MD: Naval Institute Press, 2005.</w:t>
      </w:r>
    </w:p>
    <w:p w14:paraId="2C526231" w14:textId="77777777" w:rsidR="009C1394" w:rsidRPr="00964397" w:rsidRDefault="00312BB6" w:rsidP="00D057C5">
      <w:pPr>
        <w:ind w:left="720" w:hanging="720"/>
        <w:rPr>
          <w:rFonts w:ascii="Arial" w:hAnsi="Arial" w:cs="Arial"/>
          <w:color w:val="000000" w:themeColor="text1"/>
          <w:sz w:val="24"/>
          <w:szCs w:val="24"/>
        </w:rPr>
      </w:pPr>
      <w:r w:rsidRPr="00964397">
        <w:rPr>
          <w:rFonts w:ascii="Arial" w:hAnsi="Arial" w:cs="Arial"/>
          <w:color w:val="000000" w:themeColor="text1"/>
          <w:sz w:val="24"/>
          <w:szCs w:val="24"/>
        </w:rPr>
        <w:t xml:space="preserve">Guderian, Heinz. </w:t>
      </w:r>
      <w:r w:rsidRPr="00CB5CEE">
        <w:rPr>
          <w:rFonts w:ascii="Arial" w:hAnsi="Arial" w:cs="Arial"/>
          <w:i/>
          <w:iCs/>
          <w:color w:val="000000" w:themeColor="text1"/>
          <w:sz w:val="24"/>
          <w:szCs w:val="24"/>
        </w:rPr>
        <w:t>Panzer Leader</w:t>
      </w:r>
      <w:r w:rsidRPr="00964397">
        <w:rPr>
          <w:rFonts w:ascii="Arial" w:hAnsi="Arial" w:cs="Arial"/>
          <w:color w:val="000000" w:themeColor="text1"/>
          <w:sz w:val="24"/>
          <w:szCs w:val="24"/>
        </w:rPr>
        <w:t>. London: Da Capo Press, 1996.</w:t>
      </w:r>
    </w:p>
    <w:p w14:paraId="6F8DCC63" w14:textId="77777777" w:rsidR="009C1394" w:rsidRPr="00964397" w:rsidRDefault="00312BB6" w:rsidP="00D057C5">
      <w:pPr>
        <w:ind w:left="720" w:hanging="720"/>
        <w:rPr>
          <w:rFonts w:ascii="Arial" w:hAnsi="Arial" w:cs="Arial"/>
          <w:color w:val="000000" w:themeColor="text1"/>
          <w:sz w:val="24"/>
          <w:szCs w:val="24"/>
        </w:rPr>
      </w:pPr>
      <w:r w:rsidRPr="00964397">
        <w:rPr>
          <w:rFonts w:ascii="Arial" w:hAnsi="Arial" w:cs="Arial"/>
          <w:color w:val="000000" w:themeColor="text1"/>
          <w:sz w:val="24"/>
          <w:szCs w:val="24"/>
        </w:rPr>
        <w:t xml:space="preserve">Ohler, Norman. </w:t>
      </w:r>
      <w:r w:rsidRPr="00C64496">
        <w:rPr>
          <w:rFonts w:ascii="Arial" w:hAnsi="Arial" w:cs="Arial"/>
          <w:i/>
          <w:iCs/>
          <w:color w:val="000000" w:themeColor="text1"/>
          <w:sz w:val="24"/>
          <w:szCs w:val="24"/>
        </w:rPr>
        <w:t>Blitzed: Drugs in the Third Reich</w:t>
      </w:r>
      <w:r w:rsidRPr="00964397">
        <w:rPr>
          <w:rFonts w:ascii="Arial" w:hAnsi="Arial" w:cs="Arial"/>
          <w:color w:val="000000" w:themeColor="text1"/>
          <w:sz w:val="24"/>
          <w:szCs w:val="24"/>
        </w:rPr>
        <w:t>. London: Penguin, 2016.</w:t>
      </w:r>
    </w:p>
    <w:p w14:paraId="2DE6E2F5" w14:textId="77777777" w:rsidR="009C1394" w:rsidRPr="00964397" w:rsidRDefault="00312BB6" w:rsidP="00D057C5">
      <w:pPr>
        <w:ind w:left="720" w:hanging="720"/>
        <w:rPr>
          <w:rFonts w:ascii="Arial" w:hAnsi="Arial" w:cs="Arial"/>
          <w:color w:val="000000" w:themeColor="text1"/>
          <w:sz w:val="24"/>
          <w:szCs w:val="24"/>
        </w:rPr>
      </w:pPr>
      <w:r w:rsidRPr="00964397">
        <w:rPr>
          <w:rFonts w:ascii="Arial" w:hAnsi="Arial" w:cs="Arial"/>
          <w:color w:val="000000" w:themeColor="text1"/>
          <w:sz w:val="24"/>
          <w:szCs w:val="24"/>
        </w:rPr>
        <w:t xml:space="preserve">Overy, Richard. </w:t>
      </w:r>
      <w:r w:rsidRPr="00C64496">
        <w:rPr>
          <w:rFonts w:ascii="Arial" w:hAnsi="Arial" w:cs="Arial"/>
          <w:i/>
          <w:iCs/>
          <w:color w:val="000000" w:themeColor="text1"/>
          <w:sz w:val="24"/>
          <w:szCs w:val="24"/>
        </w:rPr>
        <w:t>Why the Allies Won</w:t>
      </w:r>
      <w:r w:rsidRPr="00964397">
        <w:rPr>
          <w:rFonts w:ascii="Arial" w:hAnsi="Arial" w:cs="Arial"/>
          <w:color w:val="000000" w:themeColor="text1"/>
          <w:sz w:val="24"/>
          <w:szCs w:val="24"/>
        </w:rPr>
        <w:t>. London: W.W. Norton &amp; Company, 1995.</w:t>
      </w:r>
    </w:p>
    <w:sectPr w:rsidR="009C1394" w:rsidRPr="00964397" w:rsidSect="00034616">
      <w:headerReference w:type="even" r:id="rId8"/>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77782" w14:textId="77777777" w:rsidR="00F01C43" w:rsidRDefault="00F01C43" w:rsidP="008F1EB2">
      <w:pPr>
        <w:spacing w:after="0" w:line="240" w:lineRule="auto"/>
      </w:pPr>
      <w:r>
        <w:separator/>
      </w:r>
    </w:p>
  </w:endnote>
  <w:endnote w:type="continuationSeparator" w:id="0">
    <w:p w14:paraId="5F3BEC09" w14:textId="77777777" w:rsidR="00F01C43" w:rsidRDefault="00F01C43" w:rsidP="008F1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B0604020202020204"/>
    <w:charset w:val="00"/>
    <w:family w:val="auto"/>
    <w:pitch w:val="variable"/>
    <w:sig w:usb0="00000003" w:usb1="00000000" w:usb2="00000000" w:usb3="00000000" w:csb0="00000001"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34155F" w14:textId="09B49BBF" w:rsidR="008F1EB2" w:rsidRPr="005014E7" w:rsidRDefault="00780CDA" w:rsidP="005014E7">
    <w:pPr>
      <w:spacing w:after="0" w:line="240" w:lineRule="auto"/>
      <w:outlineLvl w:val="0"/>
      <w:rPr>
        <w:rFonts w:ascii="Arial" w:eastAsia="Times New Roman" w:hAnsi="Arial" w:cs="Arial"/>
        <w:b/>
        <w:bCs/>
        <w:color w:val="000000" w:themeColor="text1"/>
        <w:kern w:val="36"/>
        <w:sz w:val="24"/>
        <w:szCs w:val="24"/>
        <w:lang w:val="en-GB" w:eastAsia="en-GB"/>
      </w:rPr>
    </w:pPr>
    <w:r w:rsidRPr="00780CDA">
      <w:rPr>
        <w:rFonts w:ascii="Arial" w:eastAsia="Times New Roman" w:hAnsi="Arial" w:cs="Arial"/>
        <w:b/>
        <w:bCs/>
        <w:color w:val="000000" w:themeColor="text1"/>
        <w:kern w:val="36"/>
        <w:sz w:val="24"/>
        <w:szCs w:val="24"/>
        <w:lang w:val="en-GB" w:eastAsia="en-GB"/>
      </w:rPr>
      <w:t>Academic Skills (HPHP4902)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618AD" w14:textId="77777777" w:rsidR="00F01C43" w:rsidRDefault="00F01C43" w:rsidP="008F1EB2">
      <w:pPr>
        <w:spacing w:after="0" w:line="240" w:lineRule="auto"/>
      </w:pPr>
      <w:r>
        <w:separator/>
      </w:r>
    </w:p>
  </w:footnote>
  <w:footnote w:type="continuationSeparator" w:id="0">
    <w:p w14:paraId="067AA1A1" w14:textId="77777777" w:rsidR="00F01C43" w:rsidRDefault="00F01C43" w:rsidP="008F1EB2">
      <w:pPr>
        <w:spacing w:after="0" w:line="240" w:lineRule="auto"/>
      </w:pPr>
      <w:r>
        <w:continuationSeparator/>
      </w:r>
    </w:p>
  </w:footnote>
  <w:footnote w:id="1">
    <w:p w14:paraId="5BDF9181" w14:textId="77777777" w:rsidR="000D7F1D" w:rsidRPr="00964397" w:rsidRDefault="000D7F1D" w:rsidP="00683407">
      <w:pPr>
        <w:rPr>
          <w:rFonts w:ascii="Arial" w:hAnsi="Arial" w:cs="Arial"/>
          <w:color w:val="000000" w:themeColor="text1"/>
          <w:sz w:val="24"/>
          <w:szCs w:val="24"/>
        </w:rPr>
      </w:pPr>
      <w:r>
        <w:rPr>
          <w:rStyle w:val="FootnoteReference"/>
        </w:rPr>
        <w:footnoteRef/>
      </w:r>
      <w:r>
        <w:t xml:space="preserve"> </w:t>
      </w:r>
      <w:r w:rsidRPr="00964397">
        <w:rPr>
          <w:rFonts w:ascii="Arial" w:hAnsi="Arial" w:cs="Arial"/>
          <w:color w:val="000000" w:themeColor="text1"/>
          <w:sz w:val="24"/>
          <w:szCs w:val="24"/>
        </w:rPr>
        <w:t xml:space="preserve">Robert M. Citino, </w:t>
      </w:r>
      <w:r w:rsidRPr="00F74ABB">
        <w:rPr>
          <w:rFonts w:ascii="Arial" w:hAnsi="Arial" w:cs="Arial"/>
          <w:i/>
          <w:iCs/>
          <w:color w:val="000000" w:themeColor="text1"/>
          <w:sz w:val="24"/>
          <w:szCs w:val="24"/>
        </w:rPr>
        <w:t>The Path to Blitzkrieg: Doctrine and Training in the German Army, 1920–1939</w:t>
      </w:r>
      <w:r w:rsidRPr="00964397">
        <w:rPr>
          <w:rFonts w:ascii="Arial" w:hAnsi="Arial" w:cs="Arial"/>
          <w:color w:val="000000" w:themeColor="text1"/>
          <w:sz w:val="24"/>
          <w:szCs w:val="24"/>
        </w:rPr>
        <w:t xml:space="preserve"> (Boulder, CO: Lynne Rienner Publishers, 1999), p. 47.</w:t>
      </w:r>
    </w:p>
    <w:p w14:paraId="6C27F2E2" w14:textId="2ADDF1E2" w:rsidR="000D7F1D" w:rsidRPr="000D7F1D" w:rsidRDefault="000D7F1D">
      <w:pPr>
        <w:pStyle w:val="FootnoteText"/>
        <w:rPr>
          <w:lang w:val="en-GB"/>
        </w:rPr>
      </w:pPr>
    </w:p>
  </w:footnote>
  <w:footnote w:id="2">
    <w:p w14:paraId="7C2F108F" w14:textId="77777777" w:rsidR="00627EDF" w:rsidRPr="00964397" w:rsidRDefault="00BF03C2" w:rsidP="00683407">
      <w:pPr>
        <w:rPr>
          <w:rFonts w:ascii="Arial" w:hAnsi="Arial" w:cs="Arial"/>
          <w:color w:val="000000" w:themeColor="text1"/>
          <w:sz w:val="24"/>
          <w:szCs w:val="24"/>
        </w:rPr>
      </w:pPr>
      <w:r>
        <w:rPr>
          <w:rStyle w:val="FootnoteReference"/>
        </w:rPr>
        <w:footnoteRef/>
      </w:r>
      <w:r>
        <w:t xml:space="preserve"> </w:t>
      </w:r>
      <w:r w:rsidR="00627EDF" w:rsidRPr="00964397">
        <w:rPr>
          <w:rFonts w:ascii="Arial" w:hAnsi="Arial" w:cs="Arial"/>
          <w:color w:val="000000" w:themeColor="text1"/>
          <w:sz w:val="24"/>
          <w:szCs w:val="24"/>
        </w:rPr>
        <w:t xml:space="preserve">Heinz Guderian, </w:t>
      </w:r>
      <w:r w:rsidR="00627EDF" w:rsidRPr="00F74ABB">
        <w:rPr>
          <w:rFonts w:ascii="Arial" w:hAnsi="Arial" w:cs="Arial"/>
          <w:i/>
          <w:iCs/>
          <w:color w:val="000000" w:themeColor="text1"/>
          <w:sz w:val="24"/>
          <w:szCs w:val="24"/>
        </w:rPr>
        <w:t>Panzer Leader</w:t>
      </w:r>
      <w:r w:rsidR="00627EDF" w:rsidRPr="00964397">
        <w:rPr>
          <w:rFonts w:ascii="Arial" w:hAnsi="Arial" w:cs="Arial"/>
          <w:color w:val="000000" w:themeColor="text1"/>
          <w:sz w:val="24"/>
          <w:szCs w:val="24"/>
        </w:rPr>
        <w:t xml:space="preserve"> (London: Da Capo Press, 1996), p. 45.</w:t>
      </w:r>
    </w:p>
    <w:p w14:paraId="7007EEF7" w14:textId="349B371C" w:rsidR="00BF03C2" w:rsidRPr="00BF03C2" w:rsidRDefault="00BF03C2">
      <w:pPr>
        <w:pStyle w:val="FootnoteText"/>
        <w:rPr>
          <w:lang w:val="en-GB"/>
        </w:rPr>
      </w:pPr>
    </w:p>
  </w:footnote>
  <w:footnote w:id="3">
    <w:p w14:paraId="34B3242D" w14:textId="77777777" w:rsidR="00627EDF" w:rsidRPr="00964397" w:rsidRDefault="00627EDF" w:rsidP="00683407">
      <w:pPr>
        <w:rPr>
          <w:rFonts w:ascii="Arial" w:hAnsi="Arial" w:cs="Arial"/>
          <w:color w:val="000000" w:themeColor="text1"/>
          <w:sz w:val="24"/>
          <w:szCs w:val="24"/>
        </w:rPr>
      </w:pPr>
      <w:r>
        <w:rPr>
          <w:rStyle w:val="FootnoteReference"/>
        </w:rPr>
        <w:footnoteRef/>
      </w:r>
      <w:r>
        <w:t xml:space="preserve"> </w:t>
      </w:r>
      <w:r w:rsidRPr="00964397">
        <w:rPr>
          <w:rFonts w:ascii="Arial" w:hAnsi="Arial" w:cs="Arial"/>
          <w:color w:val="000000" w:themeColor="text1"/>
          <w:sz w:val="24"/>
          <w:szCs w:val="24"/>
        </w:rPr>
        <w:t xml:space="preserve">Norman Ohler, </w:t>
      </w:r>
      <w:r w:rsidRPr="001E3BFA">
        <w:rPr>
          <w:rFonts w:ascii="Arial" w:hAnsi="Arial" w:cs="Arial"/>
          <w:i/>
          <w:iCs/>
          <w:color w:val="000000" w:themeColor="text1"/>
          <w:sz w:val="24"/>
          <w:szCs w:val="24"/>
        </w:rPr>
        <w:t>Blitzed: Drugs in the Third Reich</w:t>
      </w:r>
      <w:r w:rsidRPr="00964397">
        <w:rPr>
          <w:rFonts w:ascii="Arial" w:hAnsi="Arial" w:cs="Arial"/>
          <w:color w:val="000000" w:themeColor="text1"/>
          <w:sz w:val="24"/>
          <w:szCs w:val="24"/>
        </w:rPr>
        <w:t xml:space="preserve"> (London: Penguin, 2016), p. 112.</w:t>
      </w:r>
    </w:p>
    <w:p w14:paraId="48AB192E" w14:textId="577F9FE6" w:rsidR="00627EDF" w:rsidRPr="00627EDF" w:rsidRDefault="00627EDF">
      <w:pPr>
        <w:pStyle w:val="FootnoteText"/>
        <w:rPr>
          <w:lang w:val="en-GB"/>
        </w:rPr>
      </w:pPr>
    </w:p>
  </w:footnote>
  <w:footnote w:id="4">
    <w:p w14:paraId="468F168B" w14:textId="77777777" w:rsidR="00F93BB4" w:rsidRPr="00964397" w:rsidRDefault="00F93BB4" w:rsidP="00683407">
      <w:pPr>
        <w:rPr>
          <w:rFonts w:ascii="Arial" w:hAnsi="Arial" w:cs="Arial"/>
          <w:color w:val="000000" w:themeColor="text1"/>
          <w:sz w:val="24"/>
          <w:szCs w:val="24"/>
        </w:rPr>
      </w:pPr>
      <w:r>
        <w:rPr>
          <w:rStyle w:val="FootnoteReference"/>
        </w:rPr>
        <w:footnoteRef/>
      </w:r>
      <w:r>
        <w:t xml:space="preserve"> </w:t>
      </w:r>
      <w:r w:rsidRPr="00964397">
        <w:rPr>
          <w:rFonts w:ascii="Arial" w:hAnsi="Arial" w:cs="Arial"/>
          <w:color w:val="000000" w:themeColor="text1"/>
          <w:sz w:val="24"/>
          <w:szCs w:val="24"/>
        </w:rPr>
        <w:t xml:space="preserve">Karl-Heinz Frieser, </w:t>
      </w:r>
      <w:r w:rsidRPr="008E6322">
        <w:rPr>
          <w:rFonts w:ascii="Arial" w:hAnsi="Arial" w:cs="Arial"/>
          <w:i/>
          <w:iCs/>
          <w:color w:val="000000" w:themeColor="text1"/>
          <w:sz w:val="24"/>
          <w:szCs w:val="24"/>
        </w:rPr>
        <w:t>The Blitzkrieg Legend: The 1940 Campaign in the West</w:t>
      </w:r>
      <w:r w:rsidRPr="00964397">
        <w:rPr>
          <w:rFonts w:ascii="Arial" w:hAnsi="Arial" w:cs="Arial"/>
          <w:color w:val="000000" w:themeColor="text1"/>
          <w:sz w:val="24"/>
          <w:szCs w:val="24"/>
        </w:rPr>
        <w:t xml:space="preserve"> (Annapolis, MD: Naval Institute Press, 2005), p. 5.</w:t>
      </w:r>
    </w:p>
    <w:p w14:paraId="2AC8FB92" w14:textId="7A60A8BC" w:rsidR="00F93BB4" w:rsidRPr="00F93BB4" w:rsidRDefault="00F93BB4">
      <w:pPr>
        <w:pStyle w:val="FootnoteText"/>
        <w:rPr>
          <w:lang w:val="en-GB"/>
        </w:rPr>
      </w:pPr>
    </w:p>
  </w:footnote>
  <w:footnote w:id="5">
    <w:p w14:paraId="390E4352" w14:textId="0FB8711A" w:rsidR="00E35AD6" w:rsidRPr="00E35AD6" w:rsidRDefault="00E35AD6">
      <w:pPr>
        <w:pStyle w:val="FootnoteText"/>
        <w:rPr>
          <w:lang w:val="en-GB"/>
        </w:rPr>
      </w:pPr>
      <w:r>
        <w:rPr>
          <w:rStyle w:val="FootnoteReference"/>
        </w:rPr>
        <w:footnoteRef/>
      </w:r>
      <w:r>
        <w:t xml:space="preserve"> </w:t>
      </w:r>
      <w:r w:rsidRPr="00964397">
        <w:rPr>
          <w:rFonts w:ascii="Arial" w:hAnsi="Arial" w:cs="Arial"/>
          <w:color w:val="000000" w:themeColor="text1"/>
          <w:sz w:val="24"/>
          <w:szCs w:val="24"/>
        </w:rPr>
        <w:t xml:space="preserve">Richard Overy, </w:t>
      </w:r>
      <w:r w:rsidRPr="008E6322">
        <w:rPr>
          <w:rFonts w:ascii="Arial" w:hAnsi="Arial" w:cs="Arial"/>
          <w:i/>
          <w:iCs/>
          <w:color w:val="000000" w:themeColor="text1"/>
          <w:sz w:val="24"/>
          <w:szCs w:val="24"/>
        </w:rPr>
        <w:t>Why the Allies Won</w:t>
      </w:r>
      <w:r w:rsidRPr="00964397">
        <w:rPr>
          <w:rFonts w:ascii="Arial" w:hAnsi="Arial" w:cs="Arial"/>
          <w:color w:val="000000" w:themeColor="text1"/>
          <w:sz w:val="24"/>
          <w:szCs w:val="24"/>
        </w:rPr>
        <w:t xml:space="preserve"> (London: W.W. Norton &amp; Company, 1995), p. 72.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4468280"/>
      <w:docPartObj>
        <w:docPartGallery w:val="Page Numbers (Top of Page)"/>
        <w:docPartUnique/>
      </w:docPartObj>
    </w:sdtPr>
    <w:sdtContent>
      <w:p w14:paraId="1B7E6A4A" w14:textId="7D747D9D" w:rsidR="008F1EB2" w:rsidRDefault="008F1EB2" w:rsidP="00D5604A">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AD1F08" w14:textId="77777777" w:rsidR="008F1EB2" w:rsidRDefault="008F1EB2" w:rsidP="008F1EB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b/>
        <w:bCs/>
      </w:rPr>
      <w:id w:val="-783961847"/>
      <w:docPartObj>
        <w:docPartGallery w:val="Page Numbers (Top of Page)"/>
        <w:docPartUnique/>
      </w:docPartObj>
    </w:sdtPr>
    <w:sdtContent>
      <w:p w14:paraId="5A516593" w14:textId="4C3A4B5A" w:rsidR="008F1EB2" w:rsidRPr="007947CF" w:rsidRDefault="008F1EB2" w:rsidP="00D5604A">
        <w:pPr>
          <w:pStyle w:val="Header"/>
          <w:framePr w:wrap="none" w:vAnchor="text" w:hAnchor="margin" w:xAlign="right" w:y="1"/>
          <w:jc w:val="right"/>
          <w:rPr>
            <w:rStyle w:val="PageNumber"/>
            <w:b/>
            <w:bCs/>
          </w:rPr>
        </w:pPr>
        <w:r w:rsidRPr="007947CF">
          <w:rPr>
            <w:rStyle w:val="PageNumber"/>
            <w:b/>
            <w:bCs/>
          </w:rPr>
          <w:fldChar w:fldCharType="begin"/>
        </w:r>
        <w:r w:rsidRPr="007947CF">
          <w:rPr>
            <w:rStyle w:val="PageNumber"/>
            <w:b/>
            <w:bCs/>
          </w:rPr>
          <w:instrText xml:space="preserve"> PAGE </w:instrText>
        </w:r>
        <w:r w:rsidRPr="007947CF">
          <w:rPr>
            <w:rStyle w:val="PageNumber"/>
            <w:b/>
            <w:bCs/>
          </w:rPr>
          <w:fldChar w:fldCharType="separate"/>
        </w:r>
        <w:r w:rsidRPr="007947CF">
          <w:rPr>
            <w:rStyle w:val="PageNumber"/>
            <w:b/>
            <w:bCs/>
            <w:noProof/>
          </w:rPr>
          <w:t>1</w:t>
        </w:r>
        <w:r w:rsidRPr="007947CF">
          <w:rPr>
            <w:rStyle w:val="PageNumber"/>
            <w:b/>
            <w:bCs/>
          </w:rPr>
          <w:fldChar w:fldCharType="end"/>
        </w:r>
      </w:p>
    </w:sdtContent>
  </w:sdt>
  <w:p w14:paraId="08A27B24" w14:textId="6BBC81AB" w:rsidR="008F1EB2" w:rsidRPr="005014E7" w:rsidRDefault="007947CF" w:rsidP="007947CF">
    <w:pPr>
      <w:tabs>
        <w:tab w:val="center" w:pos="4513"/>
        <w:tab w:val="right" w:pos="9026"/>
      </w:tabs>
      <w:spacing w:after="0" w:line="240" w:lineRule="auto"/>
      <w:rPr>
        <w:rFonts w:ascii="Arial" w:eastAsiaTheme="minorHAnsi" w:hAnsi="Arial" w:cs="Arial"/>
        <w:b/>
        <w:bCs/>
        <w:sz w:val="24"/>
        <w:szCs w:val="24"/>
        <w:lang w:val="en-GB"/>
      </w:rPr>
    </w:pPr>
    <w:r w:rsidRPr="005014E7">
      <w:rPr>
        <w:rFonts w:ascii="Arial" w:eastAsiaTheme="minorHAnsi" w:hAnsi="Arial" w:cs="Arial"/>
        <w:b/>
        <w:bCs/>
        <w:sz w:val="24"/>
        <w:szCs w:val="24"/>
        <w:lang w:val="en-GB"/>
      </w:rPr>
      <w:t>Callum Carter 2404122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31896346">
    <w:abstractNumId w:val="8"/>
  </w:num>
  <w:num w:numId="2" w16cid:durableId="1300842783">
    <w:abstractNumId w:val="6"/>
  </w:num>
  <w:num w:numId="3" w16cid:durableId="731735875">
    <w:abstractNumId w:val="5"/>
  </w:num>
  <w:num w:numId="4" w16cid:durableId="1821119135">
    <w:abstractNumId w:val="4"/>
  </w:num>
  <w:num w:numId="5" w16cid:durableId="1777212739">
    <w:abstractNumId w:val="7"/>
  </w:num>
  <w:num w:numId="6" w16cid:durableId="1551113010">
    <w:abstractNumId w:val="3"/>
  </w:num>
  <w:num w:numId="7" w16cid:durableId="1026717672">
    <w:abstractNumId w:val="2"/>
  </w:num>
  <w:num w:numId="8" w16cid:durableId="906260718">
    <w:abstractNumId w:val="1"/>
  </w:num>
  <w:num w:numId="9" w16cid:durableId="1354650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24FD"/>
    <w:rsid w:val="0006063C"/>
    <w:rsid w:val="00072D3E"/>
    <w:rsid w:val="000A5885"/>
    <w:rsid w:val="000D7F1D"/>
    <w:rsid w:val="00105DAE"/>
    <w:rsid w:val="0015074B"/>
    <w:rsid w:val="001D4775"/>
    <w:rsid w:val="001E3BFA"/>
    <w:rsid w:val="00206D86"/>
    <w:rsid w:val="00207CC8"/>
    <w:rsid w:val="00240D5C"/>
    <w:rsid w:val="0025612C"/>
    <w:rsid w:val="002752F3"/>
    <w:rsid w:val="00282CCD"/>
    <w:rsid w:val="0029639D"/>
    <w:rsid w:val="002973D0"/>
    <w:rsid w:val="002B39CB"/>
    <w:rsid w:val="00312BB6"/>
    <w:rsid w:val="00322C9D"/>
    <w:rsid w:val="00326F90"/>
    <w:rsid w:val="00407D90"/>
    <w:rsid w:val="00471C7D"/>
    <w:rsid w:val="004E6E94"/>
    <w:rsid w:val="005014E7"/>
    <w:rsid w:val="00522CEE"/>
    <w:rsid w:val="00555051"/>
    <w:rsid w:val="00561383"/>
    <w:rsid w:val="005E4949"/>
    <w:rsid w:val="00614712"/>
    <w:rsid w:val="00627EDF"/>
    <w:rsid w:val="00684097"/>
    <w:rsid w:val="00693966"/>
    <w:rsid w:val="0069585E"/>
    <w:rsid w:val="006B2F2E"/>
    <w:rsid w:val="00750EAF"/>
    <w:rsid w:val="00780CDA"/>
    <w:rsid w:val="007947CF"/>
    <w:rsid w:val="00824755"/>
    <w:rsid w:val="00874AD6"/>
    <w:rsid w:val="00895337"/>
    <w:rsid w:val="008C147D"/>
    <w:rsid w:val="008E6322"/>
    <w:rsid w:val="008F1EB2"/>
    <w:rsid w:val="0093273F"/>
    <w:rsid w:val="00941263"/>
    <w:rsid w:val="00964397"/>
    <w:rsid w:val="009A561B"/>
    <w:rsid w:val="009C1394"/>
    <w:rsid w:val="00A4401F"/>
    <w:rsid w:val="00AA1D8D"/>
    <w:rsid w:val="00B47730"/>
    <w:rsid w:val="00BD2A7C"/>
    <w:rsid w:val="00BF03C2"/>
    <w:rsid w:val="00BF616A"/>
    <w:rsid w:val="00C010A5"/>
    <w:rsid w:val="00C64496"/>
    <w:rsid w:val="00C83BB9"/>
    <w:rsid w:val="00C86B54"/>
    <w:rsid w:val="00CB0664"/>
    <w:rsid w:val="00CB5CEE"/>
    <w:rsid w:val="00D057C5"/>
    <w:rsid w:val="00D85C73"/>
    <w:rsid w:val="00DF5016"/>
    <w:rsid w:val="00E326DF"/>
    <w:rsid w:val="00E35AD6"/>
    <w:rsid w:val="00E82355"/>
    <w:rsid w:val="00F01C43"/>
    <w:rsid w:val="00F74ABB"/>
    <w:rsid w:val="00F93BB4"/>
    <w:rsid w:val="00FC090C"/>
    <w:rsid w:val="00FC4EA3"/>
    <w:rsid w:val="00FC693F"/>
    <w:rsid w:val="00FF384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8FB80BF"/>
  <w14:defaultImageDpi w14:val="300"/>
  <w15:docId w15:val="{E73DCFED-9651-824D-BF9C-9C358A374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PageNumber">
    <w:name w:val="page number"/>
    <w:basedOn w:val="DefaultParagraphFont"/>
    <w:uiPriority w:val="99"/>
    <w:semiHidden/>
    <w:unhideWhenUsed/>
    <w:rsid w:val="008F1EB2"/>
  </w:style>
  <w:style w:type="paragraph" w:customStyle="1" w:styleId="p1">
    <w:name w:val="p1"/>
    <w:basedOn w:val="Normal"/>
    <w:rsid w:val="00105DAE"/>
    <w:pPr>
      <w:spacing w:after="0" w:line="240" w:lineRule="auto"/>
    </w:pPr>
    <w:rPr>
      <w:rFonts w:ascii=".AppleSystemUIFont" w:hAnsi=".AppleSystemUIFont" w:cs="Times New Roman"/>
      <w:sz w:val="30"/>
      <w:szCs w:val="30"/>
      <w:lang w:val="en-GB" w:eastAsia="en-GB"/>
    </w:rPr>
  </w:style>
  <w:style w:type="character" w:customStyle="1" w:styleId="s1">
    <w:name w:val="s1"/>
    <w:basedOn w:val="DefaultParagraphFont"/>
    <w:rsid w:val="00105DAE"/>
    <w:rPr>
      <w:rFonts w:ascii="UICTFontTextStyleEmphasizedBody" w:hAnsi="UICTFontTextStyleEmphasizedBody" w:hint="default"/>
      <w:b/>
      <w:bCs/>
      <w:i w:val="0"/>
      <w:iCs w:val="0"/>
      <w:sz w:val="30"/>
      <w:szCs w:val="30"/>
    </w:rPr>
  </w:style>
  <w:style w:type="paragraph" w:styleId="EndnoteText">
    <w:name w:val="endnote text"/>
    <w:basedOn w:val="Normal"/>
    <w:link w:val="EndnoteTextChar"/>
    <w:uiPriority w:val="99"/>
    <w:semiHidden/>
    <w:unhideWhenUsed/>
    <w:rsid w:val="00FC4EA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C4EA3"/>
    <w:rPr>
      <w:sz w:val="20"/>
      <w:szCs w:val="20"/>
    </w:rPr>
  </w:style>
  <w:style w:type="character" w:styleId="EndnoteReference">
    <w:name w:val="endnote reference"/>
    <w:basedOn w:val="DefaultParagraphFont"/>
    <w:uiPriority w:val="99"/>
    <w:semiHidden/>
    <w:unhideWhenUsed/>
    <w:rsid w:val="00FC4EA3"/>
    <w:rPr>
      <w:vertAlign w:val="superscript"/>
    </w:rPr>
  </w:style>
  <w:style w:type="paragraph" w:styleId="FootnoteText">
    <w:name w:val="footnote text"/>
    <w:basedOn w:val="Normal"/>
    <w:link w:val="FootnoteTextChar"/>
    <w:uiPriority w:val="99"/>
    <w:semiHidden/>
    <w:unhideWhenUsed/>
    <w:rsid w:val="000D7F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7F1D"/>
    <w:rPr>
      <w:sz w:val="20"/>
      <w:szCs w:val="20"/>
    </w:rPr>
  </w:style>
  <w:style w:type="character" w:styleId="FootnoteReference">
    <w:name w:val="footnote reference"/>
    <w:basedOn w:val="DefaultParagraphFont"/>
    <w:uiPriority w:val="99"/>
    <w:semiHidden/>
    <w:unhideWhenUsed/>
    <w:rsid w:val="000D7F1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4</Pages>
  <Words>864</Words>
  <Characters>4931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5784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Callum Carter (2404122)</cp:lastModifiedBy>
  <cp:revision>63</cp:revision>
  <dcterms:created xsi:type="dcterms:W3CDTF">2025-11-12T16:40:00Z</dcterms:created>
  <dcterms:modified xsi:type="dcterms:W3CDTF">2025-11-12T18:25:00Z</dcterms:modified>
  <cp:category/>
</cp:coreProperties>
</file>