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1CD38" w14:textId="77777777" w:rsidR="00594F9B" w:rsidRPr="00594F9B" w:rsidRDefault="00594F9B" w:rsidP="00594F9B">
      <w:pPr>
        <w:pStyle w:val="paragraph"/>
        <w:spacing w:before="0" w:beforeAutospacing="0" w:after="0" w:afterAutospacing="0"/>
        <w:textAlignment w:val="baseline"/>
        <w:rPr>
          <w:rFonts w:ascii="Segoe UI" w:hAnsi="Segoe UI" w:cs="Segoe UI"/>
          <w:color w:val="000000" w:themeColor="text1"/>
          <w:sz w:val="18"/>
          <w:szCs w:val="18"/>
          <w:lang w:eastAsia="en-GB"/>
        </w:rPr>
      </w:pPr>
      <w:r w:rsidRPr="00594F9B">
        <w:rPr>
          <w:rStyle w:val="normaltextrun"/>
          <w:rFonts w:ascii="Arial" w:eastAsiaTheme="majorEastAsia" w:hAnsi="Arial" w:cs="Arial"/>
          <w:b/>
          <w:bCs/>
          <w:color w:val="000000" w:themeColor="text1"/>
          <w:sz w:val="32"/>
          <w:szCs w:val="32"/>
        </w:rPr>
        <w:t>Student ID</w:t>
      </w:r>
      <w:r w:rsidRPr="00594F9B">
        <w:rPr>
          <w:rStyle w:val="normaltextrun"/>
          <w:rFonts w:ascii="Arial" w:eastAsiaTheme="majorEastAsia" w:hAnsi="Arial" w:cs="Arial"/>
          <w:color w:val="000000" w:themeColor="text1"/>
          <w:sz w:val="32"/>
          <w:szCs w:val="32"/>
        </w:rPr>
        <w:t>: 2243482</w:t>
      </w:r>
      <w:r w:rsidRPr="00594F9B">
        <w:rPr>
          <w:rStyle w:val="eop"/>
          <w:rFonts w:ascii="Arial" w:eastAsiaTheme="majorEastAsia" w:hAnsi="Arial" w:cs="Arial"/>
          <w:color w:val="000000" w:themeColor="text1"/>
          <w:sz w:val="32"/>
          <w:szCs w:val="32"/>
        </w:rPr>
        <w:t> </w:t>
      </w:r>
    </w:p>
    <w:p w14:paraId="52EA9F0E" w14:textId="77777777" w:rsidR="00594F9B" w:rsidRPr="00594F9B" w:rsidRDefault="00594F9B" w:rsidP="00594F9B">
      <w:pPr>
        <w:pStyle w:val="paragraph"/>
        <w:spacing w:before="0" w:beforeAutospacing="0" w:after="0" w:afterAutospacing="0"/>
        <w:textAlignment w:val="baseline"/>
        <w:rPr>
          <w:rFonts w:ascii="Segoe UI" w:hAnsi="Segoe UI" w:cs="Segoe UI"/>
          <w:color w:val="000000" w:themeColor="text1"/>
          <w:sz w:val="18"/>
          <w:szCs w:val="18"/>
        </w:rPr>
      </w:pPr>
      <w:r w:rsidRPr="00594F9B">
        <w:rPr>
          <w:rStyle w:val="eop"/>
          <w:rFonts w:ascii="Arial" w:eastAsiaTheme="majorEastAsia" w:hAnsi="Arial" w:cs="Arial"/>
          <w:color w:val="000000" w:themeColor="text1"/>
          <w:sz w:val="32"/>
          <w:szCs w:val="32"/>
        </w:rPr>
        <w:t> </w:t>
      </w:r>
    </w:p>
    <w:p w14:paraId="0DE4C164" w14:textId="77777777" w:rsidR="00594F9B" w:rsidRPr="00594F9B" w:rsidRDefault="00594F9B" w:rsidP="00594F9B">
      <w:pPr>
        <w:pStyle w:val="paragraph"/>
        <w:spacing w:before="0" w:beforeAutospacing="0" w:after="0" w:afterAutospacing="0"/>
        <w:textAlignment w:val="baseline"/>
        <w:rPr>
          <w:rStyle w:val="eop"/>
          <w:rFonts w:ascii="Arial" w:eastAsiaTheme="majorEastAsia" w:hAnsi="Arial" w:cs="Arial"/>
          <w:color w:val="000000" w:themeColor="text1"/>
          <w:sz w:val="32"/>
          <w:szCs w:val="32"/>
        </w:rPr>
      </w:pPr>
      <w:r w:rsidRPr="00594F9B">
        <w:rPr>
          <w:rStyle w:val="normaltextrun"/>
          <w:rFonts w:ascii="Arial" w:eastAsiaTheme="majorEastAsia" w:hAnsi="Arial" w:cs="Arial"/>
          <w:b/>
          <w:bCs/>
          <w:color w:val="000000" w:themeColor="text1"/>
          <w:sz w:val="32"/>
          <w:szCs w:val="32"/>
        </w:rPr>
        <w:t>Student Name</w:t>
      </w:r>
      <w:r w:rsidRPr="00594F9B">
        <w:rPr>
          <w:rStyle w:val="normaltextrun"/>
          <w:rFonts w:ascii="Arial" w:eastAsiaTheme="majorEastAsia" w:hAnsi="Arial" w:cs="Arial"/>
          <w:color w:val="000000" w:themeColor="text1"/>
          <w:sz w:val="32"/>
          <w:szCs w:val="32"/>
        </w:rPr>
        <w:t>: Safina Bibi</w:t>
      </w:r>
      <w:r w:rsidRPr="00594F9B">
        <w:rPr>
          <w:rStyle w:val="eop"/>
          <w:rFonts w:ascii="Arial" w:eastAsiaTheme="majorEastAsia" w:hAnsi="Arial" w:cs="Arial"/>
          <w:color w:val="000000" w:themeColor="text1"/>
          <w:sz w:val="32"/>
          <w:szCs w:val="32"/>
        </w:rPr>
        <w:t> </w:t>
      </w:r>
    </w:p>
    <w:p w14:paraId="1BDBE2FC" w14:textId="77777777" w:rsidR="00594F9B" w:rsidRPr="00594F9B" w:rsidRDefault="00594F9B" w:rsidP="00594F9B">
      <w:pPr>
        <w:pStyle w:val="paragraph"/>
        <w:spacing w:before="0" w:beforeAutospacing="0" w:after="0" w:afterAutospacing="0"/>
        <w:textAlignment w:val="baseline"/>
        <w:rPr>
          <w:rStyle w:val="eop"/>
          <w:rFonts w:ascii="Arial" w:eastAsiaTheme="majorEastAsia" w:hAnsi="Arial" w:cs="Arial"/>
          <w:color w:val="000000" w:themeColor="text1"/>
          <w:sz w:val="32"/>
          <w:szCs w:val="32"/>
        </w:rPr>
      </w:pPr>
    </w:p>
    <w:p w14:paraId="5D9FA63A" w14:textId="77777777" w:rsidR="00594F9B" w:rsidRPr="00594F9B" w:rsidRDefault="00594F9B" w:rsidP="00594F9B">
      <w:pPr>
        <w:pStyle w:val="paragraph"/>
        <w:spacing w:before="0" w:beforeAutospacing="0" w:after="0" w:afterAutospacing="0" w:line="360" w:lineRule="auto"/>
        <w:textAlignment w:val="baseline"/>
        <w:rPr>
          <w:rFonts w:ascii="Segoe UI" w:hAnsi="Segoe UI" w:cs="Segoe UI"/>
          <w:color w:val="000000" w:themeColor="text1"/>
          <w:sz w:val="28"/>
          <w:szCs w:val="28"/>
        </w:rPr>
      </w:pPr>
      <w:r w:rsidRPr="00594F9B">
        <w:rPr>
          <w:rStyle w:val="normaltextrun"/>
          <w:rFonts w:ascii="Arial" w:eastAsiaTheme="majorEastAsia" w:hAnsi="Arial" w:cs="Arial"/>
          <w:color w:val="000000" w:themeColor="text1"/>
          <w:sz w:val="28"/>
          <w:szCs w:val="28"/>
        </w:rPr>
        <w:t>My project title:</w:t>
      </w:r>
      <w:r w:rsidRPr="00594F9B">
        <w:rPr>
          <w:rStyle w:val="apple-converted-space"/>
          <w:rFonts w:eastAsiaTheme="majorEastAsia"/>
          <w:color w:val="000000" w:themeColor="text1"/>
          <w:sz w:val="28"/>
          <w:szCs w:val="28"/>
        </w:rPr>
        <w:t> </w:t>
      </w:r>
      <w:r w:rsidRPr="00594F9B">
        <w:rPr>
          <w:rStyle w:val="normaltextrun"/>
          <w:rFonts w:ascii="Arial" w:eastAsiaTheme="majorEastAsia" w:hAnsi="Arial" w:cs="Arial"/>
          <w:color w:val="000000" w:themeColor="text1"/>
          <w:sz w:val="28"/>
          <w:szCs w:val="28"/>
        </w:rPr>
        <w:t>Exploring</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the</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impact</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migrant workers play in</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the</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adult social care workforce</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in the</w:t>
      </w:r>
      <w:r w:rsidRPr="00594F9B">
        <w:rPr>
          <w:rStyle w:val="apple-converted-space"/>
          <w:rFonts w:ascii="Arial" w:eastAsiaTheme="majorEastAsia" w:hAnsi="Arial" w:cs="Arial"/>
          <w:color w:val="000000" w:themeColor="text1"/>
          <w:sz w:val="28"/>
          <w:szCs w:val="28"/>
        </w:rPr>
        <w:t> </w:t>
      </w:r>
      <w:r w:rsidRPr="00594F9B">
        <w:rPr>
          <w:rStyle w:val="normaltextrun"/>
          <w:rFonts w:ascii="Arial" w:eastAsiaTheme="majorEastAsia" w:hAnsi="Arial" w:cs="Arial"/>
          <w:color w:val="000000" w:themeColor="text1"/>
          <w:sz w:val="28"/>
          <w:szCs w:val="28"/>
        </w:rPr>
        <w:t>United Kingdom (UK).</w:t>
      </w:r>
      <w:r w:rsidRPr="00594F9B">
        <w:rPr>
          <w:rStyle w:val="eop"/>
          <w:rFonts w:ascii="Arial" w:eastAsiaTheme="majorEastAsia" w:hAnsi="Arial" w:cs="Arial"/>
          <w:color w:val="000000" w:themeColor="text1"/>
          <w:sz w:val="28"/>
          <w:szCs w:val="28"/>
        </w:rPr>
        <w:t> </w:t>
      </w:r>
    </w:p>
    <w:p w14:paraId="50B8E040" w14:textId="77777777" w:rsidR="00594F9B" w:rsidRDefault="00594F9B" w:rsidP="00594F9B">
      <w:pPr>
        <w:pStyle w:val="Heading1"/>
        <w:rPr>
          <w:rFonts w:ascii="Arial" w:hAnsi="Arial" w:cs="Arial"/>
          <w:color w:val="000000" w:themeColor="text1"/>
          <w:sz w:val="32"/>
          <w:szCs w:val="32"/>
        </w:rPr>
      </w:pPr>
      <w:r w:rsidRPr="00594F9B">
        <w:rPr>
          <w:rFonts w:ascii="Arial" w:hAnsi="Arial" w:cs="Arial"/>
          <w:color w:val="000000" w:themeColor="text1"/>
          <w:sz w:val="32"/>
          <w:szCs w:val="32"/>
        </w:rPr>
        <w:t>CHAPTER 1: Introduction (1,000 words approx.)</w:t>
      </w:r>
    </w:p>
    <w:p w14:paraId="742DCFA1" w14:textId="77777777" w:rsidR="00A8698A" w:rsidRPr="00A8698A" w:rsidRDefault="00A8698A" w:rsidP="00A8698A">
      <w:pPr>
        <w:rPr>
          <w:lang w:eastAsia="en-US"/>
        </w:rPr>
      </w:pPr>
    </w:p>
    <w:p w14:paraId="5F7FE7A4" w14:textId="77777777" w:rsidR="00594F9B" w:rsidRPr="00594F9B" w:rsidRDefault="00594F9B" w:rsidP="00594F9B">
      <w:pPr>
        <w:pStyle w:val="Heading2"/>
        <w:rPr>
          <w:rFonts w:ascii="Arial" w:hAnsi="Arial" w:cs="Arial"/>
          <w:b/>
          <w:bCs/>
          <w:color w:val="000000" w:themeColor="text1"/>
          <w:sz w:val="28"/>
          <w:szCs w:val="28"/>
        </w:rPr>
      </w:pPr>
      <w:r w:rsidRPr="00594F9B">
        <w:rPr>
          <w:rFonts w:ascii="Arial" w:hAnsi="Arial" w:cs="Arial"/>
          <w:b/>
          <w:bCs/>
          <w:color w:val="000000" w:themeColor="text1"/>
          <w:sz w:val="28"/>
          <w:szCs w:val="28"/>
        </w:rPr>
        <w:t>1.1 Introduction</w:t>
      </w:r>
    </w:p>
    <w:p w14:paraId="48E66A1A" w14:textId="77777777" w:rsidR="00594F9B" w:rsidRPr="00594F9B" w:rsidRDefault="00594F9B" w:rsidP="00594F9B">
      <w:pPr>
        <w:pStyle w:val="Heading2"/>
        <w:spacing w:line="360" w:lineRule="auto"/>
        <w:rPr>
          <w:color w:val="000000" w:themeColor="text1"/>
        </w:rPr>
      </w:pPr>
      <w:r w:rsidRPr="00594F9B">
        <w:rPr>
          <w:rFonts w:ascii="Arial" w:hAnsi="Arial" w:cs="Arial"/>
          <w:color w:val="000000" w:themeColor="text1"/>
          <w:sz w:val="22"/>
          <w:szCs w:val="22"/>
        </w:rPr>
        <w:t xml:space="preserve">The Adult Social Care sector (ASC) in the United Kingdom (UK) is experiencing persistent workforce shortages, characterised by high vacancy rates, staff turnover, and rising demand for services (Moriarty </w:t>
      </w:r>
      <w:r w:rsidRPr="00594F9B">
        <w:rPr>
          <w:rFonts w:ascii="Arial" w:hAnsi="Arial" w:cs="Arial"/>
          <w:i/>
          <w:iCs/>
          <w:color w:val="000000" w:themeColor="text1"/>
          <w:sz w:val="22"/>
          <w:szCs w:val="22"/>
        </w:rPr>
        <w:t>et al.,</w:t>
      </w:r>
      <w:r w:rsidRPr="00594F9B">
        <w:rPr>
          <w:rFonts w:ascii="Arial" w:hAnsi="Arial" w:cs="Arial"/>
          <w:color w:val="000000" w:themeColor="text1"/>
          <w:sz w:val="22"/>
          <w:szCs w:val="22"/>
        </w:rPr>
        <w:t xml:space="preserve"> 2018). With approximately 1.59 million people employed in ASC in 2023/24 and around 131,000 vacant positions, workforce sustainability has become a major policy and operational concern (Skills for Care, 2025). These shortages have intensified in the context of an ageing population and increasingly complex care needs (ONS, 2023). In response to domestic recruitment difficulties, the UK has increasingly relied on a migrant workforce to maintain services and ensure continuity of care (Turnpenny &amp; Hussein, 2022).</w:t>
      </w:r>
    </w:p>
    <w:p w14:paraId="4A813406"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Migrant workers now constitute approximately one-quarter of the adult social care workforce, occupying many frontline direct care roles (Skills for Care, 2025). Policy reforms, including the placement of care roles on the Shortage Occupation List (SOL) and the introduction of the Health and Care Worker visa, have shaped international recruitment patterns (GOV.UK, 2021). However, recent tightening of immigration rules and visa restrictions has raised concerns regarding the long-term sustainability of this reliance and exposed structural vulnerabilities in workforce planning (Migration Observatory, 2023).</w:t>
      </w:r>
    </w:p>
    <w:p w14:paraId="59B59615"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primary aim of this dissertation is to examine how migrant workers support the ASC workforce in the UK. It will explore their contribution to care delivery and workforce stability, alongside the policy factors affecting their recruitment and experiences. By critically analysing policy, workforce data, and academic literature, this research contributes to ongoing UK debates surrounding migration, labour sustainability, and social care reform (Glasby, 2021).</w:t>
      </w:r>
    </w:p>
    <w:p w14:paraId="264B7D8B" w14:textId="4CCD4F86" w:rsidR="00594F9B" w:rsidRPr="00594F9B" w:rsidRDefault="00594F9B" w:rsidP="00594F9B">
      <w:pPr>
        <w:rPr>
          <w:rStyle w:val="s1"/>
          <w:rFonts w:ascii="Arial" w:hAnsi="Arial" w:cs="Arial"/>
          <w:color w:val="000000" w:themeColor="text1"/>
        </w:rPr>
      </w:pPr>
    </w:p>
    <w:p w14:paraId="391C1623" w14:textId="77777777" w:rsidR="00594F9B" w:rsidRPr="00594F9B" w:rsidRDefault="00594F9B" w:rsidP="00594F9B">
      <w:pPr>
        <w:pStyle w:val="Heading2"/>
        <w:rPr>
          <w:rFonts w:ascii="Arial" w:hAnsi="Arial" w:cs="Arial"/>
          <w:b/>
          <w:bCs/>
          <w:color w:val="000000" w:themeColor="text1"/>
          <w:sz w:val="28"/>
          <w:szCs w:val="28"/>
        </w:rPr>
      </w:pPr>
      <w:r w:rsidRPr="00594F9B">
        <w:rPr>
          <w:rFonts w:ascii="Arial" w:hAnsi="Arial" w:cs="Arial"/>
          <w:b/>
          <w:bCs/>
          <w:color w:val="000000" w:themeColor="text1"/>
          <w:sz w:val="28"/>
          <w:szCs w:val="28"/>
        </w:rPr>
        <w:lastRenderedPageBreak/>
        <w:t>1.2 Definitions and Terminology</w:t>
      </w:r>
    </w:p>
    <w:p w14:paraId="058A11FD"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ASC is defined as services that provide personal care and practical support to adults with physical disabilities, learning disabilities, mental health conditions, or age-related needs, including residential care, domiciliary care, supported living and community-based services, delivered across public, private and voluntary sectors, as outlined by the Care Quality Commission (CQC, 2025).</w:t>
      </w:r>
    </w:p>
    <w:p w14:paraId="1CE0BF26"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In this research, the term migrant workers refers to individuals employed in the UK in ASC who were born outside the United Kingdom. This includes workers holding settled or pre-settled status and those entering through official migration routes such as the Health and Care Worker visa, as described by the Migration Observatory (2023). Particular attention is given to migrant workers employed in direct care and support roles, where international recruitment has become a significant component of workforce supply (Skills for Care, 2025).</w:t>
      </w:r>
    </w:p>
    <w:p w14:paraId="7511DD08"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Workforce sustainability refers to the sector’s capacity to recruit, retain and maintain a stable workforce able to meet present and future demand. This incorporates vacancy rates, staff turnover, workforce planning and continuity of care, highlighted within national workforce planning frameworks (Department of Health and Social Care, 2022).</w:t>
      </w:r>
    </w:p>
    <w:p w14:paraId="49598001" w14:textId="77777777" w:rsidR="00594F9B" w:rsidRPr="00594F9B" w:rsidRDefault="00594F9B" w:rsidP="00594F9B">
      <w:pPr>
        <w:pStyle w:val="Heading2"/>
        <w:rPr>
          <w:rFonts w:ascii="Arial" w:hAnsi="Arial" w:cs="Arial"/>
          <w:color w:val="000000" w:themeColor="text1"/>
          <w:sz w:val="28"/>
          <w:szCs w:val="28"/>
        </w:rPr>
      </w:pPr>
    </w:p>
    <w:p w14:paraId="09908933" w14:textId="77777777" w:rsidR="00594F9B" w:rsidRPr="00594F9B" w:rsidRDefault="00594F9B" w:rsidP="00594F9B">
      <w:pPr>
        <w:pStyle w:val="Heading2"/>
        <w:rPr>
          <w:rFonts w:ascii="Arial" w:hAnsi="Arial" w:cs="Arial"/>
          <w:b/>
          <w:bCs/>
          <w:color w:val="000000" w:themeColor="text1"/>
          <w:sz w:val="28"/>
          <w:szCs w:val="28"/>
        </w:rPr>
      </w:pPr>
      <w:r w:rsidRPr="00594F9B">
        <w:rPr>
          <w:rFonts w:ascii="Arial" w:hAnsi="Arial" w:cs="Arial"/>
          <w:b/>
          <w:bCs/>
          <w:color w:val="000000" w:themeColor="text1"/>
          <w:sz w:val="28"/>
          <w:szCs w:val="28"/>
        </w:rPr>
        <w:t>1.3 Rationale for Research</w:t>
      </w:r>
    </w:p>
    <w:p w14:paraId="08EC0D0C"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growing relationship between migration policy and the sustainability of the adult social care workforce in the UK is the reason this research topic was selected, as highlighted in national workforce reform discussions (Department of Health and Social Care, 2022). Social care workforce shortages are not new, but they have intensified following Brexit, the COVID-19 pandemic, and ongoing shortages in the domestic labour supply (Health Foundation, 2023). The use of international recruitment as a response to persistent staffing gaps has increased, with overseas workers increasingly filling care roles, raising concerns about structural dependency and long-term workforce planning (Migration Observatory, 2023).</w:t>
      </w:r>
    </w:p>
    <w:p w14:paraId="62BD3C94" w14:textId="77777777" w:rsidR="00594F9B" w:rsidRPr="00594F9B" w:rsidRDefault="00594F9B" w:rsidP="00594F9B">
      <w:pPr>
        <w:jc w:val="left"/>
        <w:rPr>
          <w:rFonts w:ascii="Arial" w:eastAsia="Times New Roman" w:hAnsi="Arial" w:cs="Arial"/>
          <w:color w:val="000000" w:themeColor="text1"/>
          <w:kern w:val="0"/>
          <w:lang w:eastAsia="en-GB"/>
          <w14:ligatures w14:val="none"/>
        </w:rPr>
      </w:pPr>
      <w:r w:rsidRPr="00594F9B">
        <w:rPr>
          <w:rFonts w:ascii="Arial" w:hAnsi="Arial" w:cs="Arial"/>
          <w:color w:val="000000" w:themeColor="text1"/>
        </w:rPr>
        <w:t xml:space="preserve">Current research highlights the significant contribution of migrant workers to the ASC sector, particularly within direct care roles (Turnpenny &amp; Hussein, 2022). Studies also examine issues such as labour market segmentation, discrimination, and the risk of exploitation in low-income care employment, where migrant workers are often concentrated </w:t>
      </w:r>
      <w:r w:rsidRPr="00594F9B">
        <w:rPr>
          <w:rFonts w:ascii="Arial" w:eastAsia="Times New Roman" w:hAnsi="Arial" w:cs="Arial"/>
          <w:color w:val="000000" w:themeColor="text1"/>
          <w:kern w:val="0"/>
          <w:lang w:eastAsia="en-GB"/>
          <w14:ligatures w14:val="none"/>
        </w:rPr>
        <w:t>(International Labour Organization, 2024).</w:t>
      </w:r>
    </w:p>
    <w:p w14:paraId="10C9F4F3"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lastRenderedPageBreak/>
        <w:t>However, fewer studies incorporate workforce planning, working conditions, and immigration policy within a single analytical framework. Instead, much of the literature focuses either on care workforce challenges or migration systems separately rather than examining how these systems interact to influence sustainability (Migration Observatory, 2023).</w:t>
      </w:r>
    </w:p>
    <w:p w14:paraId="2EC6D96F"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wider significance of this research stems from its relevance to ongoing national discussions surrounding adult social care funding, ethical recruitment practices, and immigration reform, as highlighted in national reform policy (Department of Health and Social Care, 2022). Changes in policies governing sponsorship criteria, family dependents, and visa eligibility may directly affect workforce availability, as suggested by recent migration policy analysis (Migration Observatory, 2023). As a result, effective workforce planning requires a clear understanding of how migrant workers support service stability and how policy structures influence their participation in the sector.</w:t>
      </w:r>
    </w:p>
    <w:p w14:paraId="1D9031EC" w14:textId="39A05B53" w:rsidR="00594F9B" w:rsidRDefault="00594F9B" w:rsidP="00594F9B">
      <w:pPr>
        <w:rPr>
          <w:noProof/>
          <w:color w:val="000000" w:themeColor="text1"/>
        </w:rPr>
      </w:pPr>
      <w:r w:rsidRPr="00594F9B">
        <w:rPr>
          <w:rFonts w:ascii="Arial" w:hAnsi="Arial" w:cs="Arial"/>
          <w:color w:val="000000" w:themeColor="text1"/>
        </w:rPr>
        <w:t>In order to contribute to academic discussions and provide guidance for policy and practice suggestions in the field of health and social care, this research will critically examine the relationship between migration policy and social care sustainability.</w:t>
      </w:r>
    </w:p>
    <w:p w14:paraId="34E12CF1" w14:textId="77777777" w:rsidR="001669B6" w:rsidRPr="00594F9B" w:rsidRDefault="001669B6" w:rsidP="00594F9B">
      <w:pPr>
        <w:rPr>
          <w:rStyle w:val="s1"/>
          <w:color w:val="000000" w:themeColor="text1"/>
        </w:rPr>
      </w:pPr>
    </w:p>
    <w:p w14:paraId="3FD7DFDC" w14:textId="77777777" w:rsidR="00594F9B" w:rsidRPr="00594F9B" w:rsidRDefault="00594F9B" w:rsidP="00594F9B">
      <w:pPr>
        <w:pStyle w:val="Heading2"/>
        <w:rPr>
          <w:rFonts w:ascii="Arial" w:hAnsi="Arial" w:cs="Arial"/>
          <w:b/>
          <w:bCs/>
          <w:color w:val="000000" w:themeColor="text1"/>
          <w:sz w:val="28"/>
          <w:szCs w:val="28"/>
        </w:rPr>
      </w:pPr>
      <w:r w:rsidRPr="00594F9B">
        <w:rPr>
          <w:rFonts w:ascii="Arial" w:hAnsi="Arial" w:cs="Arial"/>
          <w:b/>
          <w:bCs/>
          <w:color w:val="000000" w:themeColor="text1"/>
          <w:sz w:val="28"/>
          <w:szCs w:val="28"/>
        </w:rPr>
        <w:t>1.4 Aim and Objectives</w:t>
      </w:r>
    </w:p>
    <w:p w14:paraId="57B3CC71" w14:textId="77777777" w:rsidR="00594F9B" w:rsidRPr="00594F9B" w:rsidRDefault="00594F9B" w:rsidP="00594F9B">
      <w:pPr>
        <w:pStyle w:val="Heading3"/>
        <w:rPr>
          <w:rFonts w:ascii="Arial" w:hAnsi="Arial" w:cs="Arial"/>
          <w:color w:val="000000" w:themeColor="text1"/>
        </w:rPr>
      </w:pPr>
      <w:r w:rsidRPr="00594F9B">
        <w:rPr>
          <w:rFonts w:ascii="Arial" w:hAnsi="Arial" w:cs="Arial"/>
          <w:color w:val="000000" w:themeColor="text1"/>
        </w:rPr>
        <w:t>Research Aim</w:t>
      </w:r>
    </w:p>
    <w:p w14:paraId="27B6FCDE"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primary purpose of this research is to examine the role of migrant workers in supporting the UK ASC workforce, with a focus on their contribution to care delivery and workforce stability, as well as the policy factors that influence their recruitment and experiences.</w:t>
      </w:r>
    </w:p>
    <w:p w14:paraId="320FA71E"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This aim highlights the need to understand both the practical contribution of migrant workers and the broader structural background that influences their employment. The research adopts a policy-informed approach, acknowledging that workforce sustainability is influenced not only by recruitment rates, but also by immigration regulations, job conditions, and long-term planning initiatives.</w:t>
      </w:r>
    </w:p>
    <w:p w14:paraId="1D8AF4E7" w14:textId="77777777" w:rsidR="00594F9B" w:rsidRPr="00594F9B" w:rsidRDefault="00594F9B" w:rsidP="00594F9B">
      <w:pPr>
        <w:pStyle w:val="p2"/>
        <w:spacing w:line="360" w:lineRule="auto"/>
        <w:rPr>
          <w:rFonts w:ascii="Arial" w:hAnsi="Arial" w:cs="Arial"/>
          <w:color w:val="000000" w:themeColor="text1"/>
          <w:sz w:val="28"/>
          <w:szCs w:val="28"/>
        </w:rPr>
      </w:pPr>
      <w:r w:rsidRPr="00594F9B">
        <w:rPr>
          <w:rFonts w:ascii="Arial" w:hAnsi="Arial" w:cs="Arial"/>
          <w:color w:val="000000" w:themeColor="text1"/>
          <w:sz w:val="28"/>
          <w:szCs w:val="28"/>
        </w:rPr>
        <w:t>Research Objectives</w:t>
      </w:r>
    </w:p>
    <w:p w14:paraId="76E214EF" w14:textId="77777777" w:rsidR="00594F9B" w:rsidRPr="00594F9B" w:rsidRDefault="00594F9B" w:rsidP="00594F9B">
      <w:pPr>
        <w:pStyle w:val="p4"/>
        <w:spacing w:line="360" w:lineRule="auto"/>
        <w:rPr>
          <w:rFonts w:ascii="Arial" w:hAnsi="Arial" w:cs="Arial"/>
          <w:b/>
          <w:bCs/>
          <w:color w:val="000000" w:themeColor="text1"/>
          <w:sz w:val="22"/>
          <w:szCs w:val="22"/>
        </w:rPr>
      </w:pPr>
      <w:r w:rsidRPr="00594F9B">
        <w:rPr>
          <w:rFonts w:ascii="Arial" w:hAnsi="Arial" w:cs="Arial"/>
          <w:b/>
          <w:bCs/>
          <w:color w:val="000000" w:themeColor="text1"/>
          <w:sz w:val="22"/>
          <w:szCs w:val="22"/>
        </w:rPr>
        <w:t>Objective 1:</w:t>
      </w:r>
    </w:p>
    <w:p w14:paraId="5A4A1EEA" w14:textId="77777777" w:rsidR="00594F9B" w:rsidRPr="00594F9B" w:rsidRDefault="00594F9B" w:rsidP="00594F9B">
      <w:pPr>
        <w:pStyle w:val="p4"/>
        <w:spacing w:line="360" w:lineRule="auto"/>
        <w:rPr>
          <w:rFonts w:ascii="Arial" w:hAnsi="Arial" w:cs="Arial"/>
          <w:color w:val="000000" w:themeColor="text1"/>
          <w:sz w:val="22"/>
          <w:szCs w:val="22"/>
        </w:rPr>
      </w:pPr>
      <w:r w:rsidRPr="00594F9B">
        <w:rPr>
          <w:rFonts w:ascii="Arial" w:hAnsi="Arial" w:cs="Arial"/>
          <w:color w:val="000000" w:themeColor="text1"/>
          <w:sz w:val="22"/>
          <w:szCs w:val="22"/>
        </w:rPr>
        <w:lastRenderedPageBreak/>
        <w:t>To describe and critically examine the role of migrant workers in sustaining the UK adult social care workforce, with particular emphasis on service continuity and workforce shortages.</w:t>
      </w:r>
    </w:p>
    <w:p w14:paraId="6890EE37" w14:textId="77777777" w:rsidR="00594F9B" w:rsidRPr="00594F9B" w:rsidRDefault="00594F9B" w:rsidP="00594F9B">
      <w:pPr>
        <w:pStyle w:val="p4"/>
        <w:spacing w:line="360" w:lineRule="auto"/>
        <w:rPr>
          <w:rFonts w:ascii="Arial" w:hAnsi="Arial" w:cs="Arial"/>
          <w:b/>
          <w:bCs/>
          <w:color w:val="000000" w:themeColor="text1"/>
          <w:sz w:val="22"/>
          <w:szCs w:val="22"/>
        </w:rPr>
      </w:pPr>
      <w:r w:rsidRPr="00594F9B">
        <w:rPr>
          <w:rFonts w:ascii="Arial" w:hAnsi="Arial" w:cs="Arial"/>
          <w:b/>
          <w:bCs/>
          <w:color w:val="000000" w:themeColor="text1"/>
          <w:sz w:val="22"/>
          <w:szCs w:val="22"/>
        </w:rPr>
        <w:t>Objective 2:</w:t>
      </w:r>
    </w:p>
    <w:p w14:paraId="1B0FB3D0" w14:textId="77777777" w:rsidR="00594F9B" w:rsidRPr="00594F9B" w:rsidRDefault="00594F9B" w:rsidP="00594F9B">
      <w:pPr>
        <w:pStyle w:val="p3"/>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To analyse UK immigration, employment, and social care policies to assess how they shape the recruitment, deployment, and reliance on migrant workers within the sector.</w:t>
      </w:r>
    </w:p>
    <w:p w14:paraId="4471E165" w14:textId="77777777" w:rsidR="00594F9B" w:rsidRPr="00594F9B" w:rsidRDefault="00594F9B" w:rsidP="00594F9B">
      <w:pPr>
        <w:pStyle w:val="p4"/>
        <w:spacing w:line="360" w:lineRule="auto"/>
        <w:rPr>
          <w:rFonts w:ascii="Arial" w:hAnsi="Arial" w:cs="Arial"/>
          <w:b/>
          <w:bCs/>
          <w:color w:val="000000" w:themeColor="text1"/>
          <w:sz w:val="22"/>
          <w:szCs w:val="22"/>
        </w:rPr>
      </w:pPr>
      <w:r w:rsidRPr="00594F9B">
        <w:rPr>
          <w:rFonts w:ascii="Arial" w:hAnsi="Arial" w:cs="Arial"/>
          <w:b/>
          <w:bCs/>
          <w:color w:val="000000" w:themeColor="text1"/>
          <w:sz w:val="22"/>
          <w:szCs w:val="22"/>
        </w:rPr>
        <w:t>Objective 3:</w:t>
      </w:r>
    </w:p>
    <w:p w14:paraId="5FE0A752" w14:textId="77777777" w:rsidR="00594F9B" w:rsidRPr="00594F9B" w:rsidRDefault="00594F9B" w:rsidP="00594F9B">
      <w:pPr>
        <w:pStyle w:val="p3"/>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To evaluate the structural challenges experienced by migrant workers, including job security, working conditions, and opportunities for career progression, and assess their impact on workforce stability and care quality (Al-Btoush and El- Bcheraoui, 2024).</w:t>
      </w:r>
    </w:p>
    <w:p w14:paraId="487FE781" w14:textId="77777777" w:rsidR="00594F9B" w:rsidRPr="00594F9B" w:rsidRDefault="00594F9B" w:rsidP="00594F9B">
      <w:pPr>
        <w:pStyle w:val="p4"/>
        <w:spacing w:line="360" w:lineRule="auto"/>
        <w:rPr>
          <w:rFonts w:ascii="Arial" w:hAnsi="Arial" w:cs="Arial"/>
          <w:color w:val="000000" w:themeColor="text1"/>
          <w:sz w:val="22"/>
          <w:szCs w:val="22"/>
        </w:rPr>
      </w:pPr>
      <w:r w:rsidRPr="00594F9B">
        <w:rPr>
          <w:rFonts w:ascii="Arial" w:hAnsi="Arial" w:cs="Arial"/>
          <w:b/>
          <w:bCs/>
          <w:color w:val="000000" w:themeColor="text1"/>
          <w:sz w:val="22"/>
          <w:szCs w:val="22"/>
        </w:rPr>
        <w:t>Objective 4:</w:t>
      </w:r>
    </w:p>
    <w:p w14:paraId="6DE11D39" w14:textId="77777777" w:rsidR="00594F9B" w:rsidRPr="00594F9B" w:rsidRDefault="00594F9B" w:rsidP="00594F9B">
      <w:pPr>
        <w:pStyle w:val="p3"/>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To provide recommendations for policy and practice that strengthen support for migrant workers, improve workforce planning in adult social care, and address ongoing staffing shortages.</w:t>
      </w:r>
    </w:p>
    <w:p w14:paraId="702AF9FB" w14:textId="77777777" w:rsidR="00594F9B" w:rsidRPr="00594F9B" w:rsidRDefault="00594F9B" w:rsidP="00594F9B">
      <w:pPr>
        <w:pStyle w:val="p3"/>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Together, these objectives guide the structure of the dissertation and inform the thematic analysis undertaken in subsequent chapters.</w:t>
      </w:r>
    </w:p>
    <w:p w14:paraId="3BC51023" w14:textId="77777777" w:rsidR="00594F9B" w:rsidRPr="00594F9B" w:rsidRDefault="00D14EF4" w:rsidP="00594F9B">
      <w:pPr>
        <w:rPr>
          <w:rStyle w:val="s1"/>
          <w:color w:val="000000" w:themeColor="text1"/>
        </w:rPr>
      </w:pPr>
      <w:r>
        <w:rPr>
          <w:noProof/>
        </w:rPr>
      </w:r>
      <w:r>
        <w:pict w14:anchorId="5AAC81AC">
          <v:rect id="Horizontal Line 3" o:spid="_x0000_s1026" style="width:451.3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" filled="f">
            <o:lock v:ext="edit" rotation="t" aspectratio="t" verticies="t" text="t" shapetype="t"/>
            <w10:anchorlock/>
          </v:rect>
        </w:pict>
      </w:r>
    </w:p>
    <w:p w14:paraId="1208F598" w14:textId="77777777" w:rsidR="00594F9B" w:rsidRPr="00594F9B" w:rsidRDefault="00594F9B" w:rsidP="00594F9B">
      <w:pPr>
        <w:pStyle w:val="Heading2"/>
        <w:rPr>
          <w:rFonts w:ascii="Arial" w:hAnsi="Arial" w:cs="Arial"/>
          <w:b/>
          <w:bCs/>
          <w:color w:val="000000" w:themeColor="text1"/>
          <w:sz w:val="28"/>
          <w:szCs w:val="28"/>
        </w:rPr>
      </w:pPr>
      <w:r w:rsidRPr="00594F9B">
        <w:rPr>
          <w:rFonts w:ascii="Arial" w:hAnsi="Arial" w:cs="Arial"/>
          <w:b/>
          <w:bCs/>
          <w:color w:val="000000" w:themeColor="text1"/>
          <w:sz w:val="28"/>
          <w:szCs w:val="28"/>
        </w:rPr>
        <w:t>1.5 Conclusion</w:t>
      </w:r>
    </w:p>
    <w:p w14:paraId="7CC28AC0"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This chapter has highlighted the dissertation's main focus: the role of migrant workers in sustaining the UK adult social care workforce. It has presented the current workforce situation, clarified essential terminology, and provided a justification based on policy relevance and research gaps. The goal and objectives have been explicitly defined to guide the goal of the research and analytical methodology.</w:t>
      </w:r>
    </w:p>
    <w:p w14:paraId="4E51F357"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concerns raised in this chapter highlight the importance of considering migration and workforce sustainability together. Understanding migrant workers' contributions and experiences is both important and crucial as the sector faces workforce challenges and regulatory reform.</w:t>
      </w:r>
    </w:p>
    <w:p w14:paraId="38F139BB" w14:textId="77777777" w:rsidR="00594F9B" w:rsidRPr="00594F9B" w:rsidRDefault="00594F9B" w:rsidP="00594F9B">
      <w:pPr>
        <w:pStyle w:val="p3"/>
        <w:spacing w:line="360" w:lineRule="auto"/>
        <w:rPr>
          <w:rFonts w:ascii="Arial" w:hAnsi="Arial" w:cs="Arial"/>
          <w:color w:val="000000" w:themeColor="text1"/>
          <w:sz w:val="22"/>
          <w:szCs w:val="22"/>
        </w:rPr>
      </w:pPr>
      <w:r w:rsidRPr="00594F9B">
        <w:rPr>
          <w:rFonts w:ascii="Arial" w:hAnsi="Arial" w:cs="Arial"/>
          <w:color w:val="000000" w:themeColor="text1"/>
          <w:sz w:val="22"/>
          <w:szCs w:val="22"/>
        </w:rPr>
        <w:lastRenderedPageBreak/>
        <w:t>Chapter 2 will build on this foundation by critically analysing existing literature on migrant workers, workforce sustainability, and UK immigration policy. It will look at theoretical perspectives, research findings, and present debates to develop the conceptual foundation for this dissertation.</w:t>
      </w:r>
    </w:p>
    <w:p w14:paraId="19408EB5" w14:textId="77777777" w:rsidR="00594F9B" w:rsidRPr="00594F9B" w:rsidRDefault="00594F9B" w:rsidP="00594F9B">
      <w:pPr>
        <w:spacing w:before="100" w:beforeAutospacing="1" w:after="100" w:afterAutospacing="1" w:line="240" w:lineRule="auto"/>
        <w:jc w:val="left"/>
        <w:outlineLvl w:val="1"/>
        <w:rPr>
          <w:rFonts w:ascii="Arial" w:eastAsia="Times New Roman" w:hAnsi="Arial" w:cs="Arial"/>
          <w:b/>
          <w:bCs/>
          <w:color w:val="000000" w:themeColor="text1"/>
          <w:kern w:val="0"/>
          <w:sz w:val="28"/>
          <w:szCs w:val="28"/>
          <w:lang w:eastAsia="en-GB"/>
          <w14:ligatures w14:val="none"/>
        </w:rPr>
      </w:pPr>
      <w:r w:rsidRPr="00594F9B">
        <w:rPr>
          <w:rFonts w:ascii="Arial" w:eastAsia="Times New Roman" w:hAnsi="Arial" w:cs="Arial"/>
          <w:b/>
          <w:bCs/>
          <w:color w:val="000000" w:themeColor="text1"/>
          <w:kern w:val="0"/>
          <w:sz w:val="28"/>
          <w:szCs w:val="28"/>
          <w:lang w:eastAsia="en-GB"/>
          <w14:ligatures w14:val="none"/>
        </w:rPr>
        <w:t xml:space="preserve">2.1 Introduction 2000 words approx. </w:t>
      </w:r>
      <w:r w:rsidRPr="00594F9B">
        <w:rPr>
          <w:rStyle w:val="normaltextrun"/>
          <w:rFonts w:cs="Arial"/>
          <w:b/>
          <w:bCs/>
          <w:color w:val="000000" w:themeColor="text1"/>
        </w:rPr>
        <w:t>(150 words approx.)</w:t>
      </w:r>
      <w:r w:rsidRPr="00594F9B">
        <w:rPr>
          <w:rStyle w:val="eop"/>
          <w:rFonts w:eastAsia="Calibri Light" w:cs="Arial"/>
          <w:b/>
          <w:bCs/>
          <w:color w:val="000000" w:themeColor="text1"/>
        </w:rPr>
        <w:t> </w:t>
      </w:r>
    </w:p>
    <w:p w14:paraId="5CAF6C13"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This chapter provides a foundation for the dissertation by examining broader issues involving migrant workers and the sustainability of the ASC workforce in the UK.  It investigates the historical, theoretical, international, and national influences that have influenced present workforce challenges across the sector </w:t>
      </w:r>
      <w:r w:rsidRPr="00594F9B">
        <w:rPr>
          <w:rStyle w:val="apple-converted-space"/>
          <w:rFonts w:ascii="Arial" w:eastAsiaTheme="majorEastAsia" w:hAnsi="Arial" w:cs="Arial"/>
          <w:color w:val="000000" w:themeColor="text1"/>
          <w:sz w:val="22"/>
          <w:szCs w:val="22"/>
        </w:rPr>
        <w:t> </w:t>
      </w:r>
      <w:r w:rsidRPr="00594F9B">
        <w:rPr>
          <w:rFonts w:ascii="Arial" w:hAnsi="Arial" w:cs="Arial"/>
          <w:color w:val="000000" w:themeColor="text1"/>
          <w:sz w:val="22"/>
          <w:szCs w:val="22"/>
        </w:rPr>
        <w:t>(Skills for Care, 2025). Understanding these aspects is critical for examining migrant workers' contributions to workforce stability and service delivery.</w:t>
      </w:r>
    </w:p>
    <w:p w14:paraId="50D20931"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The chapter begins by outlining the development of migrant labour in the ASC sector over time and highlighting significant policy changes that have affected the availability of labour. It will then introduce theoretical perspectives that explain how labour markets, migration, and workforce sustainability are related. By analysing at how various nations handle comparable labour issues, the chapter also investigates the global viewpoint. Finally, it examines the national context of the UK, concentrating on workforce trends, policies, and regulatory frameworks that influence the recruitment and employment of migrant workers in ASC (Migration Observatory, 2023).</w:t>
      </w:r>
    </w:p>
    <w:p w14:paraId="24B7730C" w14:textId="77777777" w:rsidR="00594F9B" w:rsidRPr="00594F9B" w:rsidRDefault="00594F9B" w:rsidP="00594F9B">
      <w:pPr>
        <w:spacing w:before="100" w:beforeAutospacing="1" w:after="100" w:afterAutospacing="1" w:line="240" w:lineRule="auto"/>
        <w:jc w:val="left"/>
        <w:outlineLvl w:val="1"/>
        <w:rPr>
          <w:rFonts w:ascii="Arial" w:eastAsia="Times New Roman" w:hAnsi="Arial" w:cs="Arial"/>
          <w:b/>
          <w:bCs/>
          <w:color w:val="000000" w:themeColor="text1"/>
          <w:kern w:val="0"/>
          <w:sz w:val="28"/>
          <w:szCs w:val="28"/>
          <w:lang w:eastAsia="en-GB"/>
          <w14:ligatures w14:val="none"/>
        </w:rPr>
      </w:pPr>
      <w:r w:rsidRPr="00594F9B">
        <w:rPr>
          <w:rFonts w:ascii="Arial" w:eastAsia="Times New Roman" w:hAnsi="Arial" w:cs="Arial"/>
          <w:b/>
          <w:bCs/>
          <w:color w:val="000000" w:themeColor="text1"/>
          <w:kern w:val="0"/>
          <w:sz w:val="28"/>
          <w:szCs w:val="28"/>
          <w:lang w:eastAsia="en-GB"/>
          <w14:ligatures w14:val="none"/>
        </w:rPr>
        <w:t xml:space="preserve">2.2 Historical Background </w:t>
      </w:r>
      <w:r w:rsidRPr="00594F9B">
        <w:rPr>
          <w:rStyle w:val="normaltextrun"/>
          <w:rFonts w:cs="Arial"/>
          <w:color w:val="000000" w:themeColor="text1"/>
        </w:rPr>
        <w:t>(</w:t>
      </w:r>
      <w:r w:rsidRPr="00594F9B">
        <w:rPr>
          <w:rStyle w:val="normaltextrun"/>
          <w:rFonts w:cs="Arial"/>
          <w:b/>
          <w:bCs/>
          <w:color w:val="000000" w:themeColor="text1"/>
        </w:rPr>
        <w:t>450 words approx.)</w:t>
      </w:r>
      <w:r w:rsidRPr="00594F9B">
        <w:rPr>
          <w:rStyle w:val="eop"/>
          <w:rFonts w:eastAsia="Calibri Light" w:cs="Arial"/>
          <w:color w:val="000000" w:themeColor="text1"/>
        </w:rPr>
        <w:t> </w:t>
      </w:r>
    </w:p>
    <w:p w14:paraId="2CC54976"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The present reliance on migrant workers in the UK's ASC workforce has evolved over several decades and reflects broader social, economic, and regulatory changes. Previously, family members or local authority organisations provided the majority of informal care for older adults and people with disabilities as highlighted by </w:t>
      </w:r>
      <w:r w:rsidRPr="00594F9B">
        <w:rPr>
          <w:rStyle w:val="apple-converted-space"/>
          <w:rFonts w:ascii="Arial" w:eastAsiaTheme="majorEastAsia" w:hAnsi="Arial" w:cs="Arial"/>
          <w:color w:val="000000" w:themeColor="text1"/>
          <w:sz w:val="22"/>
          <w:szCs w:val="22"/>
        </w:rPr>
        <w:t> </w:t>
      </w:r>
      <w:r w:rsidRPr="00594F9B">
        <w:rPr>
          <w:rFonts w:ascii="Arial" w:hAnsi="Arial" w:cs="Arial"/>
          <w:color w:val="000000" w:themeColor="text1"/>
          <w:sz w:val="22"/>
          <w:szCs w:val="22"/>
        </w:rPr>
        <w:t xml:space="preserve">(Harker </w:t>
      </w:r>
      <w:r w:rsidRPr="00594F9B">
        <w:rPr>
          <w:rFonts w:ascii="Arial" w:hAnsi="Arial" w:cs="Arial"/>
          <w:i/>
          <w:iCs/>
          <w:color w:val="000000" w:themeColor="text1"/>
          <w:sz w:val="22"/>
          <w:szCs w:val="22"/>
        </w:rPr>
        <w:t>et al</w:t>
      </w:r>
      <w:r w:rsidRPr="00594F9B">
        <w:rPr>
          <w:rFonts w:ascii="Arial" w:hAnsi="Arial" w:cs="Arial"/>
          <w:color w:val="000000" w:themeColor="text1"/>
          <w:sz w:val="22"/>
          <w:szCs w:val="22"/>
        </w:rPr>
        <w:t xml:space="preserve">., 2025). However, demographic changes, such as an ageing population and rising life expectancy, have resulted in a major increase in demand for formal care services (McKee </w:t>
      </w:r>
      <w:r w:rsidRPr="00594F9B">
        <w:rPr>
          <w:rFonts w:ascii="Arial" w:hAnsi="Arial" w:cs="Arial"/>
          <w:i/>
          <w:iCs/>
          <w:color w:val="000000" w:themeColor="text1"/>
          <w:sz w:val="22"/>
          <w:szCs w:val="22"/>
        </w:rPr>
        <w:t>et al.,</w:t>
      </w:r>
      <w:r w:rsidRPr="00594F9B">
        <w:rPr>
          <w:rFonts w:ascii="Arial" w:hAnsi="Arial" w:cs="Arial"/>
          <w:color w:val="000000" w:themeColor="text1"/>
          <w:sz w:val="22"/>
          <w:szCs w:val="22"/>
        </w:rPr>
        <w:t xml:space="preserve"> 2021). As demand has risen, the sector has faced continuous recruitment and retention challenges, adding to long-term personnel shortages. For example, there were approximately 131,000 vacant positions in adult social care in England in 2023–2024, indicating ongoing shortages of employees in this sector (UK Parliament POST, 2025). With 19% of the UK population 65 or older in 2022 and projected to rise to 27% by 2072, demographic shifts are further driving up the demand for care (Barton </w:t>
      </w:r>
      <w:r w:rsidRPr="00594F9B">
        <w:rPr>
          <w:rFonts w:ascii="Arial" w:hAnsi="Arial" w:cs="Arial"/>
          <w:i/>
          <w:iCs/>
          <w:color w:val="000000" w:themeColor="text1"/>
          <w:sz w:val="22"/>
          <w:szCs w:val="22"/>
        </w:rPr>
        <w:t>et al</w:t>
      </w:r>
      <w:r w:rsidRPr="00594F9B">
        <w:rPr>
          <w:rFonts w:ascii="Arial" w:hAnsi="Arial" w:cs="Arial"/>
          <w:color w:val="000000" w:themeColor="text1"/>
          <w:sz w:val="22"/>
          <w:szCs w:val="22"/>
        </w:rPr>
        <w:t>., 2024).</w:t>
      </w:r>
    </w:p>
    <w:p w14:paraId="279FECE4" w14:textId="77777777" w:rsidR="00594F9B" w:rsidRPr="00594F9B" w:rsidRDefault="00594F9B" w:rsidP="00594F9B">
      <w:pPr>
        <w:pStyle w:val="p1"/>
        <w:spacing w:line="360" w:lineRule="auto"/>
        <w:rPr>
          <w:rFonts w:ascii="Arial" w:hAnsi="Arial" w:cs="Arial"/>
          <w:color w:val="000000" w:themeColor="text1"/>
          <w:sz w:val="22"/>
          <w:szCs w:val="22"/>
        </w:rPr>
      </w:pPr>
    </w:p>
    <w:p w14:paraId="3D4FA312"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According to Marino and Keizer, (2023) migrant workers became increasingly prevalent in ASC workforce beginning in the early 2000s. Migrant workers have frequently filled occupations that have been difficult to fill domestically, particularly minimum-wage direct care roles (Marino and Keizer, 2023). This trend became more obvious once the European Union expanded, when workers from Eastern European nations entered the UK employment market, contributing to manpower shortages in sectors including the health and social care (Migration Observatory, 2023). Research suggests migrant workers have therefore been crucial in maintaining staffing levels in the social care sector, where domestic labour supply has found it difficult to keep up with demand (Turnpenny and Hussein, 2022)</w:t>
      </w:r>
    </w:p>
    <w:p w14:paraId="332FC4E1" w14:textId="77777777" w:rsidR="00594F9B" w:rsidRPr="00594F9B" w:rsidRDefault="00594F9B" w:rsidP="00594F9B">
      <w:pPr>
        <w:pStyle w:val="p1"/>
        <w:spacing w:line="360" w:lineRule="auto"/>
        <w:rPr>
          <w:rFonts w:ascii="Arial" w:hAnsi="Arial" w:cs="Arial"/>
          <w:color w:val="000000" w:themeColor="text1"/>
          <w:sz w:val="22"/>
          <w:szCs w:val="22"/>
        </w:rPr>
      </w:pPr>
    </w:p>
    <w:p w14:paraId="4AA0AF53"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When the UK decided to leave the European Union in 2016, the workforce's composition underwent a major shift. The termination of free movement between the UK and EU member states as a result of Brexit decreased the number of European workers available in a number of industries, including adult social care (Dayan </w:t>
      </w:r>
      <w:r w:rsidRPr="00594F9B">
        <w:rPr>
          <w:rFonts w:ascii="Arial" w:hAnsi="Arial" w:cs="Arial"/>
          <w:i/>
          <w:iCs/>
          <w:color w:val="000000" w:themeColor="text1"/>
          <w:sz w:val="22"/>
          <w:szCs w:val="22"/>
        </w:rPr>
        <w:t>et al.,</w:t>
      </w:r>
      <w:r w:rsidRPr="00594F9B">
        <w:rPr>
          <w:rFonts w:ascii="Arial" w:hAnsi="Arial" w:cs="Arial"/>
          <w:color w:val="000000" w:themeColor="text1"/>
          <w:sz w:val="22"/>
          <w:szCs w:val="22"/>
        </w:rPr>
        <w:t xml:space="preserve"> 2024). In order to reduce the labour shortage, more focus was placed on alternative overseas recruitment schemes (Migration Observatory, 2023).</w:t>
      </w:r>
      <w:r w:rsidRPr="00594F9B">
        <w:rPr>
          <w:rStyle w:val="apple-converted-space"/>
          <w:rFonts w:ascii="Arial" w:eastAsiaTheme="majorEastAsia" w:hAnsi="Arial" w:cs="Arial"/>
          <w:color w:val="000000" w:themeColor="text1"/>
          <w:sz w:val="22"/>
          <w:szCs w:val="22"/>
        </w:rPr>
        <w:t xml:space="preserve"> According to </w:t>
      </w:r>
      <w:r w:rsidRPr="00594F9B">
        <w:rPr>
          <w:rFonts w:ascii="Arial" w:hAnsi="Arial" w:cs="Arial"/>
          <w:color w:val="000000" w:themeColor="text1"/>
          <w:sz w:val="22"/>
          <w:szCs w:val="22"/>
        </w:rPr>
        <w:t>Portes and Springford (2023) these challenges  increased by the COVID-19 pandemic, which increased demand for care services while also putting more strain on the current workforce.</w:t>
      </w:r>
    </w:p>
    <w:p w14:paraId="1172D6DA"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In response to these challenges, the UK government implemented a number of legislative measures aimed at improving workforce recruiting in the care sector Foster, (2024). One of the most significant developments was the establishment of the Health and Care Worker visa, which enabled care providers to recruit overseas workers under a separate immigration strategy </w:t>
      </w:r>
      <w:r w:rsidRPr="00594F9B">
        <w:rPr>
          <w:rStyle w:val="apple-converted-space"/>
          <w:rFonts w:ascii="Arial" w:eastAsiaTheme="majorEastAsia" w:hAnsi="Arial" w:cs="Arial"/>
          <w:color w:val="000000" w:themeColor="text1"/>
          <w:sz w:val="22"/>
          <w:szCs w:val="22"/>
        </w:rPr>
        <w:t> </w:t>
      </w:r>
      <w:r w:rsidRPr="00594F9B">
        <w:rPr>
          <w:rFonts w:ascii="Arial" w:hAnsi="Arial" w:cs="Arial"/>
          <w:color w:val="000000" w:themeColor="text1"/>
          <w:sz w:val="22"/>
          <w:szCs w:val="22"/>
        </w:rPr>
        <w:t>(Migration Observatory, 2023). The inclusion of care roles on the SOL acknowledged the sector's persistent workforce issues and gave employers more flexibility in recruiting migrant workers (Migration Advisory Committee, 2023).</w:t>
      </w:r>
    </w:p>
    <w:p w14:paraId="7DA9188C" w14:textId="77777777" w:rsidR="00594F9B" w:rsidRPr="00594F9B" w:rsidRDefault="00594F9B" w:rsidP="00594F9B">
      <w:pPr>
        <w:pStyle w:val="p1"/>
        <w:spacing w:line="360" w:lineRule="auto"/>
        <w:rPr>
          <w:rFonts w:ascii="Arial" w:hAnsi="Arial" w:cs="Arial"/>
          <w:color w:val="000000" w:themeColor="text1"/>
          <w:sz w:val="22"/>
          <w:szCs w:val="22"/>
        </w:rPr>
      </w:pPr>
    </w:p>
    <w:p w14:paraId="5B1FAB45"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In ASC, workforce sustainability remains a significant issue despite these legislative interventions. Migrant workers currently make up a significant proportion of the workforce, and international recruitment has emerged as an important strategy for sustaining employment levels (Skills for Care, 2025)</w:t>
      </w:r>
      <w:r w:rsidRPr="00594F9B">
        <w:rPr>
          <w:rStyle w:val="s1"/>
          <w:rFonts w:ascii="Arial" w:eastAsiaTheme="majorEastAsia" w:hAnsi="Arial" w:cs="Arial"/>
          <w:color w:val="000000" w:themeColor="text1"/>
          <w:sz w:val="22"/>
          <w:szCs w:val="22"/>
        </w:rPr>
        <w:t>.</w:t>
      </w:r>
      <w:r w:rsidRPr="00594F9B">
        <w:rPr>
          <w:rFonts w:ascii="Arial" w:hAnsi="Arial" w:cs="Arial"/>
          <w:color w:val="000000" w:themeColor="text1"/>
          <w:sz w:val="22"/>
          <w:szCs w:val="22"/>
        </w:rPr>
        <w:t xml:space="preserve"> This strategy has reduced short-term workforce concerns, but it has additionally ignited discussion about long-term labour planning and the </w:t>
      </w:r>
      <w:r w:rsidRPr="00594F9B">
        <w:rPr>
          <w:rFonts w:ascii="Arial" w:hAnsi="Arial" w:cs="Arial"/>
          <w:color w:val="000000" w:themeColor="text1"/>
          <w:sz w:val="22"/>
          <w:szCs w:val="22"/>
        </w:rPr>
        <w:lastRenderedPageBreak/>
        <w:t>degree to which the industry has grown structurally dependent on migrant labour (Migration Advisory Committee, 2023)</w:t>
      </w:r>
      <w:r w:rsidRPr="00594F9B">
        <w:rPr>
          <w:rStyle w:val="s1"/>
          <w:rFonts w:ascii="Arial" w:eastAsiaTheme="majorEastAsia" w:hAnsi="Arial" w:cs="Arial"/>
          <w:color w:val="000000" w:themeColor="text1"/>
          <w:sz w:val="22"/>
          <w:szCs w:val="22"/>
        </w:rPr>
        <w:t>.</w:t>
      </w:r>
      <w:r w:rsidRPr="00594F9B">
        <w:rPr>
          <w:rStyle w:val="apple-converted-space"/>
          <w:rFonts w:ascii="Arial" w:eastAsiaTheme="majorEastAsia" w:hAnsi="Arial" w:cs="Arial"/>
          <w:color w:val="000000" w:themeColor="text1"/>
          <w:sz w:val="22"/>
          <w:szCs w:val="22"/>
        </w:rPr>
        <w:t> </w:t>
      </w:r>
    </w:p>
    <w:p w14:paraId="68FA4C02" w14:textId="77777777" w:rsidR="00594F9B" w:rsidRPr="00594F9B" w:rsidRDefault="00594F9B" w:rsidP="00594F9B">
      <w:pPr>
        <w:pStyle w:val="p1"/>
        <w:rPr>
          <w:color w:val="000000" w:themeColor="text1"/>
        </w:rPr>
      </w:pPr>
      <w:r w:rsidRPr="00594F9B">
        <w:rPr>
          <w:rFonts w:ascii="Arial" w:hAnsi="Arial" w:cs="Arial"/>
          <w:color w:val="000000" w:themeColor="text1"/>
          <w:sz w:val="22"/>
          <w:szCs w:val="22"/>
        </w:rPr>
        <w:t>.</w:t>
      </w:r>
    </w:p>
    <w:p w14:paraId="6542CFAD" w14:textId="77777777" w:rsidR="00594F9B" w:rsidRPr="00594F9B" w:rsidRDefault="00594F9B" w:rsidP="00594F9B">
      <w:pPr>
        <w:pStyle w:val="paragraph"/>
        <w:spacing w:before="0" w:beforeAutospacing="0" w:after="0" w:afterAutospacing="0" w:line="360" w:lineRule="auto"/>
        <w:textAlignment w:val="baseline"/>
        <w:rPr>
          <w:rStyle w:val="eop"/>
          <w:rFonts w:ascii="Arial" w:eastAsia="Calibri Light" w:hAnsi="Arial" w:cs="Arial"/>
          <w:b/>
          <w:bCs/>
          <w:color w:val="000000" w:themeColor="text1"/>
          <w:sz w:val="28"/>
          <w:szCs w:val="28"/>
        </w:rPr>
      </w:pPr>
      <w:r w:rsidRPr="00594F9B">
        <w:rPr>
          <w:rStyle w:val="normaltextrun"/>
          <w:rFonts w:ascii="Arial" w:hAnsi="Arial" w:cs="Arial"/>
          <w:b/>
          <w:bCs/>
          <w:color w:val="000000" w:themeColor="text1"/>
          <w:sz w:val="28"/>
          <w:szCs w:val="28"/>
        </w:rPr>
        <w:t>2.3 Theoretical Background (500 words approx.)</w:t>
      </w:r>
      <w:r w:rsidRPr="00594F9B">
        <w:rPr>
          <w:rStyle w:val="eop"/>
          <w:rFonts w:ascii="Arial" w:eastAsia="Calibri Light" w:hAnsi="Arial" w:cs="Arial"/>
          <w:b/>
          <w:bCs/>
          <w:color w:val="000000" w:themeColor="text1"/>
          <w:sz w:val="28"/>
          <w:szCs w:val="28"/>
        </w:rPr>
        <w:t> </w:t>
      </w:r>
    </w:p>
    <w:p w14:paraId="4F260FB7"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Several theoretical views contribute to an understanding of migrant workers' roles in the ASC workforce, as well as the broader relationship between migration, labour markets, and workforce sustainability. These theories give a framework for understanding why migrant labour has grown in importance in industries with persistent workforce shortages </w:t>
      </w:r>
      <w:r w:rsidRPr="00594F9B">
        <w:rPr>
          <w:rStyle w:val="apple-converted-space"/>
          <w:rFonts w:ascii="Arial" w:hAnsi="Arial" w:cs="Arial"/>
          <w:color w:val="000000" w:themeColor="text1"/>
          <w:sz w:val="22"/>
          <w:szCs w:val="22"/>
        </w:rPr>
        <w:t> </w:t>
      </w:r>
      <w:r w:rsidRPr="00594F9B">
        <w:rPr>
          <w:rFonts w:ascii="Arial" w:hAnsi="Arial" w:cs="Arial"/>
          <w:color w:val="000000" w:themeColor="text1"/>
          <w:sz w:val="22"/>
          <w:szCs w:val="22"/>
        </w:rPr>
        <w:t>(Turnpenny &amp; Hussein, 2022).</w:t>
      </w:r>
    </w:p>
    <w:p w14:paraId="0235C097" w14:textId="77777777" w:rsidR="00594F9B" w:rsidRPr="00594F9B" w:rsidRDefault="00594F9B" w:rsidP="00594F9B">
      <w:pPr>
        <w:jc w:val="left"/>
        <w:rPr>
          <w:rFonts w:ascii="Arial" w:eastAsia="Times New Roman" w:hAnsi="Arial" w:cs="Arial"/>
          <w:color w:val="000000" w:themeColor="text1"/>
          <w:kern w:val="0"/>
          <w:lang w:eastAsia="en-GB"/>
          <w14:ligatures w14:val="none"/>
        </w:rPr>
      </w:pPr>
      <w:r w:rsidRPr="00594F9B">
        <w:rPr>
          <w:rFonts w:ascii="Arial" w:hAnsi="Arial" w:cs="Arial"/>
          <w:color w:val="000000" w:themeColor="text1"/>
        </w:rPr>
        <w:t>One influential framework is Labour Market Segmentation Theory, which suggests that labour markets be divided into primary and secondary sectors (International Labour Organization, 2023). The primary labour market is distinguished by stable employment, a higher salary, and possibilities for career growth, while the secondary labour market frequently entails low-paid work with limited job security and limited opportunities for advancement (CORE Econ, 2023).  Many frontline carer positions in ASC are linked with low wage rates and hard working conditions (Hussein, 2017)</w:t>
      </w:r>
      <w:r w:rsidRPr="00594F9B">
        <w:rPr>
          <w:rStyle w:val="s1"/>
          <w:rFonts w:ascii="Arial" w:hAnsi="Arial" w:cs="Arial"/>
          <w:color w:val="000000" w:themeColor="text1"/>
        </w:rPr>
        <w:t>.</w:t>
      </w:r>
      <w:r w:rsidRPr="00594F9B">
        <w:rPr>
          <w:rFonts w:ascii="Arial" w:hAnsi="Arial" w:cs="Arial"/>
          <w:color w:val="000000" w:themeColor="text1"/>
        </w:rPr>
        <w:t xml:space="preserve"> As a result, these positions may be less appealing to domestic workers, contributing to recruitment challenges within the sector (The King’s Fund, 2024)</w:t>
      </w:r>
      <w:r w:rsidRPr="00594F9B">
        <w:rPr>
          <w:rStyle w:val="s1"/>
          <w:rFonts w:ascii="Arial" w:hAnsi="Arial" w:cs="Arial"/>
          <w:color w:val="000000" w:themeColor="text1"/>
        </w:rPr>
        <w:t>.</w:t>
      </w:r>
      <w:r w:rsidRPr="00594F9B">
        <w:rPr>
          <w:rStyle w:val="apple-converted-space"/>
          <w:rFonts w:ascii="Arial" w:hAnsi="Arial" w:cs="Arial"/>
          <w:color w:val="000000" w:themeColor="text1"/>
        </w:rPr>
        <w:t> </w:t>
      </w:r>
      <w:r w:rsidRPr="00594F9B">
        <w:rPr>
          <w:rFonts w:ascii="Arial" w:hAnsi="Arial" w:cs="Arial"/>
          <w:color w:val="000000" w:themeColor="text1"/>
        </w:rPr>
        <w:t xml:space="preserve"> According to this theory, migrant workers usually fill positions in the secondary labour market, where labour shortages are most visible </w:t>
      </w:r>
      <w:r w:rsidRPr="00594F9B">
        <w:rPr>
          <w:rFonts w:ascii="Arial" w:eastAsia="Times New Roman" w:hAnsi="Arial" w:cs="Arial"/>
          <w:color w:val="000000" w:themeColor="text1"/>
          <w:kern w:val="0"/>
          <w:lang w:eastAsia="en-GB"/>
          <w14:ligatures w14:val="none"/>
        </w:rPr>
        <w:t>(International Labour Organization, 2023).</w:t>
      </w:r>
    </w:p>
    <w:p w14:paraId="632A23EA"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Another pertinent topic is </w:t>
      </w:r>
      <w:r w:rsidRPr="00594F9B">
        <w:rPr>
          <w:rStyle w:val="s1"/>
          <w:rFonts w:ascii="Arial" w:hAnsi="Arial" w:cs="Arial"/>
          <w:color w:val="000000" w:themeColor="text1"/>
          <w:sz w:val="22"/>
          <w:szCs w:val="22"/>
        </w:rPr>
        <w:t>Global Care Chain Theory</w:t>
      </w:r>
      <w:r w:rsidRPr="00594F9B">
        <w:rPr>
          <w:rFonts w:ascii="Arial" w:hAnsi="Arial" w:cs="Arial"/>
          <w:color w:val="000000" w:themeColor="text1"/>
          <w:sz w:val="22"/>
          <w:szCs w:val="22"/>
        </w:rPr>
        <w:t>, which describes the transnational movement of care labour across countries. According to Hochschild (2000), this theory explains how workers from low-income countries migrate to higher-income countries to provide care services. Increasing life expectancy and ageing populations in developed countries have significantly increased the demand for care, prompting the recruitment of migrant workers to support national care systems (Office for National Statistics 2023). In the UK, migrant workers are recognised as an important component of the ASC workforce, particularly in direct care roles, where they account for a significant proportion of staff (Skills for Care, 2025).</w:t>
      </w:r>
    </w:p>
    <w:p w14:paraId="62B0B7A7" w14:textId="77777777" w:rsidR="00594F9B" w:rsidRPr="00594F9B" w:rsidRDefault="00594F9B" w:rsidP="00594F9B">
      <w:pPr>
        <w:jc w:val="left"/>
        <w:rPr>
          <w:rFonts w:ascii="Arial" w:eastAsia="Times New Roman" w:hAnsi="Arial" w:cs="Arial"/>
          <w:color w:val="000000" w:themeColor="text1"/>
          <w:kern w:val="0"/>
          <w:lang w:eastAsia="en-GB"/>
          <w14:ligatures w14:val="none"/>
        </w:rPr>
      </w:pPr>
      <w:r w:rsidRPr="00594F9B">
        <w:rPr>
          <w:rFonts w:ascii="Arial" w:hAnsi="Arial" w:cs="Arial"/>
          <w:color w:val="000000" w:themeColor="text1"/>
        </w:rPr>
        <w:t xml:space="preserve">These theoretical concepts have been widely used by researchers examining migration and care work. Labour market segmentation theory has been applied in studies of the UK social care workforce to explain why migrant workers are frequently concentrated in lower-paid </w:t>
      </w:r>
      <w:r w:rsidRPr="00594F9B">
        <w:rPr>
          <w:rFonts w:ascii="Arial" w:hAnsi="Arial" w:cs="Arial"/>
          <w:color w:val="000000" w:themeColor="text1"/>
        </w:rPr>
        <w:lastRenderedPageBreak/>
        <w:t xml:space="preserve">care roles that are difficult to recruit for domestically, as suggested by </w:t>
      </w:r>
      <w:r w:rsidRPr="00594F9B">
        <w:rPr>
          <w:rFonts w:ascii="Arial" w:eastAsia="Times New Roman" w:hAnsi="Arial" w:cs="Arial"/>
          <w:color w:val="000000" w:themeColor="text1"/>
          <w:kern w:val="0"/>
          <w:lang w:eastAsia="en-GB"/>
          <w14:ligatures w14:val="none"/>
        </w:rPr>
        <w:t>(Migration Observatory, 2023)</w:t>
      </w:r>
      <w:r w:rsidRPr="00594F9B">
        <w:rPr>
          <w:rFonts w:ascii="Arial" w:hAnsi="Arial" w:cs="Arial"/>
          <w:color w:val="000000" w:themeColor="text1"/>
        </w:rPr>
        <w:t xml:space="preserve">. Global care chain theory has also been used to explore how international migration influences the delivery of care services in countries experiencing labour shortages, </w:t>
      </w:r>
      <w:r w:rsidRPr="00594F9B">
        <w:rPr>
          <w:rFonts w:ascii="Arial" w:eastAsia="Times New Roman" w:hAnsi="Arial" w:cs="Arial"/>
          <w:color w:val="000000" w:themeColor="text1"/>
          <w:kern w:val="0"/>
          <w:lang w:eastAsia="en-GB"/>
          <w14:ligatures w14:val="none"/>
        </w:rPr>
        <w:t xml:space="preserve"> (International Labour Organization, 2024). </w:t>
      </w:r>
      <w:r w:rsidRPr="00594F9B">
        <w:rPr>
          <w:rFonts w:ascii="Arial" w:hAnsi="Arial" w:cs="Arial"/>
          <w:color w:val="000000" w:themeColor="text1"/>
        </w:rPr>
        <w:t>Such studies demonstrate how migration policy and labour market dynamics interact to shape workforce composition within the adult social care sector (Migration Observatory, 2023).</w:t>
      </w:r>
    </w:p>
    <w:p w14:paraId="308264E0"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Although these theories are beneficial, they have certain limits. The labour market segmentation theory has been challenged for focusing primarily on economic structures while ignoring migrant workers’ motivations and agency, as highlighted by Dias-Abey (2021). Similarly, global care chain theory emphasises structural inequities between nations while overlooking migrant workers’ diverse experiences and the impact of policy and institutional issues, as suggested by Jones (2024). Nonetheless, these theoretical views shed light on how labour shortages, migratory trends, and demographic change influence workforce dynamics in the ASC sector.</w:t>
      </w:r>
    </w:p>
    <w:p w14:paraId="1564ABBC" w14:textId="77777777" w:rsidR="00594F9B" w:rsidRPr="00594F9B" w:rsidRDefault="00594F9B" w:rsidP="00594F9B">
      <w:pPr>
        <w:pStyle w:val="paragraph"/>
        <w:spacing w:before="0" w:beforeAutospacing="0" w:after="0" w:afterAutospacing="0" w:line="360" w:lineRule="auto"/>
        <w:textAlignment w:val="baseline"/>
        <w:rPr>
          <w:rFonts w:ascii="Arial" w:hAnsi="Arial" w:cs="Arial"/>
          <w:b/>
          <w:bCs/>
          <w:color w:val="000000" w:themeColor="text1"/>
          <w:sz w:val="28"/>
          <w:szCs w:val="28"/>
        </w:rPr>
      </w:pPr>
    </w:p>
    <w:p w14:paraId="521D1447" w14:textId="77777777" w:rsidR="00594F9B" w:rsidRPr="00594F9B" w:rsidRDefault="00594F9B" w:rsidP="00594F9B">
      <w:pPr>
        <w:pStyle w:val="paragraph"/>
        <w:spacing w:before="0" w:beforeAutospacing="0" w:after="0" w:afterAutospacing="0" w:line="360" w:lineRule="auto"/>
        <w:textAlignment w:val="baseline"/>
        <w:rPr>
          <w:rStyle w:val="eop"/>
          <w:rFonts w:ascii="Arial" w:eastAsia="Calibri Light" w:hAnsi="Arial" w:cs="Arial"/>
          <w:b/>
          <w:bCs/>
          <w:color w:val="000000" w:themeColor="text1"/>
          <w:sz w:val="28"/>
          <w:szCs w:val="28"/>
        </w:rPr>
      </w:pPr>
      <w:r w:rsidRPr="00594F9B">
        <w:rPr>
          <w:rStyle w:val="normaltextrun"/>
          <w:rFonts w:ascii="Arial" w:hAnsi="Arial" w:cs="Arial"/>
          <w:b/>
          <w:bCs/>
          <w:color w:val="000000" w:themeColor="text1"/>
          <w:sz w:val="28"/>
          <w:szCs w:val="28"/>
        </w:rPr>
        <w:t>2.4 International Context (400 words approx.)</w:t>
      </w:r>
      <w:r w:rsidRPr="00594F9B">
        <w:rPr>
          <w:rStyle w:val="eop"/>
          <w:rFonts w:ascii="Arial" w:eastAsia="Calibri Light" w:hAnsi="Arial" w:cs="Arial"/>
          <w:b/>
          <w:bCs/>
          <w:color w:val="000000" w:themeColor="text1"/>
          <w:sz w:val="28"/>
          <w:szCs w:val="28"/>
        </w:rPr>
        <w:t> </w:t>
      </w:r>
    </w:p>
    <w:p w14:paraId="409FBE7C"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The role of migrant workers in ASC systems reflects a broader global trend driven by ageing populations and workforce shortages. In many high-income nations, rising life expectancy and declining birth rates have increased demand for long-term care, placing pressure on domestic labour supply, </w:t>
      </w:r>
      <w:r w:rsidRPr="00594F9B">
        <w:rPr>
          <w:rStyle w:val="s1"/>
          <w:rFonts w:ascii="Arial" w:hAnsi="Arial" w:cs="Arial"/>
          <w:color w:val="000000" w:themeColor="text1"/>
          <w:sz w:val="22"/>
          <w:szCs w:val="22"/>
        </w:rPr>
        <w:t>as highlighted by the International Labour Organization, (2024)</w:t>
      </w:r>
      <w:r w:rsidRPr="00594F9B">
        <w:rPr>
          <w:rFonts w:ascii="Arial" w:hAnsi="Arial" w:cs="Arial"/>
          <w:color w:val="000000" w:themeColor="text1"/>
          <w:sz w:val="22"/>
          <w:szCs w:val="22"/>
        </w:rPr>
        <w:t>. As a result, migrant workers have become an essential component of care systems in countries such as Canada, Germany, and Australia, where international recruitment is used to address labour shortages and maintain service provision (</w:t>
      </w:r>
      <w:r w:rsidRPr="00594F9B">
        <w:rPr>
          <w:rStyle w:val="s1"/>
          <w:rFonts w:ascii="Arial" w:hAnsi="Arial" w:cs="Arial"/>
          <w:color w:val="000000" w:themeColor="text1"/>
          <w:sz w:val="22"/>
          <w:szCs w:val="22"/>
        </w:rPr>
        <w:t>International Labour Organization 2024)</w:t>
      </w:r>
      <w:r w:rsidRPr="00594F9B">
        <w:rPr>
          <w:rFonts w:ascii="Arial" w:hAnsi="Arial" w:cs="Arial"/>
          <w:color w:val="000000" w:themeColor="text1"/>
          <w:sz w:val="22"/>
          <w:szCs w:val="22"/>
        </w:rPr>
        <w:t>.</w:t>
      </w:r>
    </w:p>
    <w:p w14:paraId="3360A868" w14:textId="77777777" w:rsidR="001669B6"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Migrant workers in Canada make important contributions to long-term care provision, particularly through programmes such as the Temporary Foreign Worker Program, which supports recruitment into home and residential care services, </w:t>
      </w:r>
      <w:r w:rsidRPr="00594F9B">
        <w:rPr>
          <w:rStyle w:val="s1"/>
          <w:rFonts w:ascii="Arial" w:hAnsi="Arial" w:cs="Arial"/>
          <w:color w:val="000000" w:themeColor="text1"/>
          <w:sz w:val="22"/>
          <w:szCs w:val="22"/>
        </w:rPr>
        <w:t>as suggested by International Labour Organization (2024)</w:t>
      </w:r>
      <w:r w:rsidRPr="00594F9B">
        <w:rPr>
          <w:rFonts w:ascii="Arial" w:hAnsi="Arial" w:cs="Arial"/>
          <w:color w:val="000000" w:themeColor="text1"/>
          <w:sz w:val="22"/>
          <w:szCs w:val="22"/>
        </w:rPr>
        <w:t xml:space="preserve">. However, concerns remain regarding job security, working conditions, and limited opportunities for permanent settlement. Similarly, Germany has become increasingly reliant on migrant labour, particularly from Eastern European countries, supported by bilateral agreements aimed at addressing workforce shortages in elderly care </w:t>
      </w:r>
      <w:r w:rsidRPr="00594F9B">
        <w:rPr>
          <w:rStyle w:val="s1"/>
          <w:rFonts w:ascii="Arial" w:hAnsi="Arial" w:cs="Arial"/>
          <w:color w:val="000000" w:themeColor="text1"/>
          <w:sz w:val="22"/>
          <w:szCs w:val="22"/>
        </w:rPr>
        <w:t>(International Labour Organization 2024)</w:t>
      </w:r>
      <w:r w:rsidRPr="00594F9B">
        <w:rPr>
          <w:rFonts w:ascii="Arial" w:hAnsi="Arial" w:cs="Arial"/>
          <w:color w:val="000000" w:themeColor="text1"/>
          <w:sz w:val="22"/>
          <w:szCs w:val="22"/>
        </w:rPr>
        <w:t>. Despite these initiatives, concerns have been raised regarding labour rights and the long-term sustainability of such recruitment strategies.</w:t>
      </w:r>
    </w:p>
    <w:p w14:paraId="48863C75" w14:textId="7F9FDFFB"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lastRenderedPageBreak/>
        <w:t xml:space="preserve">Australia is another example of international recruitment being used to strengthen the care workforce. Skilled migration programmes and sector-specific visas have created opportunities for the recruitment of overseas care workers to meet rising demand, </w:t>
      </w:r>
      <w:r w:rsidRPr="00594F9B">
        <w:rPr>
          <w:rStyle w:val="s1"/>
          <w:rFonts w:ascii="Arial" w:hAnsi="Arial" w:cs="Arial"/>
          <w:color w:val="000000" w:themeColor="text1"/>
          <w:sz w:val="22"/>
          <w:szCs w:val="22"/>
        </w:rPr>
        <w:t>as outlined by World Health Organization (2023)</w:t>
      </w:r>
      <w:r w:rsidRPr="00594F9B">
        <w:rPr>
          <w:rFonts w:ascii="Arial" w:hAnsi="Arial" w:cs="Arial"/>
          <w:color w:val="000000" w:themeColor="text1"/>
          <w:sz w:val="22"/>
          <w:szCs w:val="22"/>
        </w:rPr>
        <w:t>. While this has increased workforce capacity, challenges remain, including staff retention, training, and the integration of migrant workers into health and social care systems.</w:t>
      </w:r>
    </w:p>
    <w:p w14:paraId="48830A94"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Comparatively, the UK’s reliance on migrant labour is similar to that of these nations, but its policy approach differs. In direct response to workforce shortages, the Health and Care Worker visa was introduced, creating a more targeted pathway for international recruitment </w:t>
      </w:r>
      <w:r w:rsidRPr="00594F9B">
        <w:rPr>
          <w:rStyle w:val="s1"/>
          <w:rFonts w:ascii="Arial" w:hAnsi="Arial" w:cs="Arial"/>
          <w:color w:val="000000" w:themeColor="text1"/>
          <w:sz w:val="22"/>
          <w:szCs w:val="22"/>
        </w:rPr>
        <w:t>(Migration Observatory, 2023)</w:t>
      </w:r>
      <w:r w:rsidRPr="00594F9B">
        <w:rPr>
          <w:rFonts w:ascii="Arial" w:hAnsi="Arial" w:cs="Arial"/>
          <w:color w:val="000000" w:themeColor="text1"/>
          <w:sz w:val="22"/>
          <w:szCs w:val="22"/>
        </w:rPr>
        <w:t xml:space="preserve">. In contrast, countries such as Australia and Canada depend on broader or short-term migration programmes. Despite these differences, countries face a common challenge of balancing short-term workforce pressures with the need for long-term sustainability and ethical recruitment practices, </w:t>
      </w:r>
      <w:r w:rsidRPr="00594F9B">
        <w:rPr>
          <w:rStyle w:val="s1"/>
          <w:rFonts w:ascii="Arial" w:hAnsi="Arial" w:cs="Arial"/>
          <w:color w:val="000000" w:themeColor="text1"/>
          <w:sz w:val="22"/>
          <w:szCs w:val="22"/>
        </w:rPr>
        <w:t>as emphasised by the International Labour Organization (2024)</w:t>
      </w:r>
      <w:r w:rsidRPr="00594F9B">
        <w:rPr>
          <w:rFonts w:ascii="Arial" w:hAnsi="Arial" w:cs="Arial"/>
          <w:color w:val="000000" w:themeColor="text1"/>
          <w:sz w:val="22"/>
          <w:szCs w:val="22"/>
        </w:rPr>
        <w:t>.</w:t>
      </w:r>
    </w:p>
    <w:p w14:paraId="6639AEEC"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Overall, the international context highlights the central role of migrant workers in sustaining ASC systems globally. While international recruitment can alleviate short-term labour shortages, it also raises ongoing concerns regarding workforce planning, policy effectiveness, and the ethical implications of continued reliance on migrant labour.</w:t>
      </w:r>
    </w:p>
    <w:p w14:paraId="4DF887CC" w14:textId="77777777" w:rsidR="00594F9B" w:rsidRPr="00594F9B" w:rsidRDefault="00594F9B" w:rsidP="00594F9B">
      <w:pPr>
        <w:pStyle w:val="paragraph"/>
        <w:spacing w:before="0" w:beforeAutospacing="0" w:after="0" w:afterAutospacing="0" w:line="360" w:lineRule="auto"/>
        <w:textAlignment w:val="baseline"/>
        <w:rPr>
          <w:rStyle w:val="eop"/>
          <w:rFonts w:ascii="Arial" w:eastAsia="Calibri Light" w:hAnsi="Arial" w:cs="Arial"/>
          <w:b/>
          <w:bCs/>
          <w:color w:val="000000" w:themeColor="text1"/>
          <w:sz w:val="28"/>
          <w:szCs w:val="28"/>
        </w:rPr>
      </w:pPr>
      <w:r w:rsidRPr="00594F9B">
        <w:rPr>
          <w:rStyle w:val="normaltextrun"/>
          <w:rFonts w:ascii="Arial" w:hAnsi="Arial" w:cs="Arial"/>
          <w:b/>
          <w:bCs/>
          <w:color w:val="000000" w:themeColor="text1"/>
          <w:sz w:val="28"/>
          <w:szCs w:val="28"/>
        </w:rPr>
        <w:t>2.5 National/Local UK Context (450 words approx.)</w:t>
      </w:r>
      <w:r w:rsidRPr="00594F9B">
        <w:rPr>
          <w:rStyle w:val="eop"/>
          <w:rFonts w:ascii="Arial" w:eastAsia="Calibri Light" w:hAnsi="Arial" w:cs="Arial"/>
          <w:b/>
          <w:bCs/>
          <w:color w:val="000000" w:themeColor="text1"/>
          <w:sz w:val="28"/>
          <w:szCs w:val="28"/>
        </w:rPr>
        <w:t> </w:t>
      </w:r>
    </w:p>
    <w:p w14:paraId="527E84CF" w14:textId="77777777" w:rsidR="00594F9B" w:rsidRPr="00594F9B" w:rsidRDefault="00594F9B" w:rsidP="00594F9B">
      <w:pPr>
        <w:jc w:val="left"/>
        <w:rPr>
          <w:rFonts w:ascii="Arial" w:eastAsia="Times New Roman" w:hAnsi="Arial" w:cs="Arial"/>
          <w:color w:val="000000" w:themeColor="text1"/>
          <w:kern w:val="0"/>
          <w:lang w:eastAsia="en-GB"/>
          <w14:ligatures w14:val="none"/>
        </w:rPr>
      </w:pPr>
      <w:r w:rsidRPr="00594F9B">
        <w:rPr>
          <w:rFonts w:ascii="Arial" w:hAnsi="Arial" w:cs="Arial"/>
          <w:color w:val="000000" w:themeColor="text1"/>
        </w:rPr>
        <w:t xml:space="preserve">The role of migrant workers in the ASC sector is a major concern in the UK, especially in light of continuous labour shortages and rising demand for services. According to Skills for Care (2025), the sector employs about 1.59 million people but continues to have significant vacancy rates, reflecting ongoing recruitment issues. As a result, migrant workers have become an </w:t>
      </w:r>
      <w:r w:rsidRPr="00594F9B">
        <w:rPr>
          <w:rFonts w:ascii="Arial" w:eastAsia="Times New Roman" w:hAnsi="Arial" w:cs="Arial"/>
          <w:color w:val="000000" w:themeColor="text1"/>
          <w:kern w:val="0"/>
          <w:lang w:eastAsia="en-GB"/>
          <w14:ligatures w14:val="none"/>
        </w:rPr>
        <w:t>significant component of the workforce</w:t>
      </w:r>
      <w:r w:rsidRPr="00594F9B">
        <w:rPr>
          <w:rFonts w:ascii="Arial" w:hAnsi="Arial" w:cs="Arial"/>
          <w:color w:val="000000" w:themeColor="text1"/>
        </w:rPr>
        <w:t>, particularly in frontline care roles, contributing to service delivery and continuity of care, as emphasised by the Migration Observatory (2023).</w:t>
      </w:r>
    </w:p>
    <w:p w14:paraId="5AB9E206" w14:textId="77777777" w:rsidR="00594F9B" w:rsidRPr="00594F9B" w:rsidRDefault="00594F9B" w:rsidP="00594F9B">
      <w:pPr>
        <w:pStyle w:val="p2"/>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 xml:space="preserve">At national level, the UK government has implemented a number of legislative initiatives to address workforce shortages and promote international recruiting. One of the most significant developments is the establishment of the Health and Care Worker visa, which provides a specific migration pathway for overseas care professionals, as suggested by GOV.UK (2021). Furthermore, the placement of care roles on the Shortage Occupation List acknowledges the sector's continued personnel concerns (Migration Advisory Committee, 2023). However, recent changes to immigration policies, such as restrictions on dependents </w:t>
      </w:r>
      <w:r w:rsidRPr="00594F9B">
        <w:rPr>
          <w:rFonts w:ascii="Arial" w:hAnsi="Arial" w:cs="Arial"/>
          <w:color w:val="000000" w:themeColor="text1"/>
          <w:sz w:val="22"/>
          <w:szCs w:val="22"/>
        </w:rPr>
        <w:lastRenderedPageBreak/>
        <w:t>and salary thresholds, have raised concerns about the sustainable future of relying on foreign employment (Migration Observatory, 2023).</w:t>
      </w:r>
    </w:p>
    <w:p w14:paraId="2820DE71"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ASC's recruitment processes and personnel composition have been directly impacted by these policy frameworks. The International Labour Organization (2024) acknowledged that while international recruitment has assisted in reducing temporary staffing shortages, it has also contributed to increased concerns about workforce stability, ethical recruitment, and the treatment of migrant workers. Furthermore, the sector's fundamental structural issues such as low pay, limited opportunities for career advancement, and difficult working conditions may be reflected in the sector's reliance on migrant labour, which continues to impact both local and international workers (The King’s Fund, 2024)</w:t>
      </w:r>
      <w:r w:rsidRPr="00594F9B">
        <w:rPr>
          <w:rStyle w:val="s1"/>
          <w:rFonts w:ascii="Arial" w:eastAsiaTheme="majorEastAsia" w:hAnsi="Arial" w:cs="Arial"/>
          <w:color w:val="000000" w:themeColor="text1"/>
          <w:sz w:val="22"/>
          <w:szCs w:val="22"/>
        </w:rPr>
        <w:t>.</w:t>
      </w:r>
    </w:p>
    <w:p w14:paraId="458AD359" w14:textId="77777777" w:rsidR="00594F9B" w:rsidRPr="00594F9B" w:rsidRDefault="00594F9B" w:rsidP="00594F9B">
      <w:pPr>
        <w:pStyle w:val="p1"/>
        <w:spacing w:line="360" w:lineRule="auto"/>
        <w:rPr>
          <w:rFonts w:ascii="Arial" w:hAnsi="Arial" w:cs="Arial"/>
          <w:color w:val="000000" w:themeColor="text1"/>
          <w:sz w:val="22"/>
          <w:szCs w:val="22"/>
        </w:rPr>
      </w:pPr>
      <w:r w:rsidRPr="00594F9B">
        <w:rPr>
          <w:rFonts w:ascii="Arial" w:hAnsi="Arial" w:cs="Arial"/>
          <w:color w:val="000000" w:themeColor="text1"/>
          <w:sz w:val="22"/>
          <w:szCs w:val="22"/>
        </w:rPr>
        <w:t>At the local level, the impact of workforce shortages and reliance on migrant workers varies by region in the UK. For example, urban locations like London and the South East have a higher share of migrant workers in the care sector, indicating more demographic variety and access to international labour markets (Skills for Care, 2025). Rural districts and regions, such as the North East and South West, face significant recruitment challenges due to geographic isolation, lower wages, and limited access to migrant workforce (House of Commons, 2022). To address workforce gaps, local authorities and care providers have used targeted recruitment programs, collaborations with training providers, and worldwide recruitment campaigns as suggested by the Migration Observatory (2023)</w:t>
      </w:r>
      <w:r w:rsidRPr="00594F9B">
        <w:rPr>
          <w:rStyle w:val="s1"/>
          <w:rFonts w:ascii="Arial" w:eastAsiaTheme="majorEastAsia" w:hAnsi="Arial" w:cs="Arial"/>
          <w:color w:val="000000" w:themeColor="text1"/>
          <w:sz w:val="22"/>
          <w:szCs w:val="22"/>
        </w:rPr>
        <w:t>.</w:t>
      </w:r>
    </w:p>
    <w:p w14:paraId="79DAE1A8" w14:textId="77777777" w:rsidR="00594F9B" w:rsidRPr="00594F9B" w:rsidRDefault="00594F9B" w:rsidP="00594F9B">
      <w:pPr>
        <w:jc w:val="left"/>
        <w:rPr>
          <w:rFonts w:ascii="Arial" w:eastAsia="Times New Roman" w:hAnsi="Arial" w:cs="Arial"/>
          <w:color w:val="000000" w:themeColor="text1"/>
          <w:kern w:val="0"/>
          <w:lang w:eastAsia="en-GB"/>
          <w14:ligatures w14:val="none"/>
        </w:rPr>
      </w:pPr>
      <w:r w:rsidRPr="00594F9B">
        <w:rPr>
          <w:rStyle w:val="eop"/>
          <w:rFonts w:ascii="Arial" w:eastAsia="Calibri Light" w:hAnsi="Arial" w:cs="Arial"/>
          <w:color w:val="000000" w:themeColor="text1"/>
        </w:rPr>
        <w:t xml:space="preserve">Overall, the UK environment demonstrates the increased reliance on foreign labour to support the ASC workforce. While national regulations have aided foreign recruiting, significant issues remain in workforce planning, regional inequities, and the sector's long-term viability. Addressing these difficulties demands a balanced approach that takes into account both current labour needs and broader structural adjustments in adult social care </w:t>
      </w:r>
      <w:r w:rsidRPr="00594F9B">
        <w:rPr>
          <w:rFonts w:ascii="Arial" w:eastAsia="Times New Roman" w:hAnsi="Arial" w:cs="Arial"/>
          <w:color w:val="000000" w:themeColor="text1"/>
          <w:kern w:val="0"/>
          <w:lang w:eastAsia="en-GB"/>
          <w14:ligatures w14:val="none"/>
        </w:rPr>
        <w:t>(Skills for Care, 2025).</w:t>
      </w:r>
    </w:p>
    <w:p w14:paraId="5D0FF28D" w14:textId="77777777" w:rsidR="00594F9B" w:rsidRPr="007846E8" w:rsidRDefault="00594F9B" w:rsidP="00594F9B">
      <w:pPr>
        <w:pStyle w:val="paragraph"/>
        <w:spacing w:before="0" w:beforeAutospacing="0" w:after="0" w:afterAutospacing="0" w:line="360" w:lineRule="auto"/>
        <w:textAlignment w:val="baseline"/>
        <w:rPr>
          <w:rStyle w:val="eop"/>
          <w:rFonts w:ascii="Arial" w:eastAsia="Calibri Light" w:hAnsi="Arial" w:cs="Arial"/>
          <w:color w:val="000000" w:themeColor="text1"/>
          <w:sz w:val="22"/>
          <w:szCs w:val="22"/>
        </w:rPr>
      </w:pPr>
    </w:p>
    <w:p w14:paraId="47D8E31D" w14:textId="77777777" w:rsidR="00594F9B" w:rsidRPr="002D77E4" w:rsidRDefault="00594F9B" w:rsidP="00594F9B">
      <w:pPr>
        <w:pStyle w:val="paragraph"/>
        <w:spacing w:before="0" w:beforeAutospacing="0" w:after="0" w:afterAutospacing="0" w:line="360" w:lineRule="auto"/>
        <w:ind w:left="1080"/>
        <w:textAlignment w:val="baseline"/>
        <w:rPr>
          <w:rFonts w:ascii="Aptos" w:hAnsi="Aptos" w:cs="Segoe UI"/>
          <w:color w:val="000000" w:themeColor="text1"/>
          <w:sz w:val="16"/>
          <w:szCs w:val="16"/>
        </w:rPr>
      </w:pPr>
      <w:r w:rsidRPr="002D77E4">
        <w:rPr>
          <w:rStyle w:val="eop"/>
          <w:rFonts w:ascii="Aptos" w:eastAsia="Calibri Light" w:hAnsi="Aptos" w:cs="Arial"/>
          <w:color w:val="000000" w:themeColor="text1"/>
          <w:sz w:val="22"/>
          <w:szCs w:val="22"/>
        </w:rPr>
        <w:t> </w:t>
      </w:r>
    </w:p>
    <w:p w14:paraId="668DABD8" w14:textId="77777777" w:rsidR="00594F9B" w:rsidRDefault="00594F9B" w:rsidP="00594F9B">
      <w:pPr>
        <w:pStyle w:val="paragraph"/>
        <w:spacing w:before="0" w:beforeAutospacing="0" w:after="0" w:afterAutospacing="0" w:line="360" w:lineRule="auto"/>
        <w:textAlignment w:val="baseline"/>
        <w:rPr>
          <w:rStyle w:val="eop"/>
          <w:rFonts w:ascii="Arial" w:eastAsia="Calibri Light" w:hAnsi="Arial" w:cs="Arial"/>
          <w:b/>
          <w:bCs/>
          <w:color w:val="000000" w:themeColor="text1"/>
          <w:sz w:val="28"/>
          <w:szCs w:val="28"/>
        </w:rPr>
      </w:pPr>
      <w:r w:rsidRPr="002D77E4">
        <w:rPr>
          <w:rStyle w:val="normaltextrun"/>
          <w:rFonts w:ascii="Arial" w:hAnsi="Arial" w:cs="Arial"/>
          <w:b/>
          <w:bCs/>
          <w:color w:val="000000" w:themeColor="text1"/>
          <w:sz w:val="28"/>
          <w:szCs w:val="28"/>
        </w:rPr>
        <w:t>2.6 Conclusion (150 words approx.)</w:t>
      </w:r>
      <w:r w:rsidRPr="002D77E4">
        <w:rPr>
          <w:rStyle w:val="eop"/>
          <w:rFonts w:ascii="Arial" w:eastAsia="Calibri Light" w:hAnsi="Arial" w:cs="Arial"/>
          <w:b/>
          <w:bCs/>
          <w:color w:val="000000" w:themeColor="text1"/>
          <w:sz w:val="28"/>
          <w:szCs w:val="28"/>
        </w:rPr>
        <w:t> </w:t>
      </w:r>
    </w:p>
    <w:p w14:paraId="64067547" w14:textId="77777777" w:rsidR="00594F9B" w:rsidRPr="00353C5B" w:rsidRDefault="00594F9B" w:rsidP="00594F9B">
      <w:pPr>
        <w:pStyle w:val="p2"/>
        <w:spacing w:line="360" w:lineRule="auto"/>
        <w:rPr>
          <w:rFonts w:ascii="Arial" w:hAnsi="Arial" w:cs="Arial"/>
          <w:sz w:val="22"/>
          <w:szCs w:val="22"/>
        </w:rPr>
      </w:pPr>
      <w:r w:rsidRPr="00353C5B">
        <w:rPr>
          <w:rFonts w:ascii="Arial" w:hAnsi="Arial" w:cs="Arial"/>
          <w:color w:val="000000"/>
          <w:sz w:val="22"/>
          <w:szCs w:val="22"/>
        </w:rPr>
        <w:t xml:space="preserve">This chapter examined the broader context of migrant workers in the ASC workforce, using historical, theoretical, international, and national perspectives. It has demonstrated how long-term workforce shortages, demographic changes, and policy developments have all contributed to the UK's growing reliance on migrant workers. The historical overview emphasised significant changes such as Brexit and the COVID-19 pandemic, while </w:t>
      </w:r>
      <w:r w:rsidRPr="00353C5B">
        <w:rPr>
          <w:rFonts w:ascii="Arial" w:hAnsi="Arial" w:cs="Arial"/>
          <w:color w:val="000000"/>
          <w:sz w:val="22"/>
          <w:szCs w:val="22"/>
        </w:rPr>
        <w:lastRenderedPageBreak/>
        <w:t>theoretical frameworks such as labour market segmentation and global care chain theory provided insight into workforce patterns and migration trends. The international research showed that reliance on migrant workers is a global phenomenon, while the UK context focused on specific governmental responses, workforce challenges, and regional inequalities.</w:t>
      </w:r>
    </w:p>
    <w:p w14:paraId="66CE0FA3" w14:textId="77777777" w:rsidR="00594F9B" w:rsidRPr="00353C5B" w:rsidRDefault="00594F9B" w:rsidP="00594F9B">
      <w:pPr>
        <w:pStyle w:val="paragraph"/>
        <w:spacing w:before="0" w:beforeAutospacing="0" w:after="0" w:afterAutospacing="0" w:line="360" w:lineRule="auto"/>
        <w:textAlignment w:val="baseline"/>
        <w:rPr>
          <w:rStyle w:val="eop"/>
          <w:rFonts w:ascii="Arial" w:eastAsia="Calibri Light" w:hAnsi="Arial" w:cs="Arial"/>
          <w:b/>
          <w:bCs/>
          <w:color w:val="000000" w:themeColor="text1"/>
          <w:sz w:val="22"/>
          <w:szCs w:val="22"/>
        </w:rPr>
      </w:pPr>
      <w:r w:rsidRPr="00353C5B">
        <w:rPr>
          <w:rFonts w:ascii="Arial" w:hAnsi="Arial" w:cs="Arial"/>
          <w:color w:val="000000"/>
          <w:sz w:val="22"/>
          <w:szCs w:val="22"/>
        </w:rPr>
        <w:t>Overall, this chapter provides a foundation for understanding workforce sustainability in ASC. The following chapter will outline the research methodology, including how data will be collected and processed to better understand the role of migrant workers in the UK ASC workforce.</w:t>
      </w:r>
    </w:p>
    <w:p w14:paraId="0A3AE12C"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0FDCF941"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2B52E2CB"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25D357B8"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37D8FCBE"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1A64E921"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2C50643E"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23225C6B"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784029B1"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508C6DAD"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365861C9"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77AC30FC"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23E03300"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6B115FCA" w14:textId="77777777" w:rsidR="00594F9B" w:rsidRDefault="00594F9B" w:rsidP="00594F9B">
      <w:pPr>
        <w:pStyle w:val="paragraph"/>
        <w:spacing w:before="0" w:beforeAutospacing="0" w:after="0" w:afterAutospacing="0" w:line="360" w:lineRule="auto"/>
        <w:textAlignment w:val="baseline"/>
        <w:rPr>
          <w:rFonts w:ascii="Arial" w:hAnsi="Arial" w:cs="Arial"/>
          <w:sz w:val="28"/>
          <w:szCs w:val="28"/>
        </w:rPr>
      </w:pPr>
    </w:p>
    <w:p w14:paraId="5001475E"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30A1B969"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49D56A2C"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73A0A2A1"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37F7F73D"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0287BE24"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158985FD" w14:textId="77777777" w:rsidR="00A16668" w:rsidRDefault="00A16668" w:rsidP="00594F9B">
      <w:pPr>
        <w:pStyle w:val="paragraph"/>
        <w:spacing w:before="0" w:beforeAutospacing="0" w:after="0" w:afterAutospacing="0" w:line="360" w:lineRule="auto"/>
        <w:textAlignment w:val="baseline"/>
        <w:rPr>
          <w:rFonts w:ascii="Arial" w:hAnsi="Arial" w:cs="Arial"/>
          <w:sz w:val="28"/>
          <w:szCs w:val="28"/>
        </w:rPr>
      </w:pPr>
    </w:p>
    <w:p w14:paraId="1494AB97" w14:textId="2C961AA9" w:rsidR="00594F9B" w:rsidRPr="007611F1" w:rsidRDefault="00594F9B" w:rsidP="00594F9B">
      <w:pPr>
        <w:pStyle w:val="paragraph"/>
        <w:spacing w:before="0" w:beforeAutospacing="0" w:after="0" w:afterAutospacing="0" w:line="360" w:lineRule="auto"/>
        <w:textAlignment w:val="baseline"/>
        <w:rPr>
          <w:rFonts w:ascii="Arial" w:hAnsi="Arial" w:cs="Arial"/>
          <w:b/>
          <w:bCs/>
          <w:color w:val="000000" w:themeColor="text1"/>
          <w:sz w:val="28"/>
          <w:szCs w:val="28"/>
        </w:rPr>
      </w:pPr>
      <w:r w:rsidRPr="001E0A2D">
        <w:rPr>
          <w:rFonts w:ascii="Arial" w:hAnsi="Arial" w:cs="Arial"/>
          <w:sz w:val="28"/>
          <w:szCs w:val="28"/>
        </w:rPr>
        <w:lastRenderedPageBreak/>
        <w:t>References</w:t>
      </w:r>
    </w:p>
    <w:p w14:paraId="26878637" w14:textId="77777777" w:rsidR="00594F9B" w:rsidRPr="00A86724" w:rsidRDefault="00594F9B" w:rsidP="00594F9B">
      <w:pPr>
        <w:pStyle w:val="p3"/>
        <w:spacing w:line="360" w:lineRule="auto"/>
        <w:rPr>
          <w:rStyle w:val="eop"/>
          <w:rFonts w:ascii="Arial" w:eastAsiaTheme="majorEastAsia" w:hAnsi="Arial" w:cs="Arial"/>
          <w:sz w:val="22"/>
          <w:szCs w:val="22"/>
        </w:rPr>
      </w:pPr>
      <w:r w:rsidRPr="00A86724">
        <w:rPr>
          <w:rStyle w:val="normaltextrun"/>
          <w:rFonts w:ascii="Arial" w:eastAsiaTheme="majorEastAsia" w:hAnsi="Arial" w:cs="Arial"/>
          <w:sz w:val="22"/>
          <w:szCs w:val="22"/>
        </w:rPr>
        <w:t>Al-Btoush, A. and El-Bcheraoui, C. (2024) ‘Challenges affecting migrant healthcare workers while adjusting to new healthcare environments: a scoping review’,</w:t>
      </w:r>
      <w:r w:rsidRPr="00A86724">
        <w:rPr>
          <w:rStyle w:val="apple-converted-space"/>
          <w:rFonts w:ascii="Arial" w:eastAsiaTheme="majorEastAsia" w:hAnsi="Arial" w:cs="Arial"/>
          <w:sz w:val="22"/>
          <w:szCs w:val="22"/>
        </w:rPr>
        <w:t> </w:t>
      </w:r>
      <w:r w:rsidRPr="00A86724">
        <w:rPr>
          <w:rStyle w:val="normaltextrun"/>
          <w:rFonts w:ascii="Arial" w:eastAsiaTheme="majorEastAsia" w:hAnsi="Arial" w:cs="Arial"/>
          <w:i/>
          <w:iCs/>
          <w:sz w:val="22"/>
          <w:szCs w:val="22"/>
        </w:rPr>
        <w:t>Human Resources for Health</w:t>
      </w:r>
      <w:r w:rsidRPr="00A86724">
        <w:rPr>
          <w:rStyle w:val="normaltextrun"/>
          <w:rFonts w:ascii="Arial" w:eastAsiaTheme="majorEastAsia" w:hAnsi="Arial" w:cs="Arial"/>
          <w:sz w:val="22"/>
          <w:szCs w:val="22"/>
        </w:rPr>
        <w:t>, 22(1), p. 56.</w:t>
      </w:r>
      <w:r w:rsidRPr="00A86724">
        <w:rPr>
          <w:rStyle w:val="eop"/>
          <w:rFonts w:ascii="Arial" w:eastAsiaTheme="majorEastAsia" w:hAnsi="Arial" w:cs="Arial"/>
          <w:sz w:val="22"/>
          <w:szCs w:val="22"/>
        </w:rPr>
        <w:t> </w:t>
      </w:r>
    </w:p>
    <w:p w14:paraId="3834B4F6" w14:textId="77777777" w:rsidR="00594F9B" w:rsidRPr="00A86724" w:rsidRDefault="00594F9B" w:rsidP="00594F9B">
      <w:pPr>
        <w:pStyle w:val="p2"/>
        <w:spacing w:line="360" w:lineRule="auto"/>
        <w:rPr>
          <w:rFonts w:ascii="Arial" w:hAnsi="Arial" w:cs="Arial"/>
          <w:sz w:val="22"/>
          <w:szCs w:val="22"/>
        </w:rPr>
      </w:pPr>
      <w:r w:rsidRPr="00A86724">
        <w:rPr>
          <w:rFonts w:ascii="Arial" w:hAnsi="Arial" w:cs="Arial"/>
          <w:sz w:val="22"/>
          <w:szCs w:val="22"/>
        </w:rPr>
        <w:t xml:space="preserve">Barton, C., Sturge, G. and Harker, R. (2024) </w:t>
      </w:r>
      <w:r w:rsidRPr="00A86724">
        <w:rPr>
          <w:rFonts w:ascii="Arial" w:hAnsi="Arial" w:cs="Arial"/>
          <w:i/>
          <w:iCs/>
          <w:sz w:val="22"/>
          <w:szCs w:val="22"/>
        </w:rPr>
        <w:t>The UK’s changing population</w:t>
      </w:r>
      <w:r w:rsidRPr="00A86724">
        <w:rPr>
          <w:rFonts w:ascii="Arial" w:hAnsi="Arial" w:cs="Arial"/>
          <w:sz w:val="22"/>
          <w:szCs w:val="22"/>
        </w:rPr>
        <w:t xml:space="preserve">. House of Commons Library. Available at: </w:t>
      </w:r>
      <w:hyperlink r:id="rId6" w:history="1">
        <w:r w:rsidRPr="00A86724">
          <w:rPr>
            <w:rStyle w:val="Hyperlink"/>
            <w:rFonts w:ascii="Arial" w:hAnsi="Arial" w:cs="Arial"/>
            <w:sz w:val="22"/>
            <w:szCs w:val="22"/>
          </w:rPr>
          <w:t>https://commonslibrary.parliament.uk/the-uks-changing-population/</w:t>
        </w:r>
      </w:hyperlink>
      <w:r w:rsidRPr="00A86724">
        <w:rPr>
          <w:rFonts w:ascii="Arial" w:hAnsi="Arial" w:cs="Arial"/>
          <w:sz w:val="22"/>
          <w:szCs w:val="22"/>
        </w:rPr>
        <w:t xml:space="preserve">  (Accessed: 10 March 2026).</w:t>
      </w:r>
    </w:p>
    <w:p w14:paraId="590F180F"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Care Quality Commission (2025) </w:t>
      </w:r>
      <w:r w:rsidRPr="00A86724">
        <w:rPr>
          <w:rFonts w:ascii="Arial" w:hAnsi="Arial" w:cs="Arial"/>
          <w:i/>
          <w:iCs/>
          <w:sz w:val="22"/>
          <w:szCs w:val="22"/>
        </w:rPr>
        <w:t>Adult social care: information for providers</w:t>
      </w:r>
      <w:r w:rsidRPr="00A86724">
        <w:rPr>
          <w:rFonts w:ascii="Arial" w:hAnsi="Arial" w:cs="Arial"/>
          <w:sz w:val="22"/>
          <w:szCs w:val="22"/>
        </w:rPr>
        <w:t xml:space="preserve">. Available at: </w:t>
      </w:r>
      <w:hyperlink r:id="rId7" w:history="1">
        <w:r w:rsidRPr="00A86724">
          <w:rPr>
            <w:rStyle w:val="Hyperlink"/>
            <w:rFonts w:ascii="Arial" w:hAnsi="Arial" w:cs="Arial"/>
            <w:sz w:val="22"/>
            <w:szCs w:val="22"/>
          </w:rPr>
          <w:t>https://www.cqc.org.uk/guidance-regulation/providers/adult-social-care</w:t>
        </w:r>
      </w:hyperlink>
      <w:r w:rsidRPr="00A86724">
        <w:rPr>
          <w:rFonts w:ascii="Arial" w:hAnsi="Arial" w:cs="Arial"/>
          <w:sz w:val="22"/>
          <w:szCs w:val="22"/>
        </w:rPr>
        <w:t xml:space="preserve"> (Accessed: 27 February 2026).</w:t>
      </w:r>
    </w:p>
    <w:p w14:paraId="331AD75C"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CORE Econ (2023) </w:t>
      </w:r>
      <w:r w:rsidRPr="00A86724">
        <w:rPr>
          <w:rFonts w:ascii="Arial" w:hAnsi="Arial" w:cs="Arial"/>
          <w:i/>
          <w:iCs/>
          <w:sz w:val="22"/>
          <w:szCs w:val="22"/>
        </w:rPr>
        <w:t>Segmented labour markets</w:t>
      </w:r>
      <w:r w:rsidRPr="00A86724">
        <w:rPr>
          <w:rFonts w:ascii="Arial" w:hAnsi="Arial" w:cs="Arial"/>
          <w:sz w:val="22"/>
          <w:szCs w:val="22"/>
        </w:rPr>
        <w:t xml:space="preserve">. Available at: </w:t>
      </w:r>
      <w:hyperlink r:id="rId8" w:history="1">
        <w:r w:rsidRPr="00A86724">
          <w:rPr>
            <w:rStyle w:val="Hyperlink"/>
            <w:rFonts w:ascii="Arial" w:hAnsi="Arial" w:cs="Arial"/>
            <w:sz w:val="22"/>
            <w:szCs w:val="22"/>
          </w:rPr>
          <w:t>https://books.core-econ.org/the-economy/macroeconomics/02-unemployment-wages-inequality-06-segmented-labour-markets.html</w:t>
        </w:r>
      </w:hyperlink>
      <w:r w:rsidRPr="00A86724">
        <w:rPr>
          <w:rFonts w:ascii="Arial" w:hAnsi="Arial" w:cs="Arial"/>
          <w:sz w:val="22"/>
          <w:szCs w:val="22"/>
        </w:rPr>
        <w:t xml:space="preserve">  (Accessed: 15 March 2026).</w:t>
      </w:r>
    </w:p>
    <w:p w14:paraId="27C4AB15"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Dayan, M., Hervey, T., McCarey, M., Fahy, N., Flear, M., Greer, S. and Jarman, H. (2024) </w:t>
      </w:r>
      <w:r w:rsidRPr="00A86724">
        <w:rPr>
          <w:rFonts w:ascii="Arial" w:hAnsi="Arial" w:cs="Arial"/>
          <w:i/>
          <w:iCs/>
          <w:sz w:val="22"/>
          <w:szCs w:val="22"/>
        </w:rPr>
        <w:t>The future for health after Brexit</w:t>
      </w:r>
      <w:r w:rsidRPr="00A86724">
        <w:rPr>
          <w:rFonts w:ascii="Arial" w:hAnsi="Arial" w:cs="Arial"/>
          <w:sz w:val="22"/>
          <w:szCs w:val="22"/>
        </w:rPr>
        <w:t xml:space="preserve">. Available at: </w:t>
      </w:r>
      <w:hyperlink r:id="rId9" w:history="1">
        <w:r w:rsidRPr="00A86724">
          <w:rPr>
            <w:rStyle w:val="Hyperlink"/>
            <w:rFonts w:ascii="Arial" w:hAnsi="Arial" w:cs="Arial"/>
            <w:sz w:val="22"/>
            <w:szCs w:val="22"/>
          </w:rPr>
          <w:t>https://www.nuffieldtrust.org.uk/research/the-future-for-health-after-brexit</w:t>
        </w:r>
      </w:hyperlink>
      <w:r w:rsidRPr="00A86724">
        <w:rPr>
          <w:rFonts w:ascii="Arial" w:hAnsi="Arial" w:cs="Arial"/>
          <w:sz w:val="22"/>
          <w:szCs w:val="22"/>
        </w:rPr>
        <w:t xml:space="preserve">  (Accessed: 12 March 2026).</w:t>
      </w:r>
    </w:p>
    <w:p w14:paraId="3EE4031F"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Department of Health and Social Care (2022) </w:t>
      </w:r>
      <w:r w:rsidRPr="00A86724">
        <w:rPr>
          <w:rFonts w:ascii="Arial" w:hAnsi="Arial" w:cs="Arial"/>
          <w:i/>
          <w:iCs/>
          <w:sz w:val="22"/>
          <w:szCs w:val="22"/>
        </w:rPr>
        <w:t>People at the heart of care: adult social care reform</w:t>
      </w:r>
      <w:r w:rsidRPr="00A86724">
        <w:rPr>
          <w:rFonts w:ascii="Arial" w:hAnsi="Arial" w:cs="Arial"/>
          <w:sz w:val="22"/>
          <w:szCs w:val="22"/>
        </w:rPr>
        <w:t xml:space="preserve">. Available at: </w:t>
      </w:r>
      <w:hyperlink r:id="rId10" w:history="1">
        <w:r w:rsidRPr="00A86724">
          <w:rPr>
            <w:rStyle w:val="Hyperlink"/>
            <w:rFonts w:ascii="Arial" w:hAnsi="Arial" w:cs="Arial"/>
            <w:sz w:val="22"/>
            <w:szCs w:val="22"/>
          </w:rPr>
          <w:t>https://www.gov.uk/government/publications/people-at-the-heart-of-care-adult-social-care-reform-white-paper/people-at-the-heart-of-care-adult-social-care-reform</w:t>
        </w:r>
      </w:hyperlink>
      <w:r w:rsidRPr="00A86724">
        <w:rPr>
          <w:rFonts w:ascii="Arial" w:hAnsi="Arial" w:cs="Arial"/>
          <w:sz w:val="22"/>
          <w:szCs w:val="22"/>
        </w:rPr>
        <w:t xml:space="preserve"> (Accessed: 1 March 2026).</w:t>
      </w:r>
    </w:p>
    <w:p w14:paraId="4C588278"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Dias-Abey, M. (2021) ‘Determining the impact of migration on labour markets’, </w:t>
      </w:r>
      <w:r w:rsidRPr="00A86724">
        <w:rPr>
          <w:rFonts w:ascii="Arial" w:hAnsi="Arial" w:cs="Arial"/>
          <w:i/>
          <w:iCs/>
          <w:sz w:val="22"/>
          <w:szCs w:val="22"/>
        </w:rPr>
        <w:t>Industrial Law Journal</w:t>
      </w:r>
      <w:r w:rsidRPr="00A86724">
        <w:rPr>
          <w:rFonts w:ascii="Arial" w:hAnsi="Arial" w:cs="Arial"/>
          <w:sz w:val="22"/>
          <w:szCs w:val="22"/>
        </w:rPr>
        <w:t>, 50(4), pp. 532–566.</w:t>
      </w:r>
    </w:p>
    <w:p w14:paraId="7A9216FF" w14:textId="77777777" w:rsidR="00594F9B" w:rsidRPr="00A86724" w:rsidRDefault="00594F9B" w:rsidP="00594F9B">
      <w:pPr>
        <w:pStyle w:val="p2"/>
        <w:spacing w:line="360" w:lineRule="auto"/>
        <w:rPr>
          <w:rFonts w:ascii="Arial" w:hAnsi="Arial" w:cs="Arial"/>
          <w:sz w:val="22"/>
          <w:szCs w:val="22"/>
        </w:rPr>
      </w:pPr>
      <w:r w:rsidRPr="00A86724">
        <w:rPr>
          <w:rFonts w:ascii="Arial" w:hAnsi="Arial" w:cs="Arial"/>
          <w:sz w:val="22"/>
          <w:szCs w:val="22"/>
        </w:rPr>
        <w:t xml:space="preserve">Foster, D. (2024) </w:t>
      </w:r>
      <w:r w:rsidRPr="00A86724">
        <w:rPr>
          <w:rFonts w:ascii="Arial" w:hAnsi="Arial" w:cs="Arial"/>
          <w:i/>
          <w:iCs/>
          <w:sz w:val="22"/>
          <w:szCs w:val="22"/>
        </w:rPr>
        <w:t>Adult social care workforce in England</w:t>
      </w:r>
      <w:r w:rsidRPr="00A86724">
        <w:rPr>
          <w:rFonts w:ascii="Arial" w:hAnsi="Arial" w:cs="Arial"/>
          <w:sz w:val="22"/>
          <w:szCs w:val="22"/>
        </w:rPr>
        <w:t xml:space="preserve">. Available at: </w:t>
      </w:r>
      <w:hyperlink r:id="rId11" w:history="1">
        <w:r w:rsidRPr="00A86724">
          <w:rPr>
            <w:rStyle w:val="Hyperlink"/>
            <w:rFonts w:ascii="Arial" w:hAnsi="Arial" w:cs="Arial"/>
            <w:sz w:val="22"/>
            <w:szCs w:val="22"/>
          </w:rPr>
          <w:t>https://commonslibrary.parliament.uk/research-briefings/cbp-9615/</w:t>
        </w:r>
      </w:hyperlink>
      <w:r w:rsidRPr="00A86724">
        <w:rPr>
          <w:rFonts w:ascii="Arial" w:hAnsi="Arial" w:cs="Arial"/>
          <w:sz w:val="22"/>
          <w:szCs w:val="22"/>
        </w:rPr>
        <w:t xml:space="preserve">  (Accessed: 12 March 2026).</w:t>
      </w:r>
    </w:p>
    <w:p w14:paraId="518939EF" w14:textId="77777777" w:rsidR="00594F9B" w:rsidRPr="00A86724" w:rsidRDefault="00594F9B" w:rsidP="00594F9B">
      <w:pPr>
        <w:pStyle w:val="p1"/>
        <w:spacing w:line="360" w:lineRule="auto"/>
        <w:rPr>
          <w:rFonts w:ascii="Arial" w:hAnsi="Arial" w:cs="Arial"/>
          <w:color w:val="EE0000"/>
          <w:sz w:val="22"/>
          <w:szCs w:val="22"/>
        </w:rPr>
      </w:pPr>
      <w:r w:rsidRPr="00A86724">
        <w:rPr>
          <w:rFonts w:ascii="Arial" w:hAnsi="Arial" w:cs="Arial"/>
          <w:color w:val="000000" w:themeColor="text1"/>
          <w:sz w:val="22"/>
          <w:szCs w:val="22"/>
        </w:rPr>
        <w:t xml:space="preserve">GOV.UK (2021) </w:t>
      </w:r>
      <w:r w:rsidRPr="00A86724">
        <w:rPr>
          <w:rFonts w:ascii="Arial" w:hAnsi="Arial" w:cs="Arial"/>
          <w:i/>
          <w:iCs/>
          <w:color w:val="000000" w:themeColor="text1"/>
          <w:sz w:val="22"/>
          <w:szCs w:val="22"/>
        </w:rPr>
        <w:t>Health and Care Worker visa</w:t>
      </w:r>
      <w:r w:rsidRPr="00A86724">
        <w:rPr>
          <w:rFonts w:ascii="Arial" w:hAnsi="Arial" w:cs="Arial"/>
          <w:color w:val="000000" w:themeColor="text1"/>
          <w:sz w:val="22"/>
          <w:szCs w:val="22"/>
        </w:rPr>
        <w:t xml:space="preserve">. Available at: </w:t>
      </w:r>
      <w:hyperlink r:id="rId12" w:history="1">
        <w:r w:rsidRPr="00A86724">
          <w:rPr>
            <w:rStyle w:val="Hyperlink"/>
            <w:rFonts w:ascii="Arial" w:hAnsi="Arial" w:cs="Arial"/>
            <w:color w:val="EE0000"/>
            <w:sz w:val="22"/>
            <w:szCs w:val="22"/>
          </w:rPr>
          <w:t>https://www.gov.uk/health-c</w:t>
        </w:r>
        <w:r w:rsidRPr="00A86724">
          <w:rPr>
            <w:rStyle w:val="Hyperlink"/>
            <w:rFonts w:ascii="Arial" w:hAnsi="Arial" w:cs="Arial"/>
            <w:color w:val="EE0000"/>
            <w:sz w:val="22"/>
            <w:szCs w:val="22"/>
          </w:rPr>
          <w:t>a</w:t>
        </w:r>
        <w:r w:rsidRPr="00A86724">
          <w:rPr>
            <w:rStyle w:val="Hyperlink"/>
            <w:rFonts w:ascii="Arial" w:hAnsi="Arial" w:cs="Arial"/>
            <w:color w:val="EE0000"/>
            <w:sz w:val="22"/>
            <w:szCs w:val="22"/>
          </w:rPr>
          <w:t>re-work</w:t>
        </w:r>
        <w:r w:rsidRPr="00A86724">
          <w:rPr>
            <w:rStyle w:val="Hyperlink"/>
            <w:rFonts w:ascii="Arial" w:hAnsi="Arial" w:cs="Arial"/>
            <w:color w:val="EE0000"/>
            <w:sz w:val="22"/>
            <w:szCs w:val="22"/>
          </w:rPr>
          <w:t>e</w:t>
        </w:r>
        <w:r w:rsidRPr="00A86724">
          <w:rPr>
            <w:rStyle w:val="Hyperlink"/>
            <w:rFonts w:ascii="Arial" w:hAnsi="Arial" w:cs="Arial"/>
            <w:color w:val="EE0000"/>
            <w:sz w:val="22"/>
            <w:szCs w:val="22"/>
          </w:rPr>
          <w:t>r-visa</w:t>
        </w:r>
      </w:hyperlink>
      <w:r w:rsidRPr="00A86724">
        <w:rPr>
          <w:rFonts w:ascii="Arial" w:hAnsi="Arial" w:cs="Arial"/>
          <w:color w:val="EE0000"/>
          <w:sz w:val="22"/>
          <w:szCs w:val="22"/>
        </w:rPr>
        <w:t xml:space="preserve">  </w:t>
      </w:r>
      <w:r w:rsidRPr="00A86724">
        <w:rPr>
          <w:rFonts w:ascii="Arial" w:hAnsi="Arial" w:cs="Arial"/>
          <w:color w:val="000000" w:themeColor="text1"/>
          <w:sz w:val="22"/>
          <w:szCs w:val="22"/>
        </w:rPr>
        <w:t>(Accessed: 12 March 2026).</w:t>
      </w:r>
    </w:p>
    <w:p w14:paraId="18806510" w14:textId="77777777" w:rsidR="00594F9B" w:rsidRPr="00A86724" w:rsidRDefault="00594F9B" w:rsidP="00594F9B">
      <w:pPr>
        <w:pStyle w:val="p2"/>
        <w:spacing w:line="360" w:lineRule="auto"/>
        <w:rPr>
          <w:rFonts w:ascii="Arial" w:hAnsi="Arial" w:cs="Arial"/>
          <w:sz w:val="22"/>
          <w:szCs w:val="22"/>
        </w:rPr>
      </w:pPr>
    </w:p>
    <w:p w14:paraId="10B1C51F"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lastRenderedPageBreak/>
        <w:t xml:space="preserve">Glasby, J. (2021) </w:t>
      </w:r>
      <w:r w:rsidRPr="00A86724">
        <w:rPr>
          <w:rFonts w:ascii="Arial" w:hAnsi="Arial" w:cs="Arial"/>
          <w:i/>
          <w:iCs/>
          <w:sz w:val="22"/>
          <w:szCs w:val="22"/>
        </w:rPr>
        <w:t>Understanding health and social care</w:t>
      </w:r>
      <w:r w:rsidRPr="00A86724">
        <w:rPr>
          <w:rFonts w:ascii="Arial" w:hAnsi="Arial" w:cs="Arial"/>
          <w:sz w:val="22"/>
          <w:szCs w:val="22"/>
        </w:rPr>
        <w:t>. 4th ed. Bristol: Policy Press.</w:t>
      </w:r>
    </w:p>
    <w:p w14:paraId="0EE3F37B" w14:textId="77777777" w:rsidR="00594F9B" w:rsidRPr="00A86724" w:rsidRDefault="00594F9B" w:rsidP="00594F9B">
      <w:pPr>
        <w:pStyle w:val="p1"/>
        <w:spacing w:line="360" w:lineRule="auto"/>
        <w:rPr>
          <w:rStyle w:val="apple-converted-space"/>
          <w:rFonts w:ascii="Arial" w:eastAsiaTheme="majorEastAsia" w:hAnsi="Arial" w:cs="Arial"/>
          <w:sz w:val="22"/>
          <w:szCs w:val="22"/>
        </w:rPr>
      </w:pPr>
      <w:r w:rsidRPr="00A86724">
        <w:rPr>
          <w:rFonts w:ascii="Arial" w:hAnsi="Arial" w:cs="Arial"/>
          <w:sz w:val="22"/>
          <w:szCs w:val="22"/>
        </w:rPr>
        <w:t xml:space="preserve">Harker, R., Francis-Devine, B. and Foley, N. (2025) </w:t>
      </w:r>
      <w:r w:rsidRPr="00A86724">
        <w:rPr>
          <w:rFonts w:ascii="Arial" w:hAnsi="Arial" w:cs="Arial"/>
          <w:i/>
          <w:iCs/>
          <w:sz w:val="22"/>
          <w:szCs w:val="22"/>
        </w:rPr>
        <w:t>Who provides informal care?</w:t>
      </w:r>
      <w:r w:rsidRPr="00A86724">
        <w:rPr>
          <w:rFonts w:ascii="Arial" w:hAnsi="Arial" w:cs="Arial"/>
          <w:sz w:val="22"/>
          <w:szCs w:val="22"/>
        </w:rPr>
        <w:t xml:space="preserve">. Available at: </w:t>
      </w:r>
      <w:hyperlink r:id="rId13" w:history="1">
        <w:r w:rsidRPr="00A86724">
          <w:rPr>
            <w:rStyle w:val="Hyperlink"/>
            <w:rFonts w:ascii="Arial" w:hAnsi="Arial" w:cs="Arial"/>
            <w:sz w:val="22"/>
            <w:szCs w:val="22"/>
          </w:rPr>
          <w:t>https://researchbriefings.files.parliament.uk/documents/CBP-10017/CBP-10017.pdf</w:t>
        </w:r>
      </w:hyperlink>
      <w:r w:rsidRPr="00A86724">
        <w:rPr>
          <w:rFonts w:ascii="Arial" w:hAnsi="Arial" w:cs="Arial"/>
          <w:sz w:val="22"/>
          <w:szCs w:val="22"/>
        </w:rPr>
        <w:t xml:space="preserve"> (Accessed: 8 March 2026). </w:t>
      </w:r>
      <w:r w:rsidRPr="00A86724">
        <w:rPr>
          <w:rStyle w:val="apple-converted-space"/>
          <w:rFonts w:ascii="Arial" w:eastAsiaTheme="majorEastAsia" w:hAnsi="Arial" w:cs="Arial"/>
          <w:sz w:val="22"/>
          <w:szCs w:val="22"/>
        </w:rPr>
        <w:t> </w:t>
      </w:r>
    </w:p>
    <w:p w14:paraId="5A007885"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Hussein, S. (2017) ‘We don’t do it for the money: The scale and reasons of poverty-pay among frontline long-term care workers in England’, </w:t>
      </w:r>
      <w:r w:rsidRPr="00A86724">
        <w:rPr>
          <w:rFonts w:ascii="Arial" w:hAnsi="Arial" w:cs="Arial"/>
          <w:i/>
          <w:iCs/>
          <w:sz w:val="22"/>
          <w:szCs w:val="22"/>
        </w:rPr>
        <w:t>Health &amp; Social Care in the Community</w:t>
      </w:r>
      <w:r w:rsidRPr="00A86724">
        <w:rPr>
          <w:rFonts w:ascii="Arial" w:hAnsi="Arial" w:cs="Arial"/>
          <w:sz w:val="22"/>
          <w:szCs w:val="22"/>
        </w:rPr>
        <w:t xml:space="preserve">, 25(6), pp. 1817–1826. Available at: </w:t>
      </w:r>
      <w:hyperlink r:id="rId14" w:history="1">
        <w:r w:rsidRPr="00A86724">
          <w:rPr>
            <w:rStyle w:val="Hyperlink"/>
            <w:rFonts w:ascii="Arial" w:hAnsi="Arial" w:cs="Arial"/>
            <w:sz w:val="22"/>
            <w:szCs w:val="22"/>
          </w:rPr>
          <w:t>https://onlinelibrary.wiley.com/doi/10.1111/hsc.12455</w:t>
        </w:r>
      </w:hyperlink>
      <w:r w:rsidRPr="00A86724">
        <w:rPr>
          <w:rFonts w:ascii="Arial" w:hAnsi="Arial" w:cs="Arial"/>
          <w:sz w:val="22"/>
          <w:szCs w:val="22"/>
        </w:rPr>
        <w:t xml:space="preserve">  (Accessed: 12 March 2026).</w:t>
      </w:r>
    </w:p>
    <w:p w14:paraId="5F1C610E" w14:textId="77777777" w:rsidR="00594F9B" w:rsidRPr="00A86724" w:rsidRDefault="00594F9B" w:rsidP="00594F9B">
      <w:pPr>
        <w:pStyle w:val="p1"/>
        <w:spacing w:line="360" w:lineRule="auto"/>
        <w:rPr>
          <w:rFonts w:ascii="Arial" w:hAnsi="Arial" w:cs="Arial"/>
          <w:color w:val="000000" w:themeColor="text1"/>
          <w:sz w:val="22"/>
          <w:szCs w:val="22"/>
        </w:rPr>
      </w:pPr>
      <w:r w:rsidRPr="00A86724">
        <w:rPr>
          <w:rFonts w:ascii="Arial" w:hAnsi="Arial" w:cs="Arial"/>
          <w:color w:val="000000" w:themeColor="text1"/>
          <w:sz w:val="22"/>
          <w:szCs w:val="22"/>
        </w:rPr>
        <w:t xml:space="preserve">House of Commons (2022) </w:t>
      </w:r>
      <w:r w:rsidRPr="00A86724">
        <w:rPr>
          <w:rFonts w:ascii="Arial" w:hAnsi="Arial" w:cs="Arial"/>
          <w:i/>
          <w:iCs/>
          <w:color w:val="000000" w:themeColor="text1"/>
          <w:sz w:val="22"/>
          <w:szCs w:val="22"/>
        </w:rPr>
        <w:t>Workforce: recruitment, training and retention in health and social care</w:t>
      </w:r>
      <w:r w:rsidRPr="00A86724">
        <w:rPr>
          <w:rFonts w:ascii="Arial" w:hAnsi="Arial" w:cs="Arial"/>
          <w:color w:val="000000" w:themeColor="text1"/>
          <w:sz w:val="22"/>
          <w:szCs w:val="22"/>
        </w:rPr>
        <w:t>. Available at:</w:t>
      </w:r>
      <w:r w:rsidRPr="00A86724">
        <w:rPr>
          <w:rFonts w:ascii="Arial" w:hAnsi="Arial" w:cs="Arial"/>
          <w:color w:val="000000" w:themeColor="text1"/>
          <w:sz w:val="22"/>
          <w:szCs w:val="22"/>
        </w:rPr>
        <w:t xml:space="preserve"> </w:t>
      </w:r>
      <w:hyperlink r:id="rId15" w:history="1">
        <w:r w:rsidRPr="00A86724">
          <w:rPr>
            <w:rStyle w:val="Hyperlink"/>
            <w:rFonts w:ascii="Arial" w:hAnsi="Arial" w:cs="Arial"/>
            <w:sz w:val="22"/>
            <w:szCs w:val="22"/>
          </w:rPr>
          <w:t>https://committees.parliament.uk/publications/23246/documents/171671/default/</w:t>
        </w:r>
      </w:hyperlink>
      <w:r w:rsidRPr="00A86724">
        <w:rPr>
          <w:rFonts w:ascii="Arial" w:hAnsi="Arial" w:cs="Arial"/>
          <w:color w:val="000000" w:themeColor="text1"/>
          <w:sz w:val="22"/>
          <w:szCs w:val="22"/>
        </w:rPr>
        <w:t xml:space="preserve">  (Accessed: 17 March 2026).</w:t>
      </w:r>
    </w:p>
    <w:p w14:paraId="5EC42EA6"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Hochschild, A.R. (2000) ‘Global care chains and emotional surplus value’, in Hutton, W. and Giddens, A. (eds.) </w:t>
      </w:r>
      <w:r w:rsidRPr="00A86724">
        <w:rPr>
          <w:rFonts w:ascii="Arial" w:hAnsi="Arial" w:cs="Arial"/>
          <w:i/>
          <w:iCs/>
          <w:sz w:val="22"/>
          <w:szCs w:val="22"/>
        </w:rPr>
        <w:t>On the edge: Living with global capitalism</w:t>
      </w:r>
      <w:r w:rsidRPr="00A86724">
        <w:rPr>
          <w:rFonts w:ascii="Arial" w:hAnsi="Arial" w:cs="Arial"/>
          <w:sz w:val="22"/>
          <w:szCs w:val="22"/>
        </w:rPr>
        <w:t>. London: Jonathan Cape.</w:t>
      </w:r>
    </w:p>
    <w:p w14:paraId="273E8AF8"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Health Foundation (2023) </w:t>
      </w:r>
      <w:r w:rsidRPr="00A86724">
        <w:rPr>
          <w:rFonts w:ascii="Arial" w:hAnsi="Arial" w:cs="Arial"/>
          <w:i/>
          <w:iCs/>
          <w:sz w:val="22"/>
          <w:szCs w:val="22"/>
        </w:rPr>
        <w:t>Adult social care workforce pressures</w:t>
      </w:r>
      <w:r w:rsidRPr="00A86724">
        <w:rPr>
          <w:rFonts w:ascii="Arial" w:hAnsi="Arial" w:cs="Arial"/>
          <w:sz w:val="22"/>
          <w:szCs w:val="22"/>
        </w:rPr>
        <w:t>. London: The Health Foundation.</w:t>
      </w:r>
    </w:p>
    <w:p w14:paraId="25661ED1" w14:textId="77777777" w:rsidR="00594F9B" w:rsidRPr="00A86724" w:rsidRDefault="00594F9B" w:rsidP="00594F9B">
      <w:pPr>
        <w:pStyle w:val="p1"/>
        <w:spacing w:line="360" w:lineRule="auto"/>
        <w:rPr>
          <w:rStyle w:val="apple-converted-space"/>
          <w:rFonts w:ascii="Arial" w:hAnsi="Arial" w:cs="Arial"/>
          <w:sz w:val="22"/>
          <w:szCs w:val="22"/>
        </w:rPr>
      </w:pPr>
      <w:r w:rsidRPr="00A86724">
        <w:rPr>
          <w:rFonts w:ascii="Arial" w:hAnsi="Arial" w:cs="Arial"/>
          <w:sz w:val="22"/>
          <w:szCs w:val="22"/>
        </w:rPr>
        <w:t xml:space="preserve">International Labour Organization (2023) </w:t>
      </w:r>
      <w:r w:rsidRPr="00A86724">
        <w:rPr>
          <w:rFonts w:ascii="Arial" w:hAnsi="Arial" w:cs="Arial"/>
          <w:i/>
          <w:iCs/>
          <w:sz w:val="22"/>
          <w:szCs w:val="22"/>
        </w:rPr>
        <w:t>Labour market segmentation</w:t>
      </w:r>
      <w:r w:rsidRPr="00A86724">
        <w:rPr>
          <w:rFonts w:ascii="Arial" w:hAnsi="Arial" w:cs="Arial"/>
          <w:sz w:val="22"/>
          <w:szCs w:val="22"/>
        </w:rPr>
        <w:t xml:space="preserve">. Available at: </w:t>
      </w:r>
      <w:hyperlink r:id="rId16" w:history="1">
        <w:r w:rsidRPr="00A86724">
          <w:rPr>
            <w:rStyle w:val="Hyperlink"/>
            <w:rFonts w:ascii="Arial" w:hAnsi="Arial" w:cs="Arial"/>
            <w:sz w:val="22"/>
            <w:szCs w:val="22"/>
          </w:rPr>
          <w:t>https://www.ilo.org/topics/employment-security/labour-market-segmentation</w:t>
        </w:r>
      </w:hyperlink>
      <w:r w:rsidRPr="00A86724">
        <w:rPr>
          <w:rFonts w:ascii="Arial" w:hAnsi="Arial" w:cs="Arial"/>
          <w:sz w:val="22"/>
          <w:szCs w:val="22"/>
        </w:rPr>
        <w:t xml:space="preserve"> (Accessed: 12 March 2026).</w:t>
      </w:r>
      <w:r w:rsidRPr="00A86724">
        <w:rPr>
          <w:rStyle w:val="Heading2Char"/>
          <w:rFonts w:ascii="Arial" w:hAnsi="Arial" w:cs="Arial"/>
          <w:sz w:val="22"/>
          <w:szCs w:val="22"/>
        </w:rPr>
        <w:t xml:space="preserve"> </w:t>
      </w:r>
      <w:r w:rsidRPr="00A86724">
        <w:rPr>
          <w:rStyle w:val="apple-converted-space"/>
          <w:rFonts w:ascii="Arial" w:hAnsi="Arial" w:cs="Arial"/>
          <w:sz w:val="22"/>
          <w:szCs w:val="22"/>
        </w:rPr>
        <w:t> </w:t>
      </w:r>
    </w:p>
    <w:p w14:paraId="59B8FFC8" w14:textId="77777777" w:rsidR="00594F9B" w:rsidRPr="00A86724" w:rsidRDefault="00594F9B" w:rsidP="00594F9B">
      <w:pPr>
        <w:pStyle w:val="p1"/>
        <w:spacing w:line="360" w:lineRule="auto"/>
        <w:rPr>
          <w:rStyle w:val="apple-converted-space"/>
          <w:rFonts w:ascii="Arial" w:hAnsi="Arial" w:cs="Arial"/>
          <w:sz w:val="22"/>
          <w:szCs w:val="22"/>
        </w:rPr>
      </w:pPr>
      <w:r w:rsidRPr="00A86724">
        <w:rPr>
          <w:rFonts w:ascii="Arial" w:hAnsi="Arial" w:cs="Arial"/>
          <w:sz w:val="22"/>
          <w:szCs w:val="22"/>
        </w:rPr>
        <w:t xml:space="preserve">International Labour Organization (ILO) (2024) </w:t>
      </w:r>
      <w:r w:rsidRPr="00A86724">
        <w:rPr>
          <w:rFonts w:ascii="Arial" w:hAnsi="Arial" w:cs="Arial"/>
          <w:i/>
          <w:iCs/>
          <w:sz w:val="22"/>
          <w:szCs w:val="22"/>
        </w:rPr>
        <w:t>Migrant workers in the care economy</w:t>
      </w:r>
      <w:r w:rsidRPr="00A86724">
        <w:rPr>
          <w:rFonts w:ascii="Arial" w:hAnsi="Arial" w:cs="Arial"/>
          <w:sz w:val="22"/>
          <w:szCs w:val="22"/>
        </w:rPr>
        <w:t>. Available at:</w:t>
      </w:r>
      <w:r w:rsidRPr="00A86724">
        <w:rPr>
          <w:rStyle w:val="apple-converted-space"/>
          <w:rFonts w:ascii="Arial" w:hAnsi="Arial" w:cs="Arial"/>
          <w:sz w:val="22"/>
          <w:szCs w:val="22"/>
        </w:rPr>
        <w:t> </w:t>
      </w:r>
      <w:hyperlink r:id="rId17" w:history="1">
        <w:r w:rsidRPr="00A86724">
          <w:rPr>
            <w:rStyle w:val="Hyperlink"/>
            <w:rFonts w:ascii="Arial" w:hAnsi="Arial" w:cs="Arial"/>
            <w:sz w:val="22"/>
            <w:szCs w:val="22"/>
          </w:rPr>
          <w:t>https://www.ilo.org/sites/default/files/2024-10/Migrant%20Workers%20in%20the%20Care%20Economy_Note_2024_Final.pdf</w:t>
        </w:r>
      </w:hyperlink>
      <w:r w:rsidRPr="00A86724">
        <w:rPr>
          <w:rFonts w:ascii="Arial" w:hAnsi="Arial" w:cs="Arial"/>
          <w:sz w:val="22"/>
          <w:szCs w:val="22"/>
        </w:rPr>
        <w:t xml:space="preserve"> (Accessed: 16 March 2026).</w:t>
      </w:r>
      <w:r w:rsidRPr="00A86724">
        <w:rPr>
          <w:rStyle w:val="Heading2Char"/>
          <w:rFonts w:ascii="Arial" w:hAnsi="Arial" w:cs="Arial"/>
          <w:sz w:val="22"/>
          <w:szCs w:val="22"/>
        </w:rPr>
        <w:t xml:space="preserve"> </w:t>
      </w:r>
      <w:r w:rsidRPr="00A86724">
        <w:rPr>
          <w:rStyle w:val="apple-converted-space"/>
          <w:rFonts w:ascii="Arial" w:hAnsi="Arial" w:cs="Arial"/>
          <w:sz w:val="22"/>
          <w:szCs w:val="22"/>
        </w:rPr>
        <w:t> </w:t>
      </w:r>
    </w:p>
    <w:p w14:paraId="29397CEA"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Jones, K. (2024) ‘Analysing transnational labour mobility regimes and migrant worker agency’, </w:t>
      </w:r>
      <w:r w:rsidRPr="00A86724">
        <w:rPr>
          <w:rFonts w:ascii="Arial" w:hAnsi="Arial" w:cs="Arial"/>
          <w:i/>
          <w:iCs/>
          <w:sz w:val="22"/>
          <w:szCs w:val="22"/>
        </w:rPr>
        <w:t>Global Social Policy</w:t>
      </w:r>
      <w:r w:rsidRPr="00A86724">
        <w:rPr>
          <w:rFonts w:ascii="Arial" w:hAnsi="Arial" w:cs="Arial"/>
          <w:sz w:val="22"/>
          <w:szCs w:val="22"/>
        </w:rPr>
        <w:t>.</w:t>
      </w:r>
      <w:r w:rsidRPr="00A86724">
        <w:rPr>
          <w:rStyle w:val="apple-converted-space"/>
          <w:rFonts w:ascii="Arial" w:hAnsi="Arial" w:cs="Arial"/>
          <w:sz w:val="22"/>
          <w:szCs w:val="22"/>
        </w:rPr>
        <w:t> </w:t>
      </w:r>
    </w:p>
    <w:p w14:paraId="1D79EE02"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Marino, S. and Keizer, A. (2023) ‘Labour market regulation and the demand for migrant labour: A comparison of the adult social care sector in England and the Netherlands’, </w:t>
      </w:r>
      <w:r w:rsidRPr="00A86724">
        <w:rPr>
          <w:rFonts w:ascii="Arial" w:hAnsi="Arial" w:cs="Arial"/>
          <w:i/>
          <w:iCs/>
          <w:sz w:val="22"/>
          <w:szCs w:val="22"/>
        </w:rPr>
        <w:t>European Journal of Industrial Relations</w:t>
      </w:r>
      <w:r w:rsidRPr="00A86724">
        <w:rPr>
          <w:rFonts w:ascii="Arial" w:hAnsi="Arial" w:cs="Arial"/>
          <w:sz w:val="22"/>
          <w:szCs w:val="22"/>
        </w:rPr>
        <w:t>, 29(2), pp. 159–176.</w:t>
      </w:r>
    </w:p>
    <w:p w14:paraId="69AC83C3"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lastRenderedPageBreak/>
        <w:t xml:space="preserve">Migration Advisory Committee (2023) </w:t>
      </w:r>
      <w:r w:rsidRPr="00A86724">
        <w:rPr>
          <w:rFonts w:ascii="Arial" w:hAnsi="Arial" w:cs="Arial"/>
          <w:i/>
          <w:iCs/>
          <w:sz w:val="22"/>
          <w:szCs w:val="22"/>
        </w:rPr>
        <w:t>Review of the Shortage Occupation List</w:t>
      </w:r>
      <w:r w:rsidRPr="00A86724">
        <w:rPr>
          <w:rFonts w:ascii="Arial" w:hAnsi="Arial" w:cs="Arial"/>
          <w:sz w:val="22"/>
          <w:szCs w:val="22"/>
        </w:rPr>
        <w:t xml:space="preserve">. Available at: </w:t>
      </w:r>
      <w:hyperlink r:id="rId18" w:history="1">
        <w:r w:rsidRPr="00A86724">
          <w:rPr>
            <w:rStyle w:val="Hyperlink"/>
            <w:rFonts w:ascii="Arial" w:hAnsi="Arial" w:cs="Arial"/>
            <w:sz w:val="22"/>
            <w:szCs w:val="22"/>
          </w:rPr>
          <w:t>https://assets.publishing.service.gov.uk/media/651557b86dfda600148e37ba/Review_of_the_Shortage_Occupation_List_2023.pdf</w:t>
        </w:r>
      </w:hyperlink>
      <w:r w:rsidRPr="00A86724">
        <w:rPr>
          <w:rFonts w:ascii="Arial" w:hAnsi="Arial" w:cs="Arial"/>
          <w:sz w:val="22"/>
          <w:szCs w:val="22"/>
        </w:rPr>
        <w:t xml:space="preserve">  (Accessed: 12 March 2026).</w:t>
      </w:r>
    </w:p>
    <w:p w14:paraId="1A47C328"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Migration Observatory (2023) </w:t>
      </w:r>
      <w:r w:rsidRPr="00A86724">
        <w:rPr>
          <w:rFonts w:ascii="Arial" w:hAnsi="Arial" w:cs="Arial"/>
          <w:i/>
          <w:iCs/>
          <w:sz w:val="22"/>
          <w:szCs w:val="22"/>
        </w:rPr>
        <w:t>Migration and the health and care workforce</w:t>
      </w:r>
      <w:r w:rsidRPr="00A86724">
        <w:rPr>
          <w:rFonts w:ascii="Arial" w:hAnsi="Arial" w:cs="Arial"/>
          <w:sz w:val="22"/>
          <w:szCs w:val="22"/>
        </w:rPr>
        <w:t xml:space="preserve">. University of Oxford. Available at: </w:t>
      </w:r>
      <w:hyperlink r:id="rId19" w:history="1">
        <w:r w:rsidRPr="00A86724">
          <w:rPr>
            <w:rStyle w:val="Hyperlink"/>
            <w:rFonts w:ascii="Arial" w:hAnsi="Arial" w:cs="Arial"/>
            <w:sz w:val="22"/>
            <w:szCs w:val="22"/>
          </w:rPr>
          <w:t>https://migrationobservatory.ox.ac.uk/resources/briefings/migration-and-the-health-and-care-workforce</w:t>
        </w:r>
      </w:hyperlink>
      <w:r w:rsidRPr="00A86724">
        <w:rPr>
          <w:rFonts w:ascii="Arial" w:hAnsi="Arial" w:cs="Arial"/>
          <w:sz w:val="22"/>
          <w:szCs w:val="22"/>
        </w:rPr>
        <w:t xml:space="preserve">  (Accessed: 12 March 2026).</w:t>
      </w:r>
    </w:p>
    <w:p w14:paraId="4E169DE9"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Moriarty, J., Manthorpe, J. &amp; Harris, J. (2018) ‘Recruitment and retention in adult social care services’, </w:t>
      </w:r>
      <w:r w:rsidRPr="00A86724">
        <w:rPr>
          <w:rFonts w:ascii="Arial" w:hAnsi="Arial" w:cs="Arial"/>
          <w:i/>
          <w:iCs/>
          <w:sz w:val="22"/>
          <w:szCs w:val="22"/>
        </w:rPr>
        <w:t>International Journal of Care and Caring</w:t>
      </w:r>
      <w:r w:rsidRPr="00A86724">
        <w:rPr>
          <w:rFonts w:ascii="Arial" w:hAnsi="Arial" w:cs="Arial"/>
          <w:sz w:val="22"/>
          <w:szCs w:val="22"/>
        </w:rPr>
        <w:t>, 2(2), pp. 181–197.</w:t>
      </w:r>
    </w:p>
    <w:p w14:paraId="54B4DF51"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Office for National Statistics (2023) </w:t>
      </w:r>
      <w:r w:rsidRPr="00A86724">
        <w:rPr>
          <w:rFonts w:ascii="Arial" w:hAnsi="Arial" w:cs="Arial"/>
          <w:i/>
          <w:iCs/>
          <w:sz w:val="22"/>
          <w:szCs w:val="22"/>
        </w:rPr>
        <w:t>Population ageing and the health and social care workforce</w:t>
      </w:r>
      <w:r w:rsidRPr="00A86724">
        <w:rPr>
          <w:rFonts w:ascii="Arial" w:hAnsi="Arial" w:cs="Arial"/>
          <w:sz w:val="22"/>
          <w:szCs w:val="22"/>
        </w:rPr>
        <w:t xml:space="preserve">. Available at: </w:t>
      </w:r>
      <w:hyperlink r:id="rId20" w:history="1">
        <w:r w:rsidRPr="00A86724">
          <w:rPr>
            <w:rStyle w:val="Hyperlink"/>
            <w:rFonts w:ascii="Arial" w:hAnsi="Arial" w:cs="Arial"/>
            <w:sz w:val="22"/>
            <w:szCs w:val="22"/>
          </w:rPr>
          <w:t>https://www.ons.gov.uk</w:t>
        </w:r>
      </w:hyperlink>
      <w:r w:rsidRPr="00A86724">
        <w:rPr>
          <w:rFonts w:ascii="Arial" w:hAnsi="Arial" w:cs="Arial"/>
          <w:sz w:val="22"/>
          <w:szCs w:val="22"/>
        </w:rPr>
        <w:t xml:space="preserve">  (Accessed: 12 March 2026).</w:t>
      </w:r>
    </w:p>
    <w:p w14:paraId="39E800F1" w14:textId="77777777" w:rsidR="00594F9B" w:rsidRPr="00A86724" w:rsidRDefault="00594F9B" w:rsidP="00594F9B">
      <w:pPr>
        <w:pStyle w:val="p1"/>
        <w:tabs>
          <w:tab w:val="right" w:pos="9026"/>
        </w:tabs>
        <w:spacing w:line="360" w:lineRule="auto"/>
        <w:rPr>
          <w:rStyle w:val="apple-converted-space"/>
          <w:rFonts w:ascii="Arial" w:eastAsiaTheme="majorEastAsia" w:hAnsi="Arial" w:cs="Arial"/>
          <w:sz w:val="22"/>
          <w:szCs w:val="22"/>
        </w:rPr>
      </w:pPr>
      <w:r w:rsidRPr="00A86724">
        <w:rPr>
          <w:rFonts w:ascii="Arial" w:hAnsi="Arial" w:cs="Arial"/>
          <w:sz w:val="22"/>
          <w:szCs w:val="22"/>
        </w:rPr>
        <w:t xml:space="preserve">Portes, J. and Springford, J. (2023) ‘The impact of the post-Brexit migration system on the UK labour market’, </w:t>
      </w:r>
      <w:r w:rsidRPr="00A86724">
        <w:rPr>
          <w:rFonts w:ascii="Arial" w:hAnsi="Arial" w:cs="Arial"/>
          <w:i/>
          <w:iCs/>
          <w:sz w:val="22"/>
          <w:szCs w:val="22"/>
        </w:rPr>
        <w:t>Contemporary Social Science</w:t>
      </w:r>
      <w:r w:rsidRPr="00A86724">
        <w:rPr>
          <w:rFonts w:ascii="Arial" w:hAnsi="Arial" w:cs="Arial"/>
          <w:sz w:val="22"/>
          <w:szCs w:val="22"/>
        </w:rPr>
        <w:t>, 18(2), pp. 132–149.</w:t>
      </w:r>
      <w:r w:rsidRPr="00A86724">
        <w:rPr>
          <w:rStyle w:val="apple-converted-space"/>
          <w:rFonts w:ascii="Arial" w:eastAsiaTheme="majorEastAsia" w:hAnsi="Arial" w:cs="Arial"/>
          <w:sz w:val="22"/>
          <w:szCs w:val="22"/>
        </w:rPr>
        <w:t> </w:t>
      </w:r>
    </w:p>
    <w:p w14:paraId="1478E137"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UK Parliament POST (2025) </w:t>
      </w:r>
      <w:r w:rsidRPr="00A86724">
        <w:rPr>
          <w:rFonts w:ascii="Arial" w:hAnsi="Arial" w:cs="Arial"/>
          <w:i/>
          <w:iCs/>
          <w:sz w:val="22"/>
          <w:szCs w:val="22"/>
        </w:rPr>
        <w:t>Sustaining the health and adult social care workforce</w:t>
      </w:r>
      <w:r w:rsidRPr="00A86724">
        <w:rPr>
          <w:rFonts w:ascii="Arial" w:hAnsi="Arial" w:cs="Arial"/>
          <w:sz w:val="22"/>
          <w:szCs w:val="22"/>
        </w:rPr>
        <w:t xml:space="preserve">. Available at: </w:t>
      </w:r>
      <w:hyperlink r:id="rId21" w:history="1">
        <w:r w:rsidRPr="00A86724">
          <w:rPr>
            <w:rStyle w:val="Hyperlink"/>
            <w:rFonts w:ascii="Arial" w:hAnsi="Arial" w:cs="Arial"/>
            <w:sz w:val="22"/>
            <w:szCs w:val="22"/>
          </w:rPr>
          <w:t>https://post.parliament.uk/sustaining-the-health-and-adult-social-care-workforce/</w:t>
        </w:r>
      </w:hyperlink>
      <w:r w:rsidRPr="00A86724">
        <w:rPr>
          <w:rFonts w:ascii="Arial" w:hAnsi="Arial" w:cs="Arial"/>
          <w:sz w:val="22"/>
          <w:szCs w:val="22"/>
        </w:rPr>
        <w:t xml:space="preserve"> (Accessed: 8 March 2026).</w:t>
      </w:r>
    </w:p>
    <w:p w14:paraId="7C64AF47"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Skills for Care. (2025) </w:t>
      </w:r>
      <w:r w:rsidRPr="00A86724">
        <w:rPr>
          <w:rFonts w:ascii="Arial" w:hAnsi="Arial" w:cs="Arial"/>
          <w:i/>
          <w:iCs/>
          <w:sz w:val="22"/>
          <w:szCs w:val="22"/>
        </w:rPr>
        <w:t>The state of the adult social care sector and workforce in England</w:t>
      </w:r>
      <w:r w:rsidRPr="00A86724">
        <w:rPr>
          <w:rFonts w:ascii="Arial" w:hAnsi="Arial" w:cs="Arial"/>
          <w:sz w:val="22"/>
          <w:szCs w:val="22"/>
        </w:rPr>
        <w:t xml:space="preserve">. Available at: </w:t>
      </w:r>
      <w:hyperlink r:id="rId22" w:history="1">
        <w:r w:rsidRPr="00A86724">
          <w:rPr>
            <w:rStyle w:val="Hyperlink"/>
            <w:rFonts w:ascii="Arial" w:hAnsi="Arial" w:cs="Arial"/>
            <w:sz w:val="22"/>
            <w:szCs w:val="22"/>
          </w:rPr>
          <w:t>https://www.skillsforcare.org.uk/Adult-Social-Care-Workforce-Data/workforceintelligence/resources/Reports/National/The-state-of-the-adult-social-care-sector-and-workforce-in-England-2025.pdf</w:t>
        </w:r>
      </w:hyperlink>
      <w:r w:rsidRPr="00A86724">
        <w:rPr>
          <w:rFonts w:ascii="Arial" w:hAnsi="Arial" w:cs="Arial"/>
          <w:sz w:val="22"/>
          <w:szCs w:val="22"/>
        </w:rPr>
        <w:t xml:space="preserve"> (Accessed: 8 March 2026). </w:t>
      </w:r>
      <w:r w:rsidRPr="00A86724">
        <w:rPr>
          <w:rStyle w:val="apple-converted-space"/>
          <w:rFonts w:ascii="Arial" w:eastAsiaTheme="majorEastAsia" w:hAnsi="Arial" w:cs="Arial"/>
          <w:sz w:val="22"/>
          <w:szCs w:val="22"/>
        </w:rPr>
        <w:t> </w:t>
      </w:r>
    </w:p>
    <w:p w14:paraId="3DA52EC1" w14:textId="77777777" w:rsidR="00594F9B" w:rsidRPr="00A86724" w:rsidRDefault="00594F9B" w:rsidP="00594F9B">
      <w:pPr>
        <w:rPr>
          <w:rFonts w:ascii="Arial" w:hAnsi="Arial" w:cs="Arial"/>
        </w:rPr>
      </w:pPr>
      <w:r w:rsidRPr="00A86724">
        <w:rPr>
          <w:rFonts w:ascii="Arial" w:hAnsi="Arial" w:cs="Arial"/>
        </w:rPr>
        <w:t xml:space="preserve">Turnpenny, A. &amp; Hussein, S. (2022) ‘Migrant home care workers in the UK: A scoping review’, </w:t>
      </w:r>
      <w:r w:rsidRPr="00A86724">
        <w:rPr>
          <w:rFonts w:ascii="Arial" w:hAnsi="Arial" w:cs="Arial"/>
          <w:i/>
          <w:iCs/>
        </w:rPr>
        <w:t xml:space="preserve">Journal of International Migration </w:t>
      </w:r>
      <w:r w:rsidRPr="00A86724">
        <w:rPr>
          <w:rFonts w:ascii="Arial" w:hAnsi="Arial" w:cs="Arial"/>
        </w:rPr>
        <w:t>and</w:t>
      </w:r>
      <w:r w:rsidRPr="00A86724">
        <w:rPr>
          <w:rFonts w:ascii="Arial" w:hAnsi="Arial" w:cs="Arial"/>
          <w:i/>
          <w:iCs/>
        </w:rPr>
        <w:t xml:space="preserve"> Integration</w:t>
      </w:r>
      <w:r w:rsidRPr="00A86724">
        <w:rPr>
          <w:rFonts w:ascii="Arial" w:hAnsi="Arial" w:cs="Arial"/>
        </w:rPr>
        <w:t>, 23(1), pp. 23–42.</w:t>
      </w:r>
    </w:p>
    <w:p w14:paraId="04FF749D" w14:textId="77777777" w:rsidR="00594F9B" w:rsidRPr="00A86724" w:rsidRDefault="00594F9B" w:rsidP="00594F9B">
      <w:pPr>
        <w:pStyle w:val="p2"/>
        <w:spacing w:line="360" w:lineRule="auto"/>
        <w:rPr>
          <w:rFonts w:ascii="Arial" w:hAnsi="Arial" w:cs="Arial"/>
          <w:sz w:val="22"/>
          <w:szCs w:val="22"/>
        </w:rPr>
      </w:pPr>
      <w:r w:rsidRPr="00A86724">
        <w:rPr>
          <w:rFonts w:ascii="Arial" w:hAnsi="Arial" w:cs="Arial"/>
          <w:sz w:val="22"/>
          <w:szCs w:val="22"/>
        </w:rPr>
        <w:t xml:space="preserve">Turnpenny, A. and Hussein, S. (2022) ‘Migrant home care workers in the UK: a scoping review of outcomes and sustainability and implications in the context of Brexit’, </w:t>
      </w:r>
      <w:r w:rsidRPr="00A86724">
        <w:rPr>
          <w:rFonts w:ascii="Arial" w:hAnsi="Arial" w:cs="Arial"/>
          <w:i/>
          <w:iCs/>
          <w:sz w:val="22"/>
          <w:szCs w:val="22"/>
        </w:rPr>
        <w:t>Journal of International Migration and Integration</w:t>
      </w:r>
      <w:r w:rsidRPr="00A86724">
        <w:rPr>
          <w:rFonts w:ascii="Arial" w:hAnsi="Arial" w:cs="Arial"/>
          <w:sz w:val="22"/>
          <w:szCs w:val="22"/>
        </w:rPr>
        <w:t>, 23(1), pp. 23–42.</w:t>
      </w:r>
    </w:p>
    <w:p w14:paraId="57295DFC"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t xml:space="preserve">The King’s Fund (2024) </w:t>
      </w:r>
      <w:r w:rsidRPr="00A86724">
        <w:rPr>
          <w:rFonts w:ascii="Arial" w:hAnsi="Arial" w:cs="Arial"/>
          <w:i/>
          <w:iCs/>
          <w:sz w:val="22"/>
          <w:szCs w:val="22"/>
        </w:rPr>
        <w:t>The adult social care workforce in a nutshell</w:t>
      </w:r>
      <w:r w:rsidRPr="00A86724">
        <w:rPr>
          <w:rFonts w:ascii="Arial" w:hAnsi="Arial" w:cs="Arial"/>
          <w:sz w:val="22"/>
          <w:szCs w:val="22"/>
        </w:rPr>
        <w:t xml:space="preserve">. Available at: </w:t>
      </w:r>
      <w:hyperlink r:id="rId23" w:history="1">
        <w:r w:rsidRPr="00A86724">
          <w:rPr>
            <w:rStyle w:val="Hyperlink"/>
            <w:rFonts w:ascii="Arial" w:hAnsi="Arial" w:cs="Arial"/>
            <w:sz w:val="22"/>
            <w:szCs w:val="22"/>
          </w:rPr>
          <w:t>https://www.kingsfund.org.uk/insight-and-analysis/data-and-charts/social-care-workforce-nutshell</w:t>
        </w:r>
      </w:hyperlink>
      <w:r w:rsidRPr="00A86724">
        <w:rPr>
          <w:rFonts w:ascii="Arial" w:hAnsi="Arial" w:cs="Arial"/>
          <w:sz w:val="22"/>
          <w:szCs w:val="22"/>
        </w:rPr>
        <w:t xml:space="preserve">  (Accessed: 17 March 2026).</w:t>
      </w:r>
    </w:p>
    <w:p w14:paraId="69077A2A" w14:textId="77777777" w:rsidR="00594F9B" w:rsidRPr="00A86724" w:rsidRDefault="00594F9B" w:rsidP="00594F9B">
      <w:pPr>
        <w:pStyle w:val="p1"/>
        <w:spacing w:line="360" w:lineRule="auto"/>
        <w:rPr>
          <w:rFonts w:ascii="Arial" w:hAnsi="Arial" w:cs="Arial"/>
          <w:sz w:val="22"/>
          <w:szCs w:val="22"/>
        </w:rPr>
      </w:pPr>
      <w:r w:rsidRPr="00A86724">
        <w:rPr>
          <w:rFonts w:ascii="Arial" w:hAnsi="Arial" w:cs="Arial"/>
          <w:sz w:val="22"/>
          <w:szCs w:val="22"/>
        </w:rPr>
        <w:lastRenderedPageBreak/>
        <w:t xml:space="preserve">World Health Organization (WHO) (2023) </w:t>
      </w:r>
      <w:r w:rsidRPr="00A86724">
        <w:rPr>
          <w:rFonts w:ascii="Arial" w:hAnsi="Arial" w:cs="Arial"/>
          <w:i/>
          <w:iCs/>
          <w:sz w:val="22"/>
          <w:szCs w:val="22"/>
        </w:rPr>
        <w:t>Health workforce support and safeguards list 2023</w:t>
      </w:r>
      <w:r w:rsidRPr="00A86724">
        <w:rPr>
          <w:rFonts w:ascii="Arial" w:hAnsi="Arial" w:cs="Arial"/>
          <w:sz w:val="22"/>
          <w:szCs w:val="22"/>
        </w:rPr>
        <w:t xml:space="preserve">. Available at: </w:t>
      </w:r>
      <w:hyperlink r:id="rId24" w:history="1">
        <w:r w:rsidRPr="00A86724">
          <w:rPr>
            <w:rStyle w:val="Hyperlink"/>
            <w:rFonts w:ascii="Arial" w:hAnsi="Arial" w:cs="Arial"/>
            <w:sz w:val="22"/>
            <w:szCs w:val="22"/>
          </w:rPr>
          <w:t>https://www.who.int/publications/i/item/9789240069787</w:t>
        </w:r>
      </w:hyperlink>
      <w:r w:rsidRPr="00A86724">
        <w:rPr>
          <w:rFonts w:ascii="Arial" w:hAnsi="Arial" w:cs="Arial"/>
          <w:sz w:val="22"/>
          <w:szCs w:val="22"/>
        </w:rPr>
        <w:t xml:space="preserve">  (Accessed: 17 March 2026).</w:t>
      </w:r>
    </w:p>
    <w:p w14:paraId="6E1EA121" w14:textId="77777777" w:rsidR="00594F9B" w:rsidRDefault="00594F9B"/>
    <w:sectPr w:rsidR="00594F9B">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89D5D" w14:textId="77777777" w:rsidR="00D14EF4" w:rsidRDefault="00D14EF4" w:rsidP="00BF52EE">
      <w:pPr>
        <w:spacing w:after="0" w:line="240" w:lineRule="auto"/>
      </w:pPr>
      <w:r>
        <w:separator/>
      </w:r>
    </w:p>
  </w:endnote>
  <w:endnote w:type="continuationSeparator" w:id="0">
    <w:p w14:paraId="3C71F070" w14:textId="77777777" w:rsidR="00D14EF4" w:rsidRDefault="00D14EF4" w:rsidP="00BF5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6579082"/>
      <w:docPartObj>
        <w:docPartGallery w:val="Page Numbers (Bottom of Page)"/>
        <w:docPartUnique/>
      </w:docPartObj>
    </w:sdtPr>
    <w:sdtContent>
      <w:p w14:paraId="39989F40" w14:textId="4BFEE181" w:rsidR="00BF52EE" w:rsidRDefault="00BF52EE" w:rsidP="009110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0DC057" w14:textId="77777777" w:rsidR="00BF52EE" w:rsidRDefault="00BF52EE" w:rsidP="00BF52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3853118"/>
      <w:docPartObj>
        <w:docPartGallery w:val="Page Numbers (Bottom of Page)"/>
        <w:docPartUnique/>
      </w:docPartObj>
    </w:sdtPr>
    <w:sdtContent>
      <w:p w14:paraId="3D77F024" w14:textId="69EC2615" w:rsidR="00BF52EE" w:rsidRDefault="00BF52EE" w:rsidP="009110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3795BB" w14:textId="77777777" w:rsidR="00BF52EE" w:rsidRDefault="00BF52EE" w:rsidP="00BF52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A35B6" w14:textId="77777777" w:rsidR="00D14EF4" w:rsidRDefault="00D14EF4" w:rsidP="00BF52EE">
      <w:pPr>
        <w:spacing w:after="0" w:line="240" w:lineRule="auto"/>
      </w:pPr>
      <w:r>
        <w:separator/>
      </w:r>
    </w:p>
  </w:footnote>
  <w:footnote w:type="continuationSeparator" w:id="0">
    <w:p w14:paraId="3B0BD887" w14:textId="77777777" w:rsidR="00D14EF4" w:rsidRDefault="00D14EF4" w:rsidP="00BF52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9B"/>
    <w:rsid w:val="001669B6"/>
    <w:rsid w:val="00483E38"/>
    <w:rsid w:val="00594F9B"/>
    <w:rsid w:val="00A16668"/>
    <w:rsid w:val="00A8698A"/>
    <w:rsid w:val="00BF52EE"/>
    <w:rsid w:val="00D14EF4"/>
    <w:rsid w:val="00D65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1AA8605"/>
  <w15:chartTrackingRefBased/>
  <w15:docId w15:val="{EAE3F5A6-23C3-4A41-9B2E-0D11F7659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F9B"/>
    <w:pPr>
      <w:spacing w:line="360" w:lineRule="auto"/>
      <w:jc w:val="both"/>
    </w:pPr>
    <w:rPr>
      <w:rFonts w:ascii="Aptos" w:eastAsiaTheme="minorEastAsia" w:hAnsi="Aptos"/>
      <w:sz w:val="22"/>
      <w:szCs w:val="22"/>
      <w:lang w:eastAsia="zh-CN"/>
    </w:rPr>
  </w:style>
  <w:style w:type="paragraph" w:styleId="Heading1">
    <w:name w:val="heading 1"/>
    <w:basedOn w:val="Normal"/>
    <w:next w:val="Normal"/>
    <w:link w:val="Heading1Char"/>
    <w:uiPriority w:val="1"/>
    <w:qFormat/>
    <w:rsid w:val="00594F9B"/>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594F9B"/>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94F9B"/>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94F9B"/>
    <w:pPr>
      <w:keepNext/>
      <w:keepLines/>
      <w:spacing w:before="80" w:after="40" w:line="278" w:lineRule="auto"/>
      <w:jc w:val="left"/>
      <w:outlineLvl w:val="3"/>
    </w:pPr>
    <w:rPr>
      <w:rFonts w:asciiTheme="minorHAnsi" w:eastAsiaTheme="majorEastAsia" w:hAnsiTheme="minorHAnsi"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594F9B"/>
    <w:pPr>
      <w:keepNext/>
      <w:keepLines/>
      <w:spacing w:before="80" w:after="40" w:line="278" w:lineRule="auto"/>
      <w:jc w:val="left"/>
      <w:outlineLvl w:val="4"/>
    </w:pPr>
    <w:rPr>
      <w:rFonts w:asciiTheme="minorHAnsi" w:eastAsiaTheme="majorEastAsia" w:hAnsiTheme="minorHAnsi"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594F9B"/>
    <w:pPr>
      <w:keepNext/>
      <w:keepLines/>
      <w:spacing w:before="40" w:after="0" w:line="278" w:lineRule="auto"/>
      <w:jc w:val="left"/>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594F9B"/>
    <w:pPr>
      <w:keepNext/>
      <w:keepLines/>
      <w:spacing w:before="40" w:after="0" w:line="278" w:lineRule="auto"/>
      <w:jc w:val="left"/>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594F9B"/>
    <w:pPr>
      <w:keepNext/>
      <w:keepLines/>
      <w:spacing w:after="0" w:line="278" w:lineRule="auto"/>
      <w:jc w:val="left"/>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594F9B"/>
    <w:pPr>
      <w:keepNext/>
      <w:keepLines/>
      <w:spacing w:after="0" w:line="278" w:lineRule="auto"/>
      <w:jc w:val="left"/>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94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4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9B"/>
    <w:rPr>
      <w:rFonts w:eastAsiaTheme="majorEastAsia" w:cstheme="majorBidi"/>
      <w:color w:val="272727" w:themeColor="text1" w:themeTint="D8"/>
    </w:rPr>
  </w:style>
  <w:style w:type="paragraph" w:styleId="Title">
    <w:name w:val="Title"/>
    <w:basedOn w:val="Normal"/>
    <w:next w:val="Normal"/>
    <w:link w:val="TitleChar"/>
    <w:uiPriority w:val="10"/>
    <w:qFormat/>
    <w:rsid w:val="00594F9B"/>
    <w:pPr>
      <w:spacing w:after="8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94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9B"/>
    <w:pPr>
      <w:numPr>
        <w:ilvl w:val="1"/>
      </w:numPr>
      <w:spacing w:line="278" w:lineRule="auto"/>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94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9B"/>
    <w:pPr>
      <w:spacing w:before="160" w:line="278" w:lineRule="auto"/>
      <w:jc w:val="center"/>
    </w:pPr>
    <w:rPr>
      <w:rFonts w:asciiTheme="minorHAnsi" w:eastAsiaTheme="minorHAnsi" w:hAnsi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594F9B"/>
    <w:rPr>
      <w:i/>
      <w:iCs/>
      <w:color w:val="404040" w:themeColor="text1" w:themeTint="BF"/>
    </w:rPr>
  </w:style>
  <w:style w:type="paragraph" w:styleId="ListParagraph">
    <w:name w:val="List Paragraph"/>
    <w:basedOn w:val="Normal"/>
    <w:uiPriority w:val="34"/>
    <w:qFormat/>
    <w:rsid w:val="00594F9B"/>
    <w:pPr>
      <w:spacing w:line="278" w:lineRule="auto"/>
      <w:ind w:left="720"/>
      <w:contextualSpacing/>
      <w:jc w:val="left"/>
    </w:pPr>
    <w:rPr>
      <w:rFonts w:asciiTheme="minorHAnsi" w:eastAsiaTheme="minorHAnsi" w:hAnsiTheme="minorHAnsi"/>
      <w:sz w:val="24"/>
      <w:szCs w:val="24"/>
      <w:lang w:eastAsia="en-US"/>
    </w:rPr>
  </w:style>
  <w:style w:type="character" w:styleId="IntenseEmphasis">
    <w:name w:val="Intense Emphasis"/>
    <w:basedOn w:val="DefaultParagraphFont"/>
    <w:uiPriority w:val="21"/>
    <w:qFormat/>
    <w:rsid w:val="00594F9B"/>
    <w:rPr>
      <w:i/>
      <w:iCs/>
      <w:color w:val="0F4761" w:themeColor="accent1" w:themeShade="BF"/>
    </w:rPr>
  </w:style>
  <w:style w:type="paragraph" w:styleId="IntenseQuote">
    <w:name w:val="Intense Quote"/>
    <w:basedOn w:val="Normal"/>
    <w:next w:val="Normal"/>
    <w:link w:val="IntenseQuoteChar"/>
    <w:uiPriority w:val="30"/>
    <w:qFormat/>
    <w:rsid w:val="00594F9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594F9B"/>
    <w:rPr>
      <w:i/>
      <w:iCs/>
      <w:color w:val="0F4761" w:themeColor="accent1" w:themeShade="BF"/>
    </w:rPr>
  </w:style>
  <w:style w:type="character" w:styleId="IntenseReference">
    <w:name w:val="Intense Reference"/>
    <w:basedOn w:val="DefaultParagraphFont"/>
    <w:uiPriority w:val="32"/>
    <w:qFormat/>
    <w:rsid w:val="00594F9B"/>
    <w:rPr>
      <w:b/>
      <w:bCs/>
      <w:smallCaps/>
      <w:color w:val="0F4761" w:themeColor="accent1" w:themeShade="BF"/>
      <w:spacing w:val="5"/>
    </w:rPr>
  </w:style>
  <w:style w:type="paragraph" w:customStyle="1" w:styleId="paragraph">
    <w:name w:val="paragraph"/>
    <w:basedOn w:val="Normal"/>
    <w:rsid w:val="00594F9B"/>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594F9B"/>
  </w:style>
  <w:style w:type="character" w:customStyle="1" w:styleId="eop">
    <w:name w:val="eop"/>
    <w:basedOn w:val="DefaultParagraphFont"/>
    <w:rsid w:val="00594F9B"/>
  </w:style>
  <w:style w:type="paragraph" w:customStyle="1" w:styleId="p1">
    <w:name w:val="p1"/>
    <w:basedOn w:val="Normal"/>
    <w:rsid w:val="00594F9B"/>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594F9B"/>
  </w:style>
  <w:style w:type="paragraph" w:customStyle="1" w:styleId="p2">
    <w:name w:val="p2"/>
    <w:basedOn w:val="Normal"/>
    <w:rsid w:val="00594F9B"/>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594F9B"/>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customStyle="1" w:styleId="p4">
    <w:name w:val="p4"/>
    <w:basedOn w:val="Normal"/>
    <w:rsid w:val="00594F9B"/>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594F9B"/>
  </w:style>
  <w:style w:type="character" w:styleId="Hyperlink">
    <w:name w:val="Hyperlink"/>
    <w:basedOn w:val="DefaultParagraphFont"/>
    <w:uiPriority w:val="99"/>
    <w:unhideWhenUsed/>
    <w:rsid w:val="00594F9B"/>
    <w:rPr>
      <w:color w:val="467886" w:themeColor="hyperlink"/>
      <w:u w:val="single"/>
    </w:rPr>
  </w:style>
  <w:style w:type="character" w:styleId="FollowedHyperlink">
    <w:name w:val="FollowedHyperlink"/>
    <w:basedOn w:val="DefaultParagraphFont"/>
    <w:uiPriority w:val="99"/>
    <w:semiHidden/>
    <w:unhideWhenUsed/>
    <w:rsid w:val="00594F9B"/>
    <w:rPr>
      <w:color w:val="96607D" w:themeColor="followedHyperlink"/>
      <w:u w:val="single"/>
    </w:rPr>
  </w:style>
  <w:style w:type="paragraph" w:styleId="Footer">
    <w:name w:val="footer"/>
    <w:basedOn w:val="Normal"/>
    <w:link w:val="FooterChar"/>
    <w:uiPriority w:val="99"/>
    <w:unhideWhenUsed/>
    <w:rsid w:val="00BF5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2EE"/>
    <w:rPr>
      <w:rFonts w:ascii="Aptos" w:eastAsiaTheme="minorEastAsia" w:hAnsi="Aptos"/>
      <w:sz w:val="22"/>
      <w:szCs w:val="22"/>
      <w:lang w:eastAsia="zh-CN"/>
    </w:rPr>
  </w:style>
  <w:style w:type="character" w:styleId="PageNumber">
    <w:name w:val="page number"/>
    <w:basedOn w:val="DefaultParagraphFont"/>
    <w:uiPriority w:val="99"/>
    <w:semiHidden/>
    <w:unhideWhenUsed/>
    <w:rsid w:val="00BF5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core-econ.org/the-economy/macroeconomics/02-unemployment-wages-inequality-06-segmented-labour-markets.html" TargetMode="External"/><Relationship Id="rId13" Type="http://schemas.openxmlformats.org/officeDocument/2006/relationships/hyperlink" Target="https://researchbriefings.files.parliament.uk/documents/CBP-10017/CBP-10017.pdf" TargetMode="External"/><Relationship Id="rId18" Type="http://schemas.openxmlformats.org/officeDocument/2006/relationships/hyperlink" Target="https://assets.publishing.service.gov.uk/media/651557b86dfda600148e37ba/Review_of_the_Shortage_Occupation_List_2023.pdf"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post.parliament.uk/sustaining-the-health-and-adult-social-care-workforce/" TargetMode="External"/><Relationship Id="rId7" Type="http://schemas.openxmlformats.org/officeDocument/2006/relationships/hyperlink" Target="https://www.cqc.org.uk/guidance-regulation/providers/adult-social-care" TargetMode="External"/><Relationship Id="rId12" Type="http://schemas.openxmlformats.org/officeDocument/2006/relationships/hyperlink" Target="https://www.gov.uk/health-care-worker-visa" TargetMode="External"/><Relationship Id="rId17" Type="http://schemas.openxmlformats.org/officeDocument/2006/relationships/hyperlink" Target="https://www.ilo.org/sites/default/files/2024-10/Migrant%20Workers%20in%20the%20Care%20Economy_Note_2024_Final.pdf"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ilo.org/topics/employment-security/labour-market-segmentation" TargetMode="External"/><Relationship Id="rId20" Type="http://schemas.openxmlformats.org/officeDocument/2006/relationships/hyperlink" Target="https://www.ons.gov.uk" TargetMode="External"/><Relationship Id="rId1" Type="http://schemas.openxmlformats.org/officeDocument/2006/relationships/styles" Target="styles.xml"/><Relationship Id="rId6" Type="http://schemas.openxmlformats.org/officeDocument/2006/relationships/hyperlink" Target="https://commonslibrary.parliament.uk/the-uks-changing-population/" TargetMode="External"/><Relationship Id="rId11" Type="http://schemas.openxmlformats.org/officeDocument/2006/relationships/hyperlink" Target="https://commonslibrary.parliament.uk/research-briefings/cbp-9615/" TargetMode="External"/><Relationship Id="rId24" Type="http://schemas.openxmlformats.org/officeDocument/2006/relationships/hyperlink" Target="https://www.who.int/publications/i/item/9789240069787" TargetMode="External"/><Relationship Id="rId5" Type="http://schemas.openxmlformats.org/officeDocument/2006/relationships/endnotes" Target="endnotes.xml"/><Relationship Id="rId15" Type="http://schemas.openxmlformats.org/officeDocument/2006/relationships/hyperlink" Target="https://committees.parliament.uk/publications/23246/documents/171671/default/" TargetMode="External"/><Relationship Id="rId23" Type="http://schemas.openxmlformats.org/officeDocument/2006/relationships/hyperlink" Target="https://www.kingsfund.org.uk/insight-and-analysis/data-and-charts/social-care-workforce-nutshell" TargetMode="External"/><Relationship Id="rId28" Type="http://schemas.openxmlformats.org/officeDocument/2006/relationships/theme" Target="theme/theme1.xml"/><Relationship Id="rId10" Type="http://schemas.openxmlformats.org/officeDocument/2006/relationships/hyperlink" Target="https://www.gov.uk/government/publications/people-at-the-heart-of-care-adult-social-care-reform-white-paper/people-at-the-heart-of-care-adult-social-care-reform" TargetMode="External"/><Relationship Id="rId19" Type="http://schemas.openxmlformats.org/officeDocument/2006/relationships/hyperlink" Target="https://migrationobservatory.ox.ac.uk/resources/briefings/migration-and-the-health-and-care-workforce" TargetMode="External"/><Relationship Id="rId4" Type="http://schemas.openxmlformats.org/officeDocument/2006/relationships/footnotes" Target="footnotes.xml"/><Relationship Id="rId9" Type="http://schemas.openxmlformats.org/officeDocument/2006/relationships/hyperlink" Target="https://www.nuffieldtrust.org.uk/research/the-future-for-health-after-brexit" TargetMode="External"/><Relationship Id="rId14" Type="http://schemas.openxmlformats.org/officeDocument/2006/relationships/hyperlink" Target="https://onlinelibrary.wiley.com/doi/10.1111/hsc.12455" TargetMode="External"/><Relationship Id="rId22" Type="http://schemas.openxmlformats.org/officeDocument/2006/relationships/hyperlink" Target="https://www.skillsforcare.org.uk/Adult-Social-Care-Workforce-Data/workforceintelligence/resources/Reports/National/The-state-of-the-adult-social-care-sector-and-workforce-in-England-2025.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4297</Words>
  <Characters>27848</Characters>
  <Application>Microsoft Office Word</Application>
  <DocSecurity>0</DocSecurity>
  <Lines>456</Lines>
  <Paragraphs>120</Paragraphs>
  <ScaleCrop>false</ScaleCrop>
  <Company/>
  <LinksUpToDate>false</LinksUpToDate>
  <CharactersWithSpaces>32025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Safina Bibi (2243482)</dc:creator>
  <cp:keywords/>
  <dc:description/>
  <cp:lastModifiedBy>Safina Bibi (2243482)</cp:lastModifiedBy>
  <cp:revision>6</cp:revision>
  <dcterms:created xsi:type="dcterms:W3CDTF">2026-04-01T20:28:00Z</dcterms:created>
  <dcterms:modified xsi:type="dcterms:W3CDTF">2026-04-01T20:33:00Z</dcterms:modified>
</cp:coreProperties>
</file>