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480E3" w14:textId="2E3081E2" w:rsidR="00600888" w:rsidRDefault="55785F00" w:rsidP="0871CD5E">
      <w:pPr>
        <w:spacing w:line="360" w:lineRule="auto"/>
        <w:jc w:val="both"/>
        <w:rPr>
          <w:rFonts w:ascii="Calibri" w:eastAsia="Calibri" w:hAnsi="Calibri" w:cs="Calibri"/>
        </w:rPr>
      </w:pPr>
      <w:r w:rsidRPr="0871CD5E">
        <w:rPr>
          <w:rFonts w:ascii="Calibri" w:eastAsia="Calibri" w:hAnsi="Calibri" w:cs="Calibri"/>
        </w:rPr>
        <w:t xml:space="preserve">                                   </w:t>
      </w:r>
      <w:r w:rsidR="3CDA7724" w:rsidRPr="0871CD5E">
        <w:rPr>
          <w:rFonts w:ascii="Calibri" w:eastAsia="Calibri" w:hAnsi="Calibri" w:cs="Calibri"/>
        </w:rPr>
        <w:t>How does play support children’s emotional development?</w:t>
      </w:r>
    </w:p>
    <w:p w14:paraId="083A11BE" w14:textId="07A13820" w:rsidR="00600888" w:rsidRDefault="05D3B794" w:rsidP="0871CD5E">
      <w:pPr>
        <w:spacing w:line="360" w:lineRule="auto"/>
        <w:jc w:val="both"/>
        <w:rPr>
          <w:rFonts w:ascii="Calibri" w:eastAsia="Calibri" w:hAnsi="Calibri" w:cs="Calibri"/>
          <w:u w:val="single"/>
        </w:rPr>
      </w:pPr>
      <w:r w:rsidRPr="0871CD5E">
        <w:rPr>
          <w:rFonts w:ascii="Calibri" w:eastAsia="Calibri" w:hAnsi="Calibri" w:cs="Calibri"/>
          <w:u w:val="single"/>
        </w:rPr>
        <w:t>Literature review:</w:t>
      </w:r>
    </w:p>
    <w:p w14:paraId="6435B3DC" w14:textId="069719B6" w:rsidR="00600888" w:rsidRDefault="05D3B794" w:rsidP="0871CD5E">
      <w:pPr>
        <w:spacing w:line="360" w:lineRule="auto"/>
        <w:jc w:val="both"/>
        <w:rPr>
          <w:rFonts w:ascii="Calibri" w:eastAsia="Calibri" w:hAnsi="Calibri" w:cs="Calibri"/>
          <w:u w:val="single"/>
        </w:rPr>
      </w:pPr>
      <w:r w:rsidRPr="0871CD5E">
        <w:rPr>
          <w:rFonts w:ascii="Calibri" w:eastAsia="Calibri" w:hAnsi="Calibri" w:cs="Calibri"/>
          <w:u w:val="single"/>
        </w:rPr>
        <w:t>Play</w:t>
      </w:r>
    </w:p>
    <w:p w14:paraId="4390FCCB" w14:textId="00A252D1"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The aim of this essay is to discuss and evaluate the meaning of play within early years. According to Fleer (2021) research shows that practitioners were unable to define play as its meaning is infinity. Glanveanu (2019) states that play has a different meaning to all children, and that each child would not have the same answer. Practitioners should allow children to have their own unique meaning of play (Glanveanu, 2019). One of the most important aspects to note is that play based learning can support a child’s physical and cognitive development (Education Endowment Foundation, No Date).  </w:t>
      </w:r>
    </w:p>
    <w:p w14:paraId="0FE0256D" w14:textId="5E2F54A2" w:rsidR="00600888" w:rsidRDefault="685B6CED" w:rsidP="0871CD5E">
      <w:pPr>
        <w:spacing w:line="360" w:lineRule="auto"/>
        <w:jc w:val="both"/>
      </w:pPr>
      <w:r w:rsidRPr="0871CD5E">
        <w:rPr>
          <w:rFonts w:ascii="Calibri" w:eastAsia="Calibri" w:hAnsi="Calibri" w:cs="Calibri"/>
        </w:rPr>
        <w:t xml:space="preserve">The Welsh Government (2022), states that play also means that children must pay attention to detail which supports their skill of self-awareness. Self-awareness also allows children to develop their social behaviour when using collaboration to play with other children (Welsh Government, 2022). Play is an indoor and outdoor activity which supports a child’s learning and to learn about the environment around them (Education Endowment Foundation, No Date). </w:t>
      </w:r>
    </w:p>
    <w:p w14:paraId="60F9C209" w14:textId="74BFF8A6"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Vygotsky (1978) emphasises that play is a crucial part of a child’s learning, development, speech development and cognitive development (Parker et al, 2022). One of the most important considerations of this study is that play allows children to be independent and allows children to identify themselves as a person (Glanveanu, 2019). The Welsh Government (2022) agrees with (Glanveanu, 2019) that play influences children to feel a form of self-worth which will support a child’s confidence in their learning and outside world.  </w:t>
      </w:r>
    </w:p>
    <w:p w14:paraId="167B5EC4" w14:textId="0DA63C8A" w:rsidR="00600888" w:rsidRDefault="685B6CED" w:rsidP="0871CD5E">
      <w:pPr>
        <w:spacing w:line="360" w:lineRule="auto"/>
        <w:jc w:val="both"/>
      </w:pPr>
      <w:r w:rsidRPr="0871CD5E">
        <w:rPr>
          <w:rFonts w:ascii="Calibri" w:eastAsia="Calibri" w:hAnsi="Calibri" w:cs="Calibri"/>
        </w:rPr>
        <w:t>It’s a well-known fact that play supports children’s motor and memory development. This can support a child’s social development. Another key element of play is that neuroscientists highlight that play is a key element of a child’s brain and that it enables growth (Parker et al, 2022).</w:t>
      </w:r>
    </w:p>
    <w:p w14:paraId="474FED63" w14:textId="4EB86CEE"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Following this, Parker et al (2022) suggests that without play, children are impacted by this socially, emotionally and within their learning development.  Early years company (2024) agrees </w:t>
      </w:r>
      <w:r w:rsidRPr="0871CD5E">
        <w:rPr>
          <w:rFonts w:ascii="Calibri" w:eastAsia="Calibri" w:hAnsi="Calibri" w:cs="Calibri"/>
        </w:rPr>
        <w:lastRenderedPageBreak/>
        <w:t xml:space="preserve">with this statement by noting that, play does not only support a child’s holistic development it can also support a child to build new connections in the brain that will benefit children to build memory and cognitive flexibility. It is a well-known fact that </w:t>
      </w:r>
      <w:r w:rsidR="65AA5D95" w:rsidRPr="0871CD5E">
        <w:rPr>
          <w:rFonts w:ascii="Calibri" w:eastAsia="Calibri" w:hAnsi="Calibri" w:cs="Calibri"/>
        </w:rPr>
        <w:t>plays are</w:t>
      </w:r>
      <w:r w:rsidRPr="0871CD5E">
        <w:rPr>
          <w:rFonts w:ascii="Calibri" w:eastAsia="Calibri" w:hAnsi="Calibri" w:cs="Calibri"/>
        </w:rPr>
        <w:t xml:space="preserve"> known for being creative. For example, it can support a child’s holistic growth, which embeds emotional, social and cognitive development (Early years company, 2024).  </w:t>
      </w:r>
    </w:p>
    <w:p w14:paraId="46B308A6" w14:textId="08C490CD"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The New curriculum for Wales (date of new curriculum here) is known as foundation learning. Secondly, it influences practitioners to have a pedagogy approach on children’s learning in the early years (Gov. Wales, No Date). Another factor is that the new curriculum for Wales, for non-maintained setting, is that play is a fundamental right for all children and that children have an urge to play (Welsh Government, 2022). It is often said that play supports a child’s emotional development, but it can also support the child to learn about the world around them (Welsh Government, 2022).  </w:t>
      </w:r>
    </w:p>
    <w:p w14:paraId="2121B538" w14:textId="6C53AFA2" w:rsidR="00600888" w:rsidRDefault="685B6CED" w:rsidP="0871CD5E">
      <w:pPr>
        <w:spacing w:line="360" w:lineRule="auto"/>
        <w:jc w:val="both"/>
      </w:pPr>
      <w:r w:rsidRPr="0871CD5E">
        <w:rPr>
          <w:rFonts w:ascii="Calibri" w:eastAsia="Calibri" w:hAnsi="Calibri" w:cs="Calibri"/>
        </w:rPr>
        <w:t xml:space="preserve">The UNCRC (1989) Article 31 states, that every child has the right to engage in play activities that are appropriate and reach the child’s individual needs. Secondly, practitioners and parents/ carers should promote opportunities for children during play and </w:t>
      </w:r>
      <w:r w:rsidR="77A31026" w:rsidRPr="0871CD5E">
        <w:rPr>
          <w:rFonts w:ascii="Calibri" w:eastAsia="Calibri" w:hAnsi="Calibri" w:cs="Calibri"/>
        </w:rPr>
        <w:t>respect</w:t>
      </w:r>
      <w:r w:rsidRPr="0871CD5E">
        <w:rPr>
          <w:rFonts w:ascii="Calibri" w:eastAsia="Calibri" w:hAnsi="Calibri" w:cs="Calibri"/>
        </w:rPr>
        <w:t xml:space="preserve"> every child’s individual needs (UNCRC, 1989). Finally, play based learning may overlap with emotional strategies that can support a child’s behavioural development, (Education Endowment Foundation, No Date).   </w:t>
      </w:r>
    </w:p>
    <w:p w14:paraId="630F67C9" w14:textId="401A0A89" w:rsidR="00600888" w:rsidRDefault="685B6CED" w:rsidP="0871CD5E">
      <w:pPr>
        <w:spacing w:line="360" w:lineRule="auto"/>
        <w:jc w:val="both"/>
        <w:rPr>
          <w:rFonts w:ascii="Calibri" w:eastAsia="Calibri" w:hAnsi="Calibri" w:cs="Calibri"/>
          <w:b/>
          <w:bCs/>
          <w:u w:val="single"/>
        </w:rPr>
      </w:pPr>
      <w:r w:rsidRPr="0871CD5E">
        <w:rPr>
          <w:rFonts w:ascii="Calibri" w:eastAsia="Calibri" w:hAnsi="Calibri" w:cs="Calibri"/>
          <w:b/>
          <w:bCs/>
          <w:u w:val="single"/>
        </w:rPr>
        <w:t xml:space="preserve">Emotional Development:  </w:t>
      </w:r>
    </w:p>
    <w:p w14:paraId="17C8C6D3" w14:textId="77231F3E"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The meaning of emotional development is learning to express yourself as a person through experiences and expression (Izard et al, 2024). Secondly, children learn how to develop emotion from birth to adulthood, this occurs in simultaneity with cognitive and behavioural development especially with cultural and social factors. Bratz (2022) states that emotional development plays a key role in children's well-being and has the best possible outcome through learning. According to Bratz (2022) parents/carers play a significant role in children's emotional development as this source believes that children learn how to use their emotions through having a role model and positive interactions. Play is a key role for children’s holistic development and without play in a child’s life it can affect their emotional development (American Academy of paediatrics, 2007). Another factor is that if a child’s environment, such as family structure and lifestyle have changed, </w:t>
      </w:r>
      <w:r w:rsidRPr="0871CD5E">
        <w:rPr>
          <w:rFonts w:ascii="Calibri" w:eastAsia="Calibri" w:hAnsi="Calibri" w:cs="Calibri"/>
        </w:rPr>
        <w:lastRenderedPageBreak/>
        <w:t xml:space="preserve">this could reduce the time for that child to have free play at home (American Academy of paediatrics, 2007).  </w:t>
      </w:r>
    </w:p>
    <w:p w14:paraId="1166E246" w14:textId="01E8D39E"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Emotional development does not only have positive attributes but can also have negative ones (Play and Playground Encyclopaedia, No Date). To analyse this, Play and Playground Encyclopaedia (No Date), believe that when children are affected by emotional development, the reason for this is the environment a child is in. These factors are the relationships with parents/carers and siblings.  The first aspect to note is that in the first year of a child’s life, they learn how to develop emotions such as anger, sadness, fear and joy (Bratz, 2022). In approaching emotional development, children firstly need to be able to have basic language for them to be able to express their emotions.  </w:t>
      </w:r>
    </w:p>
    <w:p w14:paraId="51D7D2D7" w14:textId="2A4BF652"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For children to develop their unique potential every child has the right to access play, this is backed up by the UNCRC, also practitioners and parents/carers will be able to see how play has benefited a child’s holistic development, (American Academy of paediatrics, 2007). The UNIEF (No Date), states that when a child is going through an emotional period in their life play allows them to express their feelings. Giving the child resources may allow the child to deal with their emotions such as fear, anger and loss. Play allows children to use their emotions without expressing the way they feel through words, UNIEF (No Date).  </w:t>
      </w:r>
    </w:p>
    <w:p w14:paraId="77AF7C1F" w14:textId="47FB444D" w:rsidR="00600888" w:rsidRDefault="685B6CED" w:rsidP="0871CD5E">
      <w:pPr>
        <w:spacing w:line="360" w:lineRule="auto"/>
        <w:jc w:val="both"/>
      </w:pPr>
      <w:r w:rsidRPr="0871CD5E">
        <w:rPr>
          <w:rFonts w:ascii="Calibri" w:eastAsia="Calibri" w:hAnsi="Calibri" w:cs="Calibri"/>
        </w:rPr>
        <w:t>Environment settings should improve children's social and emotional development through wider learning, such as social and emotional skills, (Education Endowment Foundation, No Date). According to The Early Years Framework Foundation Stages, who state, that learning should include social, emotional and personal goals when children are learning through play.</w:t>
      </w:r>
    </w:p>
    <w:p w14:paraId="56DF1765" w14:textId="0784DD88" w:rsidR="00600888" w:rsidRDefault="685B6CED" w:rsidP="0871CD5E">
      <w:pPr>
        <w:spacing w:line="360" w:lineRule="auto"/>
        <w:jc w:val="both"/>
        <w:rPr>
          <w:rFonts w:ascii="Calibri" w:eastAsia="Calibri" w:hAnsi="Calibri" w:cs="Calibri"/>
        </w:rPr>
      </w:pPr>
      <w:r w:rsidRPr="0871CD5E">
        <w:rPr>
          <w:rFonts w:ascii="Calibri" w:eastAsia="Calibri" w:hAnsi="Calibri" w:cs="Calibri"/>
        </w:rPr>
        <w:t xml:space="preserve">According to San (2021) every individual child should have the opportunity to play, as this article believes that play supports children’s emotional, physical and social development. Secondly, San (2021) believes that introducing emotional and social skills earlier in a child’s life will benefit the child in adulthood.  </w:t>
      </w:r>
    </w:p>
    <w:p w14:paraId="435B011A" w14:textId="72670C0C" w:rsidR="00600888" w:rsidRDefault="00600888" w:rsidP="0871CD5E">
      <w:pPr>
        <w:spacing w:line="360" w:lineRule="auto"/>
        <w:jc w:val="both"/>
        <w:rPr>
          <w:rFonts w:ascii="Calibri" w:eastAsia="Calibri" w:hAnsi="Calibri" w:cs="Calibri"/>
        </w:rPr>
      </w:pPr>
    </w:p>
    <w:p w14:paraId="30853189" w14:textId="1A451EDA" w:rsidR="00600888" w:rsidRDefault="00600888" w:rsidP="0871CD5E">
      <w:pPr>
        <w:spacing w:line="360" w:lineRule="auto"/>
        <w:jc w:val="both"/>
        <w:rPr>
          <w:rFonts w:ascii="Calibri" w:eastAsia="Calibri" w:hAnsi="Calibri" w:cs="Calibri"/>
        </w:rPr>
      </w:pPr>
    </w:p>
    <w:p w14:paraId="240540DF" w14:textId="2185576E" w:rsidR="00600888" w:rsidRDefault="0DF7C556" w:rsidP="0871CD5E">
      <w:pPr>
        <w:spacing w:line="360" w:lineRule="auto"/>
        <w:jc w:val="both"/>
        <w:rPr>
          <w:rFonts w:ascii="Calibri" w:eastAsia="Calibri" w:hAnsi="Calibri" w:cs="Calibri"/>
          <w:b/>
          <w:bCs/>
          <w:u w:val="single"/>
        </w:rPr>
      </w:pPr>
      <w:r w:rsidRPr="0871CD5E">
        <w:rPr>
          <w:rFonts w:ascii="Calibri" w:eastAsia="Calibri" w:hAnsi="Calibri" w:cs="Calibri"/>
          <w:b/>
          <w:bCs/>
          <w:u w:val="single"/>
        </w:rPr>
        <w:lastRenderedPageBreak/>
        <w:t xml:space="preserve">Methodology: </w:t>
      </w:r>
    </w:p>
    <w:p w14:paraId="63E05B3C" w14:textId="7AF4163F" w:rsidR="00600888" w:rsidRDefault="0DF7C556" w:rsidP="0871CD5E">
      <w:pPr>
        <w:spacing w:line="360" w:lineRule="auto"/>
        <w:jc w:val="both"/>
        <w:rPr>
          <w:rFonts w:ascii="Calibri" w:eastAsia="Calibri" w:hAnsi="Calibri" w:cs="Calibri"/>
        </w:rPr>
      </w:pPr>
      <w:r w:rsidRPr="0871CD5E">
        <w:rPr>
          <w:rFonts w:ascii="Calibri" w:eastAsia="Calibri" w:hAnsi="Calibri" w:cs="Calibri"/>
        </w:rPr>
        <w:t>There is not one agreed objective definition of the term Research. Many scholars and academics have come up with several definitions. Many researchers such as Heibert, et al (2022) have utilised research to measure collecting information and he also states that our</w:t>
      </w:r>
      <w:r w:rsidR="359FCBF9" w:rsidRPr="0871CD5E">
        <w:rPr>
          <w:rFonts w:ascii="Calibri" w:eastAsia="Calibri" w:hAnsi="Calibri" w:cs="Calibri"/>
        </w:rPr>
        <w:t>5trrrrrrrrrrr</w:t>
      </w:r>
      <w:r w:rsidRPr="0871CD5E">
        <w:rPr>
          <w:rFonts w:ascii="Calibri" w:eastAsia="Calibri" w:hAnsi="Calibri" w:cs="Calibri"/>
        </w:rPr>
        <w:t xml:space="preserve"> sources should be reliable for our research. According to the Oxford English Dictionary definition (2024), research is systematic study which allows us to establish facts in our sources to reach a new conclusion.  </w:t>
      </w:r>
    </w:p>
    <w:p w14:paraId="023622B9" w14:textId="2CB3AE1D"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Kerlinger (1973) emphasises the investigative aspect of research in defining it as a systematic critical investigation of hypothetical proposals. What these definitions have in common is a view that research is a systematic procedure which relies on the support of reliable evidence to find answers to questions or improve current knowledge and understanding (Kerlinger, 1973) and (Oxford English Dictionary, 2024).  </w:t>
      </w:r>
    </w:p>
    <w:p w14:paraId="69C6C07D" w14:textId="5B01DB54"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Research is important in the field of Early Years Education because it allows practitioners to reinforce the best practice, Heale and Twycross (2015).  To investigate the effect of research studies, Heale and Twycross (2015) state the importance of reliable research and they also state the reliability of quantitative research. The meaning of rigor is to examine the quality of how reliable the research is (Heale and Twycross, 2015). Johnson (2020) suggests that using the rigor method allows us to conduct the best possible outcome of quantitative research. In approach rigor in our research, both Heale and Twycross (2015) and Johnson (2020), both agree that the rigor approach allows researchers to conduct qualitive research.  </w:t>
      </w:r>
    </w:p>
    <w:p w14:paraId="3A66EC78" w14:textId="0F7A200C" w:rsidR="00600888" w:rsidRDefault="0DF7C556" w:rsidP="0871CD5E">
      <w:pPr>
        <w:spacing w:line="360" w:lineRule="auto"/>
        <w:jc w:val="both"/>
      </w:pPr>
      <w:r w:rsidRPr="0871CD5E">
        <w:rPr>
          <w:rFonts w:ascii="Calibri" w:eastAsia="Calibri" w:hAnsi="Calibri" w:cs="Calibri"/>
          <w:b/>
          <w:bCs/>
          <w:u w:val="single"/>
        </w:rPr>
        <w:t xml:space="preserve">Qualitative and Quantitative </w:t>
      </w:r>
      <w:r w:rsidRPr="0871CD5E">
        <w:rPr>
          <w:rFonts w:ascii="Calibri" w:eastAsia="Calibri" w:hAnsi="Calibri" w:cs="Calibri"/>
        </w:rPr>
        <w:t xml:space="preserve"> </w:t>
      </w:r>
    </w:p>
    <w:p w14:paraId="7210A26D" w14:textId="6B2B5417"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There are three main types of approach to identify the meaning of research. These are Qualitative, Quantitative and the Mixed Method Approach. (Taherdoost, 2022).  </w:t>
      </w:r>
    </w:p>
    <w:p w14:paraId="35A7F401" w14:textId="02F7158E" w:rsidR="00600888" w:rsidRDefault="0DF7C556" w:rsidP="0871CD5E">
      <w:pPr>
        <w:spacing w:line="360" w:lineRule="auto"/>
        <w:jc w:val="both"/>
      </w:pPr>
      <w:r w:rsidRPr="0871CD5E">
        <w:rPr>
          <w:rFonts w:ascii="Calibri" w:eastAsia="Calibri" w:hAnsi="Calibri" w:cs="Calibri"/>
        </w:rPr>
        <w:t xml:space="preserve">The Quantitative method is used to measure numerical data to draw a conclusion. Taherdoost (2022) defines quantitative research as a method of deriving numerical data from observation to explain the phenomena that observation can reflect. He further points out that the quantitative method does not exclusively use numerical data but may also employ words in the form of </w:t>
      </w:r>
      <w:r w:rsidRPr="0871CD5E">
        <w:rPr>
          <w:rFonts w:ascii="Calibri" w:eastAsia="Calibri" w:hAnsi="Calibri" w:cs="Calibri"/>
        </w:rPr>
        <w:lastRenderedPageBreak/>
        <w:t xml:space="preserve">descriptions or statements for example, about beliefs (Taherdoost, 2022). These can then be analysed using the quantitative method. According to Barrogo (2022), quantitative methods can be used to describe the relation between one or more research questions. The use of quantitative case studies is a well-established approach in discovering differences between groups which allows us to see both the similarities and differences (Barrogo, 2022). </w:t>
      </w:r>
    </w:p>
    <w:p w14:paraId="6ADD2114" w14:textId="0118E58F" w:rsidR="00600888" w:rsidRDefault="0DF7C556" w:rsidP="0871CD5E">
      <w:pPr>
        <w:spacing w:line="360" w:lineRule="auto"/>
        <w:jc w:val="both"/>
      </w:pPr>
      <w:r w:rsidRPr="0871CD5E">
        <w:rPr>
          <w:rFonts w:ascii="Calibri" w:eastAsia="Calibri" w:hAnsi="Calibri" w:cs="Calibri"/>
        </w:rPr>
        <w:t xml:space="preserve">The results of a questionnaire, for example, which uses declarative statements can be collated and analysed numerically. Quantitative and Qualitative research methods cannot therefore be regarded as entirely mutually exclusive (Taherdoost, 2022). </w:t>
      </w:r>
    </w:p>
    <w:p w14:paraId="5A48005B" w14:textId="6103D6D1" w:rsidR="00600888" w:rsidRDefault="0DF7C556" w:rsidP="0871CD5E">
      <w:pPr>
        <w:spacing w:line="360" w:lineRule="auto"/>
        <w:jc w:val="both"/>
      </w:pPr>
      <w:r w:rsidRPr="0871CD5E">
        <w:rPr>
          <w:rFonts w:ascii="Calibri" w:eastAsia="Calibri" w:hAnsi="Calibri" w:cs="Calibri"/>
        </w:rPr>
        <w:t xml:space="preserve"> </w:t>
      </w:r>
    </w:p>
    <w:p w14:paraId="6A36CA31" w14:textId="0E69CB8A" w:rsidR="00600888" w:rsidRDefault="0DF7C556" w:rsidP="0871CD5E">
      <w:pPr>
        <w:spacing w:line="360" w:lineRule="auto"/>
        <w:jc w:val="both"/>
        <w:rPr>
          <w:rFonts w:ascii="Calibri" w:eastAsia="Calibri" w:hAnsi="Calibri" w:cs="Calibri"/>
          <w:b/>
          <w:bCs/>
          <w:u w:val="single"/>
        </w:rPr>
      </w:pPr>
      <w:r w:rsidRPr="0871CD5E">
        <w:rPr>
          <w:rFonts w:ascii="Calibri" w:eastAsia="Calibri" w:hAnsi="Calibri" w:cs="Calibri"/>
          <w:b/>
          <w:bCs/>
          <w:u w:val="single"/>
        </w:rPr>
        <w:t xml:space="preserve">The Qualitative Approach  </w:t>
      </w:r>
    </w:p>
    <w:p w14:paraId="6486C245" w14:textId="02E2346C" w:rsidR="00600888" w:rsidRDefault="0DF7C556" w:rsidP="0871CD5E">
      <w:pPr>
        <w:spacing w:line="360" w:lineRule="auto"/>
        <w:jc w:val="both"/>
      </w:pPr>
      <w:r w:rsidRPr="0871CD5E">
        <w:rPr>
          <w:rFonts w:ascii="Calibri" w:eastAsia="Calibri" w:hAnsi="Calibri" w:cs="Calibri"/>
        </w:rPr>
        <w:t xml:space="preserve">The qualitative approach is to collect and analyse research data that is descriptive and is based on the collection of data from primary, first-hand sources (Aspers, 2019). In this article, Aspers (2019) argues that case studies and observation of routine is a form of qualitative approach. The difference between the qualitative approach and methods is that it cannot be defined by number, but on the other hand qualitative research methods can be collated and reported numerically (Aspers, 2019).  </w:t>
      </w:r>
    </w:p>
    <w:p w14:paraId="5E14CF77" w14:textId="6747C5E4" w:rsidR="00600888" w:rsidRDefault="0DF7C556" w:rsidP="0871CD5E">
      <w:pPr>
        <w:spacing w:line="360" w:lineRule="auto"/>
        <w:jc w:val="both"/>
      </w:pPr>
      <w:r w:rsidRPr="0871CD5E">
        <w:rPr>
          <w:rFonts w:ascii="Calibri" w:eastAsia="Calibri" w:hAnsi="Calibri" w:cs="Calibri"/>
        </w:rPr>
        <w:t xml:space="preserve">One of the most important considerations of this study is that the qualitative method allows researchers to answer questions such as what and why, and how this method might work better to conduct the research question (NHS England, 2017). There are at least three methods that are used for qualitative approach interviews, focus groups and observation. In approaching these methods, they can be combined to reach a conclusion, it also may be useful to use more than one approach as these approaches all have strengths and weaknesses (NHS England, 2017). </w:t>
      </w:r>
    </w:p>
    <w:p w14:paraId="1AC79EAD" w14:textId="62318B57"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One limitation to qualitative approach is that it will allow you to have insight on how people feel about the research question, but it cannot tell other people’s opinions who are not taking part in the interviews, focus groups and observation (NHS England, 2017).  </w:t>
      </w:r>
    </w:p>
    <w:p w14:paraId="0AA6C0F9" w14:textId="31F775BA" w:rsidR="00600888" w:rsidRDefault="0DF7C556" w:rsidP="0871CD5E">
      <w:pPr>
        <w:spacing w:line="360" w:lineRule="auto"/>
        <w:jc w:val="both"/>
      </w:pPr>
      <w:r w:rsidRPr="0871CD5E">
        <w:rPr>
          <w:rFonts w:ascii="Calibri" w:eastAsia="Calibri" w:hAnsi="Calibri" w:cs="Calibri"/>
        </w:rPr>
        <w:t xml:space="preserve"> </w:t>
      </w:r>
    </w:p>
    <w:p w14:paraId="23EB5680" w14:textId="44D05DC4" w:rsidR="00600888" w:rsidRDefault="0DF7C556" w:rsidP="0871CD5E">
      <w:pPr>
        <w:spacing w:line="360" w:lineRule="auto"/>
        <w:jc w:val="both"/>
      </w:pPr>
      <w:r w:rsidRPr="0871CD5E">
        <w:rPr>
          <w:rFonts w:ascii="Calibri" w:eastAsia="Calibri" w:hAnsi="Calibri" w:cs="Calibri"/>
          <w:b/>
          <w:bCs/>
          <w:u w:val="single"/>
        </w:rPr>
        <w:lastRenderedPageBreak/>
        <w:t>Mixed Method Approach</w:t>
      </w:r>
      <w:r w:rsidRPr="0871CD5E">
        <w:rPr>
          <w:rFonts w:ascii="Calibri" w:eastAsia="Calibri" w:hAnsi="Calibri" w:cs="Calibri"/>
        </w:rPr>
        <w:t xml:space="preserve">  </w:t>
      </w:r>
    </w:p>
    <w:p w14:paraId="4A9DAAE8" w14:textId="396A136D"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The first aspect to note about the mixed method approach is that it combines and integrates quantitative and qualitative data (Schooneboom, 2023). Taherdoost (2022) states that the mixed method approach can benefit researchers to tackle complex research.  </w:t>
      </w:r>
    </w:p>
    <w:p w14:paraId="232AF937" w14:textId="1DB32D60" w:rsidR="00600888" w:rsidRDefault="0DF7C556" w:rsidP="0871CD5E">
      <w:pPr>
        <w:spacing w:line="360" w:lineRule="auto"/>
        <w:jc w:val="both"/>
      </w:pPr>
      <w:r w:rsidRPr="0871CD5E">
        <w:rPr>
          <w:rFonts w:ascii="Calibri" w:eastAsia="Calibri" w:hAnsi="Calibri" w:cs="Calibri"/>
        </w:rPr>
        <w:t xml:space="preserve">Taherdoost (2022) maintains that the Mixed Method Approach to research can help social and healthcare workers where numerical data is available but qualitative data is essential to the integrity of the research. Secondly, the word mixed in mixed method approach is an essential step in the research process as it allows researchers to use data collection and data analysis. Taherdoost (2022) and Shorten (2017) both agree that the mixed method approach can help research to have a better understanding of the qualitative and quantitative method.  </w:t>
      </w:r>
    </w:p>
    <w:p w14:paraId="4AE0A19D" w14:textId="6674F8C3" w:rsidR="00600888" w:rsidRDefault="0DF7C556" w:rsidP="0871CD5E">
      <w:pPr>
        <w:spacing w:line="360" w:lineRule="auto"/>
        <w:jc w:val="both"/>
        <w:rPr>
          <w:rFonts w:ascii="Calibri" w:eastAsia="Calibri" w:hAnsi="Calibri" w:cs="Calibri"/>
          <w:b/>
          <w:bCs/>
          <w:u w:val="single"/>
        </w:rPr>
      </w:pPr>
      <w:r w:rsidRPr="0871CD5E">
        <w:rPr>
          <w:rFonts w:ascii="Calibri" w:eastAsia="Calibri" w:hAnsi="Calibri" w:cs="Calibri"/>
          <w:b/>
          <w:bCs/>
          <w:u w:val="single"/>
        </w:rPr>
        <w:t xml:space="preserve">Triangulation  </w:t>
      </w:r>
    </w:p>
    <w:p w14:paraId="4308B92E" w14:textId="6AF70D22"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Triangulation refers to the use of multiple methods or data sources in qualitative research to develop a comprehensive understanding of phenomena (Patton, 1999). According to Noble and Heale (2019), triangulation is a main factor that increases the credibility of research findings.  </w:t>
      </w:r>
    </w:p>
    <w:p w14:paraId="79F0CB04" w14:textId="0FD1E8BB" w:rsidR="00600888" w:rsidRDefault="0DF7C556" w:rsidP="0871CD5E">
      <w:pPr>
        <w:spacing w:line="360" w:lineRule="auto"/>
        <w:jc w:val="both"/>
      </w:pPr>
      <w:r w:rsidRPr="0871CD5E">
        <w:rPr>
          <w:rFonts w:ascii="Calibri" w:eastAsia="Calibri" w:hAnsi="Calibri" w:cs="Calibri"/>
        </w:rPr>
        <w:t xml:space="preserve">The meaning of credibility is how believable a study is and to measure how accurately it reflects and evaluates what is being investigated (Noble and Heale, 2019). One key issue of a single method approach is having the inherent risk of biases, but on the other hand triangulation method can help to avoid this by combining theories, methods and observers to confirm findings (Noble and Heale, 2019). Furthermore, Noble and Heale (2019) and Patton (1999) both believe that it is important to use several reliable sources of qualitative research to double-check or back up hypotheses or ideas. Triangulation's aim in research is to understand the purpose and to examine different opinions and views and to have a clear understanding of these views (Abbadia, 2023). There are different types of triangulations, proposed by Denzin (1978) and Noble and Heale (2019) explain the 4 types. One of these types is data triangulation which involves the collection of different types of data from people, for example families and early years practitioners to get more than one perspective. Data can also be triangulated for time, space and location, for example length of time, time of day.   </w:t>
      </w:r>
    </w:p>
    <w:p w14:paraId="414AF5A6" w14:textId="07241DA1" w:rsidR="00600888" w:rsidRDefault="0DF7C556" w:rsidP="0871CD5E">
      <w:pPr>
        <w:spacing w:line="360" w:lineRule="auto"/>
        <w:jc w:val="both"/>
      </w:pPr>
      <w:r w:rsidRPr="0871CD5E">
        <w:rPr>
          <w:rFonts w:ascii="Calibri" w:eastAsia="Calibri" w:hAnsi="Calibri" w:cs="Calibri"/>
        </w:rPr>
        <w:lastRenderedPageBreak/>
        <w:t xml:space="preserve"> </w:t>
      </w:r>
    </w:p>
    <w:p w14:paraId="06992AE3" w14:textId="51F06D99" w:rsidR="00600888" w:rsidRDefault="0DF7C556" w:rsidP="0871CD5E">
      <w:pPr>
        <w:spacing w:line="360" w:lineRule="auto"/>
        <w:jc w:val="both"/>
      </w:pPr>
      <w:r w:rsidRPr="0871CD5E">
        <w:rPr>
          <w:rFonts w:ascii="Calibri" w:eastAsia="Calibri" w:hAnsi="Calibri" w:cs="Calibri"/>
        </w:rPr>
        <w:t xml:space="preserve"> </w:t>
      </w:r>
    </w:p>
    <w:p w14:paraId="6A260FC0" w14:textId="2D2B1E17" w:rsidR="00600888" w:rsidRDefault="0DF7C556" w:rsidP="0871CD5E">
      <w:pPr>
        <w:spacing w:line="360" w:lineRule="auto"/>
        <w:jc w:val="both"/>
        <w:rPr>
          <w:rFonts w:ascii="Calibri" w:eastAsia="Calibri" w:hAnsi="Calibri" w:cs="Calibri"/>
          <w:b/>
          <w:bCs/>
          <w:u w:val="single"/>
        </w:rPr>
      </w:pPr>
      <w:r w:rsidRPr="0871CD5E">
        <w:rPr>
          <w:rFonts w:ascii="Calibri" w:eastAsia="Calibri" w:hAnsi="Calibri" w:cs="Calibri"/>
          <w:b/>
          <w:bCs/>
          <w:u w:val="single"/>
        </w:rPr>
        <w:t xml:space="preserve">Researcher methodology  </w:t>
      </w:r>
    </w:p>
    <w:p w14:paraId="1B41D0F4" w14:textId="41294D0D" w:rsidR="00600888" w:rsidRDefault="0DF7C556" w:rsidP="0871CD5E">
      <w:pPr>
        <w:spacing w:line="360" w:lineRule="auto"/>
        <w:jc w:val="both"/>
      </w:pPr>
      <w:r w:rsidRPr="0871CD5E">
        <w:rPr>
          <w:rFonts w:ascii="Calibri" w:eastAsia="Calibri" w:hAnsi="Calibri" w:cs="Calibri"/>
        </w:rPr>
        <w:t xml:space="preserve">The method the researcher is intending to use is an interview and this will be conducted with children in an early-years nursery and with early-years practitioners. To establish whether an interview process is the researcher's most effective method, the research will investigate the strengths and weaknesses of this method. The researcher is going to analyse these systematically. Interviews are a primary data source and a qualitative data source. To have a better understanding of these, the researcher will use a qualitative method to conduct one’s research. Interviews are effective for qualitative research as they help us to explore and understand participants' experiences which are highly subjective. To measure the benefits of an interview, it is a richer source of information from a small number of people about feelings, attitudes, opinions and preferences (Rutledge and Hogg, 2020). Interviews represent a qualitative approach to research methodology as it relies on information (Rutledge and Hogg, 2020).   </w:t>
      </w:r>
    </w:p>
    <w:p w14:paraId="2FE57062" w14:textId="70252D38"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The researcher will need to use Triangulation, namely investigator triangulation to confirm one’s findings. For example, one could have another member of staff in the interview or make a transcript of the interview and get it checked by a person who was present at the interview.  The researcher will use Theory Triangulation to interpret the data from my interview, using theories about child development and play.  </w:t>
      </w:r>
    </w:p>
    <w:p w14:paraId="4365C74D" w14:textId="33B99383"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To begin the researchers will introduce themselves and explain the aim of this interview and how they will use the data that they have collected. According to the article, in her Sight (2023), it states that introducing yourself sets the atmosphere of how the interview will go and it also allows practitioners and children to build that form of trust. To investigate the effect of how play affects a child’s emotional development the research will obtain information from the interview, these questions will be simpler open-ended questions for early years children and practitioners (Shannon, 2023). To identify the benefits of an open-ended question it allows children and practitioners to express their opinion without feeling right or wrong, and to encourage longer discussion to ensure the researcher will pursue in-depth information around the research topic </w:t>
      </w:r>
      <w:r w:rsidRPr="0871CD5E">
        <w:rPr>
          <w:rFonts w:ascii="Calibri" w:eastAsia="Calibri" w:hAnsi="Calibri" w:cs="Calibri"/>
        </w:rPr>
        <w:lastRenderedPageBreak/>
        <w:t xml:space="preserve">(Shannon, 2023). To avoid the child and practitioner feeling confused, ensure the question is clear and easy to understand. Open-ended questions allow children and practitioners to have that sense of independence which will guide them to find their own truth about how play effect their development. To make each child and practitioner feel comfortable, the interview will have a sequence of questions by grouping them in theme, this will ensure that the researcher can easily move back and forth between questions and topics.  </w:t>
      </w:r>
    </w:p>
    <w:p w14:paraId="13DA431D" w14:textId="2819AE18" w:rsidR="00600888" w:rsidRDefault="0DF7C556" w:rsidP="0871CD5E">
      <w:pPr>
        <w:spacing w:line="360" w:lineRule="auto"/>
        <w:jc w:val="both"/>
        <w:rPr>
          <w:rFonts w:ascii="Calibri" w:eastAsia="Calibri" w:hAnsi="Calibri" w:cs="Calibri"/>
        </w:rPr>
      </w:pPr>
      <w:r w:rsidRPr="0871CD5E">
        <w:rPr>
          <w:rFonts w:ascii="Calibri" w:eastAsia="Calibri" w:hAnsi="Calibri" w:cs="Calibri"/>
        </w:rPr>
        <w:t xml:space="preserve">The interview schedule comprised structured and open-ended questions to identify and explore how a recorded interview leads to more consisted conversation. Showing that the research can engage and listen to what the children and practitioners can say (Clovers, 2022). I will use data triangulation to compare time, space and location. Another benefit of a recorded interview is that the researcher won’t have to rely on the participant’s memory, and it can give an accurate record of what each participant states and speaks. According to Clovers (2022), participants are within their rights to record the interview on their behalf. The research interview will take place for the children in an area that they feel comfortable and secure in. To investigate this question through an interview, ensuring that the child’s needs are being met, is a key aim. On the other hand, practitioners will be interviewed in a classroom in a quiet area. The sample size the researcher will be using is ten children in the early years, and ten early years practitioners. This is to have a wide range of different opinions on how play effect a child’s emotional development. Each interview will take around ten minutes, this is to ensure that each question is answering the topic question. On the other hand, if the early years children are losing interest the researcher will repeat, under conditions which will use a different system. The research will ensure that consent will be used during this process and the research will state the policy and where the data of the child or practitioner will be stored. The research will use a consent form which will go out to parents/carers to sign that they allow their child’s information to be used for this research topic.  </w:t>
      </w:r>
    </w:p>
    <w:p w14:paraId="18C8F860" w14:textId="6458BA93" w:rsidR="00600888" w:rsidRDefault="00600888" w:rsidP="0871CD5E">
      <w:pPr>
        <w:spacing w:line="360" w:lineRule="auto"/>
        <w:jc w:val="both"/>
        <w:rPr>
          <w:rFonts w:ascii="Calibri" w:eastAsia="Calibri" w:hAnsi="Calibri" w:cs="Calibri"/>
        </w:rPr>
      </w:pPr>
    </w:p>
    <w:p w14:paraId="6B198888" w14:textId="5EA4D08B" w:rsidR="00600888" w:rsidRDefault="00600888" w:rsidP="0871CD5E">
      <w:pPr>
        <w:spacing w:after="240" w:line="360" w:lineRule="auto"/>
        <w:jc w:val="both"/>
        <w:rPr>
          <w:rFonts w:ascii="Calibri" w:eastAsia="Calibri" w:hAnsi="Calibri" w:cs="Calibri"/>
        </w:rPr>
      </w:pPr>
    </w:p>
    <w:p w14:paraId="55BABBD1" w14:textId="2C8C3B78" w:rsidR="00600888" w:rsidRDefault="00600888" w:rsidP="0871CD5E">
      <w:pPr>
        <w:spacing w:after="240" w:line="360" w:lineRule="auto"/>
        <w:jc w:val="both"/>
        <w:rPr>
          <w:rFonts w:ascii="Calibri" w:eastAsia="Calibri" w:hAnsi="Calibri" w:cs="Calibri"/>
          <w:b/>
          <w:bCs/>
          <w:i/>
          <w:iCs/>
          <w:u w:val="single"/>
        </w:rPr>
      </w:pPr>
    </w:p>
    <w:p w14:paraId="60641C57" w14:textId="7091FA50" w:rsidR="00600888" w:rsidRDefault="00600888" w:rsidP="0871CD5E">
      <w:pPr>
        <w:spacing w:after="240" w:line="360" w:lineRule="auto"/>
        <w:jc w:val="both"/>
        <w:rPr>
          <w:rFonts w:ascii="Calibri" w:eastAsia="Calibri" w:hAnsi="Calibri" w:cs="Calibri"/>
          <w:b/>
          <w:bCs/>
          <w:i/>
          <w:iCs/>
          <w:u w:val="single"/>
        </w:rPr>
      </w:pPr>
    </w:p>
    <w:p w14:paraId="1BE4BEE3" w14:textId="4AE11F80" w:rsidR="00600888" w:rsidRDefault="7897B0B8" w:rsidP="0871CD5E">
      <w:pPr>
        <w:spacing w:after="240" w:line="360" w:lineRule="auto"/>
        <w:jc w:val="both"/>
        <w:rPr>
          <w:rFonts w:ascii="Calibri" w:eastAsia="Calibri" w:hAnsi="Calibri" w:cs="Calibri"/>
          <w:b/>
          <w:bCs/>
          <w:i/>
          <w:iCs/>
          <w:u w:val="single"/>
        </w:rPr>
      </w:pPr>
      <w:r w:rsidRPr="0871CD5E">
        <w:rPr>
          <w:rFonts w:ascii="Calibri" w:eastAsia="Calibri" w:hAnsi="Calibri" w:cs="Calibri"/>
          <w:b/>
          <w:bCs/>
          <w:i/>
          <w:iCs/>
          <w:u w:val="single"/>
        </w:rPr>
        <w:t xml:space="preserve">Ethics </w:t>
      </w:r>
    </w:p>
    <w:p w14:paraId="359FDA17" w14:textId="0EE30BC2"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Ethical issues arise in all aspects of research and at all stages of the research process. However, ethical issues gain even more importance when the subjects of the research are young children.</w:t>
      </w:r>
    </w:p>
    <w:p w14:paraId="2DF18DDD" w14:textId="53D3C148" w:rsidR="00600888" w:rsidRDefault="3C1E54FF" w:rsidP="0871CD5E">
      <w:pPr>
        <w:spacing w:after="240" w:line="360" w:lineRule="auto"/>
        <w:jc w:val="both"/>
        <w:rPr>
          <w:rFonts w:ascii="Calibri" w:eastAsia="Calibri" w:hAnsi="Calibri" w:cs="Calibri"/>
        </w:rPr>
      </w:pPr>
      <w:r w:rsidRPr="0871CD5E">
        <w:rPr>
          <w:rFonts w:ascii="Calibri" w:eastAsia="Calibri" w:hAnsi="Calibri" w:cs="Calibri"/>
        </w:rPr>
        <w:t>Harcourt (2011)</w:t>
      </w:r>
      <w:r w:rsidR="155A7C89" w:rsidRPr="0871CD5E">
        <w:rPr>
          <w:rFonts w:ascii="Calibri" w:eastAsia="Calibri" w:hAnsi="Calibri" w:cs="Calibri"/>
        </w:rPr>
        <w:t>, in</w:t>
      </w:r>
      <w:r w:rsidR="7897B0B8" w:rsidRPr="0871CD5E">
        <w:rPr>
          <w:rFonts w:ascii="Calibri" w:eastAsia="Calibri" w:hAnsi="Calibri" w:cs="Calibri"/>
        </w:rPr>
        <w:t xml:space="preserve"> an article in the publication, </w:t>
      </w:r>
      <w:r w:rsidR="62185935" w:rsidRPr="0871CD5E">
        <w:rPr>
          <w:rFonts w:ascii="Calibri" w:eastAsia="Calibri" w:hAnsi="Calibri" w:cs="Calibri"/>
        </w:rPr>
        <w:t xml:space="preserve">states </w:t>
      </w:r>
      <w:r w:rsidR="7897B0B8" w:rsidRPr="0871CD5E">
        <w:rPr>
          <w:rFonts w:ascii="Calibri" w:eastAsia="Calibri" w:hAnsi="Calibri" w:cs="Calibri"/>
        </w:rPr>
        <w:t xml:space="preserve">that the purpose of research in </w:t>
      </w:r>
      <w:r w:rsidR="2D8D992B" w:rsidRPr="0871CD5E">
        <w:rPr>
          <w:rFonts w:ascii="Calibri" w:eastAsia="Calibri" w:hAnsi="Calibri" w:cs="Calibri"/>
        </w:rPr>
        <w:t>c</w:t>
      </w:r>
      <w:r w:rsidR="7897B0B8" w:rsidRPr="0871CD5E">
        <w:rPr>
          <w:rFonts w:ascii="Calibri" w:eastAsia="Calibri" w:hAnsi="Calibri" w:cs="Calibri"/>
        </w:rPr>
        <w:t xml:space="preserve">hildhood </w:t>
      </w:r>
      <w:r w:rsidR="301713DC" w:rsidRPr="0871CD5E">
        <w:rPr>
          <w:rFonts w:ascii="Calibri" w:eastAsia="Calibri" w:hAnsi="Calibri" w:cs="Calibri"/>
        </w:rPr>
        <w:t>s</w:t>
      </w:r>
      <w:r w:rsidR="7897B0B8" w:rsidRPr="0871CD5E">
        <w:rPr>
          <w:rFonts w:ascii="Calibri" w:eastAsia="Calibri" w:hAnsi="Calibri" w:cs="Calibri"/>
        </w:rPr>
        <w:t xml:space="preserve">tudies </w:t>
      </w:r>
      <w:r w:rsidR="7D3F806B" w:rsidRPr="0871CD5E">
        <w:rPr>
          <w:rFonts w:ascii="Calibri" w:eastAsia="Calibri" w:hAnsi="Calibri" w:cs="Calibri"/>
        </w:rPr>
        <w:t>enables us to</w:t>
      </w:r>
      <w:r w:rsidR="3A8A875D" w:rsidRPr="0871CD5E">
        <w:rPr>
          <w:rFonts w:ascii="Calibri" w:eastAsia="Calibri" w:hAnsi="Calibri" w:cs="Calibri"/>
        </w:rPr>
        <w:t xml:space="preserve"> </w:t>
      </w:r>
      <w:bookmarkStart w:id="0" w:name="_Int_u8AgMNAt"/>
      <w:r w:rsidR="3A8A875D" w:rsidRPr="0871CD5E">
        <w:rPr>
          <w:rFonts w:ascii="Calibri" w:eastAsia="Calibri" w:hAnsi="Calibri" w:cs="Calibri"/>
        </w:rPr>
        <w:t>have an</w:t>
      </w:r>
      <w:r w:rsidR="7D3F806B" w:rsidRPr="0871CD5E">
        <w:rPr>
          <w:rFonts w:ascii="Calibri" w:eastAsia="Calibri" w:hAnsi="Calibri" w:cs="Calibri"/>
        </w:rPr>
        <w:t xml:space="preserve"> understand</w:t>
      </w:r>
      <w:r w:rsidR="1DB6FE01" w:rsidRPr="0871CD5E">
        <w:rPr>
          <w:rFonts w:ascii="Calibri" w:eastAsia="Calibri" w:hAnsi="Calibri" w:cs="Calibri"/>
        </w:rPr>
        <w:t>ing of</w:t>
      </w:r>
      <w:bookmarkEnd w:id="0"/>
      <w:r w:rsidR="1DB6FE01" w:rsidRPr="0871CD5E">
        <w:rPr>
          <w:rFonts w:ascii="Calibri" w:eastAsia="Calibri" w:hAnsi="Calibri" w:cs="Calibri"/>
        </w:rPr>
        <w:t xml:space="preserve"> early years and to support us to gain new knowledge of children </w:t>
      </w:r>
      <w:r w:rsidR="162D71A3" w:rsidRPr="0871CD5E">
        <w:rPr>
          <w:rFonts w:ascii="Calibri" w:eastAsia="Calibri" w:hAnsi="Calibri" w:cs="Calibri"/>
        </w:rPr>
        <w:t xml:space="preserve">experiences and children’s perspective. </w:t>
      </w:r>
      <w:r w:rsidR="66B21020" w:rsidRPr="0871CD5E">
        <w:rPr>
          <w:rFonts w:ascii="Calibri" w:eastAsia="Calibri" w:hAnsi="Calibri" w:cs="Calibri"/>
        </w:rPr>
        <w:t>emphasises the importance of hearing the child’s voice in research studies</w:t>
      </w:r>
      <w:r w:rsidR="7002AF2A" w:rsidRPr="0871CD5E">
        <w:rPr>
          <w:rFonts w:ascii="Calibri" w:eastAsia="Calibri" w:hAnsi="Calibri" w:cs="Calibri"/>
        </w:rPr>
        <w:t xml:space="preserve">. </w:t>
      </w:r>
      <w:r w:rsidR="2A4CCB42" w:rsidRPr="0871CD5E">
        <w:rPr>
          <w:rFonts w:ascii="Calibri" w:eastAsia="Calibri" w:hAnsi="Calibri" w:cs="Calibri"/>
        </w:rPr>
        <w:t>It is a well-known fact that vast bodies of research material on childhood tend to ignore the child’s perspective.</w:t>
      </w:r>
      <w:r w:rsidR="1F0C7064" w:rsidRPr="0871CD5E">
        <w:rPr>
          <w:rFonts w:ascii="Calibri" w:eastAsia="Calibri" w:hAnsi="Calibri" w:cs="Calibri"/>
        </w:rPr>
        <w:t xml:space="preserve"> </w:t>
      </w:r>
      <w:r w:rsidR="2239F786" w:rsidRPr="0871CD5E">
        <w:rPr>
          <w:rFonts w:ascii="Calibri" w:eastAsia="Calibri" w:hAnsi="Calibri" w:cs="Calibri"/>
        </w:rPr>
        <w:t xml:space="preserve">Harcourt (2011), </w:t>
      </w:r>
      <w:r w:rsidR="1F0C7064" w:rsidRPr="0871CD5E">
        <w:rPr>
          <w:rFonts w:ascii="Calibri" w:eastAsia="Calibri" w:hAnsi="Calibri" w:cs="Calibri"/>
        </w:rPr>
        <w:t xml:space="preserve">claims that this is known as the </w:t>
      </w:r>
      <w:r w:rsidR="20A13664" w:rsidRPr="0871CD5E">
        <w:rPr>
          <w:rFonts w:ascii="Calibri" w:eastAsia="Calibri" w:hAnsi="Calibri" w:cs="Calibri"/>
        </w:rPr>
        <w:t>looking down standpoi</w:t>
      </w:r>
      <w:r w:rsidR="5337F6F0" w:rsidRPr="0871CD5E">
        <w:rPr>
          <w:rFonts w:ascii="Calibri" w:eastAsia="Calibri" w:hAnsi="Calibri" w:cs="Calibri"/>
        </w:rPr>
        <w:t>nt but on the other hand Alanen (1998), ad</w:t>
      </w:r>
      <w:r w:rsidR="0037E5C8" w:rsidRPr="0871CD5E">
        <w:rPr>
          <w:rFonts w:ascii="Calibri" w:eastAsia="Calibri" w:hAnsi="Calibri" w:cs="Calibri"/>
        </w:rPr>
        <w:t xml:space="preserve">vocates an alternative which is the looking up perspective which involves </w:t>
      </w:r>
      <w:r w:rsidR="13AF697D" w:rsidRPr="0871CD5E">
        <w:rPr>
          <w:rFonts w:ascii="Calibri" w:eastAsia="Calibri" w:hAnsi="Calibri" w:cs="Calibri"/>
        </w:rPr>
        <w:t xml:space="preserve">trying to understand children viewpoint on their own experiences and </w:t>
      </w:r>
      <w:r w:rsidR="23752AD6" w:rsidRPr="0871CD5E">
        <w:rPr>
          <w:rFonts w:ascii="Calibri" w:eastAsia="Calibri" w:hAnsi="Calibri" w:cs="Calibri"/>
        </w:rPr>
        <w:t>environment</w:t>
      </w:r>
      <w:r w:rsidR="13AF697D" w:rsidRPr="0871CD5E">
        <w:rPr>
          <w:rFonts w:ascii="Calibri" w:eastAsia="Calibri" w:hAnsi="Calibri" w:cs="Calibri"/>
        </w:rPr>
        <w:t xml:space="preserve">. </w:t>
      </w:r>
      <w:r w:rsidR="7897B0B8" w:rsidRPr="0871CD5E">
        <w:rPr>
          <w:rFonts w:ascii="Calibri" w:eastAsia="Calibri" w:hAnsi="Calibri" w:cs="Calibri"/>
        </w:rPr>
        <w:t xml:space="preserve">Article 12 of the UNCRC [United Nations Charter on the Rights of the Child] enshrines the right of children to have their voices heard and has informed the conduct of research into Early Years. </w:t>
      </w:r>
    </w:p>
    <w:p w14:paraId="6C86AD86" w14:textId="27DC91C5"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Researchers must be mindful of the inequality in the relationship of participants in research into Early Years. There is an inevitable power imbalance in the relationship,</w:t>
      </w:r>
      <w:r w:rsidR="7068FC21" w:rsidRPr="0871CD5E">
        <w:rPr>
          <w:rFonts w:ascii="Calibri" w:eastAsia="Calibri" w:hAnsi="Calibri" w:cs="Calibri"/>
        </w:rPr>
        <w:t xml:space="preserve"> which may make children feel vulnerable as they</w:t>
      </w:r>
      <w:r w:rsidR="306C673D" w:rsidRPr="0871CD5E">
        <w:rPr>
          <w:rFonts w:ascii="Calibri" w:eastAsia="Calibri" w:hAnsi="Calibri" w:cs="Calibri"/>
        </w:rPr>
        <w:t xml:space="preserve"> </w:t>
      </w:r>
      <w:r w:rsidR="63FE23B4" w:rsidRPr="0871CD5E">
        <w:rPr>
          <w:rFonts w:ascii="Calibri" w:eastAsia="Calibri" w:hAnsi="Calibri" w:cs="Calibri"/>
        </w:rPr>
        <w:t xml:space="preserve">may </w:t>
      </w:r>
      <w:r w:rsidR="05FA06F8" w:rsidRPr="0871CD5E">
        <w:rPr>
          <w:rFonts w:ascii="Calibri" w:eastAsia="Calibri" w:hAnsi="Calibri" w:cs="Calibri"/>
        </w:rPr>
        <w:t>depend on the adult they look up t</w:t>
      </w:r>
      <w:r w:rsidR="1897919A" w:rsidRPr="0871CD5E">
        <w:rPr>
          <w:rFonts w:ascii="Calibri" w:eastAsia="Calibri" w:hAnsi="Calibri" w:cs="Calibri"/>
        </w:rPr>
        <w:t xml:space="preserve">o (Harcourt 2011). </w:t>
      </w:r>
      <w:r w:rsidR="21E04B04" w:rsidRPr="0871CD5E">
        <w:rPr>
          <w:rFonts w:ascii="Calibri" w:eastAsia="Calibri" w:hAnsi="Calibri" w:cs="Calibri"/>
        </w:rPr>
        <w:t xml:space="preserve">According to Mayne (2018), practitioners should allow children to emprise </w:t>
      </w:r>
      <w:r w:rsidR="785EF20C" w:rsidRPr="0871CD5E">
        <w:rPr>
          <w:rFonts w:ascii="Calibri" w:eastAsia="Calibri" w:hAnsi="Calibri" w:cs="Calibri"/>
        </w:rPr>
        <w:t xml:space="preserve">their voices and this should be provided by opportunities. </w:t>
      </w:r>
      <w:r w:rsidR="199A0BDF" w:rsidRPr="0871CD5E">
        <w:rPr>
          <w:rFonts w:ascii="Calibri" w:eastAsia="Calibri" w:hAnsi="Calibri" w:cs="Calibri"/>
        </w:rPr>
        <w:t xml:space="preserve"> </w:t>
      </w:r>
      <w:r w:rsidRPr="0871CD5E">
        <w:rPr>
          <w:rFonts w:ascii="Calibri" w:eastAsia="Calibri" w:hAnsi="Calibri" w:cs="Calibri"/>
        </w:rPr>
        <w:t xml:space="preserve">Ethical considerations in the conduct of educational research are intended to protect the rights of all those involved in the research and, indeed, all </w:t>
      </w:r>
      <w:r w:rsidR="51DDD9EC" w:rsidRPr="0871CD5E">
        <w:rPr>
          <w:rFonts w:ascii="Calibri" w:eastAsia="Calibri" w:hAnsi="Calibri" w:cs="Calibri"/>
        </w:rPr>
        <w:t>parcipants</w:t>
      </w:r>
      <w:r w:rsidRPr="0871CD5E">
        <w:rPr>
          <w:rFonts w:ascii="Calibri" w:eastAsia="Calibri" w:hAnsi="Calibri" w:cs="Calibri"/>
        </w:rPr>
        <w:t xml:space="preserve"> in the findings</w:t>
      </w:r>
      <w:r w:rsidR="57105817" w:rsidRPr="0871CD5E">
        <w:rPr>
          <w:rFonts w:ascii="Calibri" w:eastAsia="Calibri" w:hAnsi="Calibri" w:cs="Calibri"/>
        </w:rPr>
        <w:t xml:space="preserve">, this means the research subject, the children and researchers (Mayne, 2018). </w:t>
      </w:r>
    </w:p>
    <w:p w14:paraId="757A38F0" w14:textId="6ABD2394" w:rsidR="00600888" w:rsidRDefault="7897B0B8" w:rsidP="0871CD5E">
      <w:pPr>
        <w:spacing w:after="240" w:line="360" w:lineRule="auto"/>
        <w:jc w:val="both"/>
        <w:rPr>
          <w:rFonts w:ascii="Calibri" w:eastAsia="Calibri" w:hAnsi="Calibri" w:cs="Calibri"/>
          <w:b/>
          <w:bCs/>
          <w:u w:val="single"/>
        </w:rPr>
      </w:pPr>
      <w:r w:rsidRPr="0871CD5E">
        <w:rPr>
          <w:rFonts w:ascii="Calibri" w:eastAsia="Calibri" w:hAnsi="Calibri" w:cs="Calibri"/>
          <w:b/>
          <w:bCs/>
          <w:u w:val="single"/>
        </w:rPr>
        <w:t xml:space="preserve">Consent </w:t>
      </w:r>
    </w:p>
    <w:p w14:paraId="3942BCFF" w14:textId="697C0C18"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Research is a partnership between participants and partnerships depend on trust and consent</w:t>
      </w:r>
      <w:r w:rsidR="4059415C" w:rsidRPr="0871CD5E">
        <w:rPr>
          <w:rFonts w:ascii="Calibri" w:eastAsia="Calibri" w:hAnsi="Calibri" w:cs="Calibri"/>
        </w:rPr>
        <w:t xml:space="preserve"> (Gaurav 2019).</w:t>
      </w:r>
      <w:r w:rsidRPr="0871CD5E">
        <w:rPr>
          <w:rFonts w:ascii="Calibri" w:eastAsia="Calibri" w:hAnsi="Calibri" w:cs="Calibri"/>
        </w:rPr>
        <w:t xml:space="preserve"> It is the pupils, parents and practitioners who provide the consent, the parents being the ones who give the legal consent. Informed consent is gained or refused by giving a clear explanation in language appropriate to the child or caregiver, of the purpose and structure of the </w:t>
      </w:r>
      <w:r w:rsidRPr="0871CD5E">
        <w:rPr>
          <w:rFonts w:ascii="Calibri" w:eastAsia="Calibri" w:hAnsi="Calibri" w:cs="Calibri"/>
        </w:rPr>
        <w:lastRenderedPageBreak/>
        <w:t>research, in this case, the interviews. Explaining to parents can be done in a formal and informal setting such as a meeting with a group of parents/caregivers as well as answering questions and addressing concerns raised by individual parents in informal encounters. It is important to give parents time to consider their decision</w:t>
      </w:r>
      <w:r w:rsidR="4637E7F4" w:rsidRPr="0871CD5E">
        <w:rPr>
          <w:rFonts w:ascii="Calibri" w:eastAsia="Calibri" w:hAnsi="Calibri" w:cs="Calibri"/>
        </w:rPr>
        <w:t xml:space="preserve"> (Gaurav 2019).</w:t>
      </w:r>
      <w:r w:rsidRPr="0871CD5E">
        <w:rPr>
          <w:rFonts w:ascii="Calibri" w:eastAsia="Calibri" w:hAnsi="Calibri" w:cs="Calibri"/>
        </w:rPr>
        <w:t xml:space="preserve">  What is important is to make sure parents/caregivers understand what will be done with the findings of the research and how this will positively impact their child’s experience, wellbeing and progress at school and at home. It is also important to make it clear that there are no negative consequences to refusing to participate in the research and that the child or caregiver can withdraw at any stage</w:t>
      </w:r>
      <w:r w:rsidR="2EB1C8B6" w:rsidRPr="0871CD5E">
        <w:rPr>
          <w:rFonts w:ascii="Calibri" w:eastAsia="Calibri" w:hAnsi="Calibri" w:cs="Calibri"/>
        </w:rPr>
        <w:t xml:space="preserve"> (Har</w:t>
      </w:r>
      <w:r w:rsidR="5418AE9B" w:rsidRPr="0871CD5E">
        <w:rPr>
          <w:rFonts w:ascii="Calibri" w:eastAsia="Calibri" w:hAnsi="Calibri" w:cs="Calibri"/>
        </w:rPr>
        <w:t>court 2011)</w:t>
      </w:r>
    </w:p>
    <w:p w14:paraId="240667CC" w14:textId="4A616379"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 xml:space="preserve">Informed consent is crucial </w:t>
      </w:r>
      <w:r w:rsidR="60757D13" w:rsidRPr="0871CD5E">
        <w:rPr>
          <w:rFonts w:ascii="Calibri" w:eastAsia="Calibri" w:hAnsi="Calibri" w:cs="Calibri"/>
        </w:rPr>
        <w:t>in any research project but there are also many challenges and barriers</w:t>
      </w:r>
      <w:r w:rsidR="5F3C95CA" w:rsidRPr="0871CD5E">
        <w:rPr>
          <w:rFonts w:ascii="Calibri" w:eastAsia="Calibri" w:hAnsi="Calibri" w:cs="Calibri"/>
        </w:rPr>
        <w:t xml:space="preserve"> which would affect the </w:t>
      </w:r>
      <w:r w:rsidR="1D89CD23" w:rsidRPr="0871CD5E">
        <w:rPr>
          <w:rFonts w:ascii="Calibri" w:eastAsia="Calibri" w:hAnsi="Calibri" w:cs="Calibri"/>
        </w:rPr>
        <w:t>legitimization</w:t>
      </w:r>
      <w:r w:rsidR="60757D13" w:rsidRPr="0871CD5E">
        <w:rPr>
          <w:rFonts w:ascii="Calibri" w:eastAsia="Calibri" w:hAnsi="Calibri" w:cs="Calibri"/>
        </w:rPr>
        <w:t xml:space="preserve"> </w:t>
      </w:r>
      <w:r w:rsidR="268292C8" w:rsidRPr="0871CD5E">
        <w:rPr>
          <w:rFonts w:ascii="Calibri" w:eastAsia="Calibri" w:hAnsi="Calibri" w:cs="Calibri"/>
        </w:rPr>
        <w:t xml:space="preserve">in gaining consent to research with children in the early years. </w:t>
      </w:r>
      <w:r w:rsidR="1675EE47" w:rsidRPr="0871CD5E">
        <w:rPr>
          <w:rFonts w:ascii="Calibri" w:eastAsia="Calibri" w:hAnsi="Calibri" w:cs="Calibri"/>
        </w:rPr>
        <w:t xml:space="preserve">Harcourt (2011) and (Perry 2003) both agree that children play a key factor </w:t>
      </w:r>
      <w:r w:rsidR="00329E81" w:rsidRPr="0871CD5E">
        <w:rPr>
          <w:rFonts w:ascii="Calibri" w:eastAsia="Calibri" w:hAnsi="Calibri" w:cs="Calibri"/>
        </w:rPr>
        <w:t>in</w:t>
      </w:r>
      <w:r w:rsidR="1675EE47" w:rsidRPr="0871CD5E">
        <w:rPr>
          <w:rFonts w:ascii="Calibri" w:eastAsia="Calibri" w:hAnsi="Calibri" w:cs="Calibri"/>
        </w:rPr>
        <w:t xml:space="preserve"> research </w:t>
      </w:r>
      <w:r w:rsidR="62CA4701" w:rsidRPr="0871CD5E">
        <w:rPr>
          <w:rFonts w:ascii="Calibri" w:eastAsia="Calibri" w:hAnsi="Calibri" w:cs="Calibri"/>
        </w:rPr>
        <w:t xml:space="preserve">and that </w:t>
      </w:r>
      <w:r w:rsidR="013ABAA1" w:rsidRPr="0871CD5E">
        <w:rPr>
          <w:rFonts w:ascii="Calibri" w:eastAsia="Calibri" w:hAnsi="Calibri" w:cs="Calibri"/>
        </w:rPr>
        <w:t>is why</w:t>
      </w:r>
      <w:r w:rsidR="62CA4701" w:rsidRPr="0871CD5E">
        <w:rPr>
          <w:rFonts w:ascii="Calibri" w:eastAsia="Calibri" w:hAnsi="Calibri" w:cs="Calibri"/>
        </w:rPr>
        <w:t xml:space="preserve"> listening to children </w:t>
      </w:r>
      <w:r w:rsidR="46B214D6" w:rsidRPr="0871CD5E">
        <w:rPr>
          <w:rFonts w:ascii="Calibri" w:eastAsia="Calibri" w:hAnsi="Calibri" w:cs="Calibri"/>
        </w:rPr>
        <w:t xml:space="preserve">also has a potential to show parents/caregivers </w:t>
      </w:r>
      <w:r w:rsidR="7B936F7F" w:rsidRPr="0871CD5E">
        <w:rPr>
          <w:rFonts w:ascii="Calibri" w:eastAsia="Calibri" w:hAnsi="Calibri" w:cs="Calibri"/>
        </w:rPr>
        <w:t xml:space="preserve">the outcome of these experiences. </w:t>
      </w:r>
    </w:p>
    <w:p w14:paraId="501257B4" w14:textId="7D6E2FD0" w:rsidR="00600888" w:rsidRDefault="7897B0B8" w:rsidP="0871CD5E">
      <w:pPr>
        <w:spacing w:after="240" w:line="360" w:lineRule="auto"/>
        <w:jc w:val="both"/>
      </w:pPr>
      <w:r w:rsidRPr="0871CD5E">
        <w:rPr>
          <w:rFonts w:ascii="Calibri" w:eastAsia="Calibri" w:hAnsi="Calibri" w:cs="Calibri"/>
        </w:rPr>
        <w:t xml:space="preserve">It is not always easy to assess whether young children have a clear understanding as children </w:t>
      </w:r>
      <w:r w:rsidR="5E7E2B1A" w:rsidRPr="0871CD5E">
        <w:rPr>
          <w:rFonts w:ascii="Calibri" w:eastAsia="Calibri" w:hAnsi="Calibri" w:cs="Calibri"/>
        </w:rPr>
        <w:t>tend to</w:t>
      </w:r>
      <w:r w:rsidRPr="0871CD5E">
        <w:rPr>
          <w:rFonts w:ascii="Calibri" w:eastAsia="Calibri" w:hAnsi="Calibri" w:cs="Calibri"/>
        </w:rPr>
        <w:t xml:space="preserve"> respond to adults with the </w:t>
      </w:r>
      <w:r w:rsidR="6807ABDC" w:rsidRPr="0871CD5E">
        <w:rPr>
          <w:rFonts w:ascii="Calibri" w:eastAsia="Calibri" w:hAnsi="Calibri" w:cs="Calibri"/>
        </w:rPr>
        <w:t>correct answer</w:t>
      </w:r>
      <w:r w:rsidRPr="0871CD5E">
        <w:rPr>
          <w:rFonts w:ascii="Calibri" w:eastAsia="Calibri" w:hAnsi="Calibri" w:cs="Calibri"/>
        </w:rPr>
        <w:t xml:space="preserve">. Key to avoiding this is to </w:t>
      </w:r>
      <w:r w:rsidR="497C2068" w:rsidRPr="0871CD5E">
        <w:rPr>
          <w:rFonts w:ascii="Calibri" w:eastAsia="Calibri" w:hAnsi="Calibri" w:cs="Calibri"/>
        </w:rPr>
        <w:t xml:space="preserve">gain a form of </w:t>
      </w:r>
      <w:r w:rsidR="1E9CB59F" w:rsidRPr="0871CD5E">
        <w:rPr>
          <w:rFonts w:ascii="Calibri" w:eastAsia="Calibri" w:hAnsi="Calibri" w:cs="Calibri"/>
        </w:rPr>
        <w:t>professional trust in a relationship, trust and security with the child (Harcourt 2011</w:t>
      </w:r>
      <w:r w:rsidR="427CDE9A" w:rsidRPr="0871CD5E">
        <w:rPr>
          <w:rFonts w:ascii="Calibri" w:eastAsia="Calibri" w:hAnsi="Calibri" w:cs="Calibri"/>
        </w:rPr>
        <w:t xml:space="preserve">). Another key factor is </w:t>
      </w:r>
      <w:r w:rsidRPr="0871CD5E">
        <w:rPr>
          <w:rFonts w:ascii="Calibri" w:eastAsia="Calibri" w:hAnsi="Calibri" w:cs="Calibri"/>
        </w:rPr>
        <w:t xml:space="preserve">the adult </w:t>
      </w:r>
      <w:r w:rsidR="06448749" w:rsidRPr="0871CD5E">
        <w:rPr>
          <w:rFonts w:ascii="Calibri" w:eastAsia="Calibri" w:hAnsi="Calibri" w:cs="Calibri"/>
        </w:rPr>
        <w:t>researchers are</w:t>
      </w:r>
      <w:r w:rsidRPr="0871CD5E">
        <w:rPr>
          <w:rFonts w:ascii="Calibri" w:eastAsia="Calibri" w:hAnsi="Calibri" w:cs="Calibri"/>
        </w:rPr>
        <w:t xml:space="preserve"> essential for gaining meaningful consent </w:t>
      </w:r>
      <w:r w:rsidR="0F47CC76" w:rsidRPr="0871CD5E">
        <w:rPr>
          <w:rFonts w:ascii="Calibri" w:eastAsia="Calibri" w:hAnsi="Calibri" w:cs="Calibri"/>
        </w:rPr>
        <w:t>from</w:t>
      </w:r>
      <w:r w:rsidRPr="0871CD5E">
        <w:rPr>
          <w:rFonts w:ascii="Calibri" w:eastAsia="Calibri" w:hAnsi="Calibri" w:cs="Calibri"/>
        </w:rPr>
        <w:t xml:space="preserve"> the child and collaborative participation. My explanations would be in the form of effective dialogue with the child participants. For effective dialogue to take place and for the child to be empowered to make a decision about participation, my use of language would be very important. Using words that are familiar to the child can help. For example, project instead of research. Using language that is part of the classroom culture, for example in relation to emotions and feelings, is also important. To ensure that the child has agency, collaborative language should be used, such as, “Let’s talk about what we can do together”.  In setting up the framework for my interview, I believe it is vital that the children can make connections between the research and their experience and how the outcomes of the research will improve their experience.</w:t>
      </w:r>
    </w:p>
    <w:p w14:paraId="3E1138B7" w14:textId="7C8FEF1D" w:rsidR="00600888" w:rsidRDefault="7897B0B8" w:rsidP="0871CD5E">
      <w:pPr>
        <w:spacing w:after="240" w:line="360" w:lineRule="auto"/>
        <w:jc w:val="both"/>
      </w:pPr>
      <w:r w:rsidRPr="0871CD5E">
        <w:rPr>
          <w:rFonts w:ascii="Calibri" w:eastAsia="Calibri" w:hAnsi="Calibri" w:cs="Calibri"/>
        </w:rPr>
        <w:t xml:space="preserve">With the principles of informed consent in mind, </w:t>
      </w:r>
      <w:r w:rsidR="35026C75" w:rsidRPr="0871CD5E">
        <w:rPr>
          <w:rFonts w:ascii="Calibri" w:eastAsia="Calibri" w:hAnsi="Calibri" w:cs="Calibri"/>
        </w:rPr>
        <w:t>the researcher</w:t>
      </w:r>
      <w:r w:rsidRPr="0871CD5E">
        <w:rPr>
          <w:rFonts w:ascii="Calibri" w:eastAsia="Calibri" w:hAnsi="Calibri" w:cs="Calibri"/>
        </w:rPr>
        <w:t xml:space="preserve"> would wish to conduct </w:t>
      </w:r>
      <w:r w:rsidR="3F6F0217" w:rsidRPr="0871CD5E">
        <w:rPr>
          <w:rFonts w:ascii="Calibri" w:eastAsia="Calibri" w:hAnsi="Calibri" w:cs="Calibri"/>
        </w:rPr>
        <w:t>their</w:t>
      </w:r>
      <w:r w:rsidRPr="0871CD5E">
        <w:rPr>
          <w:rFonts w:ascii="Calibri" w:eastAsia="Calibri" w:hAnsi="Calibri" w:cs="Calibri"/>
        </w:rPr>
        <w:t xml:space="preserve"> research in a setting </w:t>
      </w:r>
      <w:r w:rsidR="2C4B3477" w:rsidRPr="0871CD5E">
        <w:rPr>
          <w:rFonts w:ascii="Calibri" w:eastAsia="Calibri" w:hAnsi="Calibri" w:cs="Calibri"/>
        </w:rPr>
        <w:t xml:space="preserve">where </w:t>
      </w:r>
      <w:r w:rsidR="100E2919" w:rsidRPr="0871CD5E">
        <w:rPr>
          <w:rFonts w:ascii="Calibri" w:eastAsia="Calibri" w:hAnsi="Calibri" w:cs="Calibri"/>
        </w:rPr>
        <w:t>they have</w:t>
      </w:r>
      <w:r w:rsidRPr="0871CD5E">
        <w:rPr>
          <w:rFonts w:ascii="Calibri" w:eastAsia="Calibri" w:hAnsi="Calibri" w:cs="Calibri"/>
        </w:rPr>
        <w:t xml:space="preserve"> spent some time, such as placement setting. This would </w:t>
      </w:r>
      <w:r w:rsidRPr="0871CD5E">
        <w:rPr>
          <w:rFonts w:ascii="Calibri" w:eastAsia="Calibri" w:hAnsi="Calibri" w:cs="Calibri"/>
        </w:rPr>
        <w:lastRenderedPageBreak/>
        <w:t xml:space="preserve">mean that </w:t>
      </w:r>
      <w:r w:rsidR="480CE1A1" w:rsidRPr="0871CD5E">
        <w:rPr>
          <w:rFonts w:ascii="Calibri" w:eastAsia="Calibri" w:hAnsi="Calibri" w:cs="Calibri"/>
        </w:rPr>
        <w:t>the researcher</w:t>
      </w:r>
      <w:r w:rsidR="3381896F" w:rsidRPr="0871CD5E">
        <w:rPr>
          <w:rFonts w:ascii="Calibri" w:eastAsia="Calibri" w:hAnsi="Calibri" w:cs="Calibri"/>
        </w:rPr>
        <w:t xml:space="preserve"> has </w:t>
      </w:r>
      <w:r w:rsidR="258A47F4" w:rsidRPr="0871CD5E">
        <w:rPr>
          <w:rFonts w:ascii="Calibri" w:eastAsia="Calibri" w:hAnsi="Calibri" w:cs="Calibri"/>
        </w:rPr>
        <w:t>to build</w:t>
      </w:r>
      <w:r w:rsidRPr="0871CD5E">
        <w:rPr>
          <w:rFonts w:ascii="Calibri" w:eastAsia="Calibri" w:hAnsi="Calibri" w:cs="Calibri"/>
        </w:rPr>
        <w:t xml:space="preserve"> meaningful relationships with the children in </w:t>
      </w:r>
      <w:r w:rsidR="0DB325DA" w:rsidRPr="0871CD5E">
        <w:rPr>
          <w:rFonts w:ascii="Calibri" w:eastAsia="Calibri" w:hAnsi="Calibri" w:cs="Calibri"/>
        </w:rPr>
        <w:t xml:space="preserve">the </w:t>
      </w:r>
      <w:r w:rsidRPr="0871CD5E">
        <w:rPr>
          <w:rFonts w:ascii="Calibri" w:eastAsia="Calibri" w:hAnsi="Calibri" w:cs="Calibri"/>
        </w:rPr>
        <w:t xml:space="preserve">study in a familiar setting and over time. An understanding of the children, including prior knowledge of their individual characteristics would </w:t>
      </w:r>
      <w:r w:rsidR="3588F090" w:rsidRPr="0871CD5E">
        <w:rPr>
          <w:rFonts w:ascii="Calibri" w:eastAsia="Calibri" w:hAnsi="Calibri" w:cs="Calibri"/>
        </w:rPr>
        <w:t>enable</w:t>
      </w:r>
      <w:r w:rsidRPr="0871CD5E">
        <w:rPr>
          <w:rFonts w:ascii="Calibri" w:eastAsia="Calibri" w:hAnsi="Calibri" w:cs="Calibri"/>
        </w:rPr>
        <w:t xml:space="preserve"> </w:t>
      </w:r>
      <w:r w:rsidR="55783469" w:rsidRPr="0871CD5E">
        <w:rPr>
          <w:rFonts w:ascii="Calibri" w:eastAsia="Calibri" w:hAnsi="Calibri" w:cs="Calibri"/>
        </w:rPr>
        <w:t xml:space="preserve">the researcher </w:t>
      </w:r>
      <w:r w:rsidRPr="0871CD5E">
        <w:rPr>
          <w:rFonts w:ascii="Calibri" w:eastAsia="Calibri" w:hAnsi="Calibri" w:cs="Calibri"/>
        </w:rPr>
        <w:t xml:space="preserve">to make informed decisions about the framework of research and how best to engage with the participants. </w:t>
      </w:r>
      <w:r w:rsidR="791E3011" w:rsidRPr="0871CD5E">
        <w:rPr>
          <w:rFonts w:ascii="Calibri" w:eastAsia="Calibri" w:hAnsi="Calibri" w:cs="Calibri"/>
        </w:rPr>
        <w:t>The researcher</w:t>
      </w:r>
      <w:r w:rsidRPr="0871CD5E">
        <w:rPr>
          <w:rFonts w:ascii="Calibri" w:eastAsia="Calibri" w:hAnsi="Calibri" w:cs="Calibri"/>
        </w:rPr>
        <w:t xml:space="preserve"> will need to have a forma record of consent before the research starts. Where interviews are recorded, consent can be recorded during the interview. Transcripts of the interview should be made and validated as correct. This can be verified by having another experienced practitioner in the room. Having another person present is also important for safeguarding. </w:t>
      </w:r>
    </w:p>
    <w:p w14:paraId="173E68C1" w14:textId="2DE7F921"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 xml:space="preserve">The ethical considerations which should guide consent in Early Years research can be summarised in a model of the Interactive Narrative Approach to Informed Consent devised </w:t>
      </w:r>
      <w:r w:rsidR="27F1F973" w:rsidRPr="0871CD5E">
        <w:rPr>
          <w:rFonts w:ascii="Calibri" w:eastAsia="Calibri" w:hAnsi="Calibri" w:cs="Calibri"/>
        </w:rPr>
        <w:t>(</w:t>
      </w:r>
      <w:r w:rsidR="27F1F973" w:rsidRPr="0871CD5E">
        <w:rPr>
          <w:rFonts w:ascii="Calibri" w:eastAsia="Calibri" w:hAnsi="Calibri" w:cs="Calibri"/>
          <w:color w:val="000000" w:themeColor="text1"/>
        </w:rPr>
        <w:t>British Educational research association 2018).</w:t>
      </w:r>
      <w:r w:rsidRPr="0871CD5E">
        <w:rPr>
          <w:rFonts w:ascii="Calibri" w:eastAsia="Calibri" w:hAnsi="Calibri" w:cs="Calibri"/>
        </w:rPr>
        <w:t xml:space="preserve"> To ensure the quality of participation, they propose 4 Participation Rights which are the basis for Informed Consent. They are Information, Understanding, Voice and Influence. I hope I have covered all four principles in this section</w:t>
      </w:r>
      <w:r w:rsidR="14AB67CF" w:rsidRPr="0871CD5E">
        <w:rPr>
          <w:rFonts w:ascii="Calibri" w:eastAsia="Calibri" w:hAnsi="Calibri" w:cs="Calibri"/>
        </w:rPr>
        <w:t xml:space="preserve"> (</w:t>
      </w:r>
      <w:r w:rsidR="14AB67CF" w:rsidRPr="0871CD5E">
        <w:rPr>
          <w:rFonts w:ascii="Calibri" w:eastAsia="Calibri" w:hAnsi="Calibri" w:cs="Calibri"/>
          <w:color w:val="000000" w:themeColor="text1"/>
        </w:rPr>
        <w:t>British Educational research association 2018).</w:t>
      </w:r>
    </w:p>
    <w:p w14:paraId="63307F16" w14:textId="2FF3016D" w:rsidR="00600888" w:rsidRDefault="724A9C5F" w:rsidP="0871CD5E">
      <w:pPr>
        <w:spacing w:after="240" w:line="360" w:lineRule="auto"/>
        <w:jc w:val="both"/>
        <w:rPr>
          <w:rFonts w:ascii="Calibri" w:eastAsia="Calibri" w:hAnsi="Calibri" w:cs="Calibri"/>
        </w:rPr>
      </w:pPr>
      <w:r w:rsidRPr="0871CD5E">
        <w:rPr>
          <w:rFonts w:ascii="Calibri" w:eastAsia="Calibri" w:hAnsi="Calibri" w:cs="Calibri"/>
        </w:rPr>
        <w:t>The BERA (2018) states that r</w:t>
      </w:r>
      <w:r w:rsidR="7897B0B8" w:rsidRPr="0871CD5E">
        <w:rPr>
          <w:rFonts w:ascii="Calibri" w:eastAsia="Calibri" w:hAnsi="Calibri" w:cs="Calibri"/>
        </w:rPr>
        <w:t xml:space="preserve">esearchers must also consider the most useful ways of involving and informing participants at the end of the process </w:t>
      </w:r>
      <w:r w:rsidR="70F6B0A1" w:rsidRPr="0871CD5E">
        <w:rPr>
          <w:rFonts w:ascii="Calibri" w:eastAsia="Calibri" w:hAnsi="Calibri" w:cs="Calibri"/>
        </w:rPr>
        <w:t>on</w:t>
      </w:r>
      <w:r w:rsidR="7897B0B8" w:rsidRPr="0871CD5E">
        <w:rPr>
          <w:rFonts w:ascii="Calibri" w:eastAsia="Calibri" w:hAnsi="Calibri" w:cs="Calibri"/>
        </w:rPr>
        <w:t xml:space="preserve"> how to give feedback, how to share findings whilst preserving anonymity and confidentiality. It </w:t>
      </w:r>
      <w:r w:rsidR="16E11535" w:rsidRPr="0871CD5E">
        <w:rPr>
          <w:rFonts w:ascii="Calibri" w:eastAsia="Calibri" w:hAnsi="Calibri" w:cs="Calibri"/>
        </w:rPr>
        <w:t xml:space="preserve">is a key factor </w:t>
      </w:r>
      <w:r w:rsidR="7897B0B8" w:rsidRPr="0871CD5E">
        <w:rPr>
          <w:rFonts w:ascii="Calibri" w:eastAsia="Calibri" w:hAnsi="Calibri" w:cs="Calibri"/>
        </w:rPr>
        <w:t xml:space="preserve">to complete the research cycle </w:t>
      </w:r>
      <w:r w:rsidR="7F308603" w:rsidRPr="0871CD5E">
        <w:rPr>
          <w:rFonts w:ascii="Calibri" w:eastAsia="Calibri" w:hAnsi="Calibri" w:cs="Calibri"/>
        </w:rPr>
        <w:t>by making</w:t>
      </w:r>
      <w:r w:rsidR="7897B0B8" w:rsidRPr="0871CD5E">
        <w:rPr>
          <w:rFonts w:ascii="Calibri" w:eastAsia="Calibri" w:hAnsi="Calibri" w:cs="Calibri"/>
        </w:rPr>
        <w:t xml:space="preserve"> the connection between the research findings and positive outcomes for participants. The findings of </w:t>
      </w:r>
      <w:r w:rsidR="32D18032" w:rsidRPr="0871CD5E">
        <w:rPr>
          <w:rFonts w:ascii="Calibri" w:eastAsia="Calibri" w:hAnsi="Calibri" w:cs="Calibri"/>
        </w:rPr>
        <w:t xml:space="preserve">the </w:t>
      </w:r>
      <w:r w:rsidR="7897B0B8" w:rsidRPr="0871CD5E">
        <w:rPr>
          <w:rFonts w:ascii="Calibri" w:eastAsia="Calibri" w:hAnsi="Calibri" w:cs="Calibri"/>
        </w:rPr>
        <w:t>research</w:t>
      </w:r>
      <w:r w:rsidR="62A8FFA2" w:rsidRPr="0871CD5E">
        <w:rPr>
          <w:rFonts w:ascii="Calibri" w:eastAsia="Calibri" w:hAnsi="Calibri" w:cs="Calibri"/>
        </w:rPr>
        <w:t xml:space="preserve">er </w:t>
      </w:r>
      <w:r w:rsidR="7897B0B8" w:rsidRPr="0871CD5E">
        <w:rPr>
          <w:rFonts w:ascii="Calibri" w:eastAsia="Calibri" w:hAnsi="Calibri" w:cs="Calibri"/>
        </w:rPr>
        <w:t xml:space="preserve">could, for example be used to present a case to Governors for funding an outdoor play area or in supporting the case for </w:t>
      </w:r>
      <w:r w:rsidR="6E9DBE2C" w:rsidRPr="0871CD5E">
        <w:rPr>
          <w:rFonts w:ascii="Calibri" w:eastAsia="Calibri" w:hAnsi="Calibri" w:cs="Calibri"/>
        </w:rPr>
        <w:t>prioritizing</w:t>
      </w:r>
      <w:r w:rsidR="7897B0B8" w:rsidRPr="0871CD5E">
        <w:rPr>
          <w:rFonts w:ascii="Calibri" w:eastAsia="Calibri" w:hAnsi="Calibri" w:cs="Calibri"/>
        </w:rPr>
        <w:t xml:space="preserve"> outdoor play in the School Development Plan. What is important is that all stakeholders are involved at every stage of the process from beginning to end and that </w:t>
      </w:r>
      <w:r w:rsidR="4197B56C" w:rsidRPr="0871CD5E">
        <w:rPr>
          <w:rFonts w:ascii="Calibri" w:eastAsia="Calibri" w:hAnsi="Calibri" w:cs="Calibri"/>
        </w:rPr>
        <w:t>the respect</w:t>
      </w:r>
      <w:r w:rsidR="7897B0B8" w:rsidRPr="0871CD5E">
        <w:rPr>
          <w:rFonts w:ascii="Calibri" w:eastAsia="Calibri" w:hAnsi="Calibri" w:cs="Calibri"/>
        </w:rPr>
        <w:t xml:space="preserve"> the partnership between participants, parents and </w:t>
      </w:r>
      <w:r w:rsidR="267D9DF8" w:rsidRPr="0871CD5E">
        <w:rPr>
          <w:rFonts w:ascii="Calibri" w:eastAsia="Calibri" w:hAnsi="Calibri" w:cs="Calibri"/>
        </w:rPr>
        <w:t xml:space="preserve">the </w:t>
      </w:r>
      <w:r w:rsidR="7897B0B8" w:rsidRPr="0871CD5E">
        <w:rPr>
          <w:rFonts w:ascii="Calibri" w:eastAsia="Calibri" w:hAnsi="Calibri" w:cs="Calibri"/>
        </w:rPr>
        <w:t>setting</w:t>
      </w:r>
      <w:r w:rsidR="2C03EBDF" w:rsidRPr="0871CD5E">
        <w:rPr>
          <w:rFonts w:ascii="Calibri" w:eastAsia="Calibri" w:hAnsi="Calibri" w:cs="Calibri"/>
        </w:rPr>
        <w:t xml:space="preserve"> (</w:t>
      </w:r>
      <w:r w:rsidR="2C03EBDF" w:rsidRPr="0871CD5E">
        <w:rPr>
          <w:rFonts w:ascii="Calibri" w:eastAsia="Calibri" w:hAnsi="Calibri" w:cs="Calibri"/>
          <w:color w:val="000000" w:themeColor="text1"/>
        </w:rPr>
        <w:t>British Educational research association 2018).</w:t>
      </w:r>
    </w:p>
    <w:p w14:paraId="3BB28817" w14:textId="1FEA9C48" w:rsidR="00600888" w:rsidRDefault="00600888" w:rsidP="0871CD5E">
      <w:pPr>
        <w:spacing w:after="240" w:line="360" w:lineRule="auto"/>
        <w:jc w:val="both"/>
        <w:rPr>
          <w:rFonts w:ascii="Calibri" w:eastAsia="Calibri" w:hAnsi="Calibri" w:cs="Calibri"/>
          <w:b/>
          <w:bCs/>
          <w:u w:val="single"/>
        </w:rPr>
      </w:pPr>
    </w:p>
    <w:p w14:paraId="7A9F6B38" w14:textId="1C15DE21" w:rsidR="00600888" w:rsidRDefault="00600888" w:rsidP="0871CD5E">
      <w:pPr>
        <w:spacing w:after="240" w:line="360" w:lineRule="auto"/>
        <w:jc w:val="both"/>
        <w:rPr>
          <w:rFonts w:ascii="Calibri" w:eastAsia="Calibri" w:hAnsi="Calibri" w:cs="Calibri"/>
          <w:b/>
          <w:bCs/>
          <w:u w:val="single"/>
        </w:rPr>
      </w:pPr>
    </w:p>
    <w:p w14:paraId="1B3E8731" w14:textId="2DF38C63" w:rsidR="00600888" w:rsidRDefault="7897B0B8" w:rsidP="0871CD5E">
      <w:pPr>
        <w:spacing w:after="240" w:line="360" w:lineRule="auto"/>
        <w:jc w:val="both"/>
        <w:rPr>
          <w:rFonts w:ascii="Calibri" w:eastAsia="Calibri" w:hAnsi="Calibri" w:cs="Calibri"/>
          <w:b/>
          <w:bCs/>
          <w:u w:val="single"/>
        </w:rPr>
      </w:pPr>
      <w:r w:rsidRPr="0871CD5E">
        <w:rPr>
          <w:rFonts w:ascii="Calibri" w:eastAsia="Calibri" w:hAnsi="Calibri" w:cs="Calibri"/>
          <w:b/>
          <w:bCs/>
          <w:u w:val="single"/>
        </w:rPr>
        <w:t xml:space="preserve">Confidentiality and Collecting and Storing Personal Information </w:t>
      </w:r>
    </w:p>
    <w:p w14:paraId="6A5AEF22" w14:textId="56B3A3AA"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lastRenderedPageBreak/>
        <w:t xml:space="preserve">Another important ethical issue in conducting research into Early Years is that of storing personal information gathered during the research. Collecting and storing personal information is regulated by the </w:t>
      </w:r>
      <w:r w:rsidR="1AAE81C1" w:rsidRPr="0871CD5E">
        <w:rPr>
          <w:rFonts w:ascii="Calibri" w:eastAsia="Calibri" w:hAnsi="Calibri" w:cs="Calibri"/>
        </w:rPr>
        <w:t>(</w:t>
      </w:r>
      <w:r w:rsidRPr="0871CD5E">
        <w:rPr>
          <w:rFonts w:ascii="Calibri" w:eastAsia="Calibri" w:hAnsi="Calibri" w:cs="Calibri"/>
        </w:rPr>
        <w:t>Data Protection Act 0f 2018</w:t>
      </w:r>
      <w:r w:rsidR="7207AE2C" w:rsidRPr="0871CD5E">
        <w:rPr>
          <w:rFonts w:ascii="Calibri" w:eastAsia="Calibri" w:hAnsi="Calibri" w:cs="Calibri"/>
        </w:rPr>
        <w:t>)</w:t>
      </w:r>
      <w:r w:rsidRPr="0871CD5E">
        <w:rPr>
          <w:rFonts w:ascii="Calibri" w:eastAsia="Calibri" w:hAnsi="Calibri" w:cs="Calibri"/>
        </w:rPr>
        <w:t xml:space="preserve">. To comply with the Act, all participants’ personal information must be kept confidential. It states that children’s personal data needs special protection. </w:t>
      </w:r>
      <w:r w:rsidR="27CF1138" w:rsidRPr="0871CD5E">
        <w:rPr>
          <w:rFonts w:ascii="Calibri" w:eastAsia="Calibri" w:hAnsi="Calibri" w:cs="Calibri"/>
        </w:rPr>
        <w:t xml:space="preserve">The </w:t>
      </w:r>
      <w:r w:rsidR="52F9522C" w:rsidRPr="0871CD5E">
        <w:rPr>
          <w:rFonts w:ascii="Calibri" w:eastAsia="Calibri" w:hAnsi="Calibri" w:cs="Calibri"/>
        </w:rPr>
        <w:t>D</w:t>
      </w:r>
      <w:r w:rsidR="27CF1138" w:rsidRPr="0871CD5E">
        <w:rPr>
          <w:rFonts w:ascii="Calibri" w:eastAsia="Calibri" w:hAnsi="Calibri" w:cs="Calibri"/>
        </w:rPr>
        <w:t xml:space="preserve">ata Protection Act </w:t>
      </w:r>
      <w:r w:rsidR="0AE1A279" w:rsidRPr="0871CD5E">
        <w:rPr>
          <w:rFonts w:ascii="Calibri" w:eastAsia="Calibri" w:hAnsi="Calibri" w:cs="Calibri"/>
        </w:rPr>
        <w:t>(</w:t>
      </w:r>
      <w:r w:rsidR="27CF1138" w:rsidRPr="0871CD5E">
        <w:rPr>
          <w:rFonts w:ascii="Calibri" w:eastAsia="Calibri" w:hAnsi="Calibri" w:cs="Calibri"/>
        </w:rPr>
        <w:t xml:space="preserve">2018) states that every child has the same right as adults about their </w:t>
      </w:r>
      <w:r w:rsidR="32B882FC" w:rsidRPr="0871CD5E">
        <w:rPr>
          <w:rFonts w:ascii="Calibri" w:eastAsia="Calibri" w:hAnsi="Calibri" w:cs="Calibri"/>
        </w:rPr>
        <w:t xml:space="preserve">personal information. </w:t>
      </w:r>
      <w:r w:rsidR="71505805" w:rsidRPr="0871CD5E">
        <w:rPr>
          <w:rFonts w:ascii="Calibri" w:eastAsia="Calibri" w:hAnsi="Calibri" w:cs="Calibri"/>
        </w:rPr>
        <w:t>Also, even if a child is too young, they still have those rights</w:t>
      </w:r>
      <w:r w:rsidR="24A4D128" w:rsidRPr="0871CD5E">
        <w:rPr>
          <w:rFonts w:ascii="Calibri" w:eastAsia="Calibri" w:hAnsi="Calibri" w:cs="Calibri"/>
        </w:rPr>
        <w:t xml:space="preserve"> (Data Protection Act 0f 2018)</w:t>
      </w:r>
    </w:p>
    <w:p w14:paraId="5FBFB8FB" w14:textId="67D6A013" w:rsidR="00600888" w:rsidRDefault="7897B0B8" w:rsidP="0871CD5E">
      <w:pPr>
        <w:spacing w:after="240" w:line="360" w:lineRule="auto"/>
        <w:jc w:val="both"/>
        <w:rPr>
          <w:rFonts w:ascii="Calibri" w:eastAsia="Calibri" w:hAnsi="Calibri" w:cs="Calibri"/>
        </w:rPr>
      </w:pPr>
      <w:r w:rsidRPr="0871CD5E">
        <w:rPr>
          <w:rFonts w:ascii="Calibri" w:eastAsia="Calibri" w:hAnsi="Calibri" w:cs="Calibri"/>
        </w:rPr>
        <w:t xml:space="preserve">Anonymity is an important component of confidentiality. When it comes to research at </w:t>
      </w:r>
      <w:r w:rsidR="08215ABB" w:rsidRPr="0871CD5E">
        <w:rPr>
          <w:rFonts w:ascii="Calibri" w:eastAsia="Calibri" w:hAnsi="Calibri" w:cs="Calibri"/>
        </w:rPr>
        <w:t>the researcher</w:t>
      </w:r>
      <w:r w:rsidRPr="0871CD5E">
        <w:rPr>
          <w:rFonts w:ascii="Calibri" w:eastAsia="Calibri" w:hAnsi="Calibri" w:cs="Calibri"/>
        </w:rPr>
        <w:t xml:space="preserve"> chosen setting, only those people within the setting who need to know a participant’s identity should </w:t>
      </w:r>
      <w:r w:rsidR="362666E9" w:rsidRPr="0871CD5E">
        <w:rPr>
          <w:rFonts w:ascii="Calibri" w:eastAsia="Calibri" w:hAnsi="Calibri" w:cs="Calibri"/>
        </w:rPr>
        <w:t xml:space="preserve">know (BERA 2018). </w:t>
      </w:r>
      <w:r w:rsidRPr="0871CD5E">
        <w:rPr>
          <w:rFonts w:ascii="Calibri" w:eastAsia="Calibri" w:hAnsi="Calibri" w:cs="Calibri"/>
        </w:rPr>
        <w:t>It may not be necessary to disclose the identity of participants if findings are to be used to inform policy, improve practice or implement change. The findings of the research study can be reported in such a way so as not to disclose the identity of the participating children</w:t>
      </w:r>
      <w:r w:rsidR="77808E64" w:rsidRPr="0871CD5E">
        <w:rPr>
          <w:rFonts w:ascii="Calibri" w:eastAsia="Calibri" w:hAnsi="Calibri" w:cs="Calibri"/>
        </w:rPr>
        <w:t xml:space="preserve"> (BERA 2018). </w:t>
      </w:r>
      <w:r w:rsidRPr="0871CD5E">
        <w:rPr>
          <w:rFonts w:ascii="Calibri" w:eastAsia="Calibri" w:hAnsi="Calibri" w:cs="Calibri"/>
        </w:rPr>
        <w:t xml:space="preserve">Confidentiality is made more difficult where the number of participants is small. </w:t>
      </w:r>
      <w:r w:rsidR="75C08DDD" w:rsidRPr="0871CD5E">
        <w:rPr>
          <w:rFonts w:ascii="Calibri" w:eastAsia="Calibri" w:hAnsi="Calibri" w:cs="Calibri"/>
        </w:rPr>
        <w:t xml:space="preserve"> Another factor </w:t>
      </w:r>
      <w:r w:rsidR="75811BBE" w:rsidRPr="0871CD5E">
        <w:rPr>
          <w:rFonts w:ascii="Calibri" w:eastAsia="Calibri" w:hAnsi="Calibri" w:cs="Calibri"/>
        </w:rPr>
        <w:t>cares</w:t>
      </w:r>
      <w:r w:rsidRPr="0871CD5E">
        <w:rPr>
          <w:rFonts w:ascii="Calibri" w:eastAsia="Calibri" w:hAnsi="Calibri" w:cs="Calibri"/>
        </w:rPr>
        <w:t xml:space="preserve"> also needs</w:t>
      </w:r>
      <w:r w:rsidR="1784006F" w:rsidRPr="0871CD5E">
        <w:rPr>
          <w:rFonts w:ascii="Calibri" w:eastAsia="Calibri" w:hAnsi="Calibri" w:cs="Calibri"/>
        </w:rPr>
        <w:t xml:space="preserve"> to be taken into consideration </w:t>
      </w:r>
      <w:r w:rsidR="5ED320BC" w:rsidRPr="0871CD5E">
        <w:rPr>
          <w:rFonts w:ascii="Calibri" w:eastAsia="Calibri" w:hAnsi="Calibri" w:cs="Calibri"/>
        </w:rPr>
        <w:t>especially</w:t>
      </w:r>
      <w:r w:rsidRPr="0871CD5E">
        <w:rPr>
          <w:rFonts w:ascii="Calibri" w:eastAsia="Calibri" w:hAnsi="Calibri" w:cs="Calibri"/>
        </w:rPr>
        <w:t xml:space="preserve"> if the findings are to be shared beyond the setting itself</w:t>
      </w:r>
      <w:r w:rsidR="51E2F8C8" w:rsidRPr="0871CD5E">
        <w:rPr>
          <w:rFonts w:ascii="Calibri" w:eastAsia="Calibri" w:hAnsi="Calibri" w:cs="Calibri"/>
        </w:rPr>
        <w:t xml:space="preserve"> (BERA 2018).</w:t>
      </w:r>
      <w:r w:rsidR="00EA93B7" w:rsidRPr="0871CD5E">
        <w:rPr>
          <w:rFonts w:ascii="Calibri" w:eastAsia="Calibri" w:hAnsi="Calibri" w:cs="Calibri"/>
        </w:rPr>
        <w:t xml:space="preserve"> </w:t>
      </w:r>
      <w:r w:rsidRPr="0871CD5E">
        <w:rPr>
          <w:rFonts w:ascii="Calibri" w:eastAsia="Calibri" w:hAnsi="Calibri" w:cs="Calibri"/>
        </w:rPr>
        <w:t xml:space="preserve">Given the age of the participants, the issues and concerns that apply to all </w:t>
      </w:r>
      <w:r w:rsidR="7F106F54" w:rsidRPr="0871CD5E">
        <w:rPr>
          <w:rFonts w:ascii="Calibri" w:eastAsia="Calibri" w:hAnsi="Calibri" w:cs="Calibri"/>
        </w:rPr>
        <w:t>research</w:t>
      </w:r>
      <w:r w:rsidRPr="0871CD5E">
        <w:rPr>
          <w:rFonts w:ascii="Calibri" w:eastAsia="Calibri" w:hAnsi="Calibri" w:cs="Calibri"/>
        </w:rPr>
        <w:t xml:space="preserve"> take on even greater importance.</w:t>
      </w:r>
    </w:p>
    <w:p w14:paraId="0C7C552E" w14:textId="14E1E1E8" w:rsidR="00600888" w:rsidRDefault="00600888" w:rsidP="0871CD5E">
      <w:pPr>
        <w:spacing w:after="240" w:line="360" w:lineRule="auto"/>
        <w:rPr>
          <w:rFonts w:ascii="Calibri" w:eastAsia="Calibri" w:hAnsi="Calibri" w:cs="Calibri"/>
        </w:rPr>
      </w:pPr>
    </w:p>
    <w:p w14:paraId="1DBAB25F" w14:textId="07AD9392" w:rsidR="00600888" w:rsidRDefault="00600888" w:rsidP="0871CD5E">
      <w:pPr>
        <w:spacing w:after="240"/>
        <w:rPr>
          <w:rFonts w:ascii="Aptos" w:eastAsia="Aptos" w:hAnsi="Aptos" w:cs="Aptos"/>
          <w:color w:val="000000" w:themeColor="text1"/>
        </w:rPr>
      </w:pPr>
    </w:p>
    <w:p w14:paraId="60227285" w14:textId="4AA437D9" w:rsidR="00600888" w:rsidRDefault="00600888" w:rsidP="0871CD5E">
      <w:pPr>
        <w:spacing w:after="240"/>
        <w:rPr>
          <w:rFonts w:ascii="Aptos" w:eastAsia="Aptos" w:hAnsi="Aptos" w:cs="Aptos"/>
          <w:color w:val="000000" w:themeColor="text1"/>
        </w:rPr>
      </w:pPr>
    </w:p>
    <w:p w14:paraId="5B96E0B0" w14:textId="34816921" w:rsidR="00600888" w:rsidRDefault="00600888" w:rsidP="0871CD5E">
      <w:pPr>
        <w:spacing w:after="240"/>
        <w:rPr>
          <w:rFonts w:ascii="Aptos" w:eastAsia="Aptos" w:hAnsi="Aptos" w:cs="Aptos"/>
          <w:b/>
          <w:bCs/>
          <w:i/>
          <w:iCs/>
          <w:color w:val="000000" w:themeColor="text1"/>
          <w:u w:val="single"/>
          <w:lang w:val="en-GB"/>
        </w:rPr>
      </w:pPr>
    </w:p>
    <w:p w14:paraId="6F9FF5AF" w14:textId="4FF4038A" w:rsidR="00600888" w:rsidRDefault="00600888" w:rsidP="0871CD5E">
      <w:pPr>
        <w:spacing w:after="240"/>
        <w:rPr>
          <w:rFonts w:ascii="Aptos" w:eastAsia="Aptos" w:hAnsi="Aptos" w:cs="Aptos"/>
          <w:b/>
          <w:bCs/>
          <w:i/>
          <w:iCs/>
          <w:color w:val="000000" w:themeColor="text1"/>
          <w:u w:val="single"/>
          <w:lang w:val="en-GB"/>
        </w:rPr>
      </w:pPr>
    </w:p>
    <w:p w14:paraId="09906F0A" w14:textId="4CFF7D54" w:rsidR="00600888" w:rsidRDefault="00600888" w:rsidP="0871CD5E">
      <w:pPr>
        <w:spacing w:after="240"/>
        <w:rPr>
          <w:rFonts w:ascii="Aptos" w:eastAsia="Aptos" w:hAnsi="Aptos" w:cs="Aptos"/>
          <w:b/>
          <w:bCs/>
          <w:i/>
          <w:iCs/>
          <w:color w:val="000000" w:themeColor="text1"/>
          <w:u w:val="single"/>
          <w:lang w:val="en-GB"/>
        </w:rPr>
      </w:pPr>
    </w:p>
    <w:p w14:paraId="08E68287" w14:textId="6ECACCA4" w:rsidR="00600888" w:rsidRDefault="00600888" w:rsidP="0871CD5E">
      <w:pPr>
        <w:spacing w:after="240"/>
        <w:rPr>
          <w:rFonts w:ascii="Aptos" w:eastAsia="Aptos" w:hAnsi="Aptos" w:cs="Aptos"/>
          <w:b/>
          <w:bCs/>
          <w:i/>
          <w:iCs/>
          <w:color w:val="000000" w:themeColor="text1"/>
          <w:u w:val="single"/>
          <w:lang w:val="en-GB"/>
        </w:rPr>
      </w:pPr>
    </w:p>
    <w:p w14:paraId="01527BB4" w14:textId="79F78959" w:rsidR="00600888" w:rsidRDefault="00600888" w:rsidP="0871CD5E">
      <w:pPr>
        <w:spacing w:after="240"/>
        <w:rPr>
          <w:rFonts w:ascii="Aptos" w:eastAsia="Aptos" w:hAnsi="Aptos" w:cs="Aptos"/>
          <w:b/>
          <w:bCs/>
          <w:i/>
          <w:iCs/>
          <w:color w:val="000000" w:themeColor="text1"/>
          <w:u w:val="single"/>
          <w:lang w:val="en-GB"/>
        </w:rPr>
      </w:pPr>
    </w:p>
    <w:p w14:paraId="39B66D82" w14:textId="048C1AE8" w:rsidR="00600888" w:rsidRDefault="3AE688BA" w:rsidP="0871CD5E">
      <w:pPr>
        <w:spacing w:after="240"/>
        <w:rPr>
          <w:rFonts w:ascii="Aptos" w:eastAsia="Aptos" w:hAnsi="Aptos" w:cs="Aptos"/>
          <w:b/>
          <w:bCs/>
          <w:i/>
          <w:iCs/>
          <w:color w:val="000000" w:themeColor="text1"/>
          <w:u w:val="single"/>
          <w:lang w:val="en-GB"/>
        </w:rPr>
      </w:pPr>
      <w:r w:rsidRPr="0871CD5E">
        <w:rPr>
          <w:rFonts w:ascii="Aptos" w:eastAsia="Aptos" w:hAnsi="Aptos" w:cs="Aptos"/>
          <w:b/>
          <w:bCs/>
          <w:i/>
          <w:iCs/>
          <w:color w:val="000000" w:themeColor="text1"/>
          <w:u w:val="single"/>
          <w:lang w:val="en-GB"/>
        </w:rPr>
        <w:t xml:space="preserve">References list </w:t>
      </w:r>
    </w:p>
    <w:p w14:paraId="6AA09C94" w14:textId="00F401D9"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lastRenderedPageBreak/>
        <w:t xml:space="preserve">Carter, N., Bryant-Lukosius, D., DiCenso, A., Blythe, J. and Neville, A.J. (2014). </w:t>
      </w:r>
      <w:r w:rsidRPr="0871CD5E">
        <w:rPr>
          <w:rFonts w:ascii="Calibri" w:eastAsia="Calibri" w:hAnsi="Calibri" w:cs="Calibri"/>
          <w:i/>
          <w:iCs/>
          <w:color w:val="000000" w:themeColor="text1"/>
          <w:lang w:val="en-GB"/>
        </w:rPr>
        <w:t xml:space="preserve">The Use of Triangulation in Qualitative Research. </w:t>
      </w:r>
      <w:r w:rsidRPr="0871CD5E">
        <w:rPr>
          <w:rFonts w:ascii="Calibri" w:eastAsia="Calibri" w:hAnsi="Calibri" w:cs="Calibri"/>
          <w:color w:val="000000" w:themeColor="text1"/>
          <w:lang w:val="en-GB"/>
        </w:rPr>
        <w:t xml:space="preserve">[online] National Library of Medicine. Available at: </w:t>
      </w:r>
      <w:hyperlink r:id="rId7">
        <w:r w:rsidRPr="0871CD5E">
          <w:rPr>
            <w:rStyle w:val="Hyperlink"/>
            <w:rFonts w:ascii="Calibri" w:eastAsia="Calibri" w:hAnsi="Calibri" w:cs="Calibri"/>
            <w:lang w:val="en-GB"/>
          </w:rPr>
          <w:t>https://pubmed.ncbi.nlm.nih.gov/25158659/</w:t>
        </w:r>
      </w:hyperlink>
      <w:r w:rsidRPr="0871CD5E">
        <w:rPr>
          <w:rFonts w:ascii="Calibri" w:eastAsia="Calibri" w:hAnsi="Calibri" w:cs="Calibri"/>
          <w:color w:val="000000" w:themeColor="text1"/>
          <w:lang w:val="en-GB"/>
        </w:rPr>
        <w:t>.</w:t>
      </w:r>
    </w:p>
    <w:p w14:paraId="2534F2A0" w14:textId="76E54592"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Ginsburg, K.R. (2007). </w:t>
      </w:r>
      <w:r w:rsidRPr="0871CD5E">
        <w:rPr>
          <w:rFonts w:ascii="Calibri" w:eastAsia="Calibri" w:hAnsi="Calibri" w:cs="Calibri"/>
          <w:i/>
          <w:iCs/>
          <w:color w:val="000000" w:themeColor="text1"/>
          <w:lang w:val="en-GB"/>
        </w:rPr>
        <w:t>The Importance of Play in Promoting Healthy Child Development and Maintaining Strong Parent-Child Bonds. American Academy of Pediatrics</w:t>
      </w:r>
      <w:r w:rsidR="6020AB5F" w:rsidRPr="0871CD5E">
        <w:rPr>
          <w:rFonts w:ascii="Calibri" w:eastAsia="Calibri" w:hAnsi="Calibri" w:cs="Calibri"/>
          <w:i/>
          <w:iCs/>
          <w:color w:val="000000" w:themeColor="text1"/>
          <w:lang w:val="en-GB"/>
        </w:rPr>
        <w:t xml:space="preserve">. </w:t>
      </w:r>
      <w:r w:rsidRPr="0871CD5E">
        <w:rPr>
          <w:rFonts w:ascii="Calibri" w:eastAsia="Calibri" w:hAnsi="Calibri" w:cs="Calibri"/>
          <w:color w:val="000000" w:themeColor="text1"/>
          <w:lang w:val="en-GB"/>
        </w:rPr>
        <w:t xml:space="preserve"> 119(1), pp.182–191. doi:https://doi.org/10.1542/peds.2006-2697.</w:t>
      </w:r>
    </w:p>
    <w:p w14:paraId="1B0280A7" w14:textId="6780797D"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Heale, R. and Twycross, A. (2015). </w:t>
      </w:r>
      <w:r w:rsidRPr="0871CD5E">
        <w:rPr>
          <w:rFonts w:ascii="Calibri" w:eastAsia="Calibri" w:hAnsi="Calibri" w:cs="Calibri"/>
          <w:i/>
          <w:iCs/>
          <w:color w:val="000000" w:themeColor="text1"/>
          <w:lang w:val="en-GB"/>
        </w:rPr>
        <w:t>Validity and reliability in quantitative studies .</w:t>
      </w:r>
      <w:r w:rsidRPr="0871CD5E">
        <w:rPr>
          <w:rFonts w:ascii="Calibri" w:eastAsia="Calibri" w:hAnsi="Calibri" w:cs="Calibri"/>
          <w:color w:val="000000" w:themeColor="text1"/>
          <w:lang w:val="en-GB"/>
        </w:rPr>
        <w:t xml:space="preserve"> [online] Evidence Base Nursing. Available at: </w:t>
      </w:r>
      <w:hyperlink r:id="rId8" w:anchor="ref-1">
        <w:r w:rsidRPr="0871CD5E">
          <w:rPr>
            <w:rStyle w:val="Hyperlink"/>
            <w:rFonts w:ascii="Calibri" w:eastAsia="Calibri" w:hAnsi="Calibri" w:cs="Calibri"/>
            <w:lang w:val="en-GB"/>
          </w:rPr>
          <w:t>https://ebn.bmj.com/content/18/3/66#ref-1</w:t>
        </w:r>
      </w:hyperlink>
      <w:r w:rsidRPr="0871CD5E">
        <w:rPr>
          <w:rFonts w:ascii="Calibri" w:eastAsia="Calibri" w:hAnsi="Calibri" w:cs="Calibri"/>
          <w:color w:val="000000" w:themeColor="text1"/>
          <w:lang w:val="en-GB"/>
        </w:rPr>
        <w:t xml:space="preserve"> [Accessed 12 Oct. 2024].</w:t>
      </w:r>
    </w:p>
    <w:p w14:paraId="6B11636F" w14:textId="62BF46D9"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Noble, H. and Heale, R. (2019). </w:t>
      </w:r>
      <w:r w:rsidRPr="0871CD5E">
        <w:rPr>
          <w:rFonts w:ascii="Calibri" w:eastAsia="Calibri" w:hAnsi="Calibri" w:cs="Calibri"/>
          <w:i/>
          <w:iCs/>
          <w:color w:val="000000" w:themeColor="text1"/>
          <w:lang w:val="en-GB"/>
        </w:rPr>
        <w:t>Triangulation in Research. Evidence Based Nursing</w:t>
      </w:r>
      <w:r w:rsidRPr="0871CD5E">
        <w:rPr>
          <w:rFonts w:ascii="Calibri" w:eastAsia="Calibri" w:hAnsi="Calibri" w:cs="Calibri"/>
          <w:color w:val="000000" w:themeColor="text1"/>
          <w:lang w:val="en-GB"/>
        </w:rPr>
        <w:t>, 22(3), pp.67–68.</w:t>
      </w:r>
    </w:p>
    <w:p w14:paraId="1DC2C627" w14:textId="3AD1AA51"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Sandelowski, M., Voils, C.I., Leeman, J. and Crandell, J.L. (2011). </w:t>
      </w:r>
      <w:r w:rsidRPr="0871CD5E">
        <w:rPr>
          <w:rFonts w:ascii="Calibri" w:eastAsia="Calibri" w:hAnsi="Calibri" w:cs="Calibri"/>
          <w:i/>
          <w:iCs/>
          <w:color w:val="000000" w:themeColor="text1"/>
          <w:lang w:val="en-GB"/>
        </w:rPr>
        <w:t>Mapping the Mixed Methods–Mixed Research Synthesis Terrain. Journal of Mixed Methods Research,</w:t>
      </w:r>
      <w:r w:rsidRPr="0871CD5E">
        <w:rPr>
          <w:rFonts w:ascii="Calibri" w:eastAsia="Calibri" w:hAnsi="Calibri" w:cs="Calibri"/>
          <w:color w:val="000000" w:themeColor="text1"/>
          <w:lang w:val="en-GB"/>
        </w:rPr>
        <w:t xml:space="preserve"> 6(4), pp.317–331. doi:https://doi.org/10.1177/1558689811427913.</w:t>
      </w:r>
    </w:p>
    <w:p w14:paraId="1933F746" w14:textId="6EFD7D1F"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Sandelowski, M., Voils, C.I., Leeman, J. and Crandell, J.L. (2011). </w:t>
      </w:r>
      <w:r w:rsidRPr="0871CD5E">
        <w:rPr>
          <w:rFonts w:ascii="Calibri" w:eastAsia="Calibri" w:hAnsi="Calibri" w:cs="Calibri"/>
          <w:i/>
          <w:iCs/>
          <w:color w:val="000000" w:themeColor="text1"/>
          <w:lang w:val="en-GB"/>
        </w:rPr>
        <w:t>Mapping the Mixed Methods–Mixed Research Synthesis Terrain. Journal of Mixed Methods Research,</w:t>
      </w:r>
      <w:r w:rsidRPr="0871CD5E">
        <w:rPr>
          <w:rFonts w:ascii="Calibri" w:eastAsia="Calibri" w:hAnsi="Calibri" w:cs="Calibri"/>
          <w:color w:val="000000" w:themeColor="text1"/>
          <w:lang w:val="en-GB"/>
        </w:rPr>
        <w:t xml:space="preserve"> 6(4), pp.317–331. doi:https://doi.org/10.1177/1558689811427913.</w:t>
      </w:r>
    </w:p>
    <w:p w14:paraId="4136F82C" w14:textId="12B64DAE" w:rsidR="00600888" w:rsidRDefault="7B9C0F8C" w:rsidP="0871CD5E">
      <w:pPr>
        <w:spacing w:after="240"/>
        <w:rPr>
          <w:rFonts w:ascii="Calibri" w:eastAsia="Calibri" w:hAnsi="Calibri" w:cs="Calibri"/>
          <w:color w:val="000000" w:themeColor="text1"/>
        </w:rPr>
      </w:pPr>
      <w:r w:rsidRPr="0871CD5E">
        <w:rPr>
          <w:rFonts w:ascii="Calibri" w:eastAsia="Calibri" w:hAnsi="Calibri" w:cs="Calibri"/>
          <w:color w:val="000000" w:themeColor="text1"/>
          <w:lang w:val="en-GB"/>
        </w:rPr>
        <w:t xml:space="preserve">Yogman, M., Garner, A., Hutchinson, J., Hirsh-Pasek, K. and Golinkoff, R.M. (2018). </w:t>
      </w:r>
      <w:r w:rsidRPr="0871CD5E">
        <w:rPr>
          <w:rFonts w:ascii="Calibri" w:eastAsia="Calibri" w:hAnsi="Calibri" w:cs="Calibri"/>
          <w:i/>
          <w:iCs/>
          <w:color w:val="000000" w:themeColor="text1"/>
          <w:lang w:val="en-GB"/>
        </w:rPr>
        <w:t>The power of play: A pediatric role in enhancing development in young children. Pediatrics,</w:t>
      </w:r>
      <w:r w:rsidRPr="0871CD5E">
        <w:rPr>
          <w:rFonts w:ascii="Calibri" w:eastAsia="Calibri" w:hAnsi="Calibri" w:cs="Calibri"/>
          <w:color w:val="000000" w:themeColor="text1"/>
          <w:lang w:val="en-GB"/>
        </w:rPr>
        <w:t xml:space="preserve"> 142(3). doi:https://doi.org/10.1542/peds.2018-2058.</w:t>
      </w:r>
    </w:p>
    <w:p w14:paraId="2701D78F" w14:textId="15D2C250" w:rsidR="00600888" w:rsidRDefault="51DFD101" w:rsidP="0871CD5E">
      <w:pPr>
        <w:spacing w:after="240"/>
        <w:rPr>
          <w:rFonts w:ascii="Calibri" w:eastAsia="Calibri" w:hAnsi="Calibri" w:cs="Calibri"/>
        </w:rPr>
      </w:pPr>
      <w:r w:rsidRPr="0871CD5E">
        <w:rPr>
          <w:rFonts w:ascii="Calibri" w:eastAsia="Calibri" w:hAnsi="Calibri" w:cs="Calibri"/>
          <w:color w:val="212121"/>
        </w:rPr>
        <w:t>Ginsburg</w:t>
      </w:r>
      <w:r w:rsidR="373ED90B" w:rsidRPr="0871CD5E">
        <w:rPr>
          <w:rFonts w:ascii="Calibri" w:eastAsia="Calibri" w:hAnsi="Calibri" w:cs="Calibri"/>
          <w:color w:val="212121"/>
        </w:rPr>
        <w:t>,</w:t>
      </w:r>
      <w:r w:rsidRPr="0871CD5E">
        <w:rPr>
          <w:rFonts w:ascii="Calibri" w:eastAsia="Calibri" w:hAnsi="Calibri" w:cs="Calibri"/>
          <w:color w:val="212121"/>
        </w:rPr>
        <w:t xml:space="preserve"> K. R.</w:t>
      </w:r>
      <w:r w:rsidR="55AD160F" w:rsidRPr="0871CD5E">
        <w:rPr>
          <w:rFonts w:ascii="Calibri" w:eastAsia="Calibri" w:hAnsi="Calibri" w:cs="Calibri"/>
          <w:color w:val="212121"/>
        </w:rPr>
        <w:t xml:space="preserve"> (2007)</w:t>
      </w:r>
      <w:r w:rsidRPr="0871CD5E">
        <w:rPr>
          <w:rFonts w:ascii="Calibri" w:eastAsia="Calibri" w:hAnsi="Calibri" w:cs="Calibri"/>
          <w:color w:val="212121"/>
        </w:rPr>
        <w:t xml:space="preserve"> </w:t>
      </w:r>
      <w:r w:rsidRPr="0871CD5E">
        <w:rPr>
          <w:rFonts w:ascii="Calibri" w:eastAsia="Calibri" w:hAnsi="Calibri" w:cs="Calibri"/>
          <w:i/>
          <w:iCs/>
          <w:color w:val="212121"/>
        </w:rPr>
        <w:t xml:space="preserve">The importance of play in promoting healthy child development and maintaining strong parent-child </w:t>
      </w:r>
      <w:r w:rsidR="176092C2" w:rsidRPr="0871CD5E">
        <w:rPr>
          <w:rFonts w:ascii="Calibri" w:eastAsia="Calibri" w:hAnsi="Calibri" w:cs="Calibri"/>
          <w:i/>
          <w:iCs/>
          <w:color w:val="212121"/>
        </w:rPr>
        <w:t>bonds, 119</w:t>
      </w:r>
      <w:r w:rsidRPr="0871CD5E">
        <w:rPr>
          <w:rFonts w:ascii="Calibri" w:eastAsia="Calibri" w:hAnsi="Calibri" w:cs="Calibri"/>
          <w:color w:val="212121"/>
        </w:rPr>
        <w:t>(1)</w:t>
      </w:r>
      <w:r w:rsidR="0EB3DCAB" w:rsidRPr="0871CD5E">
        <w:rPr>
          <w:rFonts w:ascii="Calibri" w:eastAsia="Calibri" w:hAnsi="Calibri" w:cs="Calibri"/>
          <w:color w:val="212121"/>
        </w:rPr>
        <w:t>, pp.</w:t>
      </w:r>
      <w:r w:rsidRPr="0871CD5E">
        <w:rPr>
          <w:rFonts w:ascii="Calibri" w:eastAsia="Calibri" w:hAnsi="Calibri" w:cs="Calibri"/>
          <w:color w:val="212121"/>
        </w:rPr>
        <w:t>182-91. doi: 10.1542/20062697</w:t>
      </w:r>
      <w:r w:rsidR="3F2CC6BB" w:rsidRPr="0871CD5E">
        <w:rPr>
          <w:rFonts w:ascii="Calibri" w:eastAsia="Calibri" w:hAnsi="Calibri" w:cs="Calibri"/>
          <w:color w:val="212121"/>
        </w:rPr>
        <w:t xml:space="preserve"> </w:t>
      </w:r>
    </w:p>
    <w:p w14:paraId="15F449BB" w14:textId="052D811D" w:rsidR="00600888" w:rsidRDefault="3F2CC6BB" w:rsidP="0871CD5E">
      <w:pPr>
        <w:spacing w:after="240"/>
        <w:rPr>
          <w:rFonts w:ascii="Calibri" w:eastAsia="Calibri" w:hAnsi="Calibri" w:cs="Calibri"/>
        </w:rPr>
      </w:pPr>
      <w:r w:rsidRPr="0871CD5E">
        <w:rPr>
          <w:rFonts w:ascii="Calibri" w:eastAsia="Calibri" w:hAnsi="Calibri" w:cs="Calibri"/>
          <w:color w:val="212121"/>
        </w:rPr>
        <w:t xml:space="preserve">UNICEF (No Date) </w:t>
      </w:r>
      <w:r w:rsidRPr="0871CD5E">
        <w:rPr>
          <w:rFonts w:ascii="Calibri" w:eastAsia="Calibri" w:hAnsi="Calibri" w:cs="Calibri"/>
          <w:i/>
          <w:iCs/>
          <w:color w:val="212121"/>
        </w:rPr>
        <w:t>How pl</w:t>
      </w:r>
      <w:r w:rsidR="13D24C7E" w:rsidRPr="0871CD5E">
        <w:rPr>
          <w:rFonts w:ascii="Calibri" w:eastAsia="Calibri" w:hAnsi="Calibri" w:cs="Calibri"/>
          <w:i/>
          <w:iCs/>
          <w:color w:val="212121"/>
        </w:rPr>
        <w:t>ay strengthens your child’s mental health.</w:t>
      </w:r>
      <w:r w:rsidR="13D24C7E" w:rsidRPr="0871CD5E">
        <w:rPr>
          <w:rFonts w:ascii="Calibri" w:eastAsia="Calibri" w:hAnsi="Calibri" w:cs="Calibri"/>
          <w:color w:val="212121"/>
        </w:rPr>
        <w:t xml:space="preserve"> Available at:</w:t>
      </w:r>
      <w:hyperlink r:id="rId9" w:anchor=":~:text=When%20children%20are%20dealing%20with%20complex%20emotional%20issues%2C,don%E2%80%99t%20yet%20have%20the%20words%20to%20fully%20explain.">
        <w:r w:rsidR="60191069" w:rsidRPr="0871CD5E">
          <w:rPr>
            <w:rStyle w:val="Hyperlink"/>
            <w:rFonts w:ascii="Calibri" w:eastAsia="Calibri" w:hAnsi="Calibri" w:cs="Calibri"/>
          </w:rPr>
          <w:t>How play strengthens your child’s mental health | UNICEF Parenting</w:t>
        </w:r>
      </w:hyperlink>
      <w:r w:rsidR="34B3E007" w:rsidRPr="0871CD5E">
        <w:rPr>
          <w:rFonts w:ascii="Calibri" w:eastAsia="Calibri" w:hAnsi="Calibri" w:cs="Calibri"/>
        </w:rPr>
        <w:t xml:space="preserve"> (Accessed: 10 October 20204). </w:t>
      </w:r>
    </w:p>
    <w:p w14:paraId="2C078E63" w14:textId="728A9D28" w:rsidR="00600888" w:rsidRDefault="63767C15" w:rsidP="0871CD5E">
      <w:pPr>
        <w:spacing w:after="240"/>
        <w:rPr>
          <w:rFonts w:ascii="Calibri" w:eastAsia="Calibri" w:hAnsi="Calibri" w:cs="Calibri"/>
        </w:rPr>
      </w:pPr>
      <w:r w:rsidRPr="0871CD5E">
        <w:rPr>
          <w:rFonts w:ascii="Calibri" w:eastAsia="Calibri" w:hAnsi="Calibri" w:cs="Calibri"/>
        </w:rPr>
        <w:t xml:space="preserve">Kirk, G. and Jay, J. (2018) </w:t>
      </w:r>
      <w:r w:rsidRPr="0871CD5E">
        <w:rPr>
          <w:rFonts w:ascii="Calibri" w:eastAsia="Calibri" w:hAnsi="Calibri" w:cs="Calibri"/>
          <w:i/>
          <w:iCs/>
        </w:rPr>
        <w:t>Supporting kindergarten C</w:t>
      </w:r>
      <w:r w:rsidR="68F07DEF" w:rsidRPr="0871CD5E">
        <w:rPr>
          <w:rFonts w:ascii="Calibri" w:eastAsia="Calibri" w:hAnsi="Calibri" w:cs="Calibri"/>
          <w:i/>
          <w:iCs/>
        </w:rPr>
        <w:t xml:space="preserve">hildren’s Social and Emotional Development: Examining the Synergetic Role of </w:t>
      </w:r>
      <w:r w:rsidR="35A03748" w:rsidRPr="0871CD5E">
        <w:rPr>
          <w:rFonts w:ascii="Calibri" w:eastAsia="Calibri" w:hAnsi="Calibri" w:cs="Calibri"/>
          <w:i/>
          <w:iCs/>
        </w:rPr>
        <w:t>Environment, Play, and Relationships</w:t>
      </w:r>
      <w:r w:rsidR="134A2A88" w:rsidRPr="0871CD5E">
        <w:rPr>
          <w:rFonts w:ascii="Calibri" w:eastAsia="Calibri" w:hAnsi="Calibri" w:cs="Calibri"/>
          <w:i/>
          <w:iCs/>
        </w:rPr>
        <w:t>,</w:t>
      </w:r>
      <w:r w:rsidR="134A2A88" w:rsidRPr="0871CD5E">
        <w:rPr>
          <w:rFonts w:ascii="Calibri" w:eastAsia="Calibri" w:hAnsi="Calibri" w:cs="Calibri"/>
        </w:rPr>
        <w:t xml:space="preserve"> 32(4), pp.472-485 </w:t>
      </w:r>
      <w:r w:rsidR="4A3F9036" w:rsidRPr="0871CD5E">
        <w:rPr>
          <w:rFonts w:ascii="Calibri" w:eastAsia="Calibri" w:hAnsi="Calibri" w:cs="Calibri"/>
        </w:rPr>
        <w:t>A</w:t>
      </w:r>
      <w:r w:rsidR="134A2A88" w:rsidRPr="0871CD5E">
        <w:rPr>
          <w:rFonts w:ascii="Calibri" w:eastAsia="Calibri" w:hAnsi="Calibri" w:cs="Calibri"/>
        </w:rPr>
        <w:t xml:space="preserve">rticle </w:t>
      </w:r>
      <w:r w:rsidR="785792E6" w:rsidRPr="0871CD5E">
        <w:rPr>
          <w:rFonts w:ascii="Calibri" w:eastAsia="Calibri" w:hAnsi="Calibri" w:cs="Calibri"/>
        </w:rPr>
        <w:t xml:space="preserve">1495671. Available at: </w:t>
      </w:r>
      <w:hyperlink r:id="rId10">
        <w:r w:rsidR="43D7BE37" w:rsidRPr="0871CD5E">
          <w:rPr>
            <w:rStyle w:val="Hyperlink"/>
            <w:rFonts w:ascii="Calibri" w:eastAsia="Calibri" w:hAnsi="Calibri" w:cs="Calibri"/>
          </w:rPr>
          <w:t>Supporting Kindergarten Children’s Social and Emotional Development: Examining the Synergetic Role of Environments, Play, and Relationships (uwtsd.ac.uk)</w:t>
        </w:r>
      </w:hyperlink>
    </w:p>
    <w:p w14:paraId="477305F5" w14:textId="6D0DC279" w:rsidR="7E197674" w:rsidRDefault="7E197674" w:rsidP="0871CD5E">
      <w:pPr>
        <w:spacing w:after="240"/>
        <w:rPr>
          <w:rFonts w:ascii="Calibri" w:eastAsia="Calibri" w:hAnsi="Calibri" w:cs="Calibri"/>
        </w:rPr>
      </w:pPr>
      <w:r w:rsidRPr="0871CD5E">
        <w:rPr>
          <w:rFonts w:ascii="Calibri" w:eastAsia="Calibri" w:hAnsi="Calibri" w:cs="Calibri"/>
        </w:rPr>
        <w:lastRenderedPageBreak/>
        <w:t xml:space="preserve"> The Early Years Company (2024) </w:t>
      </w:r>
      <w:r w:rsidRPr="0871CD5E">
        <w:rPr>
          <w:rFonts w:ascii="Calibri" w:eastAsia="Calibri" w:hAnsi="Calibri" w:cs="Calibri"/>
          <w:i/>
          <w:iCs/>
        </w:rPr>
        <w:t xml:space="preserve">The Importance of Creative Play in Early Years Education. </w:t>
      </w:r>
      <w:r w:rsidRPr="0871CD5E">
        <w:rPr>
          <w:rFonts w:ascii="Calibri" w:eastAsia="Calibri" w:hAnsi="Calibri" w:cs="Calibri"/>
        </w:rPr>
        <w:t>Available at:</w:t>
      </w:r>
      <w:r w:rsidR="67C3B08F" w:rsidRPr="0871CD5E">
        <w:rPr>
          <w:rFonts w:ascii="Calibri" w:eastAsia="Calibri" w:hAnsi="Calibri" w:cs="Calibri"/>
        </w:rPr>
        <w:t xml:space="preserve"> </w:t>
      </w:r>
      <w:hyperlink r:id="rId11">
        <w:r w:rsidR="67C3B08F" w:rsidRPr="0871CD5E">
          <w:rPr>
            <w:rStyle w:val="Hyperlink"/>
            <w:rFonts w:ascii="Calibri" w:eastAsia="Calibri" w:hAnsi="Calibri" w:cs="Calibri"/>
          </w:rPr>
          <w:t>The Importance of Creative Play in Early Years Education  | The Early Years Company</w:t>
        </w:r>
      </w:hyperlink>
      <w:r w:rsidR="53DBACBE" w:rsidRPr="0871CD5E">
        <w:rPr>
          <w:rFonts w:ascii="Calibri" w:eastAsia="Calibri" w:hAnsi="Calibri" w:cs="Calibri"/>
        </w:rPr>
        <w:t xml:space="preserve">  (Accessed 13 October 2024). </w:t>
      </w:r>
    </w:p>
    <w:p w14:paraId="6F086C89" w14:textId="5AD39899" w:rsidR="4FB37C87" w:rsidRDefault="4FB37C87" w:rsidP="0871CD5E">
      <w:pPr>
        <w:spacing w:after="240"/>
        <w:rPr>
          <w:rFonts w:ascii="Calibri" w:eastAsia="Calibri" w:hAnsi="Calibri" w:cs="Calibri"/>
        </w:rPr>
      </w:pPr>
      <w:r w:rsidRPr="0871CD5E">
        <w:rPr>
          <w:rFonts w:ascii="Calibri" w:eastAsia="Calibri" w:hAnsi="Calibri" w:cs="Calibri"/>
        </w:rPr>
        <w:t>Parker, R. Thomsen, S.B and Berry, A. (</w:t>
      </w:r>
      <w:r w:rsidR="230B102A" w:rsidRPr="0871CD5E">
        <w:rPr>
          <w:rFonts w:ascii="Calibri" w:eastAsia="Calibri" w:hAnsi="Calibri" w:cs="Calibri"/>
        </w:rPr>
        <w:t xml:space="preserve">2022) </w:t>
      </w:r>
      <w:r w:rsidR="230B102A" w:rsidRPr="0871CD5E">
        <w:rPr>
          <w:rFonts w:ascii="Calibri" w:eastAsia="Calibri" w:hAnsi="Calibri" w:cs="Calibri"/>
          <w:i/>
          <w:iCs/>
        </w:rPr>
        <w:t xml:space="preserve">Learning Through Play at School- A </w:t>
      </w:r>
      <w:r w:rsidR="4D8B894A" w:rsidRPr="0871CD5E">
        <w:rPr>
          <w:rFonts w:ascii="Calibri" w:eastAsia="Calibri" w:hAnsi="Calibri" w:cs="Calibri"/>
          <w:i/>
          <w:iCs/>
        </w:rPr>
        <w:t xml:space="preserve">Framework for Policy and Practice, </w:t>
      </w:r>
      <w:r w:rsidR="4A04A1F2" w:rsidRPr="0871CD5E">
        <w:rPr>
          <w:rFonts w:ascii="Calibri" w:eastAsia="Calibri" w:hAnsi="Calibri" w:cs="Calibri"/>
          <w:i/>
          <w:iCs/>
        </w:rPr>
        <w:t>(</w:t>
      </w:r>
      <w:r w:rsidR="4A04A1F2" w:rsidRPr="0871CD5E">
        <w:rPr>
          <w:rFonts w:ascii="Calibri" w:eastAsia="Calibri" w:hAnsi="Calibri" w:cs="Calibri"/>
        </w:rPr>
        <w:t>February) article 751801. Available at:</w:t>
      </w:r>
      <w:r w:rsidR="497CED36" w:rsidRPr="0871CD5E">
        <w:rPr>
          <w:rFonts w:ascii="Calibri" w:eastAsia="Calibri" w:hAnsi="Calibri" w:cs="Calibri"/>
        </w:rPr>
        <w:t xml:space="preserve"> </w:t>
      </w:r>
      <w:hyperlink r:id="rId12">
        <w:r w:rsidR="497CED36" w:rsidRPr="0871CD5E">
          <w:rPr>
            <w:rStyle w:val="Hyperlink"/>
            <w:rFonts w:ascii="Calibri" w:eastAsia="Calibri" w:hAnsi="Calibri" w:cs="Calibri"/>
          </w:rPr>
          <w:t>Frontiers | Learning Through Play at School – A Framework for Policy and Practice (frontiersin.org)</w:t>
        </w:r>
      </w:hyperlink>
    </w:p>
    <w:p w14:paraId="3D0C681F" w14:textId="0D3B23B3" w:rsidR="156113B9" w:rsidRDefault="156113B9" w:rsidP="0871CD5E">
      <w:pPr>
        <w:jc w:val="both"/>
        <w:rPr>
          <w:rFonts w:ascii="Calibri" w:eastAsia="Calibri" w:hAnsi="Calibri" w:cs="Calibri"/>
        </w:rPr>
      </w:pPr>
      <w:r w:rsidRPr="0871CD5E">
        <w:rPr>
          <w:rFonts w:ascii="Calibri" w:eastAsia="Calibri" w:hAnsi="Calibri" w:cs="Calibri"/>
        </w:rPr>
        <w:t xml:space="preserve">Glaveanu, P.V. (2019) </w:t>
      </w:r>
      <w:r w:rsidRPr="0871CD5E">
        <w:rPr>
          <w:rFonts w:ascii="Calibri" w:eastAsia="Calibri" w:hAnsi="Calibri" w:cs="Calibri"/>
          <w:i/>
          <w:iCs/>
        </w:rPr>
        <w:t>The Cr</w:t>
      </w:r>
      <w:r w:rsidR="5992C91C" w:rsidRPr="0871CD5E">
        <w:rPr>
          <w:rFonts w:ascii="Calibri" w:eastAsia="Calibri" w:hAnsi="Calibri" w:cs="Calibri"/>
          <w:i/>
          <w:iCs/>
        </w:rPr>
        <w:t>eativity Reader.</w:t>
      </w:r>
      <w:r w:rsidR="5992C91C" w:rsidRPr="0871CD5E">
        <w:rPr>
          <w:rFonts w:ascii="Calibri" w:eastAsia="Calibri" w:hAnsi="Calibri" w:cs="Calibri"/>
        </w:rPr>
        <w:t xml:space="preserve"> Oxford University Press: New York. </w:t>
      </w:r>
    </w:p>
    <w:p w14:paraId="5FC59CAA" w14:textId="378E866D" w:rsidR="4EFEC5B2" w:rsidRDefault="4EFEC5B2" w:rsidP="0871CD5E">
      <w:pPr>
        <w:jc w:val="both"/>
        <w:rPr>
          <w:rFonts w:ascii="Calibri" w:eastAsia="Calibri" w:hAnsi="Calibri" w:cs="Calibri"/>
        </w:rPr>
      </w:pPr>
      <w:r w:rsidRPr="0871CD5E">
        <w:rPr>
          <w:rFonts w:ascii="Calibri" w:eastAsia="Calibri" w:hAnsi="Calibri" w:cs="Calibri"/>
        </w:rPr>
        <w:t xml:space="preserve">Welsh Government (2022) </w:t>
      </w:r>
      <w:r w:rsidRPr="0871CD5E">
        <w:rPr>
          <w:rFonts w:ascii="Calibri" w:eastAsia="Calibri" w:hAnsi="Calibri" w:cs="Calibri"/>
          <w:i/>
          <w:iCs/>
        </w:rPr>
        <w:t>Curriculum f</w:t>
      </w:r>
      <w:r w:rsidR="6A64BE7D" w:rsidRPr="0871CD5E">
        <w:rPr>
          <w:rFonts w:ascii="Calibri" w:eastAsia="Calibri" w:hAnsi="Calibri" w:cs="Calibri"/>
          <w:i/>
          <w:iCs/>
        </w:rPr>
        <w:t>or funded non-maintained nursery settings.</w:t>
      </w:r>
      <w:r w:rsidR="6A64BE7D" w:rsidRPr="0871CD5E">
        <w:rPr>
          <w:rFonts w:ascii="Calibri" w:eastAsia="Calibri" w:hAnsi="Calibri" w:cs="Calibri"/>
        </w:rPr>
        <w:t xml:space="preserve"> Available at: </w:t>
      </w:r>
      <w:hyperlink r:id="rId13">
        <w:r w:rsidR="6A64BE7D" w:rsidRPr="0871CD5E">
          <w:rPr>
            <w:rStyle w:val="Hyperlink"/>
            <w:rFonts w:ascii="Calibri" w:eastAsia="Calibri" w:hAnsi="Calibri" w:cs="Calibri"/>
          </w:rPr>
          <w:t>Curriculum for funded non-maintained nursery settings - Hwb (gov.wales)</w:t>
        </w:r>
      </w:hyperlink>
      <w:r w:rsidR="1A0535EA" w:rsidRPr="0871CD5E">
        <w:rPr>
          <w:rFonts w:ascii="Calibri" w:eastAsia="Calibri" w:hAnsi="Calibri" w:cs="Calibri"/>
        </w:rPr>
        <w:t xml:space="preserve"> (Accessed 12 October 2024). </w:t>
      </w:r>
    </w:p>
    <w:p w14:paraId="7DCFB13F" w14:textId="75F854FB" w:rsidR="1A0535EA" w:rsidRDefault="1A0535EA" w:rsidP="0871CD5E">
      <w:pPr>
        <w:jc w:val="both"/>
        <w:rPr>
          <w:rFonts w:ascii="Calibri" w:eastAsia="Calibri" w:hAnsi="Calibri" w:cs="Calibri"/>
        </w:rPr>
      </w:pPr>
      <w:r w:rsidRPr="0871CD5E">
        <w:rPr>
          <w:rFonts w:ascii="Calibri" w:eastAsia="Calibri" w:hAnsi="Calibri" w:cs="Calibri"/>
        </w:rPr>
        <w:t xml:space="preserve">The United Nation Convention on the Rights of the child. (1989) </w:t>
      </w:r>
      <w:r w:rsidR="34AAEEB5" w:rsidRPr="0871CD5E">
        <w:rPr>
          <w:rFonts w:ascii="Calibri" w:eastAsia="Calibri" w:hAnsi="Calibri" w:cs="Calibri"/>
          <w:i/>
          <w:iCs/>
        </w:rPr>
        <w:t xml:space="preserve">Convention on the Rights of the </w:t>
      </w:r>
      <w:r w:rsidR="3B38088A" w:rsidRPr="0871CD5E">
        <w:rPr>
          <w:rFonts w:ascii="Calibri" w:eastAsia="Calibri" w:hAnsi="Calibri" w:cs="Calibri"/>
          <w:i/>
          <w:iCs/>
        </w:rPr>
        <w:t>C</w:t>
      </w:r>
      <w:r w:rsidR="34AAEEB5" w:rsidRPr="0871CD5E">
        <w:rPr>
          <w:rFonts w:ascii="Calibri" w:eastAsia="Calibri" w:hAnsi="Calibri" w:cs="Calibri"/>
          <w:i/>
          <w:iCs/>
        </w:rPr>
        <w:t>hild</w:t>
      </w:r>
      <w:r w:rsidR="5E33C79B" w:rsidRPr="0871CD5E">
        <w:rPr>
          <w:rFonts w:ascii="Calibri" w:eastAsia="Calibri" w:hAnsi="Calibri" w:cs="Calibri"/>
          <w:i/>
          <w:iCs/>
        </w:rPr>
        <w:t xml:space="preserve">. </w:t>
      </w:r>
      <w:r w:rsidR="5E33C79B" w:rsidRPr="0871CD5E">
        <w:rPr>
          <w:rFonts w:ascii="Calibri" w:eastAsia="Calibri" w:hAnsi="Calibri" w:cs="Calibri"/>
        </w:rPr>
        <w:t xml:space="preserve">Available at: </w:t>
      </w:r>
      <w:hyperlink r:id="rId14">
        <w:r w:rsidR="0BB42CFA" w:rsidRPr="0871CD5E">
          <w:rPr>
            <w:rStyle w:val="Hyperlink"/>
            <w:rFonts w:ascii="Calibri" w:eastAsia="Calibri" w:hAnsi="Calibri" w:cs="Calibri"/>
          </w:rPr>
          <w:t>Layout 1 (unicef.org.uk)</w:t>
        </w:r>
      </w:hyperlink>
      <w:r w:rsidR="7033ADAF" w:rsidRPr="0871CD5E">
        <w:rPr>
          <w:rFonts w:ascii="Calibri" w:eastAsia="Calibri" w:hAnsi="Calibri" w:cs="Calibri"/>
        </w:rPr>
        <w:t xml:space="preserve"> (Accessed: 8 October 2024). </w:t>
      </w:r>
    </w:p>
    <w:p w14:paraId="3A080164" w14:textId="4B87E6D1" w:rsidR="6E8E7A0C" w:rsidRDefault="6E8E7A0C" w:rsidP="0871CD5E">
      <w:pPr>
        <w:jc w:val="both"/>
        <w:rPr>
          <w:rFonts w:ascii="Calibri" w:eastAsia="Calibri" w:hAnsi="Calibri" w:cs="Calibri"/>
        </w:rPr>
      </w:pPr>
      <w:r w:rsidRPr="0871CD5E">
        <w:rPr>
          <w:rFonts w:ascii="Calibri" w:eastAsia="Calibri" w:hAnsi="Calibri" w:cs="Calibri"/>
        </w:rPr>
        <w:t xml:space="preserve">Izard, C.E. and Trentacosta, J. Ch. </w:t>
      </w:r>
      <w:r w:rsidR="6942ADC8" w:rsidRPr="0871CD5E">
        <w:rPr>
          <w:rFonts w:ascii="Calibri" w:eastAsia="Calibri" w:hAnsi="Calibri" w:cs="Calibri"/>
        </w:rPr>
        <w:t xml:space="preserve">(2020) </w:t>
      </w:r>
      <w:r w:rsidR="6942ADC8" w:rsidRPr="0871CD5E">
        <w:rPr>
          <w:rFonts w:ascii="Calibri" w:eastAsia="Calibri" w:hAnsi="Calibri" w:cs="Calibri"/>
          <w:i/>
          <w:iCs/>
        </w:rPr>
        <w:t>Emotional Development</w:t>
      </w:r>
      <w:r w:rsidR="6942ADC8" w:rsidRPr="0871CD5E">
        <w:rPr>
          <w:rFonts w:ascii="Calibri" w:eastAsia="Calibri" w:hAnsi="Calibri" w:cs="Calibri"/>
        </w:rPr>
        <w:t>. Available at:</w:t>
      </w:r>
      <w:hyperlink r:id="rId15">
        <w:r w:rsidR="67326976" w:rsidRPr="0871CD5E">
          <w:rPr>
            <w:rStyle w:val="Hyperlink"/>
            <w:rFonts w:ascii="Calibri" w:eastAsia="Calibri" w:hAnsi="Calibri" w:cs="Calibri"/>
          </w:rPr>
          <w:t>Emotional development | Definition, Examples, Children, &amp; Adolescence | Britannica</w:t>
        </w:r>
      </w:hyperlink>
      <w:r w:rsidR="4E3A0F15" w:rsidRPr="0871CD5E">
        <w:rPr>
          <w:rFonts w:ascii="Calibri" w:eastAsia="Calibri" w:hAnsi="Calibri" w:cs="Calibri"/>
        </w:rPr>
        <w:t xml:space="preserve"> (Accessed 12 October 2024). </w:t>
      </w:r>
    </w:p>
    <w:p w14:paraId="523A8F1A" w14:textId="6A5C1C3C" w:rsidR="4E3A0F15" w:rsidRDefault="4E3A0F15" w:rsidP="0871CD5E">
      <w:pPr>
        <w:jc w:val="both"/>
        <w:rPr>
          <w:rFonts w:ascii="Calibri" w:eastAsia="Calibri" w:hAnsi="Calibri" w:cs="Calibri"/>
        </w:rPr>
      </w:pPr>
      <w:r w:rsidRPr="0871CD5E">
        <w:rPr>
          <w:rFonts w:ascii="Calibri" w:eastAsia="Calibri" w:hAnsi="Calibri" w:cs="Calibri"/>
        </w:rPr>
        <w:t xml:space="preserve">Education Endowment Foundation (No Date). </w:t>
      </w:r>
      <w:r w:rsidRPr="0871CD5E">
        <w:rPr>
          <w:rFonts w:ascii="Calibri" w:eastAsia="Calibri" w:hAnsi="Calibri" w:cs="Calibri"/>
          <w:i/>
          <w:iCs/>
        </w:rPr>
        <w:t xml:space="preserve">Social and Emotional Strategies. </w:t>
      </w:r>
      <w:r w:rsidR="63346431" w:rsidRPr="0871CD5E">
        <w:rPr>
          <w:rFonts w:ascii="Calibri" w:eastAsia="Calibri" w:hAnsi="Calibri" w:cs="Calibri"/>
        </w:rPr>
        <w:t>Available at:</w:t>
      </w:r>
      <w:hyperlink r:id="rId16">
        <w:r w:rsidR="63346431" w:rsidRPr="0871CD5E">
          <w:rPr>
            <w:rStyle w:val="Hyperlink"/>
            <w:rFonts w:ascii="Calibri" w:eastAsia="Calibri" w:hAnsi="Calibri" w:cs="Calibri"/>
          </w:rPr>
          <w:t>Social and emotional learning strategies | EEF (educationendowmentfoundation.org.uk)</w:t>
        </w:r>
      </w:hyperlink>
      <w:r w:rsidR="63346431" w:rsidRPr="0871CD5E">
        <w:rPr>
          <w:rFonts w:ascii="Calibri" w:eastAsia="Calibri" w:hAnsi="Calibri" w:cs="Calibri"/>
        </w:rPr>
        <w:t xml:space="preserve"> (Accessed 12 October 2024).</w:t>
      </w:r>
    </w:p>
    <w:p w14:paraId="7F7D741E" w14:textId="2E29B4D5" w:rsidR="4ADFF444" w:rsidRDefault="4ADFF444" w:rsidP="0871CD5E">
      <w:pPr>
        <w:jc w:val="both"/>
        <w:rPr>
          <w:rFonts w:ascii="Calibri" w:eastAsia="Calibri" w:hAnsi="Calibri" w:cs="Calibri"/>
        </w:rPr>
      </w:pPr>
      <w:r w:rsidRPr="0871CD5E">
        <w:rPr>
          <w:rFonts w:ascii="Calibri" w:eastAsia="Calibri" w:hAnsi="Calibri" w:cs="Calibri"/>
        </w:rPr>
        <w:t xml:space="preserve">San, N,. M.H., Myint, A. A., &amp; Oo, C. Z. (2021). </w:t>
      </w:r>
      <w:r w:rsidRPr="0871CD5E">
        <w:rPr>
          <w:rFonts w:ascii="Calibri" w:eastAsia="Calibri" w:hAnsi="Calibri" w:cs="Calibri"/>
          <w:i/>
          <w:iCs/>
        </w:rPr>
        <w:t>Using play to improve the social and emotional development of preschool children. Southeast Asia Early Childhood</w:t>
      </w:r>
      <w:r w:rsidRPr="0871CD5E">
        <w:rPr>
          <w:rFonts w:ascii="Calibri" w:eastAsia="Calibri" w:hAnsi="Calibri" w:cs="Calibri"/>
        </w:rPr>
        <w:t xml:space="preserve"> Journal,10(2), 16-35. </w:t>
      </w:r>
      <w:hyperlink r:id="rId17">
        <w:r w:rsidRPr="0871CD5E">
          <w:rPr>
            <w:rStyle w:val="Hyperlink"/>
            <w:rFonts w:ascii="Calibri" w:eastAsia="Calibri" w:hAnsi="Calibri" w:cs="Calibri"/>
          </w:rPr>
          <w:t>https://doi.org/10.37134/saecj.vol10.2.2.2021</w:t>
        </w:r>
      </w:hyperlink>
    </w:p>
    <w:p w14:paraId="0B4630CC" w14:textId="58EA1EF2" w:rsidR="3F56D246" w:rsidRDefault="3F56D246" w:rsidP="0871CD5E">
      <w:pPr>
        <w:jc w:val="both"/>
        <w:rPr>
          <w:rFonts w:ascii="Calibri" w:eastAsia="Calibri" w:hAnsi="Calibri" w:cs="Calibri"/>
        </w:rPr>
      </w:pPr>
      <w:r w:rsidRPr="0871CD5E">
        <w:rPr>
          <w:rFonts w:ascii="Calibri" w:eastAsia="Calibri" w:hAnsi="Calibri" w:cs="Calibri"/>
          <w:color w:val="1B1B1B"/>
        </w:rPr>
        <w:t xml:space="preserve">Johnson, J. L., Adkins, D., &amp; Chauvin, S. (2020). </w:t>
      </w:r>
      <w:r w:rsidRPr="0871CD5E">
        <w:rPr>
          <w:rFonts w:ascii="Calibri" w:eastAsia="Calibri" w:hAnsi="Calibri" w:cs="Calibri"/>
          <w:i/>
          <w:iCs/>
          <w:color w:val="1B1B1B"/>
        </w:rPr>
        <w:t>A Review of the Quality Indicators of Rigor in Qualitative Research.</w:t>
      </w:r>
      <w:r w:rsidRPr="0871CD5E">
        <w:rPr>
          <w:rFonts w:ascii="Calibri" w:eastAsia="Calibri" w:hAnsi="Calibri" w:cs="Calibri"/>
          <w:color w:val="1B1B1B"/>
        </w:rPr>
        <w:t xml:space="preserve"> </w:t>
      </w:r>
      <w:r w:rsidRPr="0871CD5E">
        <w:rPr>
          <w:rFonts w:ascii="Calibri" w:eastAsia="Calibri" w:hAnsi="Calibri" w:cs="Calibri"/>
          <w:i/>
          <w:iCs/>
          <w:color w:val="1B1B1B"/>
        </w:rPr>
        <w:t>American journal of pharmaceutical education, 8</w:t>
      </w:r>
      <w:r w:rsidR="2A01284A" w:rsidRPr="0871CD5E">
        <w:rPr>
          <w:rFonts w:ascii="Calibri" w:eastAsia="Calibri" w:hAnsi="Calibri" w:cs="Calibri"/>
          <w:i/>
          <w:iCs/>
          <w:color w:val="1B1B1B"/>
        </w:rPr>
        <w:t xml:space="preserve">4(1) 7120. </w:t>
      </w:r>
      <w:r w:rsidR="764CA380" w:rsidRPr="0871CD5E">
        <w:rPr>
          <w:rFonts w:ascii="Calibri" w:eastAsia="Calibri" w:hAnsi="Calibri" w:cs="Calibri"/>
          <w:i/>
          <w:iCs/>
          <w:color w:val="1B1B1B"/>
        </w:rPr>
        <w:t>Https://</w:t>
      </w:r>
      <w:r w:rsidR="5766E888" w:rsidRPr="0871CD5E">
        <w:rPr>
          <w:rFonts w:ascii="Calibri" w:eastAsia="Calibri" w:hAnsi="Calibri" w:cs="Calibri"/>
          <w:color w:val="1B1B1B"/>
        </w:rPr>
        <w:t>doi</w:t>
      </w:r>
      <w:r w:rsidR="2542466E" w:rsidRPr="0871CD5E">
        <w:rPr>
          <w:rFonts w:ascii="Calibri" w:eastAsia="Calibri" w:hAnsi="Calibri" w:cs="Calibri"/>
          <w:color w:val="1B1B1B"/>
        </w:rPr>
        <w:t>/</w:t>
      </w:r>
      <w:r w:rsidR="5766E888" w:rsidRPr="0871CD5E">
        <w:rPr>
          <w:rFonts w:ascii="Calibri" w:eastAsia="Calibri" w:hAnsi="Calibri" w:cs="Calibri"/>
          <w:color w:val="1B1B1B"/>
        </w:rPr>
        <w:t xml:space="preserve"> </w:t>
      </w:r>
      <w:hyperlink r:id="rId18">
        <w:r w:rsidR="5766E888" w:rsidRPr="0871CD5E">
          <w:rPr>
            <w:rStyle w:val="Hyperlink"/>
            <w:rFonts w:ascii="Calibri" w:eastAsia="Calibri" w:hAnsi="Calibri" w:cs="Calibri"/>
            <w:color w:val="005EA2"/>
          </w:rPr>
          <w:t>10.5688/ajpe7120</w:t>
        </w:r>
      </w:hyperlink>
    </w:p>
    <w:p w14:paraId="1F9BE6CF" w14:textId="30DC0D34" w:rsidR="0871CD5E" w:rsidRDefault="0871CD5E" w:rsidP="0871CD5E">
      <w:pPr>
        <w:jc w:val="both"/>
        <w:rPr>
          <w:rFonts w:ascii="Calibri" w:eastAsia="Calibri" w:hAnsi="Calibri" w:cs="Calibri"/>
          <w:color w:val="005EA2"/>
          <w:u w:val="single"/>
        </w:rPr>
      </w:pPr>
    </w:p>
    <w:p w14:paraId="0DC95C9C" w14:textId="0B7FC4C2" w:rsidR="5CEF02D7" w:rsidRDefault="5CEF02D7" w:rsidP="0871CD5E">
      <w:pPr>
        <w:jc w:val="both"/>
        <w:rPr>
          <w:rFonts w:ascii="Calibri" w:eastAsia="Calibri" w:hAnsi="Calibri" w:cs="Calibri"/>
        </w:rPr>
      </w:pPr>
      <w:r w:rsidRPr="0871CD5E">
        <w:rPr>
          <w:rFonts w:ascii="Calibri" w:eastAsia="Calibri" w:hAnsi="Calibri" w:cs="Calibri"/>
          <w:color w:val="1B1B1B"/>
        </w:rPr>
        <w:t xml:space="preserve">Barroga, E., &amp; Matanguihan, G. J. (2022). </w:t>
      </w:r>
      <w:r w:rsidRPr="0871CD5E">
        <w:rPr>
          <w:rFonts w:ascii="Calibri" w:eastAsia="Calibri" w:hAnsi="Calibri" w:cs="Calibri"/>
          <w:i/>
          <w:iCs/>
          <w:color w:val="1B1B1B"/>
        </w:rPr>
        <w:t>A Practical Guide to Writing Quantitative and Qualitative Research Questions and Hypotheses in Scholarly Articles. Journal of Korean medical science,</w:t>
      </w:r>
      <w:r w:rsidRPr="0871CD5E">
        <w:rPr>
          <w:rFonts w:ascii="Calibri" w:eastAsia="Calibri" w:hAnsi="Calibri" w:cs="Calibri"/>
          <w:color w:val="1B1B1B"/>
        </w:rPr>
        <w:t xml:space="preserve"> </w:t>
      </w:r>
      <w:r w:rsidRPr="0871CD5E">
        <w:rPr>
          <w:rFonts w:ascii="Calibri" w:eastAsia="Calibri" w:hAnsi="Calibri" w:cs="Calibri"/>
          <w:i/>
          <w:iCs/>
          <w:color w:val="1B1B1B"/>
        </w:rPr>
        <w:t>37</w:t>
      </w:r>
      <w:r w:rsidRPr="0871CD5E">
        <w:rPr>
          <w:rFonts w:ascii="Calibri" w:eastAsia="Calibri" w:hAnsi="Calibri" w:cs="Calibri"/>
          <w:color w:val="1B1B1B"/>
        </w:rPr>
        <w:t xml:space="preserve">(16), e121. </w:t>
      </w:r>
      <w:hyperlink r:id="rId19">
        <w:r w:rsidRPr="0871CD5E">
          <w:rPr>
            <w:rStyle w:val="Hyperlink"/>
            <w:rFonts w:ascii="Calibri" w:eastAsia="Calibri" w:hAnsi="Calibri" w:cs="Calibri"/>
          </w:rPr>
          <w:t>https://doi.org/10.3346/jkms.2022.37.e121</w:t>
        </w:r>
      </w:hyperlink>
    </w:p>
    <w:p w14:paraId="5730F68D" w14:textId="70E3B077" w:rsidR="0871CD5E" w:rsidRDefault="0871CD5E" w:rsidP="0871CD5E">
      <w:pPr>
        <w:jc w:val="both"/>
        <w:rPr>
          <w:rFonts w:ascii="Calibri" w:eastAsia="Calibri" w:hAnsi="Calibri" w:cs="Calibri"/>
          <w:color w:val="1B1B1B"/>
        </w:rPr>
      </w:pPr>
    </w:p>
    <w:p w14:paraId="167E03A7" w14:textId="5F888AC0" w:rsidR="5CEF02D7" w:rsidRDefault="5CEF02D7" w:rsidP="0871CD5E">
      <w:pPr>
        <w:jc w:val="both"/>
        <w:rPr>
          <w:rFonts w:ascii="Calibri" w:eastAsia="Calibri" w:hAnsi="Calibri" w:cs="Calibri"/>
        </w:rPr>
      </w:pPr>
      <w:r w:rsidRPr="0871CD5E">
        <w:rPr>
          <w:rFonts w:ascii="Calibri" w:eastAsia="Calibri" w:hAnsi="Calibri" w:cs="Calibri"/>
          <w:color w:val="1B1B1B"/>
        </w:rPr>
        <w:t xml:space="preserve">Aspers, P., &amp; Corte, U. (2019). </w:t>
      </w:r>
      <w:r w:rsidRPr="0871CD5E">
        <w:rPr>
          <w:rFonts w:ascii="Calibri" w:eastAsia="Calibri" w:hAnsi="Calibri" w:cs="Calibri"/>
          <w:i/>
          <w:iCs/>
          <w:color w:val="1B1B1B"/>
        </w:rPr>
        <w:t>What is Qualitative in Qualitative Research. Qualitative sociology,</w:t>
      </w:r>
      <w:r w:rsidRPr="0871CD5E">
        <w:rPr>
          <w:rFonts w:ascii="Calibri" w:eastAsia="Calibri" w:hAnsi="Calibri" w:cs="Calibri"/>
          <w:color w:val="1B1B1B"/>
        </w:rPr>
        <w:t xml:space="preserve"> 42(2), 139-160. </w:t>
      </w:r>
      <w:r w:rsidR="48E529A1" w:rsidRPr="0871CD5E">
        <w:rPr>
          <w:rFonts w:ascii="Calibri" w:eastAsia="Calibri" w:hAnsi="Calibri" w:cs="Calibri"/>
          <w:color w:val="1B1B1B"/>
        </w:rPr>
        <w:t xml:space="preserve"> </w:t>
      </w:r>
      <w:hyperlink r:id="rId20">
        <w:r w:rsidR="48E529A1" w:rsidRPr="0871CD5E">
          <w:rPr>
            <w:rStyle w:val="Hyperlink"/>
            <w:rFonts w:ascii="Calibri" w:eastAsia="Calibri" w:hAnsi="Calibri" w:cs="Calibri"/>
          </w:rPr>
          <w:t>https://doi.org/10.1007/s11133-019-9413-7</w:t>
        </w:r>
      </w:hyperlink>
    </w:p>
    <w:p w14:paraId="69FC5B0B" w14:textId="2F85DEE0" w:rsidR="482907AB" w:rsidRDefault="482907AB" w:rsidP="0871CD5E">
      <w:pPr>
        <w:jc w:val="both"/>
        <w:rPr>
          <w:rFonts w:ascii="Calibri" w:eastAsia="Calibri" w:hAnsi="Calibri" w:cs="Calibri"/>
        </w:rPr>
      </w:pPr>
      <w:r w:rsidRPr="0871CD5E">
        <w:rPr>
          <w:rFonts w:ascii="Calibri" w:eastAsia="Calibri" w:hAnsi="Calibri" w:cs="Calibri"/>
          <w:i/>
          <w:iCs/>
          <w:color w:val="1B1B1B"/>
        </w:rPr>
        <w:lastRenderedPageBreak/>
        <w:t>Shorten, A. and Smith,J. (2017) MIxed methods research</w:t>
      </w:r>
      <w:r w:rsidR="0E2E506E" w:rsidRPr="0871CD5E">
        <w:rPr>
          <w:rFonts w:ascii="Calibri" w:eastAsia="Calibri" w:hAnsi="Calibri" w:cs="Calibri"/>
          <w:i/>
          <w:iCs/>
          <w:color w:val="1B1B1B"/>
        </w:rPr>
        <w:t xml:space="preserve">: expanding the evidence based. Available at: </w:t>
      </w:r>
      <w:hyperlink r:id="rId21">
        <w:r w:rsidR="0E2E506E" w:rsidRPr="0871CD5E">
          <w:rPr>
            <w:rStyle w:val="Hyperlink"/>
            <w:rFonts w:ascii="Calibri" w:eastAsia="Calibri" w:hAnsi="Calibri" w:cs="Calibri"/>
          </w:rPr>
          <w:t>Mixed methods research: expanding the evidence base | Evidence-Based Nursing</w:t>
        </w:r>
      </w:hyperlink>
      <w:r w:rsidR="0E2E506E" w:rsidRPr="0871CD5E">
        <w:rPr>
          <w:rFonts w:ascii="Calibri" w:eastAsia="Calibri" w:hAnsi="Calibri" w:cs="Calibri"/>
        </w:rPr>
        <w:t xml:space="preserve"> </w:t>
      </w:r>
      <w:r w:rsidR="00474D13" w:rsidRPr="0871CD5E">
        <w:rPr>
          <w:rFonts w:ascii="Calibri" w:eastAsia="Calibri" w:hAnsi="Calibri" w:cs="Calibri"/>
        </w:rPr>
        <w:t>(</w:t>
      </w:r>
      <w:r w:rsidR="0E2E506E" w:rsidRPr="0871CD5E">
        <w:rPr>
          <w:rFonts w:ascii="Calibri" w:eastAsia="Calibri" w:hAnsi="Calibri" w:cs="Calibri"/>
        </w:rPr>
        <w:t>Accessed</w:t>
      </w:r>
      <w:r w:rsidR="34449559" w:rsidRPr="0871CD5E">
        <w:rPr>
          <w:rFonts w:ascii="Calibri" w:eastAsia="Calibri" w:hAnsi="Calibri" w:cs="Calibri"/>
        </w:rPr>
        <w:t>: 20 October 2024.</w:t>
      </w:r>
      <w:r w:rsidR="3E73C177" w:rsidRPr="0871CD5E">
        <w:rPr>
          <w:rFonts w:ascii="Calibri" w:eastAsia="Calibri" w:hAnsi="Calibri" w:cs="Calibri"/>
        </w:rPr>
        <w:t>)</w:t>
      </w:r>
    </w:p>
    <w:p w14:paraId="506D2274" w14:textId="12554429" w:rsidR="3E73C177" w:rsidRDefault="3E73C177" w:rsidP="0871CD5E">
      <w:pPr>
        <w:rPr>
          <w:rFonts w:ascii="Calibri" w:eastAsia="Calibri" w:hAnsi="Calibri" w:cs="Calibri"/>
        </w:rPr>
      </w:pPr>
      <w:r w:rsidRPr="0871CD5E">
        <w:rPr>
          <w:rFonts w:ascii="Calibri" w:eastAsia="Calibri" w:hAnsi="Calibri" w:cs="Calibri"/>
          <w:color w:val="1B1B1B"/>
        </w:rPr>
        <w:t xml:space="preserve">Austin, Z., &amp; Sutton, J. (2014). </w:t>
      </w:r>
      <w:r w:rsidRPr="0871CD5E">
        <w:rPr>
          <w:rFonts w:ascii="Calibri" w:eastAsia="Calibri" w:hAnsi="Calibri" w:cs="Calibri"/>
          <w:i/>
          <w:iCs/>
          <w:color w:val="1B1B1B"/>
        </w:rPr>
        <w:t>Qualitative research: getting started. The Canadian journal of hospital pharmacy,</w:t>
      </w:r>
      <w:r w:rsidRPr="0871CD5E">
        <w:rPr>
          <w:rFonts w:ascii="Calibri" w:eastAsia="Calibri" w:hAnsi="Calibri" w:cs="Calibri"/>
          <w:color w:val="1B1B1B"/>
        </w:rPr>
        <w:t xml:space="preserve"> </w:t>
      </w:r>
      <w:r w:rsidRPr="0871CD5E">
        <w:rPr>
          <w:rFonts w:ascii="Calibri" w:eastAsia="Calibri" w:hAnsi="Calibri" w:cs="Calibri"/>
          <w:i/>
          <w:iCs/>
          <w:color w:val="1B1B1B"/>
        </w:rPr>
        <w:t>67</w:t>
      </w:r>
      <w:r w:rsidRPr="0871CD5E">
        <w:rPr>
          <w:rFonts w:ascii="Calibri" w:eastAsia="Calibri" w:hAnsi="Calibri" w:cs="Calibri"/>
          <w:color w:val="1B1B1B"/>
        </w:rPr>
        <w:t>(6), 436–440. https://doi.org/10.4212/cjhp.v67i6.1406</w:t>
      </w:r>
    </w:p>
    <w:p w14:paraId="337A4846" w14:textId="5A5A331B" w:rsidR="3E73C177" w:rsidRDefault="3E73C177" w:rsidP="0871CD5E">
      <w:pPr>
        <w:rPr>
          <w:rFonts w:ascii="Calibri" w:eastAsia="Calibri" w:hAnsi="Calibri" w:cs="Calibri"/>
        </w:rPr>
      </w:pPr>
      <w:r w:rsidRPr="0871CD5E">
        <w:rPr>
          <w:rFonts w:ascii="Calibri" w:eastAsia="Calibri" w:hAnsi="Calibri" w:cs="Calibri"/>
        </w:rPr>
        <w:t xml:space="preserve">Shannon, A. (2023) </w:t>
      </w:r>
      <w:r w:rsidRPr="0871CD5E">
        <w:rPr>
          <w:rFonts w:ascii="Calibri" w:eastAsia="Calibri" w:hAnsi="Calibri" w:cs="Calibri"/>
          <w:i/>
          <w:iCs/>
        </w:rPr>
        <w:t>The power of open-ended questions in the Early years.</w:t>
      </w:r>
      <w:r w:rsidRPr="0871CD5E">
        <w:rPr>
          <w:rFonts w:ascii="Calibri" w:eastAsia="Calibri" w:hAnsi="Calibri" w:cs="Calibri"/>
        </w:rPr>
        <w:t xml:space="preserve"> Available at: </w:t>
      </w:r>
      <w:hyperlink r:id="rId22">
        <w:r w:rsidR="21C1890F" w:rsidRPr="0871CD5E">
          <w:rPr>
            <w:rStyle w:val="Hyperlink"/>
            <w:rFonts w:ascii="Calibri" w:eastAsia="Calibri" w:hAnsi="Calibri" w:cs="Calibri"/>
          </w:rPr>
          <w:t>The power of open-ended questions in ECE | Famly</w:t>
        </w:r>
      </w:hyperlink>
      <w:r w:rsidR="716094F7" w:rsidRPr="0871CD5E">
        <w:rPr>
          <w:rFonts w:ascii="Calibri" w:eastAsia="Calibri" w:hAnsi="Calibri" w:cs="Calibri"/>
        </w:rPr>
        <w:t xml:space="preserve">  (Accessed: 21 October</w:t>
      </w:r>
      <w:r w:rsidR="47C64AE5" w:rsidRPr="0871CD5E">
        <w:rPr>
          <w:rFonts w:ascii="Calibri" w:eastAsia="Calibri" w:hAnsi="Calibri" w:cs="Calibri"/>
        </w:rPr>
        <w:t xml:space="preserve"> 2024</w:t>
      </w:r>
      <w:r w:rsidR="716094F7" w:rsidRPr="0871CD5E">
        <w:rPr>
          <w:rFonts w:ascii="Calibri" w:eastAsia="Calibri" w:hAnsi="Calibri" w:cs="Calibri"/>
        </w:rPr>
        <w:t xml:space="preserve">). </w:t>
      </w:r>
    </w:p>
    <w:p w14:paraId="46483E35" w14:textId="23E0F12E" w:rsidR="716094F7" w:rsidRDefault="716094F7" w:rsidP="0871CD5E">
      <w:pPr>
        <w:rPr>
          <w:rFonts w:ascii="Calibri" w:eastAsia="Calibri" w:hAnsi="Calibri" w:cs="Calibri"/>
        </w:rPr>
      </w:pPr>
      <w:r w:rsidRPr="0871CD5E">
        <w:rPr>
          <w:rFonts w:ascii="Calibri" w:eastAsia="Calibri" w:hAnsi="Calibri" w:cs="Calibri"/>
        </w:rPr>
        <w:t xml:space="preserve">In Her Sight (2024) </w:t>
      </w:r>
      <w:r w:rsidRPr="0871CD5E">
        <w:rPr>
          <w:rFonts w:ascii="Calibri" w:eastAsia="Calibri" w:hAnsi="Calibri" w:cs="Calibri"/>
          <w:i/>
          <w:iCs/>
        </w:rPr>
        <w:t>How to Introduce Yourself in an interview &amp; Make</w:t>
      </w:r>
      <w:r w:rsidR="6F68340F" w:rsidRPr="0871CD5E">
        <w:rPr>
          <w:rFonts w:ascii="Calibri" w:eastAsia="Calibri" w:hAnsi="Calibri" w:cs="Calibri"/>
          <w:i/>
          <w:iCs/>
        </w:rPr>
        <w:t xml:space="preserve"> a Lasting Impression.</w:t>
      </w:r>
      <w:r w:rsidR="6F68340F" w:rsidRPr="0871CD5E">
        <w:rPr>
          <w:rFonts w:ascii="Calibri" w:eastAsia="Calibri" w:hAnsi="Calibri" w:cs="Calibri"/>
        </w:rPr>
        <w:t xml:space="preserve"> Available at: </w:t>
      </w:r>
      <w:hyperlink r:id="rId23">
        <w:r w:rsidR="458ED9AB" w:rsidRPr="0871CD5E">
          <w:rPr>
            <w:rStyle w:val="Hyperlink"/>
            <w:rFonts w:ascii="Calibri" w:eastAsia="Calibri" w:hAnsi="Calibri" w:cs="Calibri"/>
          </w:rPr>
          <w:t>How to Introduce Yourself in an Interview &amp; Make a Lasting Impression | InHerSight</w:t>
        </w:r>
      </w:hyperlink>
      <w:r w:rsidR="54D6A71F" w:rsidRPr="0871CD5E">
        <w:rPr>
          <w:rFonts w:ascii="Calibri" w:eastAsia="Calibri" w:hAnsi="Calibri" w:cs="Calibri"/>
        </w:rPr>
        <w:t xml:space="preserve">  (Accessed: 21 October 2024)</w:t>
      </w:r>
    </w:p>
    <w:p w14:paraId="41C4D35A" w14:textId="1DCEAF38" w:rsidR="2C9AD6BA" w:rsidRDefault="2C9AD6BA" w:rsidP="0871CD5E">
      <w:pPr>
        <w:rPr>
          <w:rFonts w:ascii="Calibri" w:eastAsia="Calibri" w:hAnsi="Calibri" w:cs="Calibri"/>
        </w:rPr>
      </w:pPr>
      <w:r w:rsidRPr="0871CD5E">
        <w:rPr>
          <w:rFonts w:ascii="Calibri" w:eastAsia="Calibri" w:hAnsi="Calibri" w:cs="Calibri"/>
        </w:rPr>
        <w:t xml:space="preserve">Clovers (2024) </w:t>
      </w:r>
      <w:r w:rsidRPr="0871CD5E">
        <w:rPr>
          <w:rFonts w:ascii="Calibri" w:eastAsia="Calibri" w:hAnsi="Calibri" w:cs="Calibri"/>
          <w:i/>
          <w:iCs/>
        </w:rPr>
        <w:t xml:space="preserve">Why you shouldn’t be afraid of recording an interview. </w:t>
      </w:r>
      <w:r w:rsidRPr="0871CD5E">
        <w:rPr>
          <w:rFonts w:ascii="Calibri" w:eastAsia="Calibri" w:hAnsi="Calibri" w:cs="Calibri"/>
        </w:rPr>
        <w:t xml:space="preserve">Available at: </w:t>
      </w:r>
      <w:hyperlink r:id="rId24" w:anchor=":~:text=Why%20do%20recruiters%20and%20hiring%20managers%20record%20interviews%3F,Can%20be%20used%20to%20resolve%20legal%20disputes%20">
        <w:r w:rsidR="0559994A" w:rsidRPr="0871CD5E">
          <w:rPr>
            <w:rStyle w:val="Hyperlink"/>
            <w:rFonts w:ascii="Calibri" w:eastAsia="Calibri" w:hAnsi="Calibri" w:cs="Calibri"/>
          </w:rPr>
          <w:t>Why you shouldn’t be afraid of recording an interview - Clovers</w:t>
        </w:r>
      </w:hyperlink>
      <w:r w:rsidR="0C70FD79" w:rsidRPr="0871CD5E">
        <w:rPr>
          <w:rFonts w:ascii="Calibri" w:eastAsia="Calibri" w:hAnsi="Calibri" w:cs="Calibri"/>
        </w:rPr>
        <w:t xml:space="preserve"> Accessed:21 October 2024). </w:t>
      </w:r>
    </w:p>
    <w:p w14:paraId="0488B8A7" w14:textId="669A5315" w:rsidR="36DC79F4" w:rsidRDefault="36DC79F4" w:rsidP="0871CD5E">
      <w:pPr>
        <w:rPr>
          <w:rFonts w:ascii="Calibri" w:eastAsia="Calibri" w:hAnsi="Calibri" w:cs="Calibri"/>
        </w:rPr>
      </w:pPr>
      <w:r w:rsidRPr="0871CD5E">
        <w:rPr>
          <w:rFonts w:ascii="Calibri" w:eastAsia="Calibri" w:hAnsi="Calibri" w:cs="Calibri"/>
        </w:rPr>
        <w:t xml:space="preserve"> NSPCC (2023) </w:t>
      </w:r>
      <w:r w:rsidRPr="0871CD5E">
        <w:rPr>
          <w:rFonts w:ascii="Calibri" w:eastAsia="Calibri" w:hAnsi="Calibri" w:cs="Calibri"/>
          <w:i/>
          <w:iCs/>
        </w:rPr>
        <w:t>Research Ethics principles.</w:t>
      </w:r>
      <w:r w:rsidRPr="0871CD5E">
        <w:rPr>
          <w:rFonts w:ascii="Calibri" w:eastAsia="Calibri" w:hAnsi="Calibri" w:cs="Calibri"/>
        </w:rPr>
        <w:t xml:space="preserve"> Available at: </w:t>
      </w:r>
      <w:hyperlink r:id="rId25">
        <w:r w:rsidR="176D52F1" w:rsidRPr="0871CD5E">
          <w:rPr>
            <w:rStyle w:val="Hyperlink"/>
            <w:rFonts w:ascii="Calibri" w:eastAsia="Calibri" w:hAnsi="Calibri" w:cs="Calibri"/>
          </w:rPr>
          <w:t>NSPCC Research Ethics Principles</w:t>
        </w:r>
      </w:hyperlink>
      <w:r w:rsidR="176D52F1" w:rsidRPr="0871CD5E">
        <w:rPr>
          <w:rFonts w:ascii="Calibri" w:eastAsia="Calibri" w:hAnsi="Calibri" w:cs="Calibri"/>
        </w:rPr>
        <w:t xml:space="preserve"> (Accessed: 22 October 2024). </w:t>
      </w:r>
    </w:p>
    <w:p w14:paraId="425F5870" w14:textId="0668E3DE" w:rsidR="32383855" w:rsidRDefault="32383855" w:rsidP="0871CD5E">
      <w:pPr>
        <w:rPr>
          <w:rFonts w:ascii="Calibri" w:eastAsia="Calibri" w:hAnsi="Calibri" w:cs="Calibri"/>
        </w:rPr>
      </w:pPr>
      <w:r w:rsidRPr="0871CD5E">
        <w:rPr>
          <w:rFonts w:ascii="Calibri" w:eastAsia="Calibri" w:hAnsi="Calibri" w:cs="Calibri"/>
        </w:rPr>
        <w:t>Harcourt, D. Perry, B. and Waller, T. (2011)</w:t>
      </w:r>
      <w:r w:rsidR="561284FA" w:rsidRPr="0871CD5E">
        <w:rPr>
          <w:rFonts w:ascii="Calibri" w:eastAsia="Calibri" w:hAnsi="Calibri" w:cs="Calibri"/>
        </w:rPr>
        <w:t xml:space="preserve"> </w:t>
      </w:r>
      <w:r w:rsidR="561284FA" w:rsidRPr="0871CD5E">
        <w:rPr>
          <w:rFonts w:ascii="Calibri" w:eastAsia="Calibri" w:hAnsi="Calibri" w:cs="Calibri"/>
          <w:i/>
          <w:iCs/>
          <w:color w:val="000000" w:themeColor="text1"/>
        </w:rPr>
        <w:t>Researching Young Children’s Perspectives : Debating the Ethics and Dilemmas of Educational Research with Children.</w:t>
      </w:r>
      <w:r w:rsidR="561284FA" w:rsidRPr="0871CD5E">
        <w:rPr>
          <w:rFonts w:ascii="Calibri" w:eastAsia="Calibri" w:hAnsi="Calibri" w:cs="Calibri"/>
          <w:color w:val="000000" w:themeColor="text1"/>
        </w:rPr>
        <w:t xml:space="preserve"> New York: Routledge. Available at: https://research-ebsco-com.ezproxy.uwtsd.ac.uk/linkprocessor/plink?id=5446a2c4-31f5-339b-8dd4-43e153403187 (Accessed: 23 October 2024).</w:t>
      </w:r>
    </w:p>
    <w:p w14:paraId="3817473E" w14:textId="7FD6725E" w:rsidR="32383855" w:rsidRDefault="32383855" w:rsidP="0871CD5E">
      <w:pPr>
        <w:rPr>
          <w:rFonts w:ascii="Calibri" w:eastAsia="Calibri" w:hAnsi="Calibri" w:cs="Calibri"/>
          <w:color w:val="3D3F42"/>
        </w:rPr>
      </w:pPr>
      <w:r w:rsidRPr="0871CD5E">
        <w:rPr>
          <w:rFonts w:ascii="Calibri" w:eastAsia="Calibri" w:hAnsi="Calibri" w:cs="Calibri"/>
          <w:color w:val="3D3F42"/>
        </w:rPr>
        <w:t xml:space="preserve"> </w:t>
      </w:r>
      <w:r w:rsidR="5DE4C0A5" w:rsidRPr="0871CD5E">
        <w:rPr>
          <w:rFonts w:ascii="Calibri" w:eastAsia="Calibri" w:hAnsi="Calibri" w:cs="Calibri"/>
          <w:color w:val="3D3F42"/>
        </w:rPr>
        <w:t xml:space="preserve">Palaiologou, I. (2012) </w:t>
      </w:r>
      <w:r w:rsidR="5DE4C0A5" w:rsidRPr="0871CD5E">
        <w:rPr>
          <w:rFonts w:ascii="Calibri" w:eastAsia="Calibri" w:hAnsi="Calibri" w:cs="Calibri"/>
          <w:i/>
          <w:iCs/>
          <w:color w:val="3D3F42"/>
        </w:rPr>
        <w:t>Ethical Practice in Early Childhood.</w:t>
      </w:r>
      <w:r w:rsidR="143AB093" w:rsidRPr="0871CD5E">
        <w:rPr>
          <w:rFonts w:ascii="Calibri" w:eastAsia="Calibri" w:hAnsi="Calibri" w:cs="Calibri"/>
          <w:color w:val="3D3F42"/>
        </w:rPr>
        <w:t xml:space="preserve"> London: SAGE Publications </w:t>
      </w:r>
    </w:p>
    <w:p w14:paraId="72CE61D4" w14:textId="59419350" w:rsidR="50A00983" w:rsidRDefault="50A00983" w:rsidP="0871CD5E">
      <w:pPr>
        <w:rPr>
          <w:rFonts w:ascii="Calibri" w:eastAsia="Calibri" w:hAnsi="Calibri" w:cs="Calibri"/>
        </w:rPr>
      </w:pPr>
      <w:r w:rsidRPr="0871CD5E">
        <w:rPr>
          <w:rFonts w:ascii="Calibri" w:eastAsia="Calibri" w:hAnsi="Calibri" w:cs="Calibri"/>
          <w:color w:val="3D3F42"/>
        </w:rPr>
        <w:t xml:space="preserve">Mayne, F., Howitt, C., &amp; Rennie, L. (2018). </w:t>
      </w:r>
      <w:r w:rsidRPr="0871CD5E">
        <w:rPr>
          <w:rFonts w:ascii="Calibri" w:eastAsia="Calibri" w:hAnsi="Calibri" w:cs="Calibri"/>
          <w:i/>
          <w:iCs/>
          <w:color w:val="3D3F42"/>
        </w:rPr>
        <w:t>Rights, Power and Agency in Early Childhood Research Design: Developing a Rights-Based Research Ethics and Participation Planning Framework</w:t>
      </w:r>
      <w:r w:rsidRPr="0871CD5E">
        <w:rPr>
          <w:rFonts w:ascii="Calibri" w:eastAsia="Calibri" w:hAnsi="Calibri" w:cs="Calibri"/>
          <w:color w:val="3D3F42"/>
        </w:rPr>
        <w:t xml:space="preserve">. Australasian Journal of Early Childhood, 43(3), 4-14. </w:t>
      </w:r>
      <w:hyperlink r:id="rId26">
        <w:r w:rsidRPr="0871CD5E">
          <w:rPr>
            <w:rStyle w:val="Hyperlink"/>
            <w:rFonts w:ascii="Calibri" w:eastAsia="Calibri" w:hAnsi="Calibri" w:cs="Calibri"/>
          </w:rPr>
          <w:t>https://doi-org.ezproxy.uwtsd.ac.uk/10.23965/AJEC.43.3.01</w:t>
        </w:r>
      </w:hyperlink>
    </w:p>
    <w:p w14:paraId="0F602B11" w14:textId="10A61C34" w:rsidR="35A746B5" w:rsidRDefault="35A746B5" w:rsidP="0871CD5E">
      <w:pPr>
        <w:rPr>
          <w:rFonts w:ascii="Calibri" w:eastAsia="Calibri" w:hAnsi="Calibri" w:cs="Calibri"/>
          <w:color w:val="000000" w:themeColor="text1"/>
        </w:rPr>
      </w:pPr>
      <w:r w:rsidRPr="0871CD5E">
        <w:rPr>
          <w:rFonts w:ascii="Calibri" w:eastAsia="Calibri" w:hAnsi="Calibri" w:cs="Calibri"/>
        </w:rPr>
        <w:t xml:space="preserve">Miller, T. Birch, M. Mauthner, M. </w:t>
      </w:r>
      <w:r w:rsidR="19BBB838" w:rsidRPr="0871CD5E">
        <w:rPr>
          <w:rFonts w:ascii="Calibri" w:eastAsia="Calibri" w:hAnsi="Calibri" w:cs="Calibri"/>
        </w:rPr>
        <w:t xml:space="preserve">Jessop, J. </w:t>
      </w:r>
      <w:r w:rsidRPr="0871CD5E">
        <w:rPr>
          <w:rFonts w:ascii="Calibri" w:eastAsia="Calibri" w:hAnsi="Calibri" w:cs="Calibri"/>
          <w:color w:val="000000" w:themeColor="text1"/>
        </w:rPr>
        <w:t xml:space="preserve">(2012) </w:t>
      </w:r>
      <w:r w:rsidRPr="0871CD5E">
        <w:rPr>
          <w:rFonts w:ascii="Calibri" w:eastAsia="Calibri" w:hAnsi="Calibri" w:cs="Calibri"/>
          <w:i/>
          <w:iCs/>
          <w:color w:val="000000" w:themeColor="text1"/>
        </w:rPr>
        <w:t>Ethics in Qualitative Research</w:t>
      </w:r>
      <w:r w:rsidRPr="0871CD5E">
        <w:rPr>
          <w:rFonts w:ascii="Calibri" w:eastAsia="Calibri" w:hAnsi="Calibri" w:cs="Calibri"/>
          <w:color w:val="000000" w:themeColor="text1"/>
        </w:rPr>
        <w:t>. Los Angeles, Calif: SAGE Publications Ltd. Available at: https://research-ebsco-com.ezproxy.uwtsd.ac.uk/linkprocessor/plink?id=9f90c214-532f-35b2-bb70-f4ca73d3179f (Accessed: 23 October 2024).</w:t>
      </w:r>
    </w:p>
    <w:p w14:paraId="018A94EA" w14:textId="5EA545EA" w:rsidR="68015197" w:rsidRDefault="68015197" w:rsidP="0871CD5E">
      <w:pPr>
        <w:rPr>
          <w:rFonts w:ascii="Calibri" w:eastAsia="Calibri" w:hAnsi="Calibri" w:cs="Calibri"/>
          <w:color w:val="000000" w:themeColor="text1"/>
        </w:rPr>
      </w:pPr>
      <w:r w:rsidRPr="0871CD5E">
        <w:rPr>
          <w:rFonts w:ascii="Calibri" w:eastAsia="Calibri" w:hAnsi="Calibri" w:cs="Calibri"/>
          <w:color w:val="000000" w:themeColor="text1"/>
        </w:rPr>
        <w:t>British Educational research association (</w:t>
      </w:r>
      <w:r w:rsidR="083B4E3F" w:rsidRPr="0871CD5E">
        <w:rPr>
          <w:rFonts w:ascii="Calibri" w:eastAsia="Calibri" w:hAnsi="Calibri" w:cs="Calibri"/>
          <w:color w:val="000000" w:themeColor="text1"/>
        </w:rPr>
        <w:t xml:space="preserve">2018) </w:t>
      </w:r>
      <w:r w:rsidR="083B4E3F" w:rsidRPr="0871CD5E">
        <w:rPr>
          <w:rFonts w:ascii="Calibri" w:eastAsia="Calibri" w:hAnsi="Calibri" w:cs="Calibri"/>
          <w:i/>
          <w:iCs/>
          <w:color w:val="000000" w:themeColor="text1"/>
        </w:rPr>
        <w:t>Ethical Guideline For Educational Research</w:t>
      </w:r>
      <w:r w:rsidR="414C0248" w:rsidRPr="0871CD5E">
        <w:rPr>
          <w:rFonts w:ascii="Calibri" w:eastAsia="Calibri" w:hAnsi="Calibri" w:cs="Calibri"/>
          <w:i/>
          <w:iCs/>
          <w:color w:val="000000" w:themeColor="text1"/>
        </w:rPr>
        <w:t xml:space="preserve">. </w:t>
      </w:r>
      <w:r w:rsidR="414C0248" w:rsidRPr="0871CD5E">
        <w:rPr>
          <w:rFonts w:ascii="Calibri" w:eastAsia="Calibri" w:hAnsi="Calibri" w:cs="Calibri"/>
          <w:color w:val="000000" w:themeColor="text1"/>
        </w:rPr>
        <w:t>4</w:t>
      </w:r>
      <w:r w:rsidR="414C0248" w:rsidRPr="0871CD5E">
        <w:rPr>
          <w:rFonts w:ascii="Calibri" w:eastAsia="Calibri" w:hAnsi="Calibri" w:cs="Calibri"/>
          <w:color w:val="000000" w:themeColor="text1"/>
          <w:vertAlign w:val="superscript"/>
        </w:rPr>
        <w:t>th</w:t>
      </w:r>
      <w:r w:rsidR="414C0248" w:rsidRPr="0871CD5E">
        <w:rPr>
          <w:rFonts w:ascii="Calibri" w:eastAsia="Calibri" w:hAnsi="Calibri" w:cs="Calibri"/>
          <w:color w:val="000000" w:themeColor="text1"/>
        </w:rPr>
        <w:t xml:space="preserve"> edn. London: BERA. </w:t>
      </w:r>
    </w:p>
    <w:p w14:paraId="22994A40" w14:textId="4D8F8AD9" w:rsidR="21CBF053" w:rsidRDefault="21CBF053" w:rsidP="0871CD5E">
      <w:pPr>
        <w:rPr>
          <w:rFonts w:ascii="Calibri" w:eastAsia="Calibri" w:hAnsi="Calibri" w:cs="Calibri"/>
        </w:rPr>
      </w:pPr>
      <w:r w:rsidRPr="0871CD5E">
        <w:rPr>
          <w:rFonts w:ascii="Calibri" w:eastAsia="Calibri" w:hAnsi="Calibri" w:cs="Calibri"/>
          <w:color w:val="1B1B1B"/>
        </w:rPr>
        <w:t xml:space="preserve">Ave, G., Frerichs, L., Jones, J., Kim, M., Schaal, J., Vassar, S., Varma, D., Striley, C., Ruktanonchai, C., Black, A., Hankins, J., Lovelady, N., Cene, C., Green, M., Young, T., Tiwari, S., Cheney, A., Cottler, L., Sullivan, G., Brown, A., … Corbie-Smith, G. (2018). </w:t>
      </w:r>
      <w:r w:rsidRPr="0871CD5E">
        <w:rPr>
          <w:rFonts w:ascii="Calibri" w:eastAsia="Calibri" w:hAnsi="Calibri" w:cs="Calibri"/>
          <w:i/>
          <w:iCs/>
          <w:color w:val="1B1B1B"/>
        </w:rPr>
        <w:t xml:space="preserve">Conceptualizing trust in </w:t>
      </w:r>
      <w:r w:rsidRPr="0871CD5E">
        <w:rPr>
          <w:rFonts w:ascii="Calibri" w:eastAsia="Calibri" w:hAnsi="Calibri" w:cs="Calibri"/>
          <w:i/>
          <w:iCs/>
          <w:color w:val="1B1B1B"/>
        </w:rPr>
        <w:lastRenderedPageBreak/>
        <w:t>community-academic research partnerships using concept mapping approach:</w:t>
      </w:r>
      <w:r w:rsidRPr="0871CD5E">
        <w:rPr>
          <w:rFonts w:ascii="Calibri" w:eastAsia="Calibri" w:hAnsi="Calibri" w:cs="Calibri"/>
          <w:color w:val="1B1B1B"/>
        </w:rPr>
        <w:t xml:space="preserve"> A multi-CTSA study. </w:t>
      </w:r>
      <w:r w:rsidRPr="0871CD5E">
        <w:rPr>
          <w:rFonts w:ascii="Calibri" w:eastAsia="Calibri" w:hAnsi="Calibri" w:cs="Calibri"/>
          <w:i/>
          <w:iCs/>
          <w:color w:val="1B1B1B"/>
        </w:rPr>
        <w:t>Evaluation and program planning</w:t>
      </w:r>
      <w:r w:rsidRPr="0871CD5E">
        <w:rPr>
          <w:rFonts w:ascii="Calibri" w:eastAsia="Calibri" w:hAnsi="Calibri" w:cs="Calibri"/>
          <w:color w:val="1B1B1B"/>
        </w:rPr>
        <w:t xml:space="preserve">, </w:t>
      </w:r>
      <w:r w:rsidRPr="0871CD5E">
        <w:rPr>
          <w:rFonts w:ascii="Calibri" w:eastAsia="Calibri" w:hAnsi="Calibri" w:cs="Calibri"/>
          <w:i/>
          <w:iCs/>
          <w:color w:val="1B1B1B"/>
        </w:rPr>
        <w:t>66</w:t>
      </w:r>
      <w:r w:rsidRPr="0871CD5E">
        <w:rPr>
          <w:rFonts w:ascii="Calibri" w:eastAsia="Calibri" w:hAnsi="Calibri" w:cs="Calibri"/>
          <w:color w:val="1B1B1B"/>
        </w:rPr>
        <w:t>, 70–78. https://doi.org/10.1016/j.evalprogplan.2017.10.007</w:t>
      </w:r>
    </w:p>
    <w:sectPr w:rsidR="21CBF053">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4BCF87" w14:textId="77777777" w:rsidR="00A637FD" w:rsidRDefault="00A637FD">
      <w:pPr>
        <w:spacing w:after="0" w:line="240" w:lineRule="auto"/>
      </w:pPr>
      <w:r>
        <w:separator/>
      </w:r>
    </w:p>
  </w:endnote>
  <w:endnote w:type="continuationSeparator" w:id="0">
    <w:p w14:paraId="68FF65C8" w14:textId="77777777" w:rsidR="00A637FD" w:rsidRDefault="00A63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871CD5E" w14:paraId="74371D0D" w14:textId="77777777" w:rsidTr="0871CD5E">
      <w:trPr>
        <w:trHeight w:val="300"/>
      </w:trPr>
      <w:tc>
        <w:tcPr>
          <w:tcW w:w="3120" w:type="dxa"/>
        </w:tcPr>
        <w:p w14:paraId="61F066D8" w14:textId="5B90B29C" w:rsidR="0871CD5E" w:rsidRDefault="0871CD5E" w:rsidP="0871CD5E">
          <w:pPr>
            <w:pStyle w:val="Header"/>
            <w:ind w:left="-115"/>
          </w:pPr>
        </w:p>
      </w:tc>
      <w:tc>
        <w:tcPr>
          <w:tcW w:w="3120" w:type="dxa"/>
        </w:tcPr>
        <w:p w14:paraId="3F0DFCC0" w14:textId="7BE340FF" w:rsidR="0871CD5E" w:rsidRDefault="0871CD5E" w:rsidP="0871CD5E">
          <w:pPr>
            <w:pStyle w:val="Header"/>
            <w:jc w:val="center"/>
          </w:pPr>
        </w:p>
      </w:tc>
      <w:tc>
        <w:tcPr>
          <w:tcW w:w="3120" w:type="dxa"/>
        </w:tcPr>
        <w:p w14:paraId="396FB442" w14:textId="677A0A7B" w:rsidR="0871CD5E" w:rsidRDefault="0871CD5E" w:rsidP="0871CD5E">
          <w:pPr>
            <w:pStyle w:val="Header"/>
            <w:ind w:right="-115"/>
            <w:jc w:val="right"/>
          </w:pPr>
        </w:p>
      </w:tc>
    </w:tr>
  </w:tbl>
  <w:p w14:paraId="30244A2B" w14:textId="0421E6ED" w:rsidR="0871CD5E" w:rsidRDefault="0871CD5E" w:rsidP="0871C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4B5E99" w14:textId="77777777" w:rsidR="00A637FD" w:rsidRDefault="00A637FD">
      <w:pPr>
        <w:spacing w:after="0" w:line="240" w:lineRule="auto"/>
      </w:pPr>
      <w:r>
        <w:separator/>
      </w:r>
    </w:p>
  </w:footnote>
  <w:footnote w:type="continuationSeparator" w:id="0">
    <w:p w14:paraId="45716E8C" w14:textId="77777777" w:rsidR="00A637FD" w:rsidRDefault="00A63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2850"/>
      <w:gridCol w:w="3390"/>
    </w:tblGrid>
    <w:tr w:rsidR="0871CD5E" w14:paraId="619C2AB8" w14:textId="77777777" w:rsidTr="0871CD5E">
      <w:trPr>
        <w:trHeight w:val="300"/>
      </w:trPr>
      <w:tc>
        <w:tcPr>
          <w:tcW w:w="3120" w:type="dxa"/>
        </w:tcPr>
        <w:p w14:paraId="73D3BF01" w14:textId="07CEFAB3" w:rsidR="0871CD5E" w:rsidRDefault="0871CD5E" w:rsidP="0871CD5E">
          <w:pPr>
            <w:pStyle w:val="Header"/>
            <w:ind w:left="-115"/>
          </w:pPr>
          <w:r>
            <w:t xml:space="preserve">Beca Hiscocks </w:t>
          </w:r>
        </w:p>
      </w:tc>
      <w:tc>
        <w:tcPr>
          <w:tcW w:w="2850" w:type="dxa"/>
        </w:tcPr>
        <w:p w14:paraId="4893811F" w14:textId="69DA9BDA" w:rsidR="0871CD5E" w:rsidRDefault="0871CD5E" w:rsidP="0871CD5E">
          <w:pPr>
            <w:pStyle w:val="Header"/>
            <w:jc w:val="center"/>
          </w:pPr>
          <w:r>
            <w:t>ECEY5010</w:t>
          </w:r>
        </w:p>
      </w:tc>
      <w:tc>
        <w:tcPr>
          <w:tcW w:w="3390" w:type="dxa"/>
        </w:tcPr>
        <w:p w14:paraId="6BD054E4" w14:textId="4AE6AFA5" w:rsidR="0871CD5E" w:rsidRDefault="0871CD5E" w:rsidP="0871CD5E">
          <w:pPr>
            <w:pStyle w:val="Header"/>
            <w:ind w:right="-115"/>
            <w:jc w:val="right"/>
          </w:pPr>
          <w:r>
            <w:t xml:space="preserve">4000 words </w:t>
          </w:r>
        </w:p>
      </w:tc>
    </w:tr>
  </w:tbl>
  <w:p w14:paraId="6F98D103" w14:textId="0B6CFDA1" w:rsidR="0871CD5E" w:rsidRDefault="0871CD5E" w:rsidP="0871CD5E">
    <w:pPr>
      <w:pStyle w:val="Header"/>
    </w:pPr>
  </w:p>
</w:hdr>
</file>

<file path=word/intelligence2.xml><?xml version="1.0" encoding="utf-8"?>
<int2:intelligence xmlns:int2="http://schemas.microsoft.com/office/intelligence/2020/intelligence" xmlns:oel="http://schemas.microsoft.com/office/2019/extlst">
  <int2:observations>
    <int2:textHash int2:hashCode="DVdE14VoisMtnv" int2:id="Vr1IO4py">
      <int2:state int2:value="Rejected" int2:type="AugLoop_Text_Critique"/>
    </int2:textHash>
    <int2:textHash int2:hashCode="NT12h6See3qwhk" int2:id="6YQo6l5V">
      <int2:state int2:value="Rejected" int2:type="AugLoop_Text_Critique"/>
    </int2:textHash>
    <int2:textHash int2:hashCode="irkedAV4Qy4Bdo" int2:id="Vm880yKw">
      <int2:state int2:value="Rejected" int2:type="AugLoop_Text_Critique"/>
    </int2:textHash>
    <int2:textHash int2:hashCode="oH07k/Lo//8WAY" int2:id="NfgKIXrt">
      <int2:state int2:value="Rejected" int2:type="AugLoop_Text_Critique"/>
    </int2:textHash>
    <int2:textHash int2:hashCode="Z+TrlBhYLlzY1C" int2:id="szINBE8r">
      <int2:state int2:value="Rejected" int2:type="AugLoop_Text_Critique"/>
    </int2:textHash>
    <int2:textHash int2:hashCode="WQUKHK/oUnCCZJ" int2:id="l0pJuIQM">
      <int2:state int2:value="Rejected" int2:type="AugLoop_Text_Critique"/>
    </int2:textHash>
    <int2:textHash int2:hashCode="i8Xkc2nHBocPFJ" int2:id="BQlJXrUD">
      <int2:state int2:value="Rejected" int2:type="AugLoop_Text_Critique"/>
    </int2:textHash>
    <int2:bookmark int2:bookmarkName="_Int_u8AgMNAt" int2:invalidationBookmarkName="" int2:hashCode="poEwI8F7cc22x+" int2:id="9BQDA9W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1E20F5"/>
    <w:multiLevelType w:val="hybridMultilevel"/>
    <w:tmpl w:val="81FE69F6"/>
    <w:lvl w:ilvl="0" w:tplc="665A17B2">
      <w:start w:val="1"/>
      <w:numFmt w:val="bullet"/>
      <w:lvlText w:val=""/>
      <w:lvlJc w:val="left"/>
      <w:pPr>
        <w:ind w:left="720" w:hanging="360"/>
      </w:pPr>
      <w:rPr>
        <w:rFonts w:ascii="Symbol" w:hAnsi="Symbol" w:hint="default"/>
      </w:rPr>
    </w:lvl>
    <w:lvl w:ilvl="1" w:tplc="784202B6">
      <w:start w:val="1"/>
      <w:numFmt w:val="bullet"/>
      <w:lvlText w:val="o"/>
      <w:lvlJc w:val="left"/>
      <w:pPr>
        <w:ind w:left="1440" w:hanging="360"/>
      </w:pPr>
      <w:rPr>
        <w:rFonts w:ascii="Courier New" w:hAnsi="Courier New" w:hint="default"/>
      </w:rPr>
    </w:lvl>
    <w:lvl w:ilvl="2" w:tplc="7B0856B2">
      <w:start w:val="1"/>
      <w:numFmt w:val="bullet"/>
      <w:lvlText w:val=""/>
      <w:lvlJc w:val="left"/>
      <w:pPr>
        <w:ind w:left="2160" w:hanging="360"/>
      </w:pPr>
      <w:rPr>
        <w:rFonts w:ascii="Wingdings" w:hAnsi="Wingdings" w:hint="default"/>
      </w:rPr>
    </w:lvl>
    <w:lvl w:ilvl="3" w:tplc="6E5077EE">
      <w:start w:val="1"/>
      <w:numFmt w:val="bullet"/>
      <w:lvlText w:val=""/>
      <w:lvlJc w:val="left"/>
      <w:pPr>
        <w:ind w:left="2880" w:hanging="360"/>
      </w:pPr>
      <w:rPr>
        <w:rFonts w:ascii="Symbol" w:hAnsi="Symbol" w:hint="default"/>
      </w:rPr>
    </w:lvl>
    <w:lvl w:ilvl="4" w:tplc="4A78493A">
      <w:start w:val="1"/>
      <w:numFmt w:val="bullet"/>
      <w:lvlText w:val="o"/>
      <w:lvlJc w:val="left"/>
      <w:pPr>
        <w:ind w:left="3600" w:hanging="360"/>
      </w:pPr>
      <w:rPr>
        <w:rFonts w:ascii="Courier New" w:hAnsi="Courier New" w:hint="default"/>
      </w:rPr>
    </w:lvl>
    <w:lvl w:ilvl="5" w:tplc="CE924D5E">
      <w:start w:val="1"/>
      <w:numFmt w:val="bullet"/>
      <w:lvlText w:val=""/>
      <w:lvlJc w:val="left"/>
      <w:pPr>
        <w:ind w:left="4320" w:hanging="360"/>
      </w:pPr>
      <w:rPr>
        <w:rFonts w:ascii="Wingdings" w:hAnsi="Wingdings" w:hint="default"/>
      </w:rPr>
    </w:lvl>
    <w:lvl w:ilvl="6" w:tplc="94D067EC">
      <w:start w:val="1"/>
      <w:numFmt w:val="bullet"/>
      <w:lvlText w:val=""/>
      <w:lvlJc w:val="left"/>
      <w:pPr>
        <w:ind w:left="5040" w:hanging="360"/>
      </w:pPr>
      <w:rPr>
        <w:rFonts w:ascii="Symbol" w:hAnsi="Symbol" w:hint="default"/>
      </w:rPr>
    </w:lvl>
    <w:lvl w:ilvl="7" w:tplc="3EF8299E">
      <w:start w:val="1"/>
      <w:numFmt w:val="bullet"/>
      <w:lvlText w:val="o"/>
      <w:lvlJc w:val="left"/>
      <w:pPr>
        <w:ind w:left="5760" w:hanging="360"/>
      </w:pPr>
      <w:rPr>
        <w:rFonts w:ascii="Courier New" w:hAnsi="Courier New" w:hint="default"/>
      </w:rPr>
    </w:lvl>
    <w:lvl w:ilvl="8" w:tplc="E73A2EC4">
      <w:start w:val="1"/>
      <w:numFmt w:val="bullet"/>
      <w:lvlText w:val=""/>
      <w:lvlJc w:val="left"/>
      <w:pPr>
        <w:ind w:left="6480" w:hanging="360"/>
      </w:pPr>
      <w:rPr>
        <w:rFonts w:ascii="Wingdings" w:hAnsi="Wingdings" w:hint="default"/>
      </w:rPr>
    </w:lvl>
  </w:abstractNum>
  <w:num w:numId="1" w16cid:durableId="1881892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FE2F73"/>
    <w:rsid w:val="00041138"/>
    <w:rsid w:val="00072174"/>
    <w:rsid w:val="000F179A"/>
    <w:rsid w:val="00329E81"/>
    <w:rsid w:val="0037E5C8"/>
    <w:rsid w:val="00474D13"/>
    <w:rsid w:val="00600888"/>
    <w:rsid w:val="007136D7"/>
    <w:rsid w:val="00753667"/>
    <w:rsid w:val="00769842"/>
    <w:rsid w:val="00A637FD"/>
    <w:rsid w:val="00AFF9B5"/>
    <w:rsid w:val="00B7D2C0"/>
    <w:rsid w:val="00C8448B"/>
    <w:rsid w:val="00EA93B7"/>
    <w:rsid w:val="013ABAA1"/>
    <w:rsid w:val="01445904"/>
    <w:rsid w:val="0180A557"/>
    <w:rsid w:val="01B6C3B7"/>
    <w:rsid w:val="01DF01C2"/>
    <w:rsid w:val="02247823"/>
    <w:rsid w:val="022DC025"/>
    <w:rsid w:val="025B3750"/>
    <w:rsid w:val="0267BD52"/>
    <w:rsid w:val="02AC38F9"/>
    <w:rsid w:val="02B511A5"/>
    <w:rsid w:val="02C03DFC"/>
    <w:rsid w:val="02D43D54"/>
    <w:rsid w:val="02E5D4D5"/>
    <w:rsid w:val="02F6AC9B"/>
    <w:rsid w:val="035F1E69"/>
    <w:rsid w:val="03AD7423"/>
    <w:rsid w:val="043B34A5"/>
    <w:rsid w:val="046E0A77"/>
    <w:rsid w:val="047CF5C5"/>
    <w:rsid w:val="04805DB2"/>
    <w:rsid w:val="04BBA465"/>
    <w:rsid w:val="05075F85"/>
    <w:rsid w:val="0559994A"/>
    <w:rsid w:val="05D3B794"/>
    <w:rsid w:val="05FA06F8"/>
    <w:rsid w:val="06141CB3"/>
    <w:rsid w:val="0616276F"/>
    <w:rsid w:val="06448749"/>
    <w:rsid w:val="067D096A"/>
    <w:rsid w:val="0750056E"/>
    <w:rsid w:val="07576DC9"/>
    <w:rsid w:val="07CC0C86"/>
    <w:rsid w:val="07CEE2B3"/>
    <w:rsid w:val="07E4789B"/>
    <w:rsid w:val="07E894A2"/>
    <w:rsid w:val="07FD48A0"/>
    <w:rsid w:val="08215ABB"/>
    <w:rsid w:val="083B4E3F"/>
    <w:rsid w:val="08652E8C"/>
    <w:rsid w:val="0871CD5E"/>
    <w:rsid w:val="08914936"/>
    <w:rsid w:val="08AFA9C8"/>
    <w:rsid w:val="08E177F5"/>
    <w:rsid w:val="08E92ECF"/>
    <w:rsid w:val="0948602E"/>
    <w:rsid w:val="09671818"/>
    <w:rsid w:val="0970B63E"/>
    <w:rsid w:val="09B1D97C"/>
    <w:rsid w:val="09CE9746"/>
    <w:rsid w:val="09DD7ADD"/>
    <w:rsid w:val="09E2544E"/>
    <w:rsid w:val="09FC0824"/>
    <w:rsid w:val="09FFD063"/>
    <w:rsid w:val="0A082F70"/>
    <w:rsid w:val="0A1ACEBB"/>
    <w:rsid w:val="0A361F2B"/>
    <w:rsid w:val="0AA039C5"/>
    <w:rsid w:val="0AA47189"/>
    <w:rsid w:val="0AE1A279"/>
    <w:rsid w:val="0B335FAB"/>
    <w:rsid w:val="0BB42CFA"/>
    <w:rsid w:val="0BB73275"/>
    <w:rsid w:val="0BBDD1F6"/>
    <w:rsid w:val="0BC2887C"/>
    <w:rsid w:val="0BC41C8D"/>
    <w:rsid w:val="0BCA00C2"/>
    <w:rsid w:val="0BD0F307"/>
    <w:rsid w:val="0BF9BA44"/>
    <w:rsid w:val="0BFA0652"/>
    <w:rsid w:val="0C215B00"/>
    <w:rsid w:val="0C251FEC"/>
    <w:rsid w:val="0C37848E"/>
    <w:rsid w:val="0C4F820A"/>
    <w:rsid w:val="0C69C912"/>
    <w:rsid w:val="0C70FD79"/>
    <w:rsid w:val="0C9C5631"/>
    <w:rsid w:val="0CF707A6"/>
    <w:rsid w:val="0D97DBCE"/>
    <w:rsid w:val="0DA80C40"/>
    <w:rsid w:val="0DB325DA"/>
    <w:rsid w:val="0DF7C556"/>
    <w:rsid w:val="0E2E506E"/>
    <w:rsid w:val="0E30FAF4"/>
    <w:rsid w:val="0E5A92C6"/>
    <w:rsid w:val="0E643C7E"/>
    <w:rsid w:val="0E6F4859"/>
    <w:rsid w:val="0E8B61BD"/>
    <w:rsid w:val="0EB3DCAB"/>
    <w:rsid w:val="0EF32096"/>
    <w:rsid w:val="0F151812"/>
    <w:rsid w:val="0F47CC76"/>
    <w:rsid w:val="0F6D2A96"/>
    <w:rsid w:val="0FE632AC"/>
    <w:rsid w:val="0FFE8692"/>
    <w:rsid w:val="100E2919"/>
    <w:rsid w:val="103CC605"/>
    <w:rsid w:val="10802603"/>
    <w:rsid w:val="108B073A"/>
    <w:rsid w:val="10B813A4"/>
    <w:rsid w:val="10BE9878"/>
    <w:rsid w:val="10D8013F"/>
    <w:rsid w:val="10FA5651"/>
    <w:rsid w:val="11176ABE"/>
    <w:rsid w:val="114DB58C"/>
    <w:rsid w:val="11709946"/>
    <w:rsid w:val="11B05DB5"/>
    <w:rsid w:val="11B6B182"/>
    <w:rsid w:val="11D9BE46"/>
    <w:rsid w:val="1205B701"/>
    <w:rsid w:val="122DE044"/>
    <w:rsid w:val="126C3D58"/>
    <w:rsid w:val="1270A63D"/>
    <w:rsid w:val="1277FFAF"/>
    <w:rsid w:val="128A8977"/>
    <w:rsid w:val="12C68F08"/>
    <w:rsid w:val="1313F59C"/>
    <w:rsid w:val="134A2A88"/>
    <w:rsid w:val="13AF697D"/>
    <w:rsid w:val="13D24C7E"/>
    <w:rsid w:val="13E242C5"/>
    <w:rsid w:val="140AAE87"/>
    <w:rsid w:val="140F4A08"/>
    <w:rsid w:val="143AB093"/>
    <w:rsid w:val="145B7A36"/>
    <w:rsid w:val="146B78DE"/>
    <w:rsid w:val="1480B7EC"/>
    <w:rsid w:val="14AB67CF"/>
    <w:rsid w:val="155A7C89"/>
    <w:rsid w:val="156113B9"/>
    <w:rsid w:val="15A44F26"/>
    <w:rsid w:val="15AB9314"/>
    <w:rsid w:val="15BFC8B4"/>
    <w:rsid w:val="15E2D2ED"/>
    <w:rsid w:val="162D71A3"/>
    <w:rsid w:val="162F4644"/>
    <w:rsid w:val="165DDD9B"/>
    <w:rsid w:val="1675EE47"/>
    <w:rsid w:val="16D037E9"/>
    <w:rsid w:val="16E11535"/>
    <w:rsid w:val="16EE77DD"/>
    <w:rsid w:val="1734A96B"/>
    <w:rsid w:val="17484F99"/>
    <w:rsid w:val="176092C2"/>
    <w:rsid w:val="1761B02A"/>
    <w:rsid w:val="17647B51"/>
    <w:rsid w:val="176D52F1"/>
    <w:rsid w:val="1784006F"/>
    <w:rsid w:val="179A84DE"/>
    <w:rsid w:val="17EFAE97"/>
    <w:rsid w:val="188F3098"/>
    <w:rsid w:val="18975752"/>
    <w:rsid w:val="1897919A"/>
    <w:rsid w:val="18D2B731"/>
    <w:rsid w:val="18D8760E"/>
    <w:rsid w:val="18E39F9E"/>
    <w:rsid w:val="1924D4AB"/>
    <w:rsid w:val="19428ADC"/>
    <w:rsid w:val="197DF32D"/>
    <w:rsid w:val="199A0BDF"/>
    <w:rsid w:val="19A625A1"/>
    <w:rsid w:val="19BBB838"/>
    <w:rsid w:val="19CD644F"/>
    <w:rsid w:val="19D4D937"/>
    <w:rsid w:val="1A0535EA"/>
    <w:rsid w:val="1A0CBF53"/>
    <w:rsid w:val="1A2D0803"/>
    <w:rsid w:val="1A6A7FA0"/>
    <w:rsid w:val="1A92840C"/>
    <w:rsid w:val="1A9FE08B"/>
    <w:rsid w:val="1AA3901A"/>
    <w:rsid w:val="1AAE81C1"/>
    <w:rsid w:val="1ADB58BA"/>
    <w:rsid w:val="1AE5FDF6"/>
    <w:rsid w:val="1B16D451"/>
    <w:rsid w:val="1B2AAAC4"/>
    <w:rsid w:val="1B2EC011"/>
    <w:rsid w:val="1B421667"/>
    <w:rsid w:val="1B49B994"/>
    <w:rsid w:val="1B5D81E5"/>
    <w:rsid w:val="1BCB8C2E"/>
    <w:rsid w:val="1BCC1960"/>
    <w:rsid w:val="1C3665F0"/>
    <w:rsid w:val="1C5F51C3"/>
    <w:rsid w:val="1C9855CE"/>
    <w:rsid w:val="1D353C17"/>
    <w:rsid w:val="1D89CD23"/>
    <w:rsid w:val="1D98EA0E"/>
    <w:rsid w:val="1DA15301"/>
    <w:rsid w:val="1DB6FE01"/>
    <w:rsid w:val="1E101EB4"/>
    <w:rsid w:val="1E3B6AD7"/>
    <w:rsid w:val="1E52C1AC"/>
    <w:rsid w:val="1E76DDE2"/>
    <w:rsid w:val="1E8472AE"/>
    <w:rsid w:val="1E9CB59F"/>
    <w:rsid w:val="1E9E988B"/>
    <w:rsid w:val="1EC488B4"/>
    <w:rsid w:val="1EF24E43"/>
    <w:rsid w:val="1EF7BE7D"/>
    <w:rsid w:val="1F0C7064"/>
    <w:rsid w:val="1F2807BC"/>
    <w:rsid w:val="1F4C69D7"/>
    <w:rsid w:val="1F4E5182"/>
    <w:rsid w:val="1F7D226E"/>
    <w:rsid w:val="1F84659C"/>
    <w:rsid w:val="1FC70C94"/>
    <w:rsid w:val="200BAFF7"/>
    <w:rsid w:val="2010303F"/>
    <w:rsid w:val="2059F2F2"/>
    <w:rsid w:val="20A13664"/>
    <w:rsid w:val="20CCD7CF"/>
    <w:rsid w:val="210AABE2"/>
    <w:rsid w:val="21115E63"/>
    <w:rsid w:val="21469794"/>
    <w:rsid w:val="214C7536"/>
    <w:rsid w:val="215615C5"/>
    <w:rsid w:val="218543DC"/>
    <w:rsid w:val="21C1890F"/>
    <w:rsid w:val="21C2BE38"/>
    <w:rsid w:val="21CBF053"/>
    <w:rsid w:val="21E04B04"/>
    <w:rsid w:val="221A1675"/>
    <w:rsid w:val="2239F786"/>
    <w:rsid w:val="225A3F8C"/>
    <w:rsid w:val="2297E292"/>
    <w:rsid w:val="22B9737C"/>
    <w:rsid w:val="22CC342A"/>
    <w:rsid w:val="22DFE1D3"/>
    <w:rsid w:val="22E09C6F"/>
    <w:rsid w:val="230B102A"/>
    <w:rsid w:val="23752AD6"/>
    <w:rsid w:val="23B97AE3"/>
    <w:rsid w:val="23EA99C2"/>
    <w:rsid w:val="243517EB"/>
    <w:rsid w:val="248D19B5"/>
    <w:rsid w:val="24A3F2F3"/>
    <w:rsid w:val="24A4D128"/>
    <w:rsid w:val="24BD71C2"/>
    <w:rsid w:val="24CA8788"/>
    <w:rsid w:val="24FE2F73"/>
    <w:rsid w:val="25145BD3"/>
    <w:rsid w:val="2542466E"/>
    <w:rsid w:val="2546E630"/>
    <w:rsid w:val="25617C80"/>
    <w:rsid w:val="258A47F4"/>
    <w:rsid w:val="25A39E97"/>
    <w:rsid w:val="25D55080"/>
    <w:rsid w:val="2644EB8F"/>
    <w:rsid w:val="267D9DF8"/>
    <w:rsid w:val="268292C8"/>
    <w:rsid w:val="26B0D098"/>
    <w:rsid w:val="26CEA69E"/>
    <w:rsid w:val="276A211D"/>
    <w:rsid w:val="27A11BEF"/>
    <w:rsid w:val="27AA1EF6"/>
    <w:rsid w:val="27CF1138"/>
    <w:rsid w:val="27DFE265"/>
    <w:rsid w:val="27F1F973"/>
    <w:rsid w:val="27F4E8B4"/>
    <w:rsid w:val="281848A1"/>
    <w:rsid w:val="2824BA05"/>
    <w:rsid w:val="28348CEA"/>
    <w:rsid w:val="2930A278"/>
    <w:rsid w:val="2974AE11"/>
    <w:rsid w:val="29A7A6EB"/>
    <w:rsid w:val="29DF0CED"/>
    <w:rsid w:val="2A01284A"/>
    <w:rsid w:val="2A047843"/>
    <w:rsid w:val="2A10F962"/>
    <w:rsid w:val="2A4CCB42"/>
    <w:rsid w:val="2A62B4E1"/>
    <w:rsid w:val="2AA758FF"/>
    <w:rsid w:val="2B86764B"/>
    <w:rsid w:val="2B8BFD53"/>
    <w:rsid w:val="2BBAEF78"/>
    <w:rsid w:val="2C03EBDF"/>
    <w:rsid w:val="2C164E84"/>
    <w:rsid w:val="2C4B3477"/>
    <w:rsid w:val="2C65C343"/>
    <w:rsid w:val="2C9AD6BA"/>
    <w:rsid w:val="2CCB9ED3"/>
    <w:rsid w:val="2CF28470"/>
    <w:rsid w:val="2CFD3A95"/>
    <w:rsid w:val="2D34B075"/>
    <w:rsid w:val="2D373B8F"/>
    <w:rsid w:val="2D49D952"/>
    <w:rsid w:val="2D5A1FD5"/>
    <w:rsid w:val="2D66332F"/>
    <w:rsid w:val="2D8D992B"/>
    <w:rsid w:val="2DA0D1B4"/>
    <w:rsid w:val="2E0579D1"/>
    <w:rsid w:val="2E182E36"/>
    <w:rsid w:val="2E7215CD"/>
    <w:rsid w:val="2EB1C8B6"/>
    <w:rsid w:val="2EBC8080"/>
    <w:rsid w:val="2EC252BC"/>
    <w:rsid w:val="2EC5C178"/>
    <w:rsid w:val="2EE05D5C"/>
    <w:rsid w:val="2EF573FA"/>
    <w:rsid w:val="2F027D63"/>
    <w:rsid w:val="2F15C925"/>
    <w:rsid w:val="2F4097B6"/>
    <w:rsid w:val="2F487F03"/>
    <w:rsid w:val="2F5CDA90"/>
    <w:rsid w:val="2F63D94D"/>
    <w:rsid w:val="2F7288F0"/>
    <w:rsid w:val="2F764BBC"/>
    <w:rsid w:val="2F7798E1"/>
    <w:rsid w:val="2F9D06B3"/>
    <w:rsid w:val="2FA3AF77"/>
    <w:rsid w:val="2FDD93B2"/>
    <w:rsid w:val="3005994B"/>
    <w:rsid w:val="301713DC"/>
    <w:rsid w:val="303799A1"/>
    <w:rsid w:val="3063C651"/>
    <w:rsid w:val="306C673D"/>
    <w:rsid w:val="307C99DC"/>
    <w:rsid w:val="308F8E52"/>
    <w:rsid w:val="30AD6C1F"/>
    <w:rsid w:val="30E5CD56"/>
    <w:rsid w:val="30F9EB9F"/>
    <w:rsid w:val="3190000E"/>
    <w:rsid w:val="319C6CBA"/>
    <w:rsid w:val="31B16177"/>
    <w:rsid w:val="31F3BA5E"/>
    <w:rsid w:val="322A9333"/>
    <w:rsid w:val="32383855"/>
    <w:rsid w:val="325B5B7F"/>
    <w:rsid w:val="32733523"/>
    <w:rsid w:val="3274B3DA"/>
    <w:rsid w:val="32795ED2"/>
    <w:rsid w:val="32B882FC"/>
    <w:rsid w:val="32B8B113"/>
    <w:rsid w:val="32D18032"/>
    <w:rsid w:val="32FB80D4"/>
    <w:rsid w:val="32FD7473"/>
    <w:rsid w:val="331C5096"/>
    <w:rsid w:val="334C7379"/>
    <w:rsid w:val="336CCAAA"/>
    <w:rsid w:val="3381896F"/>
    <w:rsid w:val="339745FA"/>
    <w:rsid w:val="33B525E5"/>
    <w:rsid w:val="34014E7B"/>
    <w:rsid w:val="34449559"/>
    <w:rsid w:val="345850E1"/>
    <w:rsid w:val="3491AAA3"/>
    <w:rsid w:val="34A22729"/>
    <w:rsid w:val="34AAEEB5"/>
    <w:rsid w:val="34B3E007"/>
    <w:rsid w:val="34BD54CC"/>
    <w:rsid w:val="34C14DEA"/>
    <w:rsid w:val="34E1CDFD"/>
    <w:rsid w:val="34E4F9C9"/>
    <w:rsid w:val="34E819F1"/>
    <w:rsid w:val="34FF6F72"/>
    <w:rsid w:val="35026C75"/>
    <w:rsid w:val="3588F090"/>
    <w:rsid w:val="358E2DF1"/>
    <w:rsid w:val="359FCBF9"/>
    <w:rsid w:val="35A03748"/>
    <w:rsid w:val="35A746B5"/>
    <w:rsid w:val="35B3F84C"/>
    <w:rsid w:val="35DEBFA2"/>
    <w:rsid w:val="35F34C88"/>
    <w:rsid w:val="361D7A14"/>
    <w:rsid w:val="362666E9"/>
    <w:rsid w:val="369432CC"/>
    <w:rsid w:val="36DC79F4"/>
    <w:rsid w:val="371B5DF3"/>
    <w:rsid w:val="373ED90B"/>
    <w:rsid w:val="375469CB"/>
    <w:rsid w:val="3771F409"/>
    <w:rsid w:val="3797A738"/>
    <w:rsid w:val="380713F8"/>
    <w:rsid w:val="3821BC6B"/>
    <w:rsid w:val="38298106"/>
    <w:rsid w:val="384E850B"/>
    <w:rsid w:val="38587E2C"/>
    <w:rsid w:val="3858A4B3"/>
    <w:rsid w:val="389AC2C4"/>
    <w:rsid w:val="38A8276C"/>
    <w:rsid w:val="38AD68D3"/>
    <w:rsid w:val="38C62FE1"/>
    <w:rsid w:val="38F1E83F"/>
    <w:rsid w:val="38FED08A"/>
    <w:rsid w:val="39081F9A"/>
    <w:rsid w:val="3911C4B1"/>
    <w:rsid w:val="39214716"/>
    <w:rsid w:val="39547F95"/>
    <w:rsid w:val="39562CA5"/>
    <w:rsid w:val="39A3FD65"/>
    <w:rsid w:val="39ACE75C"/>
    <w:rsid w:val="39B0EF1A"/>
    <w:rsid w:val="39DB9D9E"/>
    <w:rsid w:val="39E2A651"/>
    <w:rsid w:val="3A0F2614"/>
    <w:rsid w:val="3A1D5283"/>
    <w:rsid w:val="3A2FDE8F"/>
    <w:rsid w:val="3A321BCA"/>
    <w:rsid w:val="3A41D241"/>
    <w:rsid w:val="3A61E8D8"/>
    <w:rsid w:val="3A8A875D"/>
    <w:rsid w:val="3A9271B3"/>
    <w:rsid w:val="3AE688BA"/>
    <w:rsid w:val="3B38088A"/>
    <w:rsid w:val="3B3993DA"/>
    <w:rsid w:val="3B450C8D"/>
    <w:rsid w:val="3B7C4C8D"/>
    <w:rsid w:val="3B811A1C"/>
    <w:rsid w:val="3B875283"/>
    <w:rsid w:val="3B8B4827"/>
    <w:rsid w:val="3B9CAC1F"/>
    <w:rsid w:val="3BC55405"/>
    <w:rsid w:val="3C09AD35"/>
    <w:rsid w:val="3C1E54FF"/>
    <w:rsid w:val="3C2A37C0"/>
    <w:rsid w:val="3C59D903"/>
    <w:rsid w:val="3C928FE3"/>
    <w:rsid w:val="3CC452B2"/>
    <w:rsid w:val="3CDA7724"/>
    <w:rsid w:val="3CE4AEB8"/>
    <w:rsid w:val="3CF0EDE7"/>
    <w:rsid w:val="3D15543A"/>
    <w:rsid w:val="3D230B66"/>
    <w:rsid w:val="3D90CA69"/>
    <w:rsid w:val="3D97C83F"/>
    <w:rsid w:val="3DF641AB"/>
    <w:rsid w:val="3E0EF64D"/>
    <w:rsid w:val="3E0F539D"/>
    <w:rsid w:val="3E19EFB1"/>
    <w:rsid w:val="3E1E2C95"/>
    <w:rsid w:val="3E252FCC"/>
    <w:rsid w:val="3E64ACB3"/>
    <w:rsid w:val="3E73C177"/>
    <w:rsid w:val="3EA24159"/>
    <w:rsid w:val="3EB3E362"/>
    <w:rsid w:val="3ECFE94F"/>
    <w:rsid w:val="3F076FB8"/>
    <w:rsid w:val="3F246B75"/>
    <w:rsid w:val="3F2CC6BB"/>
    <w:rsid w:val="3F56D246"/>
    <w:rsid w:val="3F6F0217"/>
    <w:rsid w:val="3F9D2B84"/>
    <w:rsid w:val="3FBAEB47"/>
    <w:rsid w:val="3FBDB757"/>
    <w:rsid w:val="3FCA5F0D"/>
    <w:rsid w:val="3FCD084D"/>
    <w:rsid w:val="4059415C"/>
    <w:rsid w:val="40A58088"/>
    <w:rsid w:val="410A89A7"/>
    <w:rsid w:val="4132EC04"/>
    <w:rsid w:val="41358374"/>
    <w:rsid w:val="413AEB81"/>
    <w:rsid w:val="414C0248"/>
    <w:rsid w:val="4150E2DA"/>
    <w:rsid w:val="4158AB81"/>
    <w:rsid w:val="4197B56C"/>
    <w:rsid w:val="41A03F21"/>
    <w:rsid w:val="41C29873"/>
    <w:rsid w:val="41C3D033"/>
    <w:rsid w:val="41FC5BB6"/>
    <w:rsid w:val="422C6A4C"/>
    <w:rsid w:val="423122C5"/>
    <w:rsid w:val="425790EF"/>
    <w:rsid w:val="427CDE9A"/>
    <w:rsid w:val="429BA98C"/>
    <w:rsid w:val="42BB6ECB"/>
    <w:rsid w:val="42C166B0"/>
    <w:rsid w:val="433C45AE"/>
    <w:rsid w:val="434101CC"/>
    <w:rsid w:val="43784BAF"/>
    <w:rsid w:val="43CCF0AC"/>
    <w:rsid w:val="43CFCD61"/>
    <w:rsid w:val="43D7BE37"/>
    <w:rsid w:val="43DFB99D"/>
    <w:rsid w:val="43E0B31F"/>
    <w:rsid w:val="43F0EC86"/>
    <w:rsid w:val="4411190A"/>
    <w:rsid w:val="4430B65F"/>
    <w:rsid w:val="445E9105"/>
    <w:rsid w:val="447260D7"/>
    <w:rsid w:val="44BFD076"/>
    <w:rsid w:val="44C8D68E"/>
    <w:rsid w:val="44D6860D"/>
    <w:rsid w:val="4521A039"/>
    <w:rsid w:val="4528B5C5"/>
    <w:rsid w:val="456CB3EF"/>
    <w:rsid w:val="458ED9AB"/>
    <w:rsid w:val="45DB10D8"/>
    <w:rsid w:val="45DC1C34"/>
    <w:rsid w:val="45F15665"/>
    <w:rsid w:val="45FD46FF"/>
    <w:rsid w:val="462E58C7"/>
    <w:rsid w:val="4637E7F4"/>
    <w:rsid w:val="46897CC8"/>
    <w:rsid w:val="468D4EC3"/>
    <w:rsid w:val="46B214D6"/>
    <w:rsid w:val="47011C80"/>
    <w:rsid w:val="4701C765"/>
    <w:rsid w:val="47118AF0"/>
    <w:rsid w:val="47247B08"/>
    <w:rsid w:val="4725D343"/>
    <w:rsid w:val="473D0743"/>
    <w:rsid w:val="4758A293"/>
    <w:rsid w:val="478E6F0C"/>
    <w:rsid w:val="479FB814"/>
    <w:rsid w:val="47C0C91E"/>
    <w:rsid w:val="47C64AE5"/>
    <w:rsid w:val="47D1A810"/>
    <w:rsid w:val="47EBAE31"/>
    <w:rsid w:val="47F0C73B"/>
    <w:rsid w:val="47F8DFD4"/>
    <w:rsid w:val="480CE1A1"/>
    <w:rsid w:val="482907AB"/>
    <w:rsid w:val="4854613E"/>
    <w:rsid w:val="485C13F3"/>
    <w:rsid w:val="4874344C"/>
    <w:rsid w:val="4890C860"/>
    <w:rsid w:val="48A29AE4"/>
    <w:rsid w:val="48A71169"/>
    <w:rsid w:val="48AE240E"/>
    <w:rsid w:val="48B23BF6"/>
    <w:rsid w:val="48BD220A"/>
    <w:rsid w:val="48E529A1"/>
    <w:rsid w:val="490C2414"/>
    <w:rsid w:val="49251943"/>
    <w:rsid w:val="493BB631"/>
    <w:rsid w:val="494C4D90"/>
    <w:rsid w:val="49518844"/>
    <w:rsid w:val="497256C9"/>
    <w:rsid w:val="497C2068"/>
    <w:rsid w:val="497CED36"/>
    <w:rsid w:val="4A04A1F2"/>
    <w:rsid w:val="4A095331"/>
    <w:rsid w:val="4A3F9036"/>
    <w:rsid w:val="4A432F9C"/>
    <w:rsid w:val="4ADFF444"/>
    <w:rsid w:val="4AE8D710"/>
    <w:rsid w:val="4AF0AC41"/>
    <w:rsid w:val="4AFC1A69"/>
    <w:rsid w:val="4B01525F"/>
    <w:rsid w:val="4B2F477F"/>
    <w:rsid w:val="4B2F5505"/>
    <w:rsid w:val="4B3D53EC"/>
    <w:rsid w:val="4B58A4A9"/>
    <w:rsid w:val="4B5C6A0D"/>
    <w:rsid w:val="4B5D0CF0"/>
    <w:rsid w:val="4B97B1D6"/>
    <w:rsid w:val="4BB5B57F"/>
    <w:rsid w:val="4C32EF7D"/>
    <w:rsid w:val="4C47D558"/>
    <w:rsid w:val="4C4835EC"/>
    <w:rsid w:val="4C4CD3EE"/>
    <w:rsid w:val="4CCBFFF3"/>
    <w:rsid w:val="4D8B894A"/>
    <w:rsid w:val="4DB2A41B"/>
    <w:rsid w:val="4DE30185"/>
    <w:rsid w:val="4DE92A9A"/>
    <w:rsid w:val="4E190019"/>
    <w:rsid w:val="4E3A0F15"/>
    <w:rsid w:val="4E41F4A5"/>
    <w:rsid w:val="4E747F0D"/>
    <w:rsid w:val="4E8F5799"/>
    <w:rsid w:val="4EEC159F"/>
    <w:rsid w:val="4EFEC5B2"/>
    <w:rsid w:val="4F0FB427"/>
    <w:rsid w:val="4F1B6A02"/>
    <w:rsid w:val="4F2126A5"/>
    <w:rsid w:val="4F369688"/>
    <w:rsid w:val="4F804AE4"/>
    <w:rsid w:val="4FA7C062"/>
    <w:rsid w:val="4FB37C87"/>
    <w:rsid w:val="4FBC9F2B"/>
    <w:rsid w:val="50113795"/>
    <w:rsid w:val="5023E6FC"/>
    <w:rsid w:val="50834D2D"/>
    <w:rsid w:val="50A00983"/>
    <w:rsid w:val="5116CEAA"/>
    <w:rsid w:val="51192E6F"/>
    <w:rsid w:val="511BE800"/>
    <w:rsid w:val="51223492"/>
    <w:rsid w:val="5124028E"/>
    <w:rsid w:val="514594BB"/>
    <w:rsid w:val="518C9A0F"/>
    <w:rsid w:val="5191CF27"/>
    <w:rsid w:val="51A51655"/>
    <w:rsid w:val="51D272AF"/>
    <w:rsid w:val="51DDD9EC"/>
    <w:rsid w:val="51DFD101"/>
    <w:rsid w:val="51E2F8C8"/>
    <w:rsid w:val="51E37FE0"/>
    <w:rsid w:val="51F6B3E0"/>
    <w:rsid w:val="529985B1"/>
    <w:rsid w:val="52C3BFE6"/>
    <w:rsid w:val="52E7AA3C"/>
    <w:rsid w:val="52ED926E"/>
    <w:rsid w:val="52F9522C"/>
    <w:rsid w:val="5337F6F0"/>
    <w:rsid w:val="53736992"/>
    <w:rsid w:val="538AB611"/>
    <w:rsid w:val="538B7A31"/>
    <w:rsid w:val="5391B7C6"/>
    <w:rsid w:val="53A789D8"/>
    <w:rsid w:val="53B404D2"/>
    <w:rsid w:val="53B9583A"/>
    <w:rsid w:val="53C25D89"/>
    <w:rsid w:val="53DBACBE"/>
    <w:rsid w:val="5418AE9B"/>
    <w:rsid w:val="54482524"/>
    <w:rsid w:val="5454CDB2"/>
    <w:rsid w:val="54609678"/>
    <w:rsid w:val="546E7526"/>
    <w:rsid w:val="54D6A71F"/>
    <w:rsid w:val="54DB5A4B"/>
    <w:rsid w:val="54E13B1E"/>
    <w:rsid w:val="54E53DEB"/>
    <w:rsid w:val="5539C4FE"/>
    <w:rsid w:val="55619F61"/>
    <w:rsid w:val="55783469"/>
    <w:rsid w:val="55785F00"/>
    <w:rsid w:val="558A9471"/>
    <w:rsid w:val="55AD160F"/>
    <w:rsid w:val="55D3CEB0"/>
    <w:rsid w:val="561284FA"/>
    <w:rsid w:val="56177A7E"/>
    <w:rsid w:val="5626FF10"/>
    <w:rsid w:val="56621382"/>
    <w:rsid w:val="5668FF1C"/>
    <w:rsid w:val="5672D23C"/>
    <w:rsid w:val="57105817"/>
    <w:rsid w:val="5721B0CA"/>
    <w:rsid w:val="572BB06D"/>
    <w:rsid w:val="57667B24"/>
    <w:rsid w:val="5766E888"/>
    <w:rsid w:val="5767DAC8"/>
    <w:rsid w:val="576CBBDA"/>
    <w:rsid w:val="57BD88BB"/>
    <w:rsid w:val="57EDF2B9"/>
    <w:rsid w:val="57F82C20"/>
    <w:rsid w:val="581AE37A"/>
    <w:rsid w:val="5842B70B"/>
    <w:rsid w:val="58693F11"/>
    <w:rsid w:val="587E4B3F"/>
    <w:rsid w:val="58BA1613"/>
    <w:rsid w:val="58CBC6D2"/>
    <w:rsid w:val="59342C5A"/>
    <w:rsid w:val="5992C91C"/>
    <w:rsid w:val="5A3F1BE0"/>
    <w:rsid w:val="5A86E866"/>
    <w:rsid w:val="5A91DBA6"/>
    <w:rsid w:val="5AAC00B8"/>
    <w:rsid w:val="5AAC1D22"/>
    <w:rsid w:val="5ADFF336"/>
    <w:rsid w:val="5AF52726"/>
    <w:rsid w:val="5B0B1E87"/>
    <w:rsid w:val="5B51FE85"/>
    <w:rsid w:val="5BBC646D"/>
    <w:rsid w:val="5BCF009C"/>
    <w:rsid w:val="5BDD7D1A"/>
    <w:rsid w:val="5BE80EFC"/>
    <w:rsid w:val="5C093D33"/>
    <w:rsid w:val="5C136A0A"/>
    <w:rsid w:val="5C248086"/>
    <w:rsid w:val="5C5429FA"/>
    <w:rsid w:val="5C896FF8"/>
    <w:rsid w:val="5CAE79D6"/>
    <w:rsid w:val="5CBCEC00"/>
    <w:rsid w:val="5CEF02D7"/>
    <w:rsid w:val="5CFC533A"/>
    <w:rsid w:val="5D04B13C"/>
    <w:rsid w:val="5D04EBB8"/>
    <w:rsid w:val="5D3119A6"/>
    <w:rsid w:val="5D4BC749"/>
    <w:rsid w:val="5D64CEBD"/>
    <w:rsid w:val="5D77EEDD"/>
    <w:rsid w:val="5DE4C0A5"/>
    <w:rsid w:val="5E110AB0"/>
    <w:rsid w:val="5E33C79B"/>
    <w:rsid w:val="5E5C5E92"/>
    <w:rsid w:val="5E773837"/>
    <w:rsid w:val="5E7E2B1A"/>
    <w:rsid w:val="5ED320BC"/>
    <w:rsid w:val="5EF1A50F"/>
    <w:rsid w:val="5F3C95CA"/>
    <w:rsid w:val="5FA660B3"/>
    <w:rsid w:val="5FCBD942"/>
    <w:rsid w:val="5FCCBC8B"/>
    <w:rsid w:val="600077B4"/>
    <w:rsid w:val="6017D28F"/>
    <w:rsid w:val="60191069"/>
    <w:rsid w:val="601928D5"/>
    <w:rsid w:val="601A9AB9"/>
    <w:rsid w:val="6020AB5F"/>
    <w:rsid w:val="602CA3E0"/>
    <w:rsid w:val="6032F45F"/>
    <w:rsid w:val="6047C25A"/>
    <w:rsid w:val="60757D13"/>
    <w:rsid w:val="60D80067"/>
    <w:rsid w:val="60D98BFE"/>
    <w:rsid w:val="6103DFC1"/>
    <w:rsid w:val="619A6A2A"/>
    <w:rsid w:val="62185935"/>
    <w:rsid w:val="6258DBD2"/>
    <w:rsid w:val="626F53B1"/>
    <w:rsid w:val="627043C9"/>
    <w:rsid w:val="62A8FFA2"/>
    <w:rsid w:val="62CA4701"/>
    <w:rsid w:val="62E40B9B"/>
    <w:rsid w:val="63186191"/>
    <w:rsid w:val="63334822"/>
    <w:rsid w:val="63346431"/>
    <w:rsid w:val="63748F71"/>
    <w:rsid w:val="63767C15"/>
    <w:rsid w:val="63854F14"/>
    <w:rsid w:val="6389372F"/>
    <w:rsid w:val="6396D964"/>
    <w:rsid w:val="639C3346"/>
    <w:rsid w:val="639DEDDC"/>
    <w:rsid w:val="63D5B356"/>
    <w:rsid w:val="63DC0BFF"/>
    <w:rsid w:val="63FE23B4"/>
    <w:rsid w:val="63FFFC35"/>
    <w:rsid w:val="6400C8FA"/>
    <w:rsid w:val="640D2BFF"/>
    <w:rsid w:val="6457CA88"/>
    <w:rsid w:val="6464CD95"/>
    <w:rsid w:val="64A24900"/>
    <w:rsid w:val="64A55D34"/>
    <w:rsid w:val="64EBDFA1"/>
    <w:rsid w:val="65105368"/>
    <w:rsid w:val="654631AE"/>
    <w:rsid w:val="65804568"/>
    <w:rsid w:val="658ABDB5"/>
    <w:rsid w:val="659850D3"/>
    <w:rsid w:val="65AA5D95"/>
    <w:rsid w:val="65C8CE4E"/>
    <w:rsid w:val="66208036"/>
    <w:rsid w:val="662530DA"/>
    <w:rsid w:val="66306DEA"/>
    <w:rsid w:val="66717EA2"/>
    <w:rsid w:val="6694C69F"/>
    <w:rsid w:val="66B21020"/>
    <w:rsid w:val="66CE5F2C"/>
    <w:rsid w:val="67326976"/>
    <w:rsid w:val="674FC8A6"/>
    <w:rsid w:val="67573665"/>
    <w:rsid w:val="675AB309"/>
    <w:rsid w:val="676BCB7C"/>
    <w:rsid w:val="67938BE5"/>
    <w:rsid w:val="67956FBC"/>
    <w:rsid w:val="67C3B08F"/>
    <w:rsid w:val="67E14A08"/>
    <w:rsid w:val="68015197"/>
    <w:rsid w:val="6807ABDC"/>
    <w:rsid w:val="685B6CED"/>
    <w:rsid w:val="685FDAE6"/>
    <w:rsid w:val="6868B2DC"/>
    <w:rsid w:val="68D1C740"/>
    <w:rsid w:val="68D79F7E"/>
    <w:rsid w:val="68F07DEF"/>
    <w:rsid w:val="68F865EF"/>
    <w:rsid w:val="69417466"/>
    <w:rsid w:val="6942ADC8"/>
    <w:rsid w:val="69447308"/>
    <w:rsid w:val="69892ECB"/>
    <w:rsid w:val="69BB0F99"/>
    <w:rsid w:val="69F52299"/>
    <w:rsid w:val="6A27785C"/>
    <w:rsid w:val="6A64BE7D"/>
    <w:rsid w:val="6A866520"/>
    <w:rsid w:val="6A879917"/>
    <w:rsid w:val="6A9A4B64"/>
    <w:rsid w:val="6B4F9608"/>
    <w:rsid w:val="6B6713A9"/>
    <w:rsid w:val="6B9BAFB7"/>
    <w:rsid w:val="6C048857"/>
    <w:rsid w:val="6C3D2A47"/>
    <w:rsid w:val="6C989EA1"/>
    <w:rsid w:val="6CA0B341"/>
    <w:rsid w:val="6CAD9C4B"/>
    <w:rsid w:val="6CD20A80"/>
    <w:rsid w:val="6CF316E6"/>
    <w:rsid w:val="6D136D26"/>
    <w:rsid w:val="6D24F1E8"/>
    <w:rsid w:val="6D7914A1"/>
    <w:rsid w:val="6D7C980A"/>
    <w:rsid w:val="6D84B970"/>
    <w:rsid w:val="6DA5210D"/>
    <w:rsid w:val="6DC5725E"/>
    <w:rsid w:val="6DC85244"/>
    <w:rsid w:val="6DE7170D"/>
    <w:rsid w:val="6E1B7B23"/>
    <w:rsid w:val="6E2A2437"/>
    <w:rsid w:val="6E8E7A0C"/>
    <w:rsid w:val="6E9DBE2C"/>
    <w:rsid w:val="6E9EE985"/>
    <w:rsid w:val="6EB07E17"/>
    <w:rsid w:val="6EBBFDAA"/>
    <w:rsid w:val="6EC13765"/>
    <w:rsid w:val="6ECB23A4"/>
    <w:rsid w:val="6EDAE47D"/>
    <w:rsid w:val="6EDE4E12"/>
    <w:rsid w:val="6F058C20"/>
    <w:rsid w:val="6F2994B8"/>
    <w:rsid w:val="6F351D68"/>
    <w:rsid w:val="6F60847C"/>
    <w:rsid w:val="6F68340F"/>
    <w:rsid w:val="6FBE0262"/>
    <w:rsid w:val="7002AF2A"/>
    <w:rsid w:val="7033ADAF"/>
    <w:rsid w:val="70437287"/>
    <w:rsid w:val="7068FC21"/>
    <w:rsid w:val="70BC6A93"/>
    <w:rsid w:val="70F6B0A1"/>
    <w:rsid w:val="71011A22"/>
    <w:rsid w:val="71254B5A"/>
    <w:rsid w:val="713EBD28"/>
    <w:rsid w:val="71505805"/>
    <w:rsid w:val="716094F7"/>
    <w:rsid w:val="71B7A4B6"/>
    <w:rsid w:val="71CD22CB"/>
    <w:rsid w:val="71E14883"/>
    <w:rsid w:val="72071F5C"/>
    <w:rsid w:val="7207AE2C"/>
    <w:rsid w:val="7208AEBC"/>
    <w:rsid w:val="7213964E"/>
    <w:rsid w:val="724A9C5F"/>
    <w:rsid w:val="72671446"/>
    <w:rsid w:val="727F8EF2"/>
    <w:rsid w:val="72F25061"/>
    <w:rsid w:val="73FB512B"/>
    <w:rsid w:val="7433C9A6"/>
    <w:rsid w:val="74356227"/>
    <w:rsid w:val="744D41AB"/>
    <w:rsid w:val="74B2D228"/>
    <w:rsid w:val="75396BDB"/>
    <w:rsid w:val="7547D3B1"/>
    <w:rsid w:val="75811BBE"/>
    <w:rsid w:val="759772E4"/>
    <w:rsid w:val="759D0667"/>
    <w:rsid w:val="75A52699"/>
    <w:rsid w:val="75C02898"/>
    <w:rsid w:val="75C08DDD"/>
    <w:rsid w:val="75C98CA2"/>
    <w:rsid w:val="75E2EF09"/>
    <w:rsid w:val="75F59EC4"/>
    <w:rsid w:val="764CA380"/>
    <w:rsid w:val="76787F08"/>
    <w:rsid w:val="767F2F13"/>
    <w:rsid w:val="768078C3"/>
    <w:rsid w:val="7690E108"/>
    <w:rsid w:val="76AE9CB5"/>
    <w:rsid w:val="76D9B128"/>
    <w:rsid w:val="76E54CB4"/>
    <w:rsid w:val="76E83555"/>
    <w:rsid w:val="7756872D"/>
    <w:rsid w:val="77581D0A"/>
    <w:rsid w:val="77808E64"/>
    <w:rsid w:val="77A31026"/>
    <w:rsid w:val="77B686A4"/>
    <w:rsid w:val="77CBDCE9"/>
    <w:rsid w:val="78137466"/>
    <w:rsid w:val="7813B35F"/>
    <w:rsid w:val="781A8BEA"/>
    <w:rsid w:val="7829D8D7"/>
    <w:rsid w:val="785792E6"/>
    <w:rsid w:val="785EF20C"/>
    <w:rsid w:val="786B9E9A"/>
    <w:rsid w:val="7897B0B8"/>
    <w:rsid w:val="791E3011"/>
    <w:rsid w:val="791E9A7B"/>
    <w:rsid w:val="792436AF"/>
    <w:rsid w:val="793BFEF2"/>
    <w:rsid w:val="79419778"/>
    <w:rsid w:val="794C471A"/>
    <w:rsid w:val="795FC0E0"/>
    <w:rsid w:val="7974639E"/>
    <w:rsid w:val="79A5558C"/>
    <w:rsid w:val="79C6DC1A"/>
    <w:rsid w:val="7A0B79AF"/>
    <w:rsid w:val="7A18F15E"/>
    <w:rsid w:val="7A586339"/>
    <w:rsid w:val="7A6F3432"/>
    <w:rsid w:val="7A7740CB"/>
    <w:rsid w:val="7A83479A"/>
    <w:rsid w:val="7AACA42C"/>
    <w:rsid w:val="7AAD9D1D"/>
    <w:rsid w:val="7AE189A1"/>
    <w:rsid w:val="7AE9246F"/>
    <w:rsid w:val="7AFFB1BE"/>
    <w:rsid w:val="7B0E5E77"/>
    <w:rsid w:val="7B42AC33"/>
    <w:rsid w:val="7B936F7F"/>
    <w:rsid w:val="7B9C0F8C"/>
    <w:rsid w:val="7BBE6457"/>
    <w:rsid w:val="7C315957"/>
    <w:rsid w:val="7C3E37A3"/>
    <w:rsid w:val="7C52C79E"/>
    <w:rsid w:val="7C77B6E0"/>
    <w:rsid w:val="7CB53134"/>
    <w:rsid w:val="7CC58643"/>
    <w:rsid w:val="7CEEFC7C"/>
    <w:rsid w:val="7D02C02F"/>
    <w:rsid w:val="7D2C1087"/>
    <w:rsid w:val="7D3F806B"/>
    <w:rsid w:val="7D795557"/>
    <w:rsid w:val="7D7A1637"/>
    <w:rsid w:val="7D812F49"/>
    <w:rsid w:val="7D8E6200"/>
    <w:rsid w:val="7DC575BA"/>
    <w:rsid w:val="7DD37D09"/>
    <w:rsid w:val="7E197674"/>
    <w:rsid w:val="7E229A85"/>
    <w:rsid w:val="7E3DE3C1"/>
    <w:rsid w:val="7E5F025F"/>
    <w:rsid w:val="7E60341C"/>
    <w:rsid w:val="7E69654D"/>
    <w:rsid w:val="7E9BED47"/>
    <w:rsid w:val="7EA188BF"/>
    <w:rsid w:val="7EA930AF"/>
    <w:rsid w:val="7F0192C4"/>
    <w:rsid w:val="7F087E1A"/>
    <w:rsid w:val="7F106F54"/>
    <w:rsid w:val="7F3046D2"/>
    <w:rsid w:val="7F308603"/>
    <w:rsid w:val="7F984A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E2F73"/>
  <w15:chartTrackingRefBased/>
  <w15:docId w15:val="{4EED5B4B-EBB9-46FA-8542-F43B51940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n.bmj.com/content/18/3/66" TargetMode="External"/><Relationship Id="rId13" Type="http://schemas.openxmlformats.org/officeDocument/2006/relationships/hyperlink" Target="https://hwb.gov.wales/curriculum-for-wales/curriculum-for-funded-non-maintained-nursery-settings/" TargetMode="External"/><Relationship Id="rId18" Type="http://schemas.openxmlformats.org/officeDocument/2006/relationships/hyperlink" Target="https://doi.org/10.5688/ajpe7120" TargetMode="External"/><Relationship Id="rId26" Type="http://schemas.openxmlformats.org/officeDocument/2006/relationships/hyperlink" Target="https://doi-org.ezproxy.uwtsd.ac.uk/10.23965/AJEC.43.3.01" TargetMode="External"/><Relationship Id="rId3" Type="http://schemas.openxmlformats.org/officeDocument/2006/relationships/settings" Target="settings.xml"/><Relationship Id="rId21" Type="http://schemas.openxmlformats.org/officeDocument/2006/relationships/hyperlink" Target="https://ebn.bmj.com/content/20/3/74" TargetMode="External"/><Relationship Id="rId7" Type="http://schemas.openxmlformats.org/officeDocument/2006/relationships/hyperlink" Target="https://pubmed.ncbi.nlm.nih.gov/25158659/" TargetMode="External"/><Relationship Id="rId12" Type="http://schemas.openxmlformats.org/officeDocument/2006/relationships/hyperlink" Target="https://www.frontiersin.org/journals/education/articles/10.3389/feduc.2022.751801/full" TargetMode="External"/><Relationship Id="rId17" Type="http://schemas.openxmlformats.org/officeDocument/2006/relationships/hyperlink" Target="https://doi.org/10.37134/saecj.vol10.2.2.2021" TargetMode="External"/><Relationship Id="rId25" Type="http://schemas.openxmlformats.org/officeDocument/2006/relationships/hyperlink" Target="https://learning.nspcc.org.uk/media/3091/nspcc-research-ethics-principles.pdf" TargetMode="External"/><Relationship Id="rId2" Type="http://schemas.openxmlformats.org/officeDocument/2006/relationships/styles" Target="styles.xml"/><Relationship Id="rId16" Type="http://schemas.openxmlformats.org/officeDocument/2006/relationships/hyperlink" Target="https://educationendowmentfoundation.org.uk/education-evidence/early-years-toolkit/social-and-emotional-learning-strategies" TargetMode="External"/><Relationship Id="rId20" Type="http://schemas.openxmlformats.org/officeDocument/2006/relationships/hyperlink" Target="https://doi.org/10.1007/s11133-019-9413-7"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earlyyearscompany.co.uk/the-importance-of-creative-play-in-early-years-education/" TargetMode="External"/><Relationship Id="rId24" Type="http://schemas.openxmlformats.org/officeDocument/2006/relationships/hyperlink" Target="https://clovers.ai/resources/recording-an-interview/" TargetMode="External"/><Relationship Id="rId5" Type="http://schemas.openxmlformats.org/officeDocument/2006/relationships/footnotes" Target="footnotes.xml"/><Relationship Id="rId15" Type="http://schemas.openxmlformats.org/officeDocument/2006/relationships/hyperlink" Target="https://www.britannica.com/science/emotional-development" TargetMode="External"/><Relationship Id="rId23" Type="http://schemas.openxmlformats.org/officeDocument/2006/relationships/hyperlink" Target="https://www.inhersight.com/blog/interview/how-to-introduce-yourself-in-an-interview" TargetMode="External"/><Relationship Id="rId28" Type="http://schemas.openxmlformats.org/officeDocument/2006/relationships/footer" Target="footer1.xml"/><Relationship Id="rId10" Type="http://schemas.openxmlformats.org/officeDocument/2006/relationships/hyperlink" Target="https://www-tandfonline-com.ezproxy.uwtsd.ac.uk/doi/epdf/10.1080/02568543.2018.1495671?needAccess=true" TargetMode="External"/><Relationship Id="rId19" Type="http://schemas.openxmlformats.org/officeDocument/2006/relationships/hyperlink" Target="https://doi.org/10.3346/jkms.2022.37.e121"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unicef.org/parenting/child-development/how-play-strengthens-your-childs-mental-health" TargetMode="External"/><Relationship Id="rId14" Type="http://schemas.openxmlformats.org/officeDocument/2006/relationships/hyperlink" Target="https://www.unicef.org.uk/wp-content/uploads/2016/08/unicef-convention-rights-child-uncrc.pdf" TargetMode="External"/><Relationship Id="rId22" Type="http://schemas.openxmlformats.org/officeDocument/2006/relationships/hyperlink" Target="https://www.famly.co/blog/open-ended-questions-early-year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5282</Words>
  <Characters>30109</Characters>
  <Application>Microsoft Office Word</Application>
  <DocSecurity>0</DocSecurity>
  <Lines>250</Lines>
  <Paragraphs>70</Paragraphs>
  <ScaleCrop>false</ScaleCrop>
  <Company/>
  <LinksUpToDate>false</LinksUpToDate>
  <CharactersWithSpaces>35321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 (2305222)</dc:creator>
  <cp:keywords/>
  <dc:description/>
  <cp:lastModifiedBy>Beca Hiscocks</cp:lastModifiedBy>
  <cp:revision>2</cp:revision>
  <dcterms:created xsi:type="dcterms:W3CDTF">2024-10-24T22:14:00Z</dcterms:created>
  <dcterms:modified xsi:type="dcterms:W3CDTF">2024-10-24T22:14:00Z</dcterms:modified>
</cp:coreProperties>
</file>