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7AD60" w14:textId="69C47651" w:rsidR="00D224FD" w:rsidRPr="00395683" w:rsidRDefault="004E566D" w:rsidP="00395683">
      <w:pPr>
        <w:ind w:left="149"/>
        <w:rPr>
          <w:rFonts w:ascii="Times New Roman"/>
        </w:rPr>
      </w:pPr>
      <w:r>
        <w:rPr>
          <w:rFonts w:ascii="Times New Roman"/>
          <w:noProof/>
        </w:rPr>
        <w:drawing>
          <wp:anchor distT="0" distB="0" distL="114300" distR="114300" simplePos="0" relativeHeight="251658240" behindDoc="1" locked="0" layoutInCell="1" allowOverlap="1" wp14:anchorId="1DB57555" wp14:editId="232A9818">
            <wp:simplePos x="0" y="0"/>
            <wp:positionH relativeFrom="column">
              <wp:posOffset>91440</wp:posOffset>
            </wp:positionH>
            <wp:positionV relativeFrom="paragraph">
              <wp:posOffset>0</wp:posOffset>
            </wp:positionV>
            <wp:extent cx="5185410" cy="1318260"/>
            <wp:effectExtent l="0" t="0" r="0" b="0"/>
            <wp:wrapTight wrapText="bothSides">
              <wp:wrapPolygon edited="0">
                <wp:start x="0" y="0"/>
                <wp:lineTo x="0" y="21225"/>
                <wp:lineTo x="21505" y="21225"/>
                <wp:lineTo x="21505" y="0"/>
                <wp:lineTo x="0" y="0"/>
              </wp:wrapPolygon>
            </wp:wrapTight>
            <wp:docPr id="2" name="Image 2"/>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85410" cy="1318260"/>
                    </a:xfrm>
                    <a:prstGeom prst="rect">
                      <a:avLst/>
                    </a:prstGeom>
                  </pic:spPr>
                </pic:pic>
              </a:graphicData>
            </a:graphic>
            <wp14:sizeRelH relativeFrom="margin">
              <wp14:pctWidth>0</wp14:pctWidth>
            </wp14:sizeRelH>
            <wp14:sizeRelV relativeFrom="margin">
              <wp14:pctHeight>0</wp14:pctHeight>
            </wp14:sizeRelV>
          </wp:anchor>
        </w:drawing>
      </w:r>
    </w:p>
    <w:p w14:paraId="24832B12" w14:textId="71BB4BF5" w:rsidR="00D224FD" w:rsidRDefault="00D224FD">
      <w:pPr>
        <w:pStyle w:val="BodyText"/>
        <w:spacing w:before="142"/>
        <w:rPr>
          <w:rFonts w:ascii="Arial"/>
          <w:b/>
          <w:sz w:val="20"/>
        </w:rPr>
      </w:pPr>
    </w:p>
    <w:p w14:paraId="741901CD" w14:textId="1AC06383" w:rsidR="00D224FD" w:rsidRDefault="00395683" w:rsidP="006E4AF9">
      <w:pPr>
        <w:pStyle w:val="Heading1"/>
        <w:jc w:val="center"/>
        <w:rPr>
          <w:sz w:val="32"/>
          <w:szCs w:val="32"/>
        </w:rPr>
      </w:pPr>
      <w:r w:rsidRPr="006E4AF9">
        <w:rPr>
          <w:sz w:val="32"/>
          <w:szCs w:val="32"/>
        </w:rPr>
        <w:t>STUDENT NAME:</w:t>
      </w:r>
      <w:r w:rsidR="00C46B66">
        <w:rPr>
          <w:sz w:val="32"/>
          <w:szCs w:val="32"/>
        </w:rPr>
        <w:t xml:space="preserve"> </w:t>
      </w:r>
      <w:r w:rsidRPr="006E4AF9">
        <w:rPr>
          <w:sz w:val="32"/>
          <w:szCs w:val="32"/>
        </w:rPr>
        <w:t xml:space="preserve">DHRUPALSINH </w:t>
      </w:r>
      <w:r w:rsidR="006E4AF9" w:rsidRPr="006E4AF9">
        <w:rPr>
          <w:sz w:val="32"/>
          <w:szCs w:val="32"/>
        </w:rPr>
        <w:t>VIJAYSINH GOHEL</w:t>
      </w:r>
    </w:p>
    <w:p w14:paraId="61DB2718" w14:textId="01460A95" w:rsidR="006E4AF9" w:rsidRDefault="006E4AF9" w:rsidP="006E4AF9">
      <w:pPr>
        <w:pStyle w:val="Heading1"/>
        <w:jc w:val="center"/>
        <w:rPr>
          <w:sz w:val="32"/>
          <w:szCs w:val="32"/>
        </w:rPr>
      </w:pPr>
      <w:r>
        <w:rPr>
          <w:sz w:val="32"/>
          <w:szCs w:val="32"/>
        </w:rPr>
        <w:t>STUDENT ID: 2541188</w:t>
      </w:r>
    </w:p>
    <w:p w14:paraId="60E2EE32" w14:textId="7CD8DA37" w:rsidR="006E4AF9" w:rsidRDefault="006E4AF9" w:rsidP="006E4AF9">
      <w:pPr>
        <w:pStyle w:val="Heading1"/>
        <w:jc w:val="center"/>
        <w:rPr>
          <w:sz w:val="32"/>
          <w:szCs w:val="32"/>
        </w:rPr>
      </w:pPr>
      <w:r>
        <w:rPr>
          <w:sz w:val="32"/>
          <w:szCs w:val="32"/>
        </w:rPr>
        <w:t>MODULE NAME: FINANCIAL MANAGEMENT</w:t>
      </w:r>
    </w:p>
    <w:p w14:paraId="5236B449" w14:textId="08BF21B9" w:rsidR="006E4AF9" w:rsidRDefault="006E4AF9" w:rsidP="006E4AF9">
      <w:pPr>
        <w:pStyle w:val="Heading1"/>
        <w:jc w:val="center"/>
        <w:rPr>
          <w:sz w:val="32"/>
          <w:szCs w:val="32"/>
        </w:rPr>
      </w:pPr>
      <w:r>
        <w:rPr>
          <w:sz w:val="32"/>
          <w:szCs w:val="32"/>
        </w:rPr>
        <w:t>MODULE CODE: LCMB7002</w:t>
      </w:r>
    </w:p>
    <w:p w14:paraId="1201481A" w14:textId="291DFF06" w:rsidR="006E4AF9" w:rsidRDefault="006E4AF9" w:rsidP="006E4AF9">
      <w:pPr>
        <w:pStyle w:val="Heading1"/>
        <w:jc w:val="center"/>
        <w:rPr>
          <w:sz w:val="32"/>
          <w:szCs w:val="32"/>
        </w:rPr>
      </w:pPr>
      <w:r>
        <w:rPr>
          <w:sz w:val="32"/>
          <w:szCs w:val="32"/>
        </w:rPr>
        <w:t>LECTURER’S NAME: G</w:t>
      </w:r>
      <w:r w:rsidR="00C46B66">
        <w:rPr>
          <w:sz w:val="32"/>
          <w:szCs w:val="32"/>
        </w:rPr>
        <w:t>H</w:t>
      </w:r>
      <w:r>
        <w:rPr>
          <w:sz w:val="32"/>
          <w:szCs w:val="32"/>
        </w:rPr>
        <w:t>ULAM MUJ</w:t>
      </w:r>
      <w:r w:rsidR="00C46B66">
        <w:rPr>
          <w:sz w:val="32"/>
          <w:szCs w:val="32"/>
        </w:rPr>
        <w:t>TABA</w:t>
      </w:r>
    </w:p>
    <w:p w14:paraId="7785D9A4" w14:textId="5680AF76" w:rsidR="006E4AF9" w:rsidRPr="006E4AF9" w:rsidRDefault="006E4AF9" w:rsidP="006E4AF9">
      <w:pPr>
        <w:pStyle w:val="Heading1"/>
        <w:jc w:val="center"/>
        <w:rPr>
          <w:sz w:val="32"/>
          <w:szCs w:val="32"/>
        </w:rPr>
      </w:pPr>
      <w:r>
        <w:rPr>
          <w:sz w:val="32"/>
          <w:szCs w:val="32"/>
        </w:rPr>
        <w:t>TERM: 1</w:t>
      </w:r>
    </w:p>
    <w:p w14:paraId="7E670FD4" w14:textId="77777777" w:rsidR="00D224FD" w:rsidRDefault="004E566D" w:rsidP="006E4AF9">
      <w:pPr>
        <w:spacing w:line="360" w:lineRule="auto"/>
        <w:jc w:val="right"/>
        <w:rPr>
          <w:rFonts w:ascii="Times New Roman Regular" w:hAnsi="Times New Roman Regular" w:cs="Times New Roman Regular"/>
          <w:sz w:val="24"/>
          <w:szCs w:val="24"/>
        </w:rPr>
      </w:pPr>
      <w:r>
        <w:rPr>
          <w:rFonts w:ascii="Times New Roman Regular" w:hAnsi="Times New Roman Regular" w:cs="Times New Roman Regular"/>
          <w:b/>
          <w:bCs/>
          <w:sz w:val="24"/>
          <w:szCs w:val="24"/>
        </w:rPr>
        <w:br w:type="page"/>
      </w:r>
    </w:p>
    <w:p w14:paraId="52D729AE" w14:textId="77777777" w:rsidR="00D224FD" w:rsidRDefault="004E566D">
      <w:pPr>
        <w:pStyle w:val="TOC1"/>
        <w:tabs>
          <w:tab w:val="right" w:leader="dot" w:pos="8306"/>
        </w:tabs>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b/>
          <w:bCs/>
          <w:sz w:val="24"/>
          <w:szCs w:val="24"/>
        </w:rPr>
        <w:lastRenderedPageBreak/>
        <w:t>Table of Contents</w:t>
      </w:r>
    </w:p>
    <w:p w14:paraId="2366E72F" w14:textId="77777777" w:rsidR="00D224FD" w:rsidRDefault="004E566D">
      <w:pPr>
        <w:pStyle w:val="TOC1"/>
        <w:tabs>
          <w:tab w:val="right" w:leader="dot" w:pos="8306"/>
        </w:tabs>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TOC \o "1-3" \h \u </w:instrText>
      </w:r>
      <w:r>
        <w:rPr>
          <w:rFonts w:ascii="Times New Roman Regular" w:hAnsi="Times New Roman Regular" w:cs="Times New Roman Regular"/>
          <w:sz w:val="24"/>
          <w:szCs w:val="24"/>
        </w:rPr>
        <w:fldChar w:fldCharType="separate"/>
      </w:r>
      <w:hyperlink w:anchor="_Toc1015787560" w:history="1">
        <w:r>
          <w:rPr>
            <w:rFonts w:ascii="Times New Roman Regular" w:hAnsi="Times New Roman Regular" w:cs="Times New Roman Regular"/>
            <w:sz w:val="24"/>
            <w:szCs w:val="24"/>
          </w:rPr>
          <w:t>1. Introduction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_Toc1015787560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4</w:t>
        </w:r>
        <w:r>
          <w:rPr>
            <w:rFonts w:ascii="Times New Roman Regular" w:hAnsi="Times New Roman Regular" w:cs="Times New Roman Regular"/>
            <w:sz w:val="24"/>
            <w:szCs w:val="24"/>
          </w:rPr>
          <w:fldChar w:fldCharType="end"/>
        </w:r>
      </w:hyperlink>
    </w:p>
    <w:p w14:paraId="3DBFA9ED" w14:textId="77777777" w:rsidR="00D224FD" w:rsidRDefault="004E566D">
      <w:pPr>
        <w:pStyle w:val="TOC1"/>
        <w:tabs>
          <w:tab w:val="right" w:leader="dot" w:pos="8306"/>
        </w:tabs>
        <w:spacing w:line="360" w:lineRule="auto"/>
        <w:jc w:val="both"/>
        <w:rPr>
          <w:rFonts w:ascii="Times New Roman Regular" w:hAnsi="Times New Roman Regular" w:cs="Times New Roman Regular"/>
          <w:sz w:val="24"/>
          <w:szCs w:val="24"/>
        </w:rPr>
      </w:pPr>
      <w:hyperlink w:anchor="_Toc1994010917" w:history="1">
        <w:r>
          <w:rPr>
            <w:rFonts w:ascii="Times New Roman Regular" w:hAnsi="Times New Roman Regular" w:cs="Times New Roman Regular"/>
            <w:sz w:val="24"/>
            <w:szCs w:val="24"/>
          </w:rPr>
          <w:t>2. Financial Health Check</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_Toc1994010917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4</w:t>
        </w:r>
        <w:r>
          <w:rPr>
            <w:rFonts w:ascii="Times New Roman Regular" w:hAnsi="Times New Roman Regular" w:cs="Times New Roman Regular"/>
            <w:sz w:val="24"/>
            <w:szCs w:val="24"/>
          </w:rPr>
          <w:fldChar w:fldCharType="end"/>
        </w:r>
      </w:hyperlink>
    </w:p>
    <w:p w14:paraId="7CE6B73F" w14:textId="77777777" w:rsidR="00D224FD" w:rsidRDefault="004E566D">
      <w:pPr>
        <w:pStyle w:val="TOC1"/>
        <w:tabs>
          <w:tab w:val="right" w:leader="dot" w:pos="8306"/>
        </w:tabs>
        <w:spacing w:line="360" w:lineRule="auto"/>
        <w:jc w:val="both"/>
        <w:rPr>
          <w:rFonts w:ascii="Times New Roman Regular" w:hAnsi="Times New Roman Regular" w:cs="Times New Roman Regular"/>
          <w:sz w:val="24"/>
          <w:szCs w:val="24"/>
        </w:rPr>
      </w:pPr>
      <w:hyperlink w:anchor="_Toc1859170584" w:history="1">
        <w:r>
          <w:rPr>
            <w:rFonts w:ascii="Times New Roman Regular" w:hAnsi="Times New Roman Regular" w:cs="Times New Roman Regular"/>
            <w:sz w:val="24"/>
            <w:szCs w:val="24"/>
          </w:rPr>
          <w:t>3. Working Capital management Analysis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_Toc1859170584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9</w:t>
        </w:r>
        <w:r>
          <w:rPr>
            <w:rFonts w:ascii="Times New Roman Regular" w:hAnsi="Times New Roman Regular" w:cs="Times New Roman Regular"/>
            <w:sz w:val="24"/>
            <w:szCs w:val="24"/>
          </w:rPr>
          <w:fldChar w:fldCharType="end"/>
        </w:r>
      </w:hyperlink>
    </w:p>
    <w:p w14:paraId="3A10D709" w14:textId="77777777" w:rsidR="00D224FD" w:rsidRDefault="004E566D">
      <w:pPr>
        <w:pStyle w:val="TOC1"/>
        <w:tabs>
          <w:tab w:val="right" w:leader="dot" w:pos="8306"/>
        </w:tabs>
        <w:spacing w:line="360" w:lineRule="auto"/>
        <w:jc w:val="both"/>
        <w:rPr>
          <w:rFonts w:ascii="Times New Roman Regular" w:hAnsi="Times New Roman Regular" w:cs="Times New Roman Regular"/>
          <w:sz w:val="24"/>
          <w:szCs w:val="24"/>
        </w:rPr>
      </w:pPr>
      <w:hyperlink w:anchor="_Toc1192941438" w:history="1">
        <w:r>
          <w:rPr>
            <w:rFonts w:ascii="Times New Roman Regular" w:eastAsia="SimSun" w:hAnsi="Times New Roman Regular" w:cs="Times New Roman Regular"/>
            <w:sz w:val="24"/>
            <w:szCs w:val="24"/>
            <w:lang w:bidi="ar"/>
          </w:rPr>
          <w:t xml:space="preserve">4. </w:t>
        </w:r>
        <w:r>
          <w:rPr>
            <w:rFonts w:ascii="Times New Roman Regular" w:hAnsi="Times New Roman Regular" w:cs="Times New Roman Regular"/>
            <w:sz w:val="24"/>
            <w:szCs w:val="24"/>
          </w:rPr>
          <w:t>Strategic Financial Restructuring Plan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_Toc1192941438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12</w:t>
        </w:r>
        <w:r>
          <w:rPr>
            <w:rFonts w:ascii="Times New Roman Regular" w:hAnsi="Times New Roman Regular" w:cs="Times New Roman Regular"/>
            <w:sz w:val="24"/>
            <w:szCs w:val="24"/>
          </w:rPr>
          <w:fldChar w:fldCharType="end"/>
        </w:r>
      </w:hyperlink>
    </w:p>
    <w:p w14:paraId="33164485" w14:textId="77777777" w:rsidR="00D224FD" w:rsidRDefault="004E566D">
      <w:pPr>
        <w:pStyle w:val="TOC1"/>
        <w:tabs>
          <w:tab w:val="right" w:leader="dot" w:pos="8306"/>
        </w:tabs>
        <w:spacing w:line="360" w:lineRule="auto"/>
        <w:jc w:val="both"/>
        <w:rPr>
          <w:rFonts w:ascii="Times New Roman Regular" w:hAnsi="Times New Roman Regular" w:cs="Times New Roman Regular"/>
          <w:sz w:val="24"/>
          <w:szCs w:val="24"/>
        </w:rPr>
      </w:pPr>
      <w:hyperlink w:anchor="_Toc859420074" w:history="1">
        <w:r>
          <w:rPr>
            <w:rFonts w:ascii="Times New Roman Regular" w:hAnsi="Times New Roman Regular" w:cs="Times New Roman Regular"/>
            <w:sz w:val="24"/>
            <w:szCs w:val="24"/>
          </w:rPr>
          <w:t>5. Investment Appraisal and Capital Budgeting</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_Toc859420074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14</w:t>
        </w:r>
        <w:r>
          <w:rPr>
            <w:rFonts w:ascii="Times New Roman Regular" w:hAnsi="Times New Roman Regular" w:cs="Times New Roman Regular"/>
            <w:sz w:val="24"/>
            <w:szCs w:val="24"/>
          </w:rPr>
          <w:fldChar w:fldCharType="end"/>
        </w:r>
      </w:hyperlink>
    </w:p>
    <w:p w14:paraId="784F6A65" w14:textId="77777777" w:rsidR="00D224FD" w:rsidRDefault="004E566D">
      <w:pPr>
        <w:pStyle w:val="TOC1"/>
        <w:tabs>
          <w:tab w:val="right" w:leader="dot" w:pos="8306"/>
        </w:tabs>
        <w:spacing w:line="360" w:lineRule="auto"/>
        <w:jc w:val="both"/>
        <w:rPr>
          <w:rFonts w:ascii="Times New Roman Regular" w:hAnsi="Times New Roman Regular" w:cs="Times New Roman Regular"/>
          <w:sz w:val="24"/>
          <w:szCs w:val="24"/>
        </w:rPr>
      </w:pPr>
      <w:hyperlink w:anchor="_Toc298173996" w:history="1">
        <w:r>
          <w:rPr>
            <w:rFonts w:ascii="Times New Roman Regular" w:hAnsi="Times New Roman Regular" w:cs="Times New Roman Regular"/>
            <w:sz w:val="24"/>
            <w:szCs w:val="24"/>
          </w:rPr>
          <w:t>6. Critical reflection on AI usage</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_Toc298173996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17</w:t>
        </w:r>
        <w:r>
          <w:rPr>
            <w:rFonts w:ascii="Times New Roman Regular" w:hAnsi="Times New Roman Regular" w:cs="Times New Roman Regular"/>
            <w:sz w:val="24"/>
            <w:szCs w:val="24"/>
          </w:rPr>
          <w:fldChar w:fldCharType="end"/>
        </w:r>
      </w:hyperlink>
    </w:p>
    <w:p w14:paraId="19B19ADB" w14:textId="77777777" w:rsidR="00D224FD" w:rsidRDefault="004E566D">
      <w:pPr>
        <w:pStyle w:val="TOC1"/>
        <w:tabs>
          <w:tab w:val="right" w:leader="dot" w:pos="8306"/>
        </w:tabs>
        <w:spacing w:line="360" w:lineRule="auto"/>
        <w:jc w:val="both"/>
        <w:rPr>
          <w:rFonts w:ascii="Times New Roman Regular" w:hAnsi="Times New Roman Regular" w:cs="Times New Roman Regular"/>
          <w:sz w:val="24"/>
          <w:szCs w:val="24"/>
        </w:rPr>
      </w:pPr>
      <w:hyperlink w:anchor="_Toc1331002321" w:history="1">
        <w:r>
          <w:rPr>
            <w:rFonts w:ascii="Times New Roman Regular" w:hAnsi="Times New Roman Regular" w:cs="Times New Roman Regular"/>
            <w:sz w:val="24"/>
            <w:szCs w:val="24"/>
          </w:rPr>
          <w:t>7. Conclusion</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_Toc1331002321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18</w:t>
        </w:r>
        <w:r>
          <w:rPr>
            <w:rFonts w:ascii="Times New Roman Regular" w:hAnsi="Times New Roman Regular" w:cs="Times New Roman Regular"/>
            <w:sz w:val="24"/>
            <w:szCs w:val="24"/>
          </w:rPr>
          <w:fldChar w:fldCharType="end"/>
        </w:r>
      </w:hyperlink>
    </w:p>
    <w:p w14:paraId="4D8E8844" w14:textId="77777777" w:rsidR="00D224FD" w:rsidRDefault="004E566D">
      <w:pPr>
        <w:pStyle w:val="TOC1"/>
        <w:tabs>
          <w:tab w:val="right" w:leader="dot" w:pos="8306"/>
        </w:tabs>
        <w:spacing w:line="360" w:lineRule="auto"/>
        <w:jc w:val="both"/>
        <w:rPr>
          <w:rFonts w:ascii="Times New Roman Regular" w:hAnsi="Times New Roman Regular" w:cs="Times New Roman Regular"/>
          <w:sz w:val="24"/>
          <w:szCs w:val="24"/>
        </w:rPr>
      </w:pPr>
      <w:hyperlink w:anchor="_Toc1966341895" w:history="1">
        <w:r>
          <w:rPr>
            <w:rFonts w:ascii="Times New Roman Regular" w:eastAsia="SimSun" w:hAnsi="Times New Roman Regular" w:cs="Times New Roman Regular"/>
            <w:sz w:val="24"/>
            <w:szCs w:val="24"/>
            <w:lang w:bidi="ar"/>
          </w:rPr>
          <w:t xml:space="preserve">8. </w:t>
        </w:r>
        <w:r>
          <w:rPr>
            <w:rFonts w:ascii="Times New Roman Regular" w:hAnsi="Times New Roman Regular" w:cs="Times New Roman Regular"/>
            <w:sz w:val="24"/>
            <w:szCs w:val="24"/>
          </w:rPr>
          <w:t>References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_Toc1966341895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20</w:t>
        </w:r>
        <w:r>
          <w:rPr>
            <w:rFonts w:ascii="Times New Roman Regular" w:hAnsi="Times New Roman Regular" w:cs="Times New Roman Regular"/>
            <w:sz w:val="24"/>
            <w:szCs w:val="24"/>
          </w:rPr>
          <w:fldChar w:fldCharType="end"/>
        </w:r>
      </w:hyperlink>
    </w:p>
    <w:p w14:paraId="700E8832" w14:textId="77777777" w:rsidR="00D224FD" w:rsidRDefault="004E566D">
      <w:pPr>
        <w:pStyle w:val="TOC1"/>
        <w:tabs>
          <w:tab w:val="right" w:leader="dot" w:pos="8306"/>
        </w:tabs>
        <w:spacing w:line="360" w:lineRule="auto"/>
        <w:jc w:val="both"/>
        <w:rPr>
          <w:rFonts w:ascii="Times New Roman Regular" w:hAnsi="Times New Roman Regular" w:cs="Times New Roman Regular"/>
          <w:sz w:val="24"/>
          <w:szCs w:val="24"/>
        </w:rPr>
      </w:pPr>
      <w:hyperlink w:anchor="_Toc682385582" w:history="1">
        <w:r>
          <w:rPr>
            <w:rFonts w:ascii="Times New Roman Regular" w:eastAsia="SimSun" w:hAnsi="Times New Roman Regular" w:cs="Times New Roman Regular"/>
            <w:sz w:val="24"/>
            <w:szCs w:val="24"/>
            <w:lang w:bidi="ar"/>
          </w:rPr>
          <w:t xml:space="preserve">9. </w:t>
        </w:r>
        <w:r>
          <w:rPr>
            <w:rFonts w:ascii="Times New Roman Regular" w:hAnsi="Times New Roman Regular" w:cs="Times New Roman Regular"/>
            <w:sz w:val="24"/>
            <w:szCs w:val="24"/>
          </w:rPr>
          <w:t>Appendices</w:t>
        </w:r>
        <w:r>
          <w:rPr>
            <w:rFonts w:ascii="Times New Roman Regular" w:hAnsi="Times New Roman Regular" w:cs="Times New Roman Regular"/>
            <w:sz w:val="24"/>
            <w:szCs w:val="24"/>
          </w:rPr>
          <w:tab/>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PAGEREF _Toc682385582 \h </w:instrText>
        </w:r>
        <w:r>
          <w:rPr>
            <w:rFonts w:ascii="Times New Roman Regular" w:hAnsi="Times New Roman Regular" w:cs="Times New Roman Regular"/>
            <w:sz w:val="24"/>
            <w:szCs w:val="24"/>
          </w:rPr>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24</w:t>
        </w:r>
        <w:r>
          <w:rPr>
            <w:rFonts w:ascii="Times New Roman Regular" w:hAnsi="Times New Roman Regular" w:cs="Times New Roman Regular"/>
            <w:sz w:val="24"/>
            <w:szCs w:val="24"/>
          </w:rPr>
          <w:fldChar w:fldCharType="end"/>
        </w:r>
      </w:hyperlink>
    </w:p>
    <w:p w14:paraId="788BCACA"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fldChar w:fldCharType="end"/>
      </w:r>
    </w:p>
    <w:p w14:paraId="25EFA57D"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b/>
          <w:bCs/>
          <w:sz w:val="24"/>
          <w:szCs w:val="24"/>
        </w:rPr>
        <w:br w:type="page"/>
      </w:r>
    </w:p>
    <w:p w14:paraId="75AC7ADB" w14:textId="77777777" w:rsidR="00D224FD" w:rsidRDefault="004E566D">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0" w:name="_Toc1015787560"/>
      <w:r>
        <w:rPr>
          <w:rFonts w:ascii="Times New Roman Regular" w:hAnsi="Times New Roman Regular" w:cs="Times New Roman Regular"/>
          <w:sz w:val="24"/>
          <w:szCs w:val="24"/>
        </w:rPr>
        <w:lastRenderedPageBreak/>
        <w:t>Introduction</w:t>
      </w:r>
      <w:bookmarkEnd w:id="0"/>
    </w:p>
    <w:p w14:paraId="74F22A94"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The presented report is on Marriott International, which is a US-based company operating in the hospitality industry. It is an operator of lodging properties engaged in offering leisure services across different regions worldwide. The company is also listed on NASDAQ as MAR and has a market </w:t>
      </w:r>
      <w:proofErr w:type="spellStart"/>
      <w:r>
        <w:rPr>
          <w:rFonts w:ascii="Times New Roman Regular" w:eastAsia="SimSun" w:hAnsi="Times New Roman Regular" w:cs="Times New Roman Regular"/>
          <w:sz w:val="24"/>
          <w:szCs w:val="24"/>
          <w:lang w:bidi="ar"/>
        </w:rPr>
        <w:t>capitalisation</w:t>
      </w:r>
      <w:proofErr w:type="spellEnd"/>
      <w:r>
        <w:rPr>
          <w:rFonts w:ascii="Times New Roman Regular" w:eastAsia="SimSun" w:hAnsi="Times New Roman Regular" w:cs="Times New Roman Regular"/>
          <w:sz w:val="24"/>
          <w:szCs w:val="24"/>
          <w:lang w:bidi="ar"/>
        </w:rPr>
        <w:t xml:space="preserve"> of more than $100 billion (Global Data, 2025). The report aims to determine the core problem and provide a financing strategy. For the same, the report will compute different ratios for gaining detailed insight about company’s financial performance. Similarly, the report will also compute the cash operating cycle and made investment appraisal calculations for selecting the best project. A detailed financial restructuring plan will also be discussed in the presented report.</w:t>
      </w:r>
      <w:r>
        <w:rPr>
          <w:rFonts w:ascii="Times New Roman Regular" w:hAnsi="Times New Roman Regular" w:cs="Times New Roman Regular"/>
          <w:sz w:val="24"/>
          <w:szCs w:val="24"/>
        </w:rPr>
        <w:t xml:space="preserve"> </w:t>
      </w:r>
    </w:p>
    <w:p w14:paraId="095855E6" w14:textId="77777777" w:rsidR="00D224FD" w:rsidRDefault="004E566D">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1" w:name="_Toc1994010917"/>
      <w:r>
        <w:rPr>
          <w:rFonts w:ascii="Times New Roman Regular" w:hAnsi="Times New Roman Regular" w:cs="Times New Roman Regular"/>
          <w:sz w:val="24"/>
          <w:szCs w:val="24"/>
        </w:rPr>
        <w:t>Financial Health Check</w:t>
      </w:r>
      <w:bookmarkEnd w:id="1"/>
    </w:p>
    <w:p w14:paraId="1CE3FBD9"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b/>
          <w:bCs/>
          <w:i/>
          <w:iCs/>
          <w:sz w:val="24"/>
          <w:szCs w:val="24"/>
        </w:rPr>
        <w:t>Analysis of financial statements</w:t>
      </w:r>
    </w:p>
    <w:p w14:paraId="71417C83"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On analysis of the company’s financial statements, it was found that both sales and profits of Marriott International have improved significantly over the last five years; however, a slight fall has been seen in net profits over the last two years due to a rise in reimbursed expenses. Sales rose from $13,857 million in 2021 to $26,186 million in 2025; whereas net profit rose to $10,99 million to $2,601 million in the last 5 years. Such strong revenues and profits </w:t>
      </w:r>
      <w:proofErr w:type="gramStart"/>
      <w:r>
        <w:rPr>
          <w:rFonts w:ascii="Times New Roman Regular" w:eastAsia="SimSun" w:hAnsi="Times New Roman Regular" w:cs="Times New Roman Regular"/>
          <w:sz w:val="24"/>
          <w:szCs w:val="24"/>
          <w:lang w:bidi="ar"/>
        </w:rPr>
        <w:t>reflects</w:t>
      </w:r>
      <w:proofErr w:type="gramEnd"/>
      <w:r>
        <w:rPr>
          <w:rFonts w:ascii="Times New Roman Regular" w:eastAsia="SimSun" w:hAnsi="Times New Roman Regular" w:cs="Times New Roman Regular"/>
          <w:sz w:val="24"/>
          <w:szCs w:val="24"/>
          <w:lang w:bidi="ar"/>
        </w:rPr>
        <w:t xml:space="preserve"> strong financial performance of the company. In addition to this, it was also found that the company’s current liabilities are significantly higher than current assets, which shows liquidity issues in the company. The company’s cash position also reduced over a period of time, which can create obstacles in meeting obligations. Similarly, the debt of the company has also rose sharply in the last five years from $17,732 million to $22,913 million; whereas equity turned from positive to negative during the interim. This also shows weakness or financial risk in the company. High financial leverage can create obstacles to meeting obligations, especially during tough and uncertain economic times.</w:t>
      </w:r>
    </w:p>
    <w:p w14:paraId="78528EC5"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b/>
          <w:bCs/>
          <w:i/>
          <w:iCs/>
          <w:sz w:val="24"/>
          <w:szCs w:val="24"/>
        </w:rPr>
        <w:t>Ratio Analysis including trends, strengths, and potential threats</w:t>
      </w:r>
    </w:p>
    <w:p w14:paraId="123C0C09"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Financial ratios refer to tools that enable companies to evaluate overall performance from different perspectives. Ratios use different line items of financial statements to evaluate financial performance and health. Different ratios are used for gaining detailed insight about business performance like profitability, liquidity, solvency, efficiency, and others. Profitability ratios measures profits over different variables like revenues and others to evaluate profitability position. Similarly, the liquidity ratios </w:t>
      </w:r>
      <w:proofErr w:type="gramStart"/>
      <w:r>
        <w:rPr>
          <w:rFonts w:ascii="Times New Roman Regular" w:eastAsia="SimSun" w:hAnsi="Times New Roman Regular" w:cs="Times New Roman Regular"/>
          <w:sz w:val="24"/>
          <w:szCs w:val="24"/>
          <w:lang w:bidi="ar"/>
        </w:rPr>
        <w:lastRenderedPageBreak/>
        <w:t>helps</w:t>
      </w:r>
      <w:proofErr w:type="gramEnd"/>
      <w:r>
        <w:rPr>
          <w:rFonts w:ascii="Times New Roman Regular" w:eastAsia="SimSun" w:hAnsi="Times New Roman Regular" w:cs="Times New Roman Regular"/>
          <w:sz w:val="24"/>
          <w:szCs w:val="24"/>
          <w:lang w:bidi="ar"/>
        </w:rPr>
        <w:t xml:space="preserve"> access liquidity position of ability to meet current obligations. Solvency ratios measures financial risk of the company, whereas efficiency ratios help in evaluating the company's efficiency regarding asset usage to generate business revenues (Deepa, 2025). This section will focus on </w:t>
      </w:r>
      <w:proofErr w:type="spellStart"/>
      <w:r>
        <w:rPr>
          <w:rFonts w:ascii="Times New Roman Regular" w:eastAsia="SimSun" w:hAnsi="Times New Roman Regular" w:cs="Times New Roman Regular"/>
          <w:sz w:val="24"/>
          <w:szCs w:val="24"/>
          <w:lang w:bidi="ar"/>
        </w:rPr>
        <w:t>analysing</w:t>
      </w:r>
      <w:proofErr w:type="spellEnd"/>
      <w:r>
        <w:rPr>
          <w:rFonts w:ascii="Times New Roman Regular" w:eastAsia="SimSun" w:hAnsi="Times New Roman Regular" w:cs="Times New Roman Regular"/>
          <w:sz w:val="24"/>
          <w:szCs w:val="24"/>
          <w:lang w:bidi="ar"/>
        </w:rPr>
        <w:t xml:space="preserve"> different ratios for the purpose of identifying core problems and forming a suitable financing strategy for the company.</w:t>
      </w:r>
    </w:p>
    <w:p w14:paraId="24A68179" w14:textId="77777777" w:rsidR="00D224FD" w:rsidRDefault="004E566D">
      <w:pPr>
        <w:spacing w:line="360" w:lineRule="auto"/>
        <w:jc w:val="both"/>
        <w:rPr>
          <w:rFonts w:ascii="Times New Roman Regular" w:hAnsi="Times New Roman Regular" w:cs="Times New Roman Regular"/>
          <w:i/>
          <w:iCs/>
          <w:sz w:val="24"/>
          <w:szCs w:val="24"/>
        </w:rPr>
      </w:pPr>
      <w:r>
        <w:rPr>
          <w:rFonts w:ascii="Times New Roman Regular" w:hAnsi="Times New Roman Regular" w:cs="Times New Roman Regular"/>
          <w:i/>
          <w:iCs/>
          <w:sz w:val="24"/>
          <w:szCs w:val="24"/>
        </w:rPr>
        <w:t>Profitability Ratios</w:t>
      </w:r>
    </w:p>
    <w:p w14:paraId="22C1CE62"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noProof/>
          <w:sz w:val="24"/>
          <w:szCs w:val="24"/>
        </w:rPr>
        <w:drawing>
          <wp:inline distT="0" distB="0" distL="114300" distR="114300" wp14:anchorId="33A59D0D" wp14:editId="7386D329">
            <wp:extent cx="4846320" cy="2792730"/>
            <wp:effectExtent l="6350" t="6350" r="24130" b="2032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0174DC3"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Figure 1: Marriott International profitability ratios for the year 2021 to 2025</w:t>
      </w:r>
    </w:p>
    <w:p w14:paraId="190EE23F"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The operating profit margin of the company has increased in last 5 years from 12.63% to 15.81%. Although it fell to 15.01% in 2024 but again increased to 15.81% during 2025. Constant growth in revenues has helped the company generate strong operating profit margins in the last 5 years. This also indicates that the operational efficiency of the company is strong, which helped in generating strong profits. Besides this, net profit margin also improved from 7.93% to 13% in 2023, but it declined to 9.46% in 2024. Again, it increased to 9.93% during the year 2025 (Marriott International, 2025). Such fast growth in profit margin from 2021 to 2023 was the result of a fast recovery post-pandemic, which helped the company and the overall hospitality market in boosting revenues and profits. On the other hand, the rise in reimburse expense, interest expense, and overall inflation caused a fall in profits during 2024 and 2025. Overall, it can be deduced that the company was able to maintain strong profits in the last 5 years, which can be seen as a strength of the company. The upward profit trend reflects the strong profitability position of the company.</w:t>
      </w:r>
    </w:p>
    <w:p w14:paraId="6B0A4B66" w14:textId="77777777" w:rsidR="00D224FD" w:rsidRDefault="004E566D">
      <w:pPr>
        <w:spacing w:line="360" w:lineRule="auto"/>
        <w:jc w:val="both"/>
        <w:rPr>
          <w:rFonts w:ascii="Times New Roman Regular" w:hAnsi="Times New Roman Regular" w:cs="Times New Roman Regular"/>
          <w:i/>
          <w:iCs/>
          <w:sz w:val="24"/>
          <w:szCs w:val="24"/>
        </w:rPr>
      </w:pPr>
      <w:r>
        <w:rPr>
          <w:rFonts w:ascii="Times New Roman Regular" w:hAnsi="Times New Roman Regular" w:cs="Times New Roman Regular"/>
          <w:i/>
          <w:iCs/>
          <w:sz w:val="24"/>
          <w:szCs w:val="24"/>
        </w:rPr>
        <w:t>Liquidity Ratios</w:t>
      </w:r>
    </w:p>
    <w:p w14:paraId="04FB7E9D"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noProof/>
          <w:sz w:val="24"/>
          <w:szCs w:val="24"/>
        </w:rPr>
        <w:lastRenderedPageBreak/>
        <w:drawing>
          <wp:inline distT="0" distB="0" distL="114300" distR="114300" wp14:anchorId="165FCB20" wp14:editId="74004E95">
            <wp:extent cx="4892040" cy="2792730"/>
            <wp:effectExtent l="6350" t="6350" r="29210" b="2032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F35065B"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Figure 2: Marriott International liquidity ratios for the year 2021 to 2025</w:t>
      </w:r>
    </w:p>
    <w:p w14:paraId="7041A92C"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The company’s current ratio reflects a downward trend as the same reduced over the last 5 years. The current ratio in 2021 was 0.57, which reduced to 0.43 in the year 2025. A sharp growth in current liabilities compared to current assets is the main reason behind the fall in the current ratio. Franchise-related obligations as well as loyalty </w:t>
      </w:r>
      <w:proofErr w:type="spellStart"/>
      <w:r>
        <w:rPr>
          <w:rFonts w:ascii="Times New Roman Regular" w:eastAsia="SimSun" w:hAnsi="Times New Roman Regular" w:cs="Times New Roman Regular"/>
          <w:sz w:val="24"/>
          <w:szCs w:val="24"/>
          <w:lang w:bidi="ar"/>
        </w:rPr>
        <w:t>programme</w:t>
      </w:r>
      <w:proofErr w:type="spellEnd"/>
      <w:r>
        <w:rPr>
          <w:rFonts w:ascii="Times New Roman Regular" w:eastAsia="SimSun" w:hAnsi="Times New Roman Regular" w:cs="Times New Roman Regular"/>
          <w:sz w:val="24"/>
          <w:szCs w:val="24"/>
          <w:lang w:bidi="ar"/>
        </w:rPr>
        <w:t xml:space="preserve"> liabilities increased current liabilities and affected the liquidity position of the company. In addition to this, the quick ratio of the company is also the same as the current ratio, as the company does not have any inventories. A fall in the current ratio can be considered as a weakness for the company, which might create obstacles in meeting current obligations. In comparison, it was found that competitors like Hilton Worldwide and InterContinental Hotels Group have reported better current ratios than Marriott International. Hilton Worldwide has reported a current ratio of 0.61, whereas InterContinental Hotels Group reported a current ratio of 0.98 (Investing, 2025; Investing1, 2025). This reflects that the company’s liquidity position is not better, and it should take necessary action for improving capability to meet current obligations satisfactorily.</w:t>
      </w:r>
    </w:p>
    <w:p w14:paraId="2203EE34" w14:textId="77777777" w:rsidR="00D224FD" w:rsidRDefault="004E566D">
      <w:pPr>
        <w:spacing w:line="360" w:lineRule="auto"/>
        <w:jc w:val="both"/>
        <w:rPr>
          <w:rFonts w:ascii="Times New Roman Regular" w:hAnsi="Times New Roman Regular" w:cs="Times New Roman Regular"/>
          <w:i/>
          <w:iCs/>
          <w:sz w:val="24"/>
          <w:szCs w:val="24"/>
        </w:rPr>
      </w:pPr>
      <w:r>
        <w:rPr>
          <w:rFonts w:ascii="Times New Roman Regular" w:hAnsi="Times New Roman Regular" w:cs="Times New Roman Regular"/>
          <w:i/>
          <w:iCs/>
          <w:sz w:val="24"/>
          <w:szCs w:val="24"/>
        </w:rPr>
        <w:t>Efficiency Ratios</w:t>
      </w:r>
    </w:p>
    <w:p w14:paraId="0BD6060E"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noProof/>
          <w:sz w:val="24"/>
          <w:szCs w:val="24"/>
        </w:rPr>
        <w:lastRenderedPageBreak/>
        <w:drawing>
          <wp:inline distT="0" distB="0" distL="114300" distR="114300" wp14:anchorId="4AD3A0AA" wp14:editId="33C78162">
            <wp:extent cx="4846320" cy="2792730"/>
            <wp:effectExtent l="6350" t="6350" r="24130" b="20320"/>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CB2ED4D"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Figure 3: Marriott International efficiency ratios for the year 2021 to 2025</w:t>
      </w:r>
    </w:p>
    <w:p w14:paraId="67466EDF"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The asset turnover ratio of the company has shown an upward trend, as it increased significantly in the last 5 years. Asset turnover during 2021 was 0.54, which rose to 0.95 in the year 2025. This can be seen as one of the key </w:t>
      </w:r>
      <w:proofErr w:type="gramStart"/>
      <w:r>
        <w:rPr>
          <w:rFonts w:ascii="Times New Roman Regular" w:eastAsia="SimSun" w:hAnsi="Times New Roman Regular" w:cs="Times New Roman Regular"/>
          <w:sz w:val="24"/>
          <w:szCs w:val="24"/>
          <w:lang w:bidi="ar"/>
        </w:rPr>
        <w:t>strength</w:t>
      </w:r>
      <w:proofErr w:type="gramEnd"/>
      <w:r>
        <w:rPr>
          <w:rFonts w:ascii="Times New Roman Regular" w:eastAsia="SimSun" w:hAnsi="Times New Roman Regular" w:cs="Times New Roman Regular"/>
          <w:sz w:val="24"/>
          <w:szCs w:val="24"/>
          <w:lang w:bidi="ar"/>
        </w:rPr>
        <w:t xml:space="preserve"> of the company, which implies effective use of assets to generate revenues. The sharp growth in revenues compared to assets helped in improving the asset turnover ratio in the last 5 years. Further, a rise in the asset turnover ratio also indicates excellent operational efficiency of Marriott International.</w:t>
      </w:r>
    </w:p>
    <w:p w14:paraId="1418614B" w14:textId="77777777" w:rsidR="00D224FD" w:rsidRDefault="004E566D">
      <w:pPr>
        <w:spacing w:line="360" w:lineRule="auto"/>
        <w:jc w:val="both"/>
        <w:rPr>
          <w:rFonts w:ascii="Times New Roman Regular" w:hAnsi="Times New Roman Regular" w:cs="Times New Roman Regular"/>
          <w:i/>
          <w:iCs/>
          <w:sz w:val="24"/>
          <w:szCs w:val="24"/>
        </w:rPr>
      </w:pPr>
      <w:r>
        <w:rPr>
          <w:rFonts w:ascii="Times New Roman Regular" w:hAnsi="Times New Roman Regular" w:cs="Times New Roman Regular"/>
          <w:i/>
          <w:iCs/>
          <w:sz w:val="24"/>
          <w:szCs w:val="24"/>
        </w:rPr>
        <w:t>Gearing Ratios</w:t>
      </w:r>
    </w:p>
    <w:p w14:paraId="06592C87"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noProof/>
          <w:sz w:val="24"/>
          <w:szCs w:val="24"/>
        </w:rPr>
        <w:drawing>
          <wp:inline distT="0" distB="0" distL="114300" distR="114300" wp14:anchorId="07BB6E76" wp14:editId="3C8960E3">
            <wp:extent cx="4892040" cy="2792730"/>
            <wp:effectExtent l="6350" t="6350" r="29210" b="2032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60DE5F3"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Figure 4: Marriott International gearing ratios for the year 2021 to 2025</w:t>
      </w:r>
    </w:p>
    <w:p w14:paraId="7E3B69E0"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lastRenderedPageBreak/>
        <w:t>It was found that the debt-equity ratio of the company during 2021 was 12.54, which turned to -6.08 during 2025 (Marriott International, 2025). A sharp growth in debt levels as well as negative equity are the main causes that affected the debt-equity ratio of the company. A rise in debt is the main threat for the company as it might increase financial risk and create problems to meet long-term obligations effectively. In addition to this, negative equity can be considered a strength, and the same does not reflect financial distress. Negative equity of the company is due to treasury stock or repurchase of shares, which provides the benefit of increased returns to shareholders. In addition to this, the interest coverage ratio also shows downwards trend, which is the main weakness of the company. A rise in interest expenses caused a fall in the interest coverage ratio in the last 5 years. This might create problems in easily meeting interest-related obligations. Overall, the company’s solvency position is not well and the same can be seen as the main problem for the company.</w:t>
      </w:r>
    </w:p>
    <w:p w14:paraId="4859A4F8" w14:textId="77777777" w:rsidR="00D224FD" w:rsidRDefault="004E566D">
      <w:pPr>
        <w:spacing w:line="360" w:lineRule="auto"/>
        <w:jc w:val="both"/>
        <w:rPr>
          <w:rFonts w:ascii="Times New Roman Regular" w:hAnsi="Times New Roman Regular" w:cs="Times New Roman Regular"/>
          <w:i/>
          <w:iCs/>
          <w:sz w:val="24"/>
          <w:szCs w:val="24"/>
        </w:rPr>
      </w:pPr>
      <w:r>
        <w:rPr>
          <w:rFonts w:ascii="Times New Roman Regular" w:hAnsi="Times New Roman Regular" w:cs="Times New Roman Regular"/>
          <w:i/>
          <w:iCs/>
          <w:sz w:val="24"/>
          <w:szCs w:val="24"/>
        </w:rPr>
        <w:t>Investment ratios</w:t>
      </w:r>
    </w:p>
    <w:p w14:paraId="321A9BD5"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noProof/>
          <w:sz w:val="24"/>
          <w:szCs w:val="24"/>
        </w:rPr>
        <w:drawing>
          <wp:inline distT="0" distB="0" distL="114300" distR="114300" wp14:anchorId="7D56AAE5" wp14:editId="00E70982">
            <wp:extent cx="4846320" cy="2792730"/>
            <wp:effectExtent l="6350" t="6350" r="24130" b="20320"/>
            <wp:docPr id="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1D8F6C5"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Figure 5: Marriott International investment ratios for the year 2021 to 2025</w:t>
      </w:r>
    </w:p>
    <w:p w14:paraId="3B7FCCD7"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EPS of the company shows an upward trend, as it has shown sharp growth over the last 5 years. Marriott International reported EPS of 3.36 during 2021, which rose to 9.53 in the year 2025. Strong profits as well as shares repurchases has helped the company in generating higher EPS, which is the main strength of the company. In addition to this, return on equity changed from positive to negative in the last few years due to negative equity value. No interpretation can be made based on negative </w:t>
      </w:r>
      <w:r>
        <w:rPr>
          <w:rFonts w:ascii="Times New Roman Regular" w:eastAsia="SimSun" w:hAnsi="Times New Roman Regular" w:cs="Times New Roman Regular"/>
          <w:sz w:val="24"/>
          <w:szCs w:val="24"/>
          <w:lang w:bidi="ar"/>
        </w:rPr>
        <w:lastRenderedPageBreak/>
        <w:t xml:space="preserve">return on equity, as it was caused due to treasury stock and share repurchase </w:t>
      </w:r>
      <w:proofErr w:type="spellStart"/>
      <w:r>
        <w:rPr>
          <w:rFonts w:ascii="Times New Roman Regular" w:eastAsia="SimSun" w:hAnsi="Times New Roman Regular" w:cs="Times New Roman Regular"/>
          <w:sz w:val="24"/>
          <w:szCs w:val="24"/>
          <w:lang w:bidi="ar"/>
        </w:rPr>
        <w:t>programmes</w:t>
      </w:r>
      <w:proofErr w:type="spellEnd"/>
      <w:r>
        <w:rPr>
          <w:rFonts w:ascii="Times New Roman Regular" w:eastAsia="SimSun" w:hAnsi="Times New Roman Regular" w:cs="Times New Roman Regular"/>
          <w:sz w:val="24"/>
          <w:szCs w:val="24"/>
          <w:lang w:bidi="ar"/>
        </w:rPr>
        <w:t>.</w:t>
      </w:r>
    </w:p>
    <w:p w14:paraId="30E235D0"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i/>
          <w:iCs/>
          <w:sz w:val="24"/>
          <w:szCs w:val="24"/>
        </w:rPr>
        <w:t>Cash Ratios</w:t>
      </w:r>
    </w:p>
    <w:p w14:paraId="71374101"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noProof/>
          <w:sz w:val="24"/>
          <w:szCs w:val="24"/>
        </w:rPr>
        <w:drawing>
          <wp:inline distT="0" distB="0" distL="114300" distR="114300" wp14:anchorId="3A646C83" wp14:editId="39A39E7B">
            <wp:extent cx="4892040" cy="2792730"/>
            <wp:effectExtent l="6350" t="6350" r="29210" b="20320"/>
            <wp:docPr id="8"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C5B866" w14:textId="77777777" w:rsidR="00D224FD" w:rsidRDefault="004E566D">
      <w:pPr>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sz w:val="24"/>
          <w:szCs w:val="24"/>
        </w:rPr>
        <w:t>Figure 6: Marriott International cash flow ratios for the year 2021 to 2025</w:t>
      </w:r>
    </w:p>
    <w:p w14:paraId="0F4016C5"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The operating cash ratio has increased over a period of time from 0.18 to 0.38, whereas the cash ratio has declined over the last 5 years from 0.22 to 0.04. During 2021, the cash ratio of the company was 0.22, which reduced to 0.04 in the year 2025. Although the cash ratio has declined, the same cannot be interpreted negatively, as Marriott International has effectively </w:t>
      </w:r>
      <w:proofErr w:type="spellStart"/>
      <w:r>
        <w:rPr>
          <w:rFonts w:ascii="Times New Roman Regular" w:eastAsia="SimSun" w:hAnsi="Times New Roman Regular" w:cs="Times New Roman Regular"/>
          <w:sz w:val="24"/>
          <w:szCs w:val="24"/>
          <w:lang w:bidi="ar"/>
        </w:rPr>
        <w:t>utilised</w:t>
      </w:r>
      <w:proofErr w:type="spellEnd"/>
      <w:r>
        <w:rPr>
          <w:rFonts w:ascii="Times New Roman Regular" w:eastAsia="SimSun" w:hAnsi="Times New Roman Regular" w:cs="Times New Roman Regular"/>
          <w:sz w:val="24"/>
          <w:szCs w:val="24"/>
          <w:lang w:bidi="ar"/>
        </w:rPr>
        <w:t xml:space="preserve"> cash through investing excessive cash in the form of dividend payments or share repurchases from shareholders. Thus, it can be stated that effective </w:t>
      </w:r>
      <w:proofErr w:type="spellStart"/>
      <w:r>
        <w:rPr>
          <w:rFonts w:ascii="Times New Roman Regular" w:eastAsia="SimSun" w:hAnsi="Times New Roman Regular" w:cs="Times New Roman Regular"/>
          <w:sz w:val="24"/>
          <w:szCs w:val="24"/>
          <w:lang w:bidi="ar"/>
        </w:rPr>
        <w:t>utilisation</w:t>
      </w:r>
      <w:proofErr w:type="spellEnd"/>
      <w:r>
        <w:rPr>
          <w:rFonts w:ascii="Times New Roman Regular" w:eastAsia="SimSun" w:hAnsi="Times New Roman Regular" w:cs="Times New Roman Regular"/>
          <w:sz w:val="24"/>
          <w:szCs w:val="24"/>
          <w:lang w:bidi="ar"/>
        </w:rPr>
        <w:t xml:space="preserve"> of cash is a key strength of the company.</w:t>
      </w:r>
    </w:p>
    <w:p w14:paraId="28B644D5"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Italic" w:hAnsi="Times New Roman Bold Italic" w:cs="Times New Roman Bold Italic"/>
          <w:b/>
          <w:bCs/>
          <w:i/>
          <w:iCs/>
          <w:sz w:val="24"/>
          <w:szCs w:val="24"/>
        </w:rPr>
        <w:t>Strategy</w:t>
      </w:r>
    </w:p>
    <w:p w14:paraId="737B5ADF"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The liquidity and high debt issues are some of the core problems identified from ratio analysis. Marriott International needs to adopt a suitable strategy to address these problems. The company should focus on reducing receivables and increasing cash levels for the purpose of improving liquidity. Effective management of cash is a suitable strategy that can assist in improving the liquidity position. Besides this, the company should primarily need to focus on using cash for reducing debt levels. </w:t>
      </w:r>
      <w:proofErr w:type="spellStart"/>
      <w:r>
        <w:rPr>
          <w:rFonts w:ascii="Times New Roman Regular" w:eastAsia="SimSun" w:hAnsi="Times New Roman Regular" w:cs="Times New Roman Regular"/>
          <w:sz w:val="24"/>
          <w:szCs w:val="24"/>
          <w:lang w:bidi="ar"/>
        </w:rPr>
        <w:t>Prioritising</w:t>
      </w:r>
      <w:proofErr w:type="spellEnd"/>
      <w:r>
        <w:rPr>
          <w:rFonts w:ascii="Times New Roman Regular" w:eastAsia="SimSun" w:hAnsi="Times New Roman Regular" w:cs="Times New Roman Regular"/>
          <w:sz w:val="24"/>
          <w:szCs w:val="24"/>
          <w:lang w:bidi="ar"/>
        </w:rPr>
        <w:t xml:space="preserve"> payment of debt obligations over dividend payments will reduce liability and help in reducing financial risk in the future.</w:t>
      </w:r>
    </w:p>
    <w:p w14:paraId="5E59FF64" w14:textId="77777777" w:rsidR="00D224FD" w:rsidRDefault="004E566D">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2" w:name="_Toc1859170584"/>
      <w:r>
        <w:rPr>
          <w:rFonts w:ascii="Times New Roman Regular" w:hAnsi="Times New Roman Regular" w:cs="Times New Roman Regular"/>
          <w:sz w:val="24"/>
          <w:szCs w:val="24"/>
        </w:rPr>
        <w:t>Working Capital management Analysis</w:t>
      </w:r>
      <w:bookmarkEnd w:id="2"/>
    </w:p>
    <w:p w14:paraId="3DA78C33"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Italic" w:hAnsi="Times New Roman Bold Italic" w:cs="Times New Roman Bold Italic"/>
          <w:b/>
          <w:bCs/>
          <w:i/>
          <w:iCs/>
          <w:sz w:val="24"/>
          <w:szCs w:val="24"/>
        </w:rPr>
        <w:t>Cash operating cycle</w:t>
      </w:r>
    </w:p>
    <w:p w14:paraId="5FBA5771"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lastRenderedPageBreak/>
        <w:t>Cash operating cycle refers to a financial metric that reflects the gap between cash paid for buying inventory till cash collection from customers. In simple words, it reflects the number of days taken by companies to collect cash from customers for paying suppliers. Cash operating cycle has different components, namely days inventory outstanding, days payable outstanding, and days receivable outstanding. Cash operating cycle is calculated by adding days inventory outstanding and days receivable outstanding and subtracting days payable outstanding (</w:t>
      </w:r>
      <w:proofErr w:type="spellStart"/>
      <w:r>
        <w:rPr>
          <w:rFonts w:ascii="Times New Roman Regular" w:eastAsia="SimSun" w:hAnsi="Times New Roman Regular" w:cs="Times New Roman Regular"/>
          <w:sz w:val="24"/>
          <w:szCs w:val="24"/>
          <w:lang w:bidi="ar"/>
        </w:rPr>
        <w:t>Ghabban</w:t>
      </w:r>
      <w:proofErr w:type="spellEnd"/>
      <w:r>
        <w:rPr>
          <w:rFonts w:ascii="Times New Roman Regular" w:eastAsia="SimSun" w:hAnsi="Times New Roman Regular" w:cs="Times New Roman Regular"/>
          <w:sz w:val="24"/>
          <w:szCs w:val="24"/>
          <w:lang w:bidi="ar"/>
        </w:rPr>
        <w:t>, 2024). Days inventory outstanding reflects the time taken to convert inventories into sales, whereas days receivable outstanding reflects the time taken to collect outstanding dues from debtors. Similarly, days payable outstanding helps in calculating the days taken to meet suppliers' obligations (Asman et al., 2022).</w:t>
      </w:r>
    </w:p>
    <w:p w14:paraId="0AB97EDE"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The inventory days is nil since the company operates in the service industry; however, receivable days outstanding have gradually reduced in the last 5 years from 52 days to 41 days. This indicates a faster collection process during recent years compared to the initial years. In addition to this, payable outstanding days also declined over a period of time and the same reduced from 24 days to 14 days. A rise in operating cash flows helped the company in reducing payable days, which is also beneficial for improving relationship with suppliers and reducing supply chain disruption risk. Overall, the cash operating cycle of Marriott International reduced from 28 days to 26 days, and such a fall reflects improvement in the cash collection process. The company gives priority to payments over collection from receivables.</w:t>
      </w:r>
    </w:p>
    <w:p w14:paraId="0944C4F2"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Italic" w:hAnsi="Times New Roman Bold Italic" w:cs="Times New Roman Bold Italic"/>
          <w:b/>
          <w:bCs/>
          <w:i/>
          <w:iCs/>
          <w:sz w:val="24"/>
          <w:szCs w:val="24"/>
        </w:rPr>
        <w:t>Strategies to improve liquidity</w:t>
      </w:r>
    </w:p>
    <w:p w14:paraId="2E443788"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There are different ways to improve liquidity through working capital reforms. Some of the key strategies that Marriott International can adopt for improving liquidity are discussed hereunder:</w:t>
      </w:r>
    </w:p>
    <w:p w14:paraId="0A13180E"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w:eastAsia="SimSun" w:hAnsi="Times New Roman Bold" w:cs="Times New Roman Bold"/>
          <w:b/>
          <w:bCs/>
          <w:sz w:val="24"/>
          <w:szCs w:val="24"/>
          <w:lang w:bidi="ar"/>
        </w:rPr>
        <w:t>Refinancing</w:t>
      </w:r>
      <w:r>
        <w:rPr>
          <w:rFonts w:ascii="Times New Roman Regular" w:eastAsia="SimSun" w:hAnsi="Times New Roman Regular" w:cs="Times New Roman Regular"/>
          <w:sz w:val="24"/>
          <w:szCs w:val="24"/>
          <w:lang w:bidi="ar"/>
        </w:rPr>
        <w:t>: It is one of the best ways to improve liquidity in business. Companies usually converts short period loans into long period for improving liquidity. Long-term loans offer flexible payment options and improve liquidity through reducing monthly payments.</w:t>
      </w:r>
    </w:p>
    <w:p w14:paraId="198E74AE"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w:eastAsia="SimSun" w:hAnsi="Times New Roman Bold" w:cs="Times New Roman Bold"/>
          <w:b/>
          <w:bCs/>
          <w:sz w:val="24"/>
          <w:szCs w:val="24"/>
          <w:lang w:bidi="ar"/>
        </w:rPr>
        <w:t>Selling assets</w:t>
      </w:r>
      <w:r>
        <w:rPr>
          <w:rFonts w:ascii="Times New Roman Regular" w:eastAsia="SimSun" w:hAnsi="Times New Roman Regular" w:cs="Times New Roman Regular"/>
          <w:sz w:val="24"/>
          <w:szCs w:val="24"/>
          <w:lang w:bidi="ar"/>
        </w:rPr>
        <w:t>: The companies can also improve liquidity through selling liquid assets. This can improve cash lows as well as current assets and thereby improve working capital.</w:t>
      </w:r>
    </w:p>
    <w:p w14:paraId="091EF568"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w:eastAsia="SimSun" w:hAnsi="Times New Roman Bold" w:cs="Times New Roman Bold"/>
          <w:b/>
          <w:bCs/>
          <w:sz w:val="24"/>
          <w:szCs w:val="24"/>
          <w:lang w:bidi="ar"/>
        </w:rPr>
        <w:t>Reducing expenses</w:t>
      </w:r>
      <w:r>
        <w:rPr>
          <w:rFonts w:ascii="Times New Roman Regular" w:eastAsia="SimSun" w:hAnsi="Times New Roman Regular" w:cs="Times New Roman Regular"/>
          <w:sz w:val="24"/>
          <w:szCs w:val="24"/>
          <w:lang w:bidi="ar"/>
        </w:rPr>
        <w:t xml:space="preserve">: Reduction in operational expenses is also one of the suitable strategies to improve liquidity. Reduction in operational expenses not only decreases </w:t>
      </w:r>
      <w:r>
        <w:rPr>
          <w:rFonts w:ascii="Times New Roman Regular" w:eastAsia="SimSun" w:hAnsi="Times New Roman Regular" w:cs="Times New Roman Regular"/>
          <w:sz w:val="24"/>
          <w:szCs w:val="24"/>
          <w:lang w:bidi="ar"/>
        </w:rPr>
        <w:lastRenderedPageBreak/>
        <w:t>current liabilities but also helps in improving liquidity and working capital over a period of time (Beaver, 2025).</w:t>
      </w:r>
    </w:p>
    <w:p w14:paraId="03B9411F"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w:eastAsia="SimSun" w:hAnsi="Times New Roman Bold" w:cs="Times New Roman Bold"/>
          <w:b/>
          <w:bCs/>
          <w:sz w:val="24"/>
          <w:szCs w:val="24"/>
          <w:lang w:bidi="ar"/>
        </w:rPr>
        <w:t>Receivables management</w:t>
      </w:r>
      <w:r>
        <w:rPr>
          <w:rFonts w:ascii="Times New Roman Regular" w:eastAsia="SimSun" w:hAnsi="Times New Roman Regular" w:cs="Times New Roman Regular"/>
          <w:sz w:val="24"/>
          <w:szCs w:val="24"/>
          <w:lang w:bidi="ar"/>
        </w:rPr>
        <w:t>: Managing receivables in an effective manner can also assist in improving liquidity. The company can offer patronage benefits to customers such as early payment discounts, which will help in shortening the collection period.</w:t>
      </w:r>
    </w:p>
    <w:p w14:paraId="7503E76C"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w:eastAsia="SimSun" w:hAnsi="Times New Roman Bold" w:cs="Times New Roman Bold"/>
          <w:b/>
          <w:bCs/>
          <w:sz w:val="24"/>
          <w:szCs w:val="24"/>
          <w:lang w:bidi="ar"/>
        </w:rPr>
        <w:t>Payable management</w:t>
      </w:r>
      <w:r>
        <w:rPr>
          <w:rFonts w:ascii="Times New Roman Regular" w:eastAsia="SimSun" w:hAnsi="Times New Roman Regular" w:cs="Times New Roman Regular"/>
          <w:sz w:val="24"/>
          <w:szCs w:val="24"/>
          <w:lang w:bidi="ar"/>
        </w:rPr>
        <w:t xml:space="preserve">: Accounts payable </w:t>
      </w:r>
      <w:proofErr w:type="spellStart"/>
      <w:r>
        <w:rPr>
          <w:rFonts w:ascii="Times New Roman Regular" w:eastAsia="SimSun" w:hAnsi="Times New Roman Regular" w:cs="Times New Roman Regular"/>
          <w:sz w:val="24"/>
          <w:szCs w:val="24"/>
          <w:lang w:bidi="ar"/>
        </w:rPr>
        <w:t>optimisation</w:t>
      </w:r>
      <w:proofErr w:type="spellEnd"/>
      <w:r>
        <w:rPr>
          <w:rFonts w:ascii="Times New Roman Regular" w:eastAsia="SimSun" w:hAnsi="Times New Roman Regular" w:cs="Times New Roman Regular"/>
          <w:sz w:val="24"/>
          <w:szCs w:val="24"/>
          <w:lang w:bidi="ar"/>
        </w:rPr>
        <w:t xml:space="preserve"> is also another working capital reform to improve liquidity, which can be achieved through different ways. For instance, eligibility for discounts on early payments and better payment terms negotiations can prove to be helpful for the company in improving payable and liquidity (Golembieski, 2025).</w:t>
      </w:r>
    </w:p>
    <w:p w14:paraId="31D21E09"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Italic" w:hAnsi="Times New Roman Bold Italic" w:cs="Times New Roman Bold Italic"/>
          <w:b/>
          <w:bCs/>
          <w:i/>
          <w:iCs/>
          <w:sz w:val="24"/>
          <w:szCs w:val="24"/>
        </w:rPr>
        <w:t>Short-term and long-term financing options</w:t>
      </w:r>
    </w:p>
    <w:p w14:paraId="64D7063A"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Funds are required at every stage of the business cycle for different purposes like purchasing inventory, managing working capital, meeting daily business expenses, and others. In case of cash shortages or additional requirements for funds, companies go for short- or long-term financing options to carry out business operations effectively. Short-term financing options are used generally for managing cash gaps or improving liquidity, whereas the goal of long-term financing options is capital expenditure or business growth. Short-term financing options are more costly compared to long-term financing options. Short-term financing is for managing flexibility, whereas the goal of long-term financing options is strategic growth of the business (Totuka, 2025). The below-mentioned section will discuss different short- and long-term financing options available for companies.</w:t>
      </w:r>
    </w:p>
    <w:p w14:paraId="2816B970" w14:textId="77777777" w:rsidR="00D224FD" w:rsidRDefault="004E566D">
      <w:pPr>
        <w:spacing w:line="360" w:lineRule="auto"/>
        <w:jc w:val="both"/>
        <w:rPr>
          <w:rFonts w:ascii="Times New Roman Regular" w:eastAsia="SimSun" w:hAnsi="Times New Roman Regular" w:cs="Times New Roman Regular"/>
          <w:sz w:val="24"/>
          <w:szCs w:val="24"/>
          <w:lang w:bidi="ar"/>
        </w:rPr>
      </w:pPr>
      <w:r>
        <w:rPr>
          <w:rFonts w:ascii="Times New Roman Regular" w:eastAsia="SimSun" w:hAnsi="Times New Roman Regular" w:cs="Times New Roman Regular"/>
          <w:sz w:val="24"/>
          <w:szCs w:val="24"/>
          <w:lang w:bidi="ar"/>
        </w:rPr>
        <w:t xml:space="preserve">Bank overdraft, trade credit, and short-term loans are main short-term financing options. Bank overdraft allows businesses to withdraw funds up to a certain limit based on creditworthiness. Similarly, trade credit allows businesses to buy inventory from suppliers by delaying payment for some period. Further, short-term loans are also another way through which businesses borrow funds for less than 1 year to manage business activities (Gandhi and </w:t>
      </w:r>
      <w:proofErr w:type="spellStart"/>
      <w:r>
        <w:rPr>
          <w:rFonts w:ascii="Times New Roman Regular" w:eastAsia="SimSun" w:hAnsi="Times New Roman Regular" w:cs="Times New Roman Regular"/>
          <w:sz w:val="24"/>
          <w:szCs w:val="24"/>
          <w:lang w:bidi="ar"/>
        </w:rPr>
        <w:t>Nasit</w:t>
      </w:r>
      <w:proofErr w:type="spellEnd"/>
      <w:r>
        <w:rPr>
          <w:rFonts w:ascii="Times New Roman Regular" w:eastAsia="SimSun" w:hAnsi="Times New Roman Regular" w:cs="Times New Roman Regular"/>
          <w:sz w:val="24"/>
          <w:szCs w:val="24"/>
          <w:lang w:bidi="ar"/>
        </w:rPr>
        <w:t xml:space="preserve">, 2022). In addition to this, equity, bonds, and long-term loans are some long-term financing options. Equity financing is the process of fund collection through issuance of equity shares in the market. Bonds are also instrument that helps in collecting funds through issuing instrument in the market and paying interest on them. Long-term loans are also another way to borrow funds for a longer period in consideration of interest charges (Kieran, 2026). Long-term loan and bond are less costly than equity; however, both enhances financial obligations. </w:t>
      </w:r>
      <w:r>
        <w:rPr>
          <w:rFonts w:ascii="Times New Roman Regular" w:eastAsia="SimSun" w:hAnsi="Times New Roman Regular" w:cs="Times New Roman Regular"/>
          <w:sz w:val="24"/>
          <w:szCs w:val="24"/>
          <w:lang w:bidi="ar"/>
        </w:rPr>
        <w:lastRenderedPageBreak/>
        <w:t>Equity financing also dilutes ownership but does not create any additional obligation on companies.</w:t>
      </w:r>
    </w:p>
    <w:p w14:paraId="0AD4B36A" w14:textId="77777777" w:rsidR="00D224FD" w:rsidRDefault="004E566D">
      <w:pPr>
        <w:pStyle w:val="Heading1"/>
        <w:numPr>
          <w:ilvl w:val="0"/>
          <w:numId w:val="1"/>
        </w:numPr>
        <w:spacing w:before="0" w:after="0" w:line="360" w:lineRule="auto"/>
        <w:jc w:val="both"/>
        <w:rPr>
          <w:rFonts w:ascii="Times New Roman Regular" w:eastAsia="SimSun" w:hAnsi="Times New Roman Regular" w:cs="Times New Roman Regular"/>
          <w:kern w:val="0"/>
          <w:sz w:val="24"/>
          <w:szCs w:val="24"/>
          <w:lang w:bidi="ar"/>
        </w:rPr>
      </w:pPr>
      <w:bookmarkStart w:id="3" w:name="_Toc1192941438"/>
      <w:r>
        <w:rPr>
          <w:rFonts w:ascii="Times New Roman Regular" w:hAnsi="Times New Roman Regular" w:cs="Times New Roman Regular"/>
          <w:sz w:val="24"/>
          <w:szCs w:val="24"/>
        </w:rPr>
        <w:t>Strategic Financial Restructuring Plan</w:t>
      </w:r>
      <w:bookmarkEnd w:id="3"/>
    </w:p>
    <w:p w14:paraId="1CF3A60D" w14:textId="77777777" w:rsidR="00D224FD" w:rsidRDefault="004E566D">
      <w:pPr>
        <w:spacing w:line="360" w:lineRule="auto"/>
        <w:jc w:val="both"/>
        <w:rPr>
          <w:rFonts w:ascii="Times New Roman Regular" w:hAnsi="Times New Roman Regular" w:cs="Times New Roman Regular"/>
          <w:b/>
          <w:sz w:val="24"/>
          <w:szCs w:val="24"/>
        </w:rPr>
      </w:pPr>
      <w:r>
        <w:rPr>
          <w:rFonts w:ascii="Times New Roman Bold Italic" w:hAnsi="Times New Roman Bold Italic" w:cs="Times New Roman Bold Italic"/>
          <w:b/>
          <w:i/>
          <w:iCs/>
          <w:sz w:val="24"/>
          <w:szCs w:val="24"/>
        </w:rPr>
        <w:t>Recommending Financial Restructuring Options</w:t>
      </w:r>
    </w:p>
    <w:p w14:paraId="4A361192"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On the basis of financial ratios evaluation for 2021-2025, Marriott International must apply an overall strategic financial restructuring plan which strengthens its capital structure while preserving its operational efficiency. The continued low quick and current ratios show limited short-term liquidity, highlighting the requirement for an equity injection through issuance of new equity or retained earnings. This will decrease overall dependency on short-period borrowing and improve working capital. However, issuing new equity shares will dilute ownership, but the robust financial position will advance investor confidence in the long period (Choi, 2018). Marriott International must also do debt restructuring by refinancing costly short-period into long-period liabilities at a lower rate of interest. This will ease repayment liability, advance liquidity, and offer greater financial flexibility for further investment. As interest coverage is healthy, the company has adequate ability to negotiate </w:t>
      </w:r>
      <w:proofErr w:type="spellStart"/>
      <w:r>
        <w:rPr>
          <w:rFonts w:ascii="Times New Roman Regular" w:hAnsi="Times New Roman Regular" w:cs="Times New Roman Regular"/>
          <w:sz w:val="24"/>
          <w:szCs w:val="24"/>
        </w:rPr>
        <w:t>favourable</w:t>
      </w:r>
      <w:proofErr w:type="spellEnd"/>
      <w:r>
        <w:rPr>
          <w:rFonts w:ascii="Times New Roman Regular" w:hAnsi="Times New Roman Regular" w:cs="Times New Roman Regular"/>
          <w:sz w:val="24"/>
          <w:szCs w:val="24"/>
        </w:rPr>
        <w:t xml:space="preserve"> financing terms.</w:t>
      </w:r>
    </w:p>
    <w:p w14:paraId="174CE782"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In addition, the company must go with selective divestiture of non-core assets, especially assets with limited strategic value or low occupancy. The proceeds could be </w:t>
      </w:r>
      <w:proofErr w:type="spellStart"/>
      <w:r>
        <w:rPr>
          <w:rFonts w:ascii="Times New Roman Regular" w:hAnsi="Times New Roman Regular" w:cs="Times New Roman Regular"/>
          <w:sz w:val="24"/>
          <w:szCs w:val="24"/>
        </w:rPr>
        <w:t>utilised</w:t>
      </w:r>
      <w:proofErr w:type="spellEnd"/>
      <w:r>
        <w:rPr>
          <w:rFonts w:ascii="Times New Roman Regular" w:hAnsi="Times New Roman Regular" w:cs="Times New Roman Regular"/>
          <w:sz w:val="24"/>
          <w:szCs w:val="24"/>
        </w:rPr>
        <w:t xml:space="preserve"> to decrease debt and invest in high-growth areas like digital hospitality platforms, luxury hotels, and sustainable tourism initiatives. Further, instead of large-scale mergers, Marriott International must target on strategic acquisitions or collaborations in developing markets and technology-based hospitality services. Such partnerships will improve customer experience, expand market reach, and strengthen competitiveness without considerably enhancing financial threat (</w:t>
      </w:r>
      <w:proofErr w:type="spellStart"/>
      <w:r>
        <w:rPr>
          <w:rFonts w:ascii="Times New Roman Regular" w:hAnsi="Times New Roman Regular" w:cs="Times New Roman Regular"/>
          <w:sz w:val="24"/>
          <w:szCs w:val="24"/>
        </w:rPr>
        <w:t>Oukil</w:t>
      </w:r>
      <w:proofErr w:type="spellEnd"/>
      <w:r>
        <w:rPr>
          <w:rFonts w:ascii="Times New Roman Regular" w:hAnsi="Times New Roman Regular" w:cs="Times New Roman Regular"/>
          <w:sz w:val="24"/>
          <w:szCs w:val="24"/>
        </w:rPr>
        <w:t xml:space="preserve">, 2025). Collectively, such restructuring approaches will improve liquidity, streamline the capital structure, and position Marriott for overall sustainable long-period growth. </w:t>
      </w:r>
    </w:p>
    <w:p w14:paraId="7C5A150E" w14:textId="77777777" w:rsidR="00D224FD" w:rsidRDefault="004E566D">
      <w:pPr>
        <w:spacing w:line="360" w:lineRule="auto"/>
        <w:jc w:val="both"/>
        <w:rPr>
          <w:rFonts w:ascii="Times New Roman Regular" w:hAnsi="Times New Roman Regular" w:cs="Times New Roman Regular"/>
          <w:b/>
          <w:sz w:val="24"/>
          <w:szCs w:val="24"/>
        </w:rPr>
      </w:pPr>
      <w:r>
        <w:rPr>
          <w:rFonts w:ascii="Times New Roman Bold Italic" w:hAnsi="Times New Roman Bold Italic" w:cs="Times New Roman Bold Italic"/>
          <w:b/>
          <w:i/>
          <w:iCs/>
          <w:sz w:val="24"/>
          <w:szCs w:val="24"/>
        </w:rPr>
        <w:t>Evaluating impact on Shareholder Value, Debt Structure, and Operational Flexibility</w:t>
      </w:r>
    </w:p>
    <w:p w14:paraId="26E6A815"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The suggested restructuring approach will form long-period value for investors by advancing Marriott's financial balance and increasing investors’ confidence. Equity injections will strengthen the complete balance sheet, decreasing financial distress related to negative equity, along with assisting future expansion. However, additional equity may dilute EPS, but the long-period advantages of higher solvency and </w:t>
      </w:r>
      <w:r>
        <w:rPr>
          <w:rFonts w:ascii="Times New Roman Regular" w:hAnsi="Times New Roman Regular" w:cs="Times New Roman Regular"/>
          <w:sz w:val="24"/>
          <w:szCs w:val="24"/>
        </w:rPr>
        <w:lastRenderedPageBreak/>
        <w:t xml:space="preserve">financial resilience are anticipated to enhance shareholder wealth (McEnroe and Mindak, 2023). Besides, debt refinancing will </w:t>
      </w:r>
      <w:proofErr w:type="spellStart"/>
      <w:r>
        <w:rPr>
          <w:rFonts w:ascii="Times New Roman Regular" w:hAnsi="Times New Roman Regular" w:cs="Times New Roman Regular"/>
          <w:sz w:val="24"/>
          <w:szCs w:val="24"/>
        </w:rPr>
        <w:t>optimise</w:t>
      </w:r>
      <w:proofErr w:type="spellEnd"/>
      <w:r>
        <w:rPr>
          <w:rFonts w:ascii="Times New Roman Regular" w:hAnsi="Times New Roman Regular" w:cs="Times New Roman Regular"/>
          <w:sz w:val="24"/>
          <w:szCs w:val="24"/>
        </w:rPr>
        <w:t xml:space="preserve"> the capital structure by decreasing financial expenses and extending repayment time. A streamlined debt profile will decrease refinancing threat and improve leverage ratios over time. As Marriott already keeps robust interest coverage, restructuring debt instead of enhancing borrowing will safeguard creditworthiness and advance access to external finance.</w:t>
      </w:r>
    </w:p>
    <w:p w14:paraId="79CAF9FA"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Further, divesting non-core assets will fetch immediate cash inflows which could be passed on for debt reduction, expansion into profitable markets, and technological investments. Such actions will improve return on overall invested capital and increase complete operational efficiency (</w:t>
      </w:r>
      <w:proofErr w:type="spellStart"/>
      <w:r>
        <w:rPr>
          <w:rFonts w:ascii="Times New Roman Regular" w:hAnsi="Times New Roman Regular" w:cs="Times New Roman Regular"/>
          <w:sz w:val="24"/>
          <w:szCs w:val="24"/>
        </w:rPr>
        <w:t>Atere</w:t>
      </w:r>
      <w:proofErr w:type="spellEnd"/>
      <w:r>
        <w:rPr>
          <w:rFonts w:ascii="Times New Roman Regular" w:hAnsi="Times New Roman Regular" w:cs="Times New Roman Regular"/>
          <w:sz w:val="24"/>
          <w:szCs w:val="24"/>
        </w:rPr>
        <w:t xml:space="preserve"> et al., 2019). Marriott’s improving asset turnover ratio shows its capability to use assets effectively, and restructuring will further strengthen this efficiency. Moreover, operational flexibility will also be enhanced considerably. Robust liquidity will allow the company to respond rapidly to economic fluctuations, changing consumer choices, and investment opportunities. Lower financial liabilities will allow management to use resources towards innovation, digital change, and customer satisfaction improvements. Thus, the restructuring approach will balance financial threat with growth opportunities that ensure sustainable profitability along with maximizing long-period shareholder value. </w:t>
      </w:r>
    </w:p>
    <w:p w14:paraId="7AE4EF8A" w14:textId="77777777" w:rsidR="00D224FD" w:rsidRDefault="004E566D">
      <w:pPr>
        <w:spacing w:line="360" w:lineRule="auto"/>
        <w:jc w:val="both"/>
        <w:rPr>
          <w:rFonts w:ascii="Times New Roman Regular" w:hAnsi="Times New Roman Regular" w:cs="Times New Roman Regular"/>
          <w:b/>
          <w:sz w:val="24"/>
          <w:szCs w:val="24"/>
        </w:rPr>
      </w:pPr>
      <w:r>
        <w:rPr>
          <w:rFonts w:ascii="Times New Roman Bold Italic" w:hAnsi="Times New Roman Bold Italic" w:cs="Times New Roman Bold Italic"/>
          <w:b/>
          <w:i/>
          <w:iCs/>
          <w:sz w:val="24"/>
          <w:szCs w:val="24"/>
        </w:rPr>
        <w:t>International and Ethical Considerations</w:t>
      </w:r>
    </w:p>
    <w:p w14:paraId="3BC68DEC"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As a worldwide hospitality company, Marriott should consider global ethical and financial factors along with its restructuring strategy. As the company works across various nations, changes in foreign exchange can considerably impact revenues, operational expenses, and reported earnings. Effective currency risk control through natural hedging, diversified revenue sources, and forward contracts could lower exchange rate volatility and conserve profitability (</w:t>
      </w:r>
      <w:proofErr w:type="spellStart"/>
      <w:r>
        <w:rPr>
          <w:rFonts w:ascii="Times New Roman Regular" w:hAnsi="Times New Roman Regular" w:cs="Times New Roman Regular"/>
          <w:sz w:val="24"/>
          <w:szCs w:val="24"/>
        </w:rPr>
        <w:t>Ramadugu</w:t>
      </w:r>
      <w:proofErr w:type="spellEnd"/>
      <w:r>
        <w:rPr>
          <w:rFonts w:ascii="Times New Roman Regular" w:hAnsi="Times New Roman Regular" w:cs="Times New Roman Regular"/>
          <w:sz w:val="24"/>
          <w:szCs w:val="24"/>
        </w:rPr>
        <w:t xml:space="preserve"> et al., 2020). Besides, global taxation is another essential area, and Marriott must use clear tax planning approaches that align with local and global regulations, along with avoiding aggressive tax avoidance approaches. Moreover, alignment with international tax models increases corporate reputation and decreases legal and regulatory risks.</w:t>
      </w:r>
    </w:p>
    <w:p w14:paraId="4B3F7C43" w14:textId="77777777" w:rsidR="00D224FD" w:rsidRDefault="004E566D">
      <w:pPr>
        <w:spacing w:line="360" w:lineRule="auto"/>
        <w:jc w:val="both"/>
        <w:rPr>
          <w:rFonts w:ascii="Times New Roman Regular" w:eastAsia="SimSun" w:hAnsi="Times New Roman Regular" w:cs="Times New Roman Regular"/>
          <w:sz w:val="24"/>
          <w:szCs w:val="24"/>
          <w:lang w:bidi="ar"/>
        </w:rPr>
      </w:pPr>
      <w:r>
        <w:rPr>
          <w:rFonts w:ascii="Times New Roman Regular" w:hAnsi="Times New Roman Regular" w:cs="Times New Roman Regular"/>
          <w:sz w:val="24"/>
          <w:szCs w:val="24"/>
        </w:rPr>
        <w:t xml:space="preserve">Inflation is another considerable issue for the hospitality sector as rising food, energy and </w:t>
      </w:r>
      <w:proofErr w:type="spellStart"/>
      <w:r>
        <w:rPr>
          <w:rFonts w:ascii="Times New Roman Regular" w:hAnsi="Times New Roman Regular" w:cs="Times New Roman Regular"/>
          <w:sz w:val="24"/>
          <w:szCs w:val="24"/>
        </w:rPr>
        <w:t>labour</w:t>
      </w:r>
      <w:proofErr w:type="spellEnd"/>
      <w:r>
        <w:rPr>
          <w:rFonts w:ascii="Times New Roman Regular" w:hAnsi="Times New Roman Regular" w:cs="Times New Roman Regular"/>
          <w:sz w:val="24"/>
          <w:szCs w:val="24"/>
        </w:rPr>
        <w:t xml:space="preserve"> costs directly impact operating ratios. Thereby, Marriott must continuously review pricing approaches, advance operational efficiency, and invest in energy-saving technologies to balance inflationary pressure without lowering customer </w:t>
      </w:r>
      <w:r>
        <w:rPr>
          <w:rFonts w:ascii="Times New Roman Regular" w:hAnsi="Times New Roman Regular" w:cs="Times New Roman Regular"/>
          <w:sz w:val="24"/>
          <w:szCs w:val="24"/>
        </w:rPr>
        <w:lastRenderedPageBreak/>
        <w:t xml:space="preserve">satisfaction. Besides, ESG considerations must remain primary to the overall plan. Investment in renewable energy, green buildings, water conservation, and waste reduction can decrease operational expenses along with strengthening the sustainability performance of the company (Amaral et al., 2020). Thus, Marriott must also continue showing employee diversity, welfare, ethical </w:t>
      </w:r>
      <w:proofErr w:type="spellStart"/>
      <w:r>
        <w:rPr>
          <w:rFonts w:ascii="Times New Roman Regular" w:hAnsi="Times New Roman Regular" w:cs="Times New Roman Regular"/>
          <w:sz w:val="24"/>
          <w:szCs w:val="24"/>
        </w:rPr>
        <w:t>labour</w:t>
      </w:r>
      <w:proofErr w:type="spellEnd"/>
      <w:r>
        <w:rPr>
          <w:rFonts w:ascii="Times New Roman Regular" w:hAnsi="Times New Roman Regular" w:cs="Times New Roman Regular"/>
          <w:sz w:val="24"/>
          <w:szCs w:val="24"/>
        </w:rPr>
        <w:t xml:space="preserve"> approaches, and community engagement. Moreover, transparent ESG reporting advances stakeholder trust and attracts socially and environmentally responsible investors. Thus, by aligning financial restructuring with overall responsible business practices, Marriott can power its worldwide competitiveness, decrease regulatory threat, increase brand reputation, and accomplish sustainable long-period value formation for society and other stakeholders. </w:t>
      </w:r>
    </w:p>
    <w:p w14:paraId="5D8EF4E6" w14:textId="77777777" w:rsidR="00D224FD" w:rsidRDefault="004E566D">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4" w:name="_Toc859420074"/>
      <w:r>
        <w:rPr>
          <w:rFonts w:ascii="Times New Roman Regular" w:hAnsi="Times New Roman Regular" w:cs="Times New Roman Regular"/>
          <w:sz w:val="24"/>
          <w:szCs w:val="24"/>
        </w:rPr>
        <w:t>Investment Appraisal and Capital Budgeting</w:t>
      </w:r>
      <w:bookmarkEnd w:id="4"/>
    </w:p>
    <w:p w14:paraId="5055FE3C"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Italic" w:hAnsi="Times New Roman Bold Italic" w:cs="Times New Roman Bold Italic"/>
          <w:b/>
          <w:bCs/>
          <w:i/>
          <w:iCs/>
          <w:sz w:val="24"/>
          <w:szCs w:val="24"/>
        </w:rPr>
        <w:t>Evaluation of investment projects</w:t>
      </w:r>
    </w:p>
    <w:p w14:paraId="0E07261B"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It is quite pivotal for companies to evaluate investment viability since it involves significant capital expenditure. Investment appraisal or capital budgeting techniques refer to the methods that assist in evaluating the viability or worth of an investment. There are different techniques used in evaluating project viability, and the same are discussed in detail in below-mentioned section.</w:t>
      </w:r>
    </w:p>
    <w:p w14:paraId="434D9946"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w:eastAsia="SimSun" w:hAnsi="Times New Roman Bold" w:cs="Times New Roman Bold"/>
          <w:b/>
          <w:bCs/>
          <w:sz w:val="24"/>
          <w:szCs w:val="24"/>
          <w:lang w:bidi="ar"/>
        </w:rPr>
        <w:t>Payback Period</w:t>
      </w:r>
      <w:r>
        <w:rPr>
          <w:rFonts w:ascii="Times New Roman Regular" w:eastAsia="SimSun" w:hAnsi="Times New Roman Regular" w:cs="Times New Roman Regular"/>
          <w:sz w:val="24"/>
          <w:szCs w:val="24"/>
          <w:lang w:bidi="ar"/>
        </w:rPr>
        <w:t xml:space="preserve">: Payback period is a technique that is used for the purpose of determining the time to recoup initial expenditure. In simple terms, it helps in determining the time that the project actually takes to cover the entire investment made during the initial period. Companies should invest in a project with low payback period, as it helps in fast recovery of an investment. Payback period has several advantages and limitations. For instance, it is a crude measure of liquidity and easy to calculate; however, </w:t>
      </w:r>
      <w:proofErr w:type="gramStart"/>
      <w:r>
        <w:rPr>
          <w:rFonts w:ascii="Times New Roman Regular" w:eastAsia="SimSun" w:hAnsi="Times New Roman Regular" w:cs="Times New Roman Regular"/>
          <w:sz w:val="24"/>
          <w:szCs w:val="24"/>
          <w:lang w:bidi="ar"/>
        </w:rPr>
        <w:t>it</w:t>
      </w:r>
      <w:proofErr w:type="gramEnd"/>
      <w:r>
        <w:rPr>
          <w:rFonts w:ascii="Times New Roman Regular" w:eastAsia="SimSun" w:hAnsi="Times New Roman Regular" w:cs="Times New Roman Regular"/>
          <w:sz w:val="24"/>
          <w:szCs w:val="24"/>
          <w:lang w:bidi="ar"/>
        </w:rPr>
        <w:t xml:space="preserve"> major limitations are a lack in considering time value of money and cash flows after the payback period. It only considers cash flows till the project reaches the break-even level (Cotter, 2023). Accordingly, it was found from calculations that project A, B and C has reported payback period of 4.50 years, 4.55 years, and 3.60 years. Project B will take the longest time; whereas, project C will take lowest time to recoup the initial investment. Based on the lowest payback period, it is helpful for the company to invest in project C as it will provide faster cash and investment recovery.</w:t>
      </w:r>
    </w:p>
    <w:p w14:paraId="12FDE681"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w:eastAsia="SimSun" w:hAnsi="Times New Roman Bold" w:cs="Times New Roman Bold"/>
          <w:b/>
          <w:bCs/>
          <w:sz w:val="24"/>
          <w:szCs w:val="24"/>
          <w:lang w:bidi="ar"/>
        </w:rPr>
        <w:t>Accounting Rate of Return (ARR)</w:t>
      </w:r>
      <w:r>
        <w:rPr>
          <w:rFonts w:ascii="Times New Roman Regular" w:eastAsia="SimSun" w:hAnsi="Times New Roman Regular" w:cs="Times New Roman Regular"/>
          <w:sz w:val="24"/>
          <w:szCs w:val="24"/>
          <w:lang w:bidi="ar"/>
        </w:rPr>
        <w:t xml:space="preserve">: ARR refers to a technique that helps in determining investment profitability. It is the only technique that focus on profits </w:t>
      </w:r>
      <w:r>
        <w:rPr>
          <w:rFonts w:ascii="Times New Roman Regular" w:eastAsia="SimSun" w:hAnsi="Times New Roman Regular" w:cs="Times New Roman Regular"/>
          <w:sz w:val="24"/>
          <w:szCs w:val="24"/>
          <w:lang w:bidi="ar"/>
        </w:rPr>
        <w:lastRenderedPageBreak/>
        <w:t>instead of cash flows, and the same can also be considered as a key advantage of ARR. However, this technique has several limitations. For instance, it does not consider the time value of money and also ignores the project risks in the long run. ARR is also not ideal to make comparison between different projects (Vipond, 2019). It is feasible to invest in project with the highest ARR and ignore investments in low ARR. Project A’s ARR is 1.60%, project B’s ARR is 2%, and project C’s ARR is 6%. Project A has generated the lowest ARR, and project C has generated the highest ARR, which implies that project C is most profitable compared to project A and B. It will be best for the company to invest in project C based on ARR since it has generated the highest ARR. Investing in project C will assist in generating more profits and creating value addition for the shareholders.</w:t>
      </w:r>
    </w:p>
    <w:p w14:paraId="31808EB3"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w:eastAsia="SimSun" w:hAnsi="Times New Roman Bold" w:cs="Times New Roman Bold"/>
          <w:b/>
          <w:bCs/>
          <w:sz w:val="24"/>
          <w:szCs w:val="24"/>
          <w:lang w:bidi="ar"/>
        </w:rPr>
        <w:t>Net Present Value (NPV)</w:t>
      </w:r>
      <w:r>
        <w:rPr>
          <w:rFonts w:ascii="Times New Roman Regular" w:eastAsia="SimSun" w:hAnsi="Times New Roman Regular" w:cs="Times New Roman Regular"/>
          <w:sz w:val="24"/>
          <w:szCs w:val="24"/>
          <w:lang w:bidi="ar"/>
        </w:rPr>
        <w:t xml:space="preserve">: NPV is another capital budgeting technique, which is used for calculating the value of an investment. This technique calculates the value generated by a project by deducting cash outflows from the present value of future cash inflows. This technique considers the time value of money, which is a key strength; however, there are also several limitations of NPV. For instance, it is quite complex or difficult to estimate the hurdle rate for discounting future cash flows (Dai et al., 2022). Similarly, it is also difficult to use NPV for comparing projects with different sizes. Investing in project with positive NPV is </w:t>
      </w:r>
      <w:proofErr w:type="spellStart"/>
      <w:r>
        <w:rPr>
          <w:rFonts w:ascii="Times New Roman Regular" w:eastAsia="SimSun" w:hAnsi="Times New Roman Regular" w:cs="Times New Roman Regular"/>
          <w:sz w:val="24"/>
          <w:szCs w:val="24"/>
          <w:lang w:bidi="ar"/>
        </w:rPr>
        <w:t>favourable</w:t>
      </w:r>
      <w:proofErr w:type="spellEnd"/>
      <w:r>
        <w:rPr>
          <w:rFonts w:ascii="Times New Roman Regular" w:eastAsia="SimSun" w:hAnsi="Times New Roman Regular" w:cs="Times New Roman Regular"/>
          <w:sz w:val="24"/>
          <w:szCs w:val="24"/>
          <w:lang w:bidi="ar"/>
        </w:rPr>
        <w:t xml:space="preserve"> compared to negative NPV as positive NPV indicates strong growth in shareholders' value. The results indicate that all projects except project C have generated negative NPV. The NPVs of project A and B are -£6.54 million and -£6.08 million. On the contrary, project C has reported a positive NPV of £0.86 million. This shows that project C is the only feasible project to invest in as compared to A and B. Investing in project C will help the company in creating value addition; however, investing in project A and B will destroy shareholders value due to negative NPV. Thus, based on NPV, investing in project C is feasible compared to project A and B.</w:t>
      </w:r>
    </w:p>
    <w:p w14:paraId="2BEF2678"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w:eastAsia="SimSun" w:hAnsi="Times New Roman Bold" w:cs="Times New Roman Bold"/>
          <w:b/>
          <w:bCs/>
          <w:sz w:val="24"/>
          <w:szCs w:val="24"/>
          <w:lang w:bidi="ar"/>
        </w:rPr>
        <w:t>Profitability Index (PI)</w:t>
      </w:r>
      <w:r>
        <w:rPr>
          <w:rFonts w:ascii="Times New Roman Regular" w:eastAsia="SimSun" w:hAnsi="Times New Roman Regular" w:cs="Times New Roman Regular"/>
          <w:sz w:val="24"/>
          <w:szCs w:val="24"/>
          <w:lang w:bidi="ar"/>
        </w:rPr>
        <w:t xml:space="preserve">: PI is another technique that reflects dollar generated by a project over every dollar of investment. The higher the PI, the more beneficial it is to invest in the project. It not only helps in making proper choices but also enables project managers in selecting most profitable projects. However, PI is based on future cash flow estimates, and any changes in future cash flows might provide wrong results. This can be considered a major limitation of PI (Vaidya, 2025). PI of projects A, B, and C are 0.87, 0.88, and 1.02. Both projects A and B has reported lower PI </w:t>
      </w:r>
      <w:r>
        <w:rPr>
          <w:rFonts w:ascii="Times New Roman Regular" w:eastAsia="SimSun" w:hAnsi="Times New Roman Regular" w:cs="Times New Roman Regular"/>
          <w:sz w:val="24"/>
          <w:szCs w:val="24"/>
          <w:lang w:bidi="ar"/>
        </w:rPr>
        <w:lastRenderedPageBreak/>
        <w:t>than 1, which indicates that return will be only 0.87 and 0.88 times the investment. However, project C’s PI is higher than 1, indicating the project is profitable. Thus, it can be stated that the company should invest in project C as it has the highest PI. This will provide the highest return and value to the company and its shareholders.</w:t>
      </w:r>
    </w:p>
    <w:p w14:paraId="10A3A157"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w:eastAsia="SimSun" w:hAnsi="Times New Roman Bold" w:cs="Times New Roman Bold"/>
          <w:b/>
          <w:bCs/>
          <w:sz w:val="24"/>
          <w:szCs w:val="24"/>
          <w:lang w:bidi="ar"/>
        </w:rPr>
        <w:t>Internal Rate of Return (IRR)</w:t>
      </w:r>
      <w:r>
        <w:rPr>
          <w:rFonts w:ascii="Times New Roman Regular" w:eastAsia="SimSun" w:hAnsi="Times New Roman Regular" w:cs="Times New Roman Regular"/>
          <w:sz w:val="24"/>
          <w:szCs w:val="24"/>
          <w:lang w:bidi="ar"/>
        </w:rPr>
        <w:t>: IRR refers to the rate of return at which the project reaches at break-even or in other words, it is the rate at which cash outflows becomes equal to cash inflows. It is the rate that needs to be covered on the investment value before generating profits. Investing in a project with an IRR that exceeds the discount rate is feasible as it helps in creating value addition. Focusing on cash flows as well as the time value of money are main advantages of IRR; however, it also has several limitations. The assumption regarding the same reinvestment rate and difficulty to compare different duration projects are main limitations of IRR (Vipond, 2020). In the same context, it was found that the IRRs of projects A, B, and C are 2.72%, 3.26%, and 8.59%, respectively. Both project A and B has reported lower IRR compared to the discount rate; whereas project C is the only project with a high IRR compared to the discount rate. Investing in a project with an IRR that exceeds the discount rate is feasible as it creates value addition. Thus, it is suitable for the company to invest in project C to attain maximum benefits.</w:t>
      </w:r>
    </w:p>
    <w:p w14:paraId="70712E9D"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Overall, based on the above techniques, it can be recommended to the company to invest in project C and ignore projects A and B. Low payback, positive NPV, and high ARR, PI and NPV are some strong metrics, which are in </w:t>
      </w:r>
      <w:proofErr w:type="spellStart"/>
      <w:r>
        <w:rPr>
          <w:rFonts w:ascii="Times New Roman Regular" w:eastAsia="SimSun" w:hAnsi="Times New Roman Regular" w:cs="Times New Roman Regular"/>
          <w:sz w:val="24"/>
          <w:szCs w:val="24"/>
          <w:lang w:bidi="ar"/>
        </w:rPr>
        <w:t>favour</w:t>
      </w:r>
      <w:proofErr w:type="spellEnd"/>
      <w:r>
        <w:rPr>
          <w:rFonts w:ascii="Times New Roman Regular" w:eastAsia="SimSun" w:hAnsi="Times New Roman Regular" w:cs="Times New Roman Regular"/>
          <w:sz w:val="24"/>
          <w:szCs w:val="24"/>
          <w:lang w:bidi="ar"/>
        </w:rPr>
        <w:t xml:space="preserve"> of investing in project C. Thus, investing in project C can be considered a superior investment opportunity for the company.</w:t>
      </w:r>
    </w:p>
    <w:p w14:paraId="41163D16"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Italic" w:hAnsi="Times New Roman Bold Italic" w:cs="Times New Roman Bold Italic"/>
          <w:b/>
          <w:bCs/>
          <w:i/>
          <w:iCs/>
          <w:sz w:val="24"/>
          <w:szCs w:val="24"/>
        </w:rPr>
        <w:t>Recommendation considering financial performance and non-financial risks</w:t>
      </w:r>
    </w:p>
    <w:p w14:paraId="0D325F2B"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It was found that the company’s revenues and profits has improved in last 5 years, which indicates that investing in project with positive NPV is feasible for value addition. Since project C is the only project with a positive NPV, it will further improve the financial performance of the company; however, investing in projects A and B will reduce performance due to negative NPV. Similarly, project C also has strong cash flows compared to other projects, which will also assist in improving liquidity issues in the company. The strong profits can also help the company invest in project C without any additional borrowings, which can also assist the company in reducing debt obligations in future. However, investing in project A and C is not </w:t>
      </w:r>
      <w:proofErr w:type="spellStart"/>
      <w:r>
        <w:rPr>
          <w:rFonts w:ascii="Times New Roman Regular" w:eastAsia="SimSun" w:hAnsi="Times New Roman Regular" w:cs="Times New Roman Regular"/>
          <w:sz w:val="24"/>
          <w:szCs w:val="24"/>
          <w:lang w:bidi="ar"/>
        </w:rPr>
        <w:lastRenderedPageBreak/>
        <w:t>favourable</w:t>
      </w:r>
      <w:proofErr w:type="spellEnd"/>
      <w:r>
        <w:rPr>
          <w:rFonts w:ascii="Times New Roman Regular" w:eastAsia="SimSun" w:hAnsi="Times New Roman Regular" w:cs="Times New Roman Regular"/>
          <w:sz w:val="24"/>
          <w:szCs w:val="24"/>
          <w:lang w:bidi="ar"/>
        </w:rPr>
        <w:t xml:space="preserve"> due to negative NPV. This will also severely and negatively affect the company’s financial performance and liquidity position in the future.</w:t>
      </w:r>
    </w:p>
    <w:p w14:paraId="6079B6DB"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In addition to this, several non-financial risks need to be </w:t>
      </w:r>
      <w:proofErr w:type="spellStart"/>
      <w:r>
        <w:rPr>
          <w:rFonts w:ascii="Times New Roman Regular" w:eastAsia="SimSun" w:hAnsi="Times New Roman Regular" w:cs="Times New Roman Regular"/>
          <w:sz w:val="24"/>
          <w:szCs w:val="24"/>
          <w:lang w:bidi="ar"/>
        </w:rPr>
        <w:t>analysed</w:t>
      </w:r>
      <w:proofErr w:type="spellEnd"/>
      <w:r>
        <w:rPr>
          <w:rFonts w:ascii="Times New Roman Regular" w:eastAsia="SimSun" w:hAnsi="Times New Roman Regular" w:cs="Times New Roman Regular"/>
          <w:sz w:val="24"/>
          <w:szCs w:val="24"/>
          <w:lang w:bidi="ar"/>
        </w:rPr>
        <w:t xml:space="preserve"> before making a final recommendation about investing in the project solely based on financial performance. Marriott International operates in the hospitality industry that comprises a wide range of risks like geopolitical risk, customer loyalty, economic risk, sustainability risk, and many others. Project C can be feasible if investment is made in geographically diversified markets instead of focusing on single region investment. Similarly, the company should also focus on evaluating </w:t>
      </w:r>
      <w:proofErr w:type="spellStart"/>
      <w:r>
        <w:rPr>
          <w:rFonts w:ascii="Times New Roman Regular" w:eastAsia="SimSun" w:hAnsi="Times New Roman Regular" w:cs="Times New Roman Regular"/>
          <w:sz w:val="24"/>
          <w:szCs w:val="24"/>
          <w:lang w:bidi="ar"/>
        </w:rPr>
        <w:t>macro economic</w:t>
      </w:r>
      <w:proofErr w:type="spellEnd"/>
      <w:r>
        <w:rPr>
          <w:rFonts w:ascii="Times New Roman Regular" w:eastAsia="SimSun" w:hAnsi="Times New Roman Regular" w:cs="Times New Roman Regular"/>
          <w:sz w:val="24"/>
          <w:szCs w:val="24"/>
          <w:lang w:bidi="ar"/>
        </w:rPr>
        <w:t xml:space="preserve"> indicators and loyalty programs for reducing economic and customer loyalty risk as well as making the project feasible in the long run. Alignment of the project with the company’s sustainable practices can also achieve strategic benefits and value addition for the shareholders in the long run.</w:t>
      </w:r>
    </w:p>
    <w:p w14:paraId="3868DF47"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Italic" w:hAnsi="Times New Roman Bold Italic" w:cs="Times New Roman Bold Italic"/>
          <w:b/>
          <w:bCs/>
          <w:i/>
          <w:iCs/>
          <w:sz w:val="24"/>
          <w:szCs w:val="24"/>
        </w:rPr>
        <w:t>Justification using capital rationing</w:t>
      </w:r>
    </w:p>
    <w:p w14:paraId="2A4A79F7"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The only profitable project that the company could invest in is project C. In case of capital rationing of  £100 million, the company should invest  £50 million in project C and keep the balance of £50 million for other business purpose. Since projects A and B generated negative NPVs, investing in these projects will provide adverse results. However, if the company wants to invest 100% of £100 million, then it can select project C along with project B, as project B has generated </w:t>
      </w:r>
      <w:proofErr w:type="spellStart"/>
      <w:r>
        <w:rPr>
          <w:rFonts w:ascii="Times New Roman Regular" w:eastAsia="SimSun" w:hAnsi="Times New Roman Regular" w:cs="Times New Roman Regular"/>
          <w:sz w:val="24"/>
          <w:szCs w:val="24"/>
          <w:lang w:bidi="ar"/>
        </w:rPr>
        <w:t>favourable</w:t>
      </w:r>
      <w:proofErr w:type="spellEnd"/>
      <w:r>
        <w:rPr>
          <w:rFonts w:ascii="Times New Roman Regular" w:eastAsia="SimSun" w:hAnsi="Times New Roman Regular" w:cs="Times New Roman Regular"/>
          <w:sz w:val="24"/>
          <w:szCs w:val="24"/>
          <w:lang w:bidi="ar"/>
        </w:rPr>
        <w:t xml:space="preserve"> results compared to project A. However, selecting only project C and keeping the balance funds for the future can only help the company in creating value addition for the shareholders.</w:t>
      </w:r>
    </w:p>
    <w:p w14:paraId="0635C40A" w14:textId="77777777" w:rsidR="00D224FD" w:rsidRDefault="004E566D">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5" w:name="_Toc298173996"/>
      <w:r>
        <w:rPr>
          <w:rFonts w:ascii="Times New Roman Regular" w:hAnsi="Times New Roman Regular" w:cs="Times New Roman Regular"/>
          <w:sz w:val="24"/>
          <w:szCs w:val="24"/>
        </w:rPr>
        <w:t>Critical reflection on AI usage</w:t>
      </w:r>
      <w:bookmarkEnd w:id="5"/>
    </w:p>
    <w:p w14:paraId="57AE55CD"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Italic" w:eastAsia="SimSun" w:hAnsi="Times New Roman Bold Italic" w:cs="Times New Roman Bold Italic"/>
          <w:b/>
          <w:bCs/>
          <w:i/>
          <w:iCs/>
          <w:sz w:val="24"/>
          <w:szCs w:val="24"/>
          <w:lang w:bidi="ar"/>
        </w:rPr>
        <w:t>Tool Disclosure</w:t>
      </w:r>
    </w:p>
    <w:p w14:paraId="561E6CB8"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ChatGPT AI tool has been used for the presented task, which helped in conducting several tasks of the assignment. ChatGPT helped in </w:t>
      </w:r>
      <w:proofErr w:type="spellStart"/>
      <w:r>
        <w:rPr>
          <w:rFonts w:ascii="Times New Roman Regular" w:eastAsia="SimSun" w:hAnsi="Times New Roman Regular" w:cs="Times New Roman Regular"/>
          <w:sz w:val="24"/>
          <w:szCs w:val="24"/>
          <w:lang w:bidi="ar"/>
        </w:rPr>
        <w:t>analysing</w:t>
      </w:r>
      <w:proofErr w:type="spellEnd"/>
      <w:r>
        <w:rPr>
          <w:rFonts w:ascii="Times New Roman Regular" w:eastAsia="SimSun" w:hAnsi="Times New Roman Regular" w:cs="Times New Roman Regular"/>
          <w:sz w:val="24"/>
          <w:szCs w:val="24"/>
          <w:lang w:bidi="ar"/>
        </w:rPr>
        <w:t xml:space="preserve"> Marriott International’s financial performance using several ratios, computation of cash operating cycle, conducting investment appraisal techniques calculations, identifying short- and long-term financing options, developing a financial restructuring plan, and others. I acknowledge that I have used AI tools carefully and as per University guidance. No data has been copied from an AI tool, and the information in the assignment is a piece of my original work. All calculations of ratios, cash operating cycle and investment appraisal techniques are also self-made.</w:t>
      </w:r>
    </w:p>
    <w:p w14:paraId="683DA11D"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Italic" w:eastAsia="SimSun" w:hAnsi="Times New Roman Bold Italic" w:cs="Times New Roman Bold Italic"/>
          <w:b/>
          <w:bCs/>
          <w:i/>
          <w:iCs/>
          <w:sz w:val="24"/>
          <w:szCs w:val="24"/>
          <w:lang w:bidi="ar"/>
        </w:rPr>
        <w:lastRenderedPageBreak/>
        <w:t>Critical Evaluation of AI Output</w:t>
      </w:r>
    </w:p>
    <w:p w14:paraId="1F5AC04F"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Although AI helped in structuring and providing better guidance about the flow of the assignment; however, I have taken proper care and checked everything in detail before writing final answers. AI has given calculations, but I cross verified every calculation of AI with self-made calculations. I have used the company’s annual report and other published articles to verify the accuracy of results provided by AI. Besides this, several logical errors </w:t>
      </w:r>
      <w:proofErr w:type="gramStart"/>
      <w:r>
        <w:rPr>
          <w:rFonts w:ascii="Times New Roman Regular" w:eastAsia="SimSun" w:hAnsi="Times New Roman Regular" w:cs="Times New Roman Regular"/>
          <w:sz w:val="24"/>
          <w:szCs w:val="24"/>
          <w:lang w:bidi="ar"/>
        </w:rPr>
        <w:t>has</w:t>
      </w:r>
      <w:proofErr w:type="gramEnd"/>
      <w:r>
        <w:rPr>
          <w:rFonts w:ascii="Times New Roman Regular" w:eastAsia="SimSun" w:hAnsi="Times New Roman Regular" w:cs="Times New Roman Regular"/>
          <w:sz w:val="24"/>
          <w:szCs w:val="24"/>
          <w:lang w:bidi="ar"/>
        </w:rPr>
        <w:t xml:space="preserve"> also been noticed, like bad inventory management and financial weakness due to negative equity. However, detailed examination helped in identifying that Marriott International operates in a light asset model and has zero inventory. Similarly, negative equity is also due to treasury stocks or repurchase, which does not </w:t>
      </w:r>
      <w:proofErr w:type="gramStart"/>
      <w:r>
        <w:rPr>
          <w:rFonts w:ascii="Times New Roman Regular" w:eastAsia="SimSun" w:hAnsi="Times New Roman Regular" w:cs="Times New Roman Regular"/>
          <w:sz w:val="24"/>
          <w:szCs w:val="24"/>
          <w:lang w:bidi="ar"/>
        </w:rPr>
        <w:t>indicates</w:t>
      </w:r>
      <w:proofErr w:type="gramEnd"/>
      <w:r>
        <w:rPr>
          <w:rFonts w:ascii="Times New Roman Regular" w:eastAsia="SimSun" w:hAnsi="Times New Roman Regular" w:cs="Times New Roman Regular"/>
          <w:sz w:val="24"/>
          <w:szCs w:val="24"/>
          <w:lang w:bidi="ar"/>
        </w:rPr>
        <w:t xml:space="preserve"> financial distress.</w:t>
      </w:r>
    </w:p>
    <w:p w14:paraId="77906A51" w14:textId="77777777" w:rsidR="00D224FD" w:rsidRDefault="004E566D">
      <w:pPr>
        <w:spacing w:line="360" w:lineRule="auto"/>
        <w:jc w:val="both"/>
        <w:rPr>
          <w:rFonts w:ascii="Times New Roman Regular" w:hAnsi="Times New Roman Regular" w:cs="Times New Roman Regular"/>
          <w:sz w:val="24"/>
          <w:szCs w:val="24"/>
        </w:rPr>
      </w:pPr>
      <w:r>
        <w:rPr>
          <w:rFonts w:ascii="Times New Roman Bold Italic" w:eastAsia="SimSun" w:hAnsi="Times New Roman Bold Italic" w:cs="Times New Roman Bold Italic"/>
          <w:b/>
          <w:bCs/>
          <w:i/>
          <w:iCs/>
          <w:sz w:val="24"/>
          <w:szCs w:val="24"/>
          <w:lang w:bidi="ar"/>
        </w:rPr>
        <w:t>Contribution Analysis</w:t>
      </w:r>
    </w:p>
    <w:p w14:paraId="7A4B9A89"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The work produced in the assignment is a combination of both AI as well as my own work. AI helped in many ways like developing proper structure, offering quality content and making calculations. On the other hand, all calculations and their interpretation has been made based on annual report financial statements instead of relying on AI content. Financial restructuring plan, identification of core problem or weakness, strategy, and others are my own work. AI also helped in aligning investment appraisal results with financial performance and non-financial risk, but I have </w:t>
      </w:r>
      <w:proofErr w:type="spellStart"/>
      <w:r>
        <w:rPr>
          <w:rFonts w:ascii="Times New Roman Regular" w:eastAsia="SimSun" w:hAnsi="Times New Roman Regular" w:cs="Times New Roman Regular"/>
          <w:sz w:val="24"/>
          <w:szCs w:val="24"/>
          <w:lang w:bidi="ar"/>
        </w:rPr>
        <w:t>synthesised</w:t>
      </w:r>
      <w:proofErr w:type="spellEnd"/>
      <w:r>
        <w:rPr>
          <w:rFonts w:ascii="Times New Roman Regular" w:eastAsia="SimSun" w:hAnsi="Times New Roman Regular" w:cs="Times New Roman Regular"/>
          <w:sz w:val="24"/>
          <w:szCs w:val="24"/>
          <w:lang w:bidi="ar"/>
        </w:rPr>
        <w:t xml:space="preserve"> proper evidence before making the conclusion.  </w:t>
      </w:r>
    </w:p>
    <w:p w14:paraId="41747660" w14:textId="77777777" w:rsidR="00D224FD" w:rsidRDefault="004E566D">
      <w:pPr>
        <w:spacing w:line="360" w:lineRule="auto"/>
        <w:jc w:val="both"/>
        <w:rPr>
          <w:rFonts w:ascii="Times New Roman Bold Italic" w:hAnsi="Times New Roman Bold Italic" w:cs="Times New Roman Bold Italic"/>
          <w:b/>
          <w:bCs/>
          <w:sz w:val="24"/>
          <w:szCs w:val="24"/>
        </w:rPr>
      </w:pPr>
      <w:r>
        <w:rPr>
          <w:rFonts w:ascii="Times New Roman Bold Italic" w:eastAsia="SimSun" w:hAnsi="Times New Roman Bold Italic" w:cs="Times New Roman Bold Italic"/>
          <w:b/>
          <w:bCs/>
          <w:i/>
          <w:iCs/>
          <w:sz w:val="24"/>
          <w:szCs w:val="24"/>
          <w:lang w:bidi="ar"/>
        </w:rPr>
        <w:t>Ethical &amp; Professional Reflection</w:t>
      </w:r>
    </w:p>
    <w:p w14:paraId="2BEE1D6A" w14:textId="77777777" w:rsidR="00D224FD" w:rsidRDefault="004E566D">
      <w:pPr>
        <w:spacing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sz w:val="24"/>
          <w:szCs w:val="24"/>
          <w:lang w:bidi="ar"/>
        </w:rPr>
        <w:t xml:space="preserve">As an ethical practice, I acknowledge that I have used AI only for polishing my work. Proper transparency has been maintained; wherein, I have mentioned that I have used AI, but I am solely responsible for all content, calculations and their interpretation. Additionally, AI also uses a large volume of data, which increases data privacy obligations on companies. It is also crucial for Marriott International to protect data to maintain the trust of the company’s stakeholders. Further, over-reliance of AI in executive-level decision-making is also risky as the same requires detailed analysis, strategic thinking and beyond algorithmic analysis. Over-reliance based on bias data can provide inaccurate results and affect the overall quality. Overall, professional </w:t>
      </w:r>
      <w:proofErr w:type="spellStart"/>
      <w:r>
        <w:rPr>
          <w:rFonts w:ascii="Times New Roman Regular" w:eastAsia="SimSun" w:hAnsi="Times New Roman Regular" w:cs="Times New Roman Regular"/>
          <w:sz w:val="24"/>
          <w:szCs w:val="24"/>
          <w:lang w:bidi="ar"/>
        </w:rPr>
        <w:t>scepticism</w:t>
      </w:r>
      <w:proofErr w:type="spellEnd"/>
      <w:r>
        <w:rPr>
          <w:rFonts w:ascii="Times New Roman Regular" w:eastAsia="SimSun" w:hAnsi="Times New Roman Regular" w:cs="Times New Roman Regular"/>
          <w:sz w:val="24"/>
          <w:szCs w:val="24"/>
          <w:lang w:bidi="ar"/>
        </w:rPr>
        <w:t xml:space="preserve"> and ethical judgement are required to ensure strategic decisions.</w:t>
      </w:r>
    </w:p>
    <w:p w14:paraId="68EB2B7F" w14:textId="77777777" w:rsidR="00D224FD" w:rsidRDefault="004E566D">
      <w:pPr>
        <w:pStyle w:val="Heading1"/>
        <w:numPr>
          <w:ilvl w:val="0"/>
          <w:numId w:val="1"/>
        </w:numPr>
        <w:spacing w:before="0" w:after="0" w:line="360" w:lineRule="auto"/>
        <w:jc w:val="both"/>
        <w:rPr>
          <w:rFonts w:ascii="Times New Roman Regular" w:hAnsi="Times New Roman Regular" w:cs="Times New Roman Regular"/>
          <w:sz w:val="24"/>
          <w:szCs w:val="24"/>
        </w:rPr>
      </w:pPr>
      <w:bookmarkStart w:id="6" w:name="_Toc1331002321"/>
      <w:r>
        <w:rPr>
          <w:rFonts w:ascii="Times New Roman Regular" w:hAnsi="Times New Roman Regular" w:cs="Times New Roman Regular"/>
          <w:sz w:val="24"/>
          <w:szCs w:val="24"/>
        </w:rPr>
        <w:t>Conclusion</w:t>
      </w:r>
      <w:bookmarkEnd w:id="6"/>
    </w:p>
    <w:p w14:paraId="20F085A0" w14:textId="77777777" w:rsidR="00D224FD" w:rsidRDefault="004E566D">
      <w:pPr>
        <w:spacing w:line="360" w:lineRule="auto"/>
        <w:jc w:val="both"/>
        <w:rPr>
          <w:rFonts w:ascii="Times New Roman Regular" w:eastAsia="SimSun" w:hAnsi="Times New Roman Regular" w:cs="Times New Roman Regular"/>
          <w:sz w:val="24"/>
          <w:szCs w:val="24"/>
          <w:lang w:bidi="ar"/>
        </w:rPr>
      </w:pPr>
      <w:r>
        <w:rPr>
          <w:rFonts w:ascii="Times New Roman Regular" w:eastAsia="SimSun" w:hAnsi="Times New Roman Regular" w:cs="Times New Roman Regular"/>
          <w:sz w:val="24"/>
          <w:szCs w:val="24"/>
          <w:lang w:bidi="ar"/>
        </w:rPr>
        <w:t xml:space="preserve">It can be deduced that the financial performance of Marriott International has improved over a period of time; however, low liquidity ratio and high debt is core </w:t>
      </w:r>
      <w:r>
        <w:rPr>
          <w:rFonts w:ascii="Times New Roman Regular" w:eastAsia="SimSun" w:hAnsi="Times New Roman Regular" w:cs="Times New Roman Regular"/>
          <w:sz w:val="24"/>
          <w:szCs w:val="24"/>
          <w:lang w:bidi="ar"/>
        </w:rPr>
        <w:lastRenderedPageBreak/>
        <w:t>problems of the company. This can be addressed by implementing different strategies like increasing cash levels, reducing debt, and others. Besides this, the working capital of the company is quite well and the same can be further improved through refinancing loan, receivables management, payable management, and others. Additionally, t</w:t>
      </w:r>
      <w:r>
        <w:rPr>
          <w:rFonts w:ascii="Times New Roman Regular" w:hAnsi="Times New Roman Regular" w:cs="Times New Roman Regular"/>
          <w:sz w:val="24"/>
          <w:szCs w:val="24"/>
        </w:rPr>
        <w:t>he suggested restructuring plan integrates debt optimization, equity strengthening, selective asset divestiture, and overall sustainable investment to fix financial issues faced by Marriott. By advancing liquidity, increasing operational flexibility, and combining global and ESG considerations, the entity can strengthen shareholder value, keeps long-period financial stability, and accomplish sustainable competitive growth. Further, i</w:t>
      </w:r>
      <w:r>
        <w:rPr>
          <w:rFonts w:ascii="Times New Roman Regular" w:eastAsia="SimSun" w:hAnsi="Times New Roman Regular" w:cs="Times New Roman Regular"/>
          <w:sz w:val="24"/>
          <w:szCs w:val="24"/>
          <w:lang w:bidi="ar"/>
        </w:rPr>
        <w:t xml:space="preserve">nvestment appraisal techniques also revealed that project C is highly beneficial than A and B as it has reported </w:t>
      </w:r>
      <w:proofErr w:type="spellStart"/>
      <w:r>
        <w:rPr>
          <w:rFonts w:ascii="Times New Roman Regular" w:eastAsia="SimSun" w:hAnsi="Times New Roman Regular" w:cs="Times New Roman Regular"/>
          <w:sz w:val="24"/>
          <w:szCs w:val="24"/>
          <w:lang w:bidi="ar"/>
        </w:rPr>
        <w:t>favourable</w:t>
      </w:r>
      <w:proofErr w:type="spellEnd"/>
      <w:r>
        <w:rPr>
          <w:rFonts w:ascii="Times New Roman Regular" w:eastAsia="SimSun" w:hAnsi="Times New Roman Regular" w:cs="Times New Roman Regular"/>
          <w:sz w:val="24"/>
          <w:szCs w:val="24"/>
          <w:lang w:bidi="ar"/>
        </w:rPr>
        <w:t xml:space="preserve"> results. In case of capital rationing, use of project A and C can be helpful compared to B and C, but the company should </w:t>
      </w:r>
      <w:proofErr w:type="spellStart"/>
      <w:r>
        <w:rPr>
          <w:rFonts w:ascii="Times New Roman Regular" w:eastAsia="SimSun" w:hAnsi="Times New Roman Regular" w:cs="Times New Roman Regular"/>
          <w:sz w:val="24"/>
          <w:szCs w:val="24"/>
          <w:lang w:bidi="ar"/>
        </w:rPr>
        <w:t>emphasise</w:t>
      </w:r>
      <w:proofErr w:type="spellEnd"/>
      <w:r>
        <w:rPr>
          <w:rFonts w:ascii="Times New Roman Regular" w:eastAsia="SimSun" w:hAnsi="Times New Roman Regular" w:cs="Times New Roman Regular"/>
          <w:sz w:val="24"/>
          <w:szCs w:val="24"/>
          <w:lang w:bidi="ar"/>
        </w:rPr>
        <w:t xml:space="preserve"> project C and keep additional funds to gain maximum benefits.</w:t>
      </w:r>
    </w:p>
    <w:p w14:paraId="46430079" w14:textId="77777777" w:rsidR="00D224FD" w:rsidRDefault="00D224FD">
      <w:pPr>
        <w:spacing w:line="360" w:lineRule="auto"/>
        <w:jc w:val="both"/>
        <w:rPr>
          <w:rFonts w:ascii="Times New Roman Regular" w:eastAsia="SimSun" w:hAnsi="Times New Roman Regular" w:cs="Times New Roman Regular"/>
          <w:sz w:val="24"/>
          <w:szCs w:val="24"/>
          <w:lang w:bidi="ar"/>
        </w:rPr>
      </w:pPr>
    </w:p>
    <w:p w14:paraId="13760863" w14:textId="77777777" w:rsidR="00D224FD" w:rsidRDefault="004E566D">
      <w:pPr>
        <w:rPr>
          <w:rFonts w:ascii="Times New Roman Regular" w:eastAsia="SimSun" w:hAnsi="Times New Roman Regular" w:cs="Times New Roman Regular"/>
          <w:sz w:val="24"/>
          <w:szCs w:val="24"/>
          <w:lang w:bidi="ar"/>
        </w:rPr>
      </w:pPr>
      <w:bookmarkStart w:id="7" w:name="_Toc1966341895"/>
      <w:r>
        <w:rPr>
          <w:rFonts w:ascii="Times New Roman Regular" w:hAnsi="Times New Roman Regular" w:cs="Times New Roman Regular"/>
          <w:sz w:val="24"/>
          <w:szCs w:val="24"/>
        </w:rPr>
        <w:br w:type="page"/>
      </w:r>
    </w:p>
    <w:p w14:paraId="322C7D0E" w14:textId="77777777" w:rsidR="00D224FD" w:rsidRDefault="004E566D">
      <w:pPr>
        <w:pStyle w:val="Heading1"/>
        <w:numPr>
          <w:ilvl w:val="0"/>
          <w:numId w:val="1"/>
        </w:numPr>
        <w:spacing w:before="0" w:after="0" w:line="360" w:lineRule="auto"/>
        <w:jc w:val="both"/>
        <w:rPr>
          <w:rFonts w:ascii="Times New Roman Regular" w:eastAsia="SimSun" w:hAnsi="Times New Roman Regular" w:cs="Times New Roman Regular"/>
          <w:kern w:val="0"/>
          <w:sz w:val="24"/>
          <w:szCs w:val="24"/>
          <w:lang w:bidi="ar"/>
        </w:rPr>
      </w:pPr>
      <w:r>
        <w:rPr>
          <w:rFonts w:ascii="Times New Roman Regular" w:hAnsi="Times New Roman Regular" w:cs="Times New Roman Regular"/>
          <w:sz w:val="24"/>
          <w:szCs w:val="24"/>
        </w:rPr>
        <w:lastRenderedPageBreak/>
        <w:t>References</w:t>
      </w:r>
      <w:bookmarkEnd w:id="7"/>
    </w:p>
    <w:p w14:paraId="6FC659AD"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Amaral, R.E. et al. (2020) ‘Waste management and operational energy for sustainable buildings: a review’, </w:t>
      </w:r>
      <w:r>
        <w:rPr>
          <w:rFonts w:ascii="Times New Roman Regular" w:hAnsi="Times New Roman Regular" w:cs="Times New Roman Regular"/>
          <w:i/>
          <w:sz w:val="24"/>
          <w:szCs w:val="24"/>
        </w:rPr>
        <w:t>Sustainability</w:t>
      </w:r>
      <w:r>
        <w:rPr>
          <w:rFonts w:ascii="Times New Roman Regular" w:hAnsi="Times New Roman Regular" w:cs="Times New Roman Regular"/>
          <w:sz w:val="24"/>
          <w:szCs w:val="24"/>
        </w:rPr>
        <w:t xml:space="preserve">, 12(13), p. 5337. Available at: </w:t>
      </w:r>
      <w:hyperlink r:id="rId15" w:history="1">
        <w:r>
          <w:rPr>
            <w:rStyle w:val="Hyperlink"/>
            <w:rFonts w:ascii="Times New Roman Regular" w:hAnsi="Times New Roman Regular" w:cs="Times New Roman Regular"/>
            <w:sz w:val="24"/>
            <w:szCs w:val="24"/>
          </w:rPr>
          <w:t>https://www.mdpi.com/2071-1050/12/13/5337</w:t>
        </w:r>
      </w:hyperlink>
      <w:r>
        <w:rPr>
          <w:rFonts w:ascii="Times New Roman Regular" w:hAnsi="Times New Roman Regular" w:cs="Times New Roman Regular"/>
          <w:sz w:val="24"/>
          <w:szCs w:val="24"/>
        </w:rPr>
        <w:t xml:space="preserve"> </w:t>
      </w:r>
    </w:p>
    <w:p w14:paraId="276B28A7" w14:textId="77777777" w:rsidR="00D224FD" w:rsidRDefault="004E566D">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lang w:bidi="ar"/>
        </w:rPr>
      </w:pPr>
      <w:r>
        <w:rPr>
          <w:rFonts w:ascii="Times New Roman Regular" w:eastAsia="SimSun" w:hAnsi="Times New Roman Regular" w:cs="Times New Roman Regular"/>
          <w:color w:val="222222"/>
          <w:sz w:val="24"/>
          <w:szCs w:val="24"/>
          <w:shd w:val="clear" w:color="auto" w:fill="FFFFFF"/>
          <w:lang w:bidi="ar"/>
        </w:rPr>
        <w:t>Asman, F.N., Fernandez, D., Jamaludin, N.A., Omar Zaki, H. and Ghazali, A.W. (2022) ‘Cash conversion cycle and firm’s performance’, </w:t>
      </w:r>
      <w:r>
        <w:rPr>
          <w:rFonts w:ascii="Times New Roman Regular" w:eastAsia="SimSun" w:hAnsi="Times New Roman Regular" w:cs="Times New Roman Regular"/>
          <w:i/>
          <w:iCs/>
          <w:color w:val="222222"/>
          <w:sz w:val="24"/>
          <w:szCs w:val="24"/>
          <w:shd w:val="clear" w:color="auto" w:fill="FFFFFF"/>
          <w:lang w:bidi="ar"/>
        </w:rPr>
        <w:t>International Journal of Academic Research in Business and Social Sciences</w:t>
      </w:r>
      <w:r>
        <w:rPr>
          <w:rFonts w:ascii="Times New Roman Regular" w:eastAsia="SimSun" w:hAnsi="Times New Roman Regular" w:cs="Times New Roman Regular"/>
          <w:color w:val="222222"/>
          <w:sz w:val="24"/>
          <w:szCs w:val="24"/>
          <w:shd w:val="clear" w:color="auto" w:fill="FFFFFF"/>
          <w:lang w:bidi="ar"/>
        </w:rPr>
        <w:t xml:space="preserve">, 12(11), pp. 2682-2692. Available at: </w:t>
      </w:r>
      <w:hyperlink r:id="rId16" w:history="1">
        <w:r>
          <w:rPr>
            <w:rStyle w:val="Hyperlink"/>
            <w:rFonts w:ascii="Times New Roman Regular" w:eastAsia="SimSun" w:hAnsi="Times New Roman Regular" w:cs="Times New Roman Regular"/>
            <w:sz w:val="24"/>
            <w:szCs w:val="24"/>
            <w:shd w:val="clear" w:color="auto" w:fill="FFFFFF"/>
            <w:lang w:bidi="ar"/>
          </w:rPr>
          <w:t>https://www.researchgate.net/publication/365825964_Cash_Conversion_Cycle_and_Firm's_Performance</w:t>
        </w:r>
      </w:hyperlink>
    </w:p>
    <w:p w14:paraId="55034A3C"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proofErr w:type="spellStart"/>
      <w:r>
        <w:rPr>
          <w:rFonts w:ascii="Times New Roman Regular" w:hAnsi="Times New Roman Regular" w:cs="Times New Roman Regular"/>
          <w:sz w:val="24"/>
          <w:szCs w:val="24"/>
        </w:rPr>
        <w:t>Atere</w:t>
      </w:r>
      <w:proofErr w:type="spellEnd"/>
      <w:r>
        <w:rPr>
          <w:rFonts w:ascii="Times New Roman Regular" w:hAnsi="Times New Roman Regular" w:cs="Times New Roman Regular"/>
          <w:sz w:val="24"/>
          <w:szCs w:val="24"/>
        </w:rPr>
        <w:t xml:space="preserve">, D.E.B.O.R.A.H., </w:t>
      </w:r>
      <w:proofErr w:type="spellStart"/>
      <w:r>
        <w:rPr>
          <w:rFonts w:ascii="Times New Roman Regular" w:hAnsi="Times New Roman Regular" w:cs="Times New Roman Regular"/>
          <w:sz w:val="24"/>
          <w:szCs w:val="24"/>
        </w:rPr>
        <w:t>Shobande</w:t>
      </w:r>
      <w:proofErr w:type="spellEnd"/>
      <w:r>
        <w:rPr>
          <w:rFonts w:ascii="Times New Roman Regular" w:hAnsi="Times New Roman Regular" w:cs="Times New Roman Regular"/>
          <w:sz w:val="24"/>
          <w:szCs w:val="24"/>
        </w:rPr>
        <w:t xml:space="preserve">, A.O. and </w:t>
      </w:r>
      <w:proofErr w:type="spellStart"/>
      <w:r>
        <w:rPr>
          <w:rFonts w:ascii="Times New Roman Regular" w:hAnsi="Times New Roman Regular" w:cs="Times New Roman Regular"/>
          <w:sz w:val="24"/>
          <w:szCs w:val="24"/>
        </w:rPr>
        <w:t>Toluwase</w:t>
      </w:r>
      <w:proofErr w:type="spellEnd"/>
      <w:r>
        <w:rPr>
          <w:rFonts w:ascii="Times New Roman Regular" w:hAnsi="Times New Roman Regular" w:cs="Times New Roman Regular"/>
          <w:sz w:val="24"/>
          <w:szCs w:val="24"/>
        </w:rPr>
        <w:t xml:space="preserve">, I.H. (2019) ‘Framework for designing effective corporate restructuring strategies to optimize liquidity and working capital’ </w:t>
      </w:r>
      <w:r>
        <w:rPr>
          <w:rFonts w:ascii="Times New Roman Regular" w:hAnsi="Times New Roman Regular" w:cs="Times New Roman Regular"/>
          <w:i/>
          <w:sz w:val="24"/>
          <w:szCs w:val="24"/>
        </w:rPr>
        <w:t>IRE Journals</w:t>
      </w:r>
      <w:r>
        <w:rPr>
          <w:rFonts w:ascii="Times New Roman Regular" w:hAnsi="Times New Roman Regular" w:cs="Times New Roman Regular"/>
          <w:sz w:val="24"/>
          <w:szCs w:val="24"/>
        </w:rPr>
        <w:t xml:space="preserve">, 2(10), pp. 555-562. Available at: </w:t>
      </w:r>
      <w:hyperlink r:id="rId17" w:history="1">
        <w:r>
          <w:rPr>
            <w:rStyle w:val="Hyperlink"/>
            <w:rFonts w:ascii="Times New Roman Regular" w:hAnsi="Times New Roman Regular" w:cs="Times New Roman Regular"/>
            <w:sz w:val="24"/>
            <w:szCs w:val="24"/>
          </w:rPr>
          <w:t>https://www.researchgate.net/profile/Deborah-Atere-2/publication/399419573_Framework_for_Designing_Effective_Corporate_Restructuring_Strategies_to_Optimize_Liquidity_and_Working_Capital/links/6959b11a27359023a013262d/Framework-for-Designing-Effective-Corporate-Restructuring-Strategies-to-Optimize-Liquidity-and-Working-Capital.pdf</w:t>
        </w:r>
      </w:hyperlink>
      <w:r>
        <w:rPr>
          <w:rFonts w:ascii="Times New Roman Regular" w:hAnsi="Times New Roman Regular" w:cs="Times New Roman Regular"/>
          <w:sz w:val="24"/>
          <w:szCs w:val="24"/>
        </w:rPr>
        <w:t xml:space="preserve"> </w:t>
      </w:r>
    </w:p>
    <w:p w14:paraId="7A43C925"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lang w:bidi="ar"/>
        </w:rPr>
        <w:t xml:space="preserve">Beaver, S. (2025) ‘What Is Working Capital? How to Calculate and Why It’s Important’. </w:t>
      </w:r>
      <w:r>
        <w:rPr>
          <w:rFonts w:ascii="Times New Roman Regular" w:hAnsi="Times New Roman Regular" w:cs="Times New Roman Regular"/>
          <w:sz w:val="24"/>
          <w:szCs w:val="24"/>
        </w:rPr>
        <w:t xml:space="preserve">Available at: </w:t>
      </w:r>
      <w:hyperlink r:id="rId18" w:history="1">
        <w:r>
          <w:rPr>
            <w:rStyle w:val="Hyperlink"/>
            <w:rFonts w:ascii="Times New Roman Regular" w:hAnsi="Times New Roman Regular" w:cs="Times New Roman Regular"/>
            <w:sz w:val="24"/>
            <w:szCs w:val="24"/>
          </w:rPr>
          <w:t>https://www.netsuite.com/portal/resource/articles/financial-management/working-capital.shtml</w:t>
        </w:r>
      </w:hyperlink>
      <w:r>
        <w:rPr>
          <w:rFonts w:ascii="Times New Roman Regular" w:hAnsi="Times New Roman Regular" w:cs="Times New Roman Regular"/>
          <w:sz w:val="24"/>
          <w:szCs w:val="24"/>
        </w:rPr>
        <w:t xml:space="preserve"> (Accessed: 30 July 2026).</w:t>
      </w:r>
    </w:p>
    <w:p w14:paraId="1588791F"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Choi, A.H. (2018) ‘Concentrated ownership and long-term shareholder value’, </w:t>
      </w:r>
      <w:r>
        <w:rPr>
          <w:rFonts w:ascii="Times New Roman Regular" w:hAnsi="Times New Roman Regular" w:cs="Times New Roman Regular"/>
          <w:i/>
          <w:sz w:val="24"/>
          <w:szCs w:val="24"/>
        </w:rPr>
        <w:t>Harv. Bus. L. Rev.</w:t>
      </w:r>
      <w:r>
        <w:rPr>
          <w:rFonts w:ascii="Times New Roman Regular" w:hAnsi="Times New Roman Regular" w:cs="Times New Roman Regular"/>
          <w:sz w:val="24"/>
          <w:szCs w:val="24"/>
        </w:rPr>
        <w:t xml:space="preserve">, 8, p.53. Available at: </w:t>
      </w:r>
      <w:hyperlink r:id="rId19" w:history="1">
        <w:r>
          <w:rPr>
            <w:rStyle w:val="Hyperlink"/>
            <w:rFonts w:ascii="Times New Roman Regular" w:hAnsi="Times New Roman Regular" w:cs="Times New Roman Regular"/>
            <w:sz w:val="24"/>
            <w:szCs w:val="24"/>
          </w:rPr>
          <w:t>https://papers.ssrn.com/sol3/Delivery.cfm?abstractid=2619462</w:t>
        </w:r>
      </w:hyperlink>
      <w:r>
        <w:rPr>
          <w:rFonts w:ascii="Times New Roman Regular" w:hAnsi="Times New Roman Regular" w:cs="Times New Roman Regular"/>
          <w:sz w:val="24"/>
          <w:szCs w:val="24"/>
        </w:rPr>
        <w:t xml:space="preserve"> </w:t>
      </w:r>
    </w:p>
    <w:p w14:paraId="2F9B444C"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Cotter, E. (2023) ‘Net Present Value and Payback Period: An Analysis’, </w:t>
      </w:r>
      <w:r>
        <w:rPr>
          <w:rFonts w:ascii="Times New Roman Regular" w:hAnsi="Times New Roman Regular" w:cs="Times New Roman Regular"/>
          <w:i/>
          <w:iCs/>
          <w:sz w:val="24"/>
          <w:szCs w:val="24"/>
        </w:rPr>
        <w:t>Honors Theses</w:t>
      </w:r>
      <w:r>
        <w:rPr>
          <w:rFonts w:ascii="Times New Roman Regular" w:hAnsi="Times New Roman Regular" w:cs="Times New Roman Regular"/>
          <w:sz w:val="24"/>
          <w:szCs w:val="24"/>
        </w:rPr>
        <w:t xml:space="preserve">. 3796, pp. 1-20. Available at: </w:t>
      </w:r>
      <w:hyperlink r:id="rId20" w:history="1">
        <w:r>
          <w:rPr>
            <w:rStyle w:val="Hyperlink"/>
            <w:rFonts w:ascii="Times New Roman Regular" w:hAnsi="Times New Roman Regular" w:cs="Times New Roman Regular"/>
            <w:sz w:val="24"/>
            <w:szCs w:val="24"/>
          </w:rPr>
          <w:t>https://scholarworks.wmich.edu/cgi/viewcontent.cgi?article=4808&amp;context=honors_theses</w:t>
        </w:r>
      </w:hyperlink>
    </w:p>
    <w:p w14:paraId="7297EDA0" w14:textId="77777777" w:rsidR="00D224FD" w:rsidRDefault="004E566D">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lang w:bidi="ar"/>
        </w:rPr>
      </w:pPr>
      <w:r>
        <w:rPr>
          <w:rFonts w:ascii="Times New Roman Regular" w:eastAsia="SimSun" w:hAnsi="Times New Roman Regular" w:cs="Times New Roman Regular"/>
          <w:color w:val="222222"/>
          <w:sz w:val="24"/>
          <w:szCs w:val="24"/>
          <w:shd w:val="clear" w:color="auto" w:fill="FFFFFF"/>
          <w:lang w:bidi="ar"/>
        </w:rPr>
        <w:lastRenderedPageBreak/>
        <w:t xml:space="preserve">Dai, H., Li, N., Wang, Y. and Zhao, X. (2022) ‘The analysis of three main investment criteria: NPV IRR and payback period’, </w:t>
      </w:r>
      <w:r>
        <w:rPr>
          <w:rFonts w:ascii="Times New Roman Regular" w:eastAsia="SimSun" w:hAnsi="Times New Roman Regular" w:cs="Times New Roman Regular"/>
          <w:i/>
          <w:iCs/>
          <w:color w:val="222222"/>
          <w:sz w:val="24"/>
          <w:szCs w:val="24"/>
          <w:shd w:val="clear" w:color="auto" w:fill="FFFFFF"/>
          <w:lang w:bidi="ar"/>
        </w:rPr>
        <w:t>7th International Conference on Financial Innovation and Economic Development (ICFIED 2022)</w:t>
      </w:r>
      <w:r>
        <w:rPr>
          <w:rFonts w:ascii="Times New Roman Regular" w:eastAsia="SimSun" w:hAnsi="Times New Roman Regular" w:cs="Times New Roman Regular"/>
          <w:color w:val="222222"/>
          <w:sz w:val="24"/>
          <w:szCs w:val="24"/>
          <w:shd w:val="clear" w:color="auto" w:fill="FFFFFF"/>
          <w:lang w:bidi="ar"/>
        </w:rPr>
        <w:t xml:space="preserve">, 211, pp. 185-189. Available at: </w:t>
      </w:r>
      <w:hyperlink r:id="rId21" w:history="1">
        <w:r>
          <w:rPr>
            <w:rStyle w:val="Hyperlink"/>
            <w:rFonts w:ascii="Times New Roman Regular" w:eastAsia="SimSun" w:hAnsi="Times New Roman Regular" w:cs="Times New Roman Regular"/>
            <w:sz w:val="24"/>
            <w:szCs w:val="24"/>
            <w:shd w:val="clear" w:color="auto" w:fill="FFFFFF"/>
            <w:lang w:bidi="ar"/>
          </w:rPr>
          <w:t>https://www.researchgate.net/publication/363370336_The_Analysis_of_Three_Main_Investment_Criteria_NPV_IRR_and_Payback_Period</w:t>
        </w:r>
      </w:hyperlink>
    </w:p>
    <w:p w14:paraId="4984010B"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Deepa, A. (2025) ‘A Study of Financial Performance Using Ratio Analysis at ITC’, </w:t>
      </w:r>
      <w:r>
        <w:rPr>
          <w:rFonts w:ascii="Times New Roman Regular" w:hAnsi="Times New Roman Regular" w:cs="Times New Roman Regular"/>
          <w:i/>
          <w:iCs/>
          <w:sz w:val="24"/>
          <w:szCs w:val="24"/>
        </w:rPr>
        <w:t>International Journal of Innovative Research in Science Engineering and Technology</w:t>
      </w:r>
      <w:r>
        <w:rPr>
          <w:rFonts w:ascii="Times New Roman Regular" w:hAnsi="Times New Roman Regular" w:cs="Times New Roman Regular"/>
          <w:sz w:val="24"/>
          <w:szCs w:val="24"/>
        </w:rPr>
        <w:t xml:space="preserve">, 15(3), pp. 3497-3403. Available at: </w:t>
      </w:r>
      <w:hyperlink r:id="rId22" w:history="1">
        <w:r>
          <w:rPr>
            <w:rStyle w:val="Hyperlink"/>
            <w:rFonts w:ascii="Times New Roman Regular" w:hAnsi="Times New Roman Regular" w:cs="Times New Roman Regular"/>
            <w:sz w:val="24"/>
            <w:szCs w:val="24"/>
          </w:rPr>
          <w:t>https://www.ijirset.com/upload/2026/march/209_A%20Study%20of%20Financial%20Performance%20Using%20Ratio%20Analysis%20at%20ITC.pdf</w:t>
        </w:r>
      </w:hyperlink>
    </w:p>
    <w:p w14:paraId="6828EED1" w14:textId="77777777" w:rsidR="00D224FD" w:rsidRDefault="004E566D">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lang w:bidi="ar"/>
        </w:rPr>
      </w:pPr>
      <w:r>
        <w:rPr>
          <w:rFonts w:ascii="Times New Roman Regular" w:eastAsia="SimSun" w:hAnsi="Times New Roman Regular" w:cs="Times New Roman Regular"/>
          <w:color w:val="222222"/>
          <w:sz w:val="24"/>
          <w:szCs w:val="24"/>
          <w:shd w:val="clear" w:color="auto" w:fill="FFFFFF"/>
          <w:lang w:bidi="ar"/>
        </w:rPr>
        <w:t xml:space="preserve">Gandhi, J. and </w:t>
      </w:r>
      <w:proofErr w:type="spellStart"/>
      <w:r>
        <w:rPr>
          <w:rFonts w:ascii="Times New Roman Regular" w:eastAsia="SimSun" w:hAnsi="Times New Roman Regular" w:cs="Times New Roman Regular"/>
          <w:color w:val="222222"/>
          <w:sz w:val="24"/>
          <w:szCs w:val="24"/>
          <w:shd w:val="clear" w:color="auto" w:fill="FFFFFF"/>
          <w:lang w:bidi="ar"/>
        </w:rPr>
        <w:t>Nasit</w:t>
      </w:r>
      <w:proofErr w:type="spellEnd"/>
      <w:r>
        <w:rPr>
          <w:rFonts w:ascii="Times New Roman Regular" w:eastAsia="SimSun" w:hAnsi="Times New Roman Regular" w:cs="Times New Roman Regular"/>
          <w:color w:val="222222"/>
          <w:sz w:val="24"/>
          <w:szCs w:val="24"/>
          <w:shd w:val="clear" w:color="auto" w:fill="FFFFFF"/>
          <w:lang w:bidi="ar"/>
        </w:rPr>
        <w:t>, A. (2022) ‘Comparison of short-term financing options; factoring as the best alternative’, In </w:t>
      </w:r>
      <w:r>
        <w:rPr>
          <w:rFonts w:ascii="Times New Roman Regular" w:eastAsia="SimSun" w:hAnsi="Times New Roman Regular" w:cs="Times New Roman Regular"/>
          <w:i/>
          <w:iCs/>
          <w:color w:val="222222"/>
          <w:sz w:val="24"/>
          <w:szCs w:val="24"/>
          <w:shd w:val="clear" w:color="auto" w:fill="FFFFFF"/>
          <w:lang w:bidi="ar"/>
        </w:rPr>
        <w:t>International Research Conference on Innovations, Startup and Investments (ICOSTART-2022),</w:t>
      </w:r>
      <w:r>
        <w:rPr>
          <w:rFonts w:ascii="Times New Roman Regular" w:eastAsia="SimSun" w:hAnsi="Times New Roman Regular" w:cs="Times New Roman Regular"/>
          <w:color w:val="222222"/>
          <w:sz w:val="24"/>
          <w:szCs w:val="24"/>
          <w:shd w:val="clear" w:color="auto" w:fill="FFFFFF"/>
          <w:lang w:bidi="ar"/>
        </w:rPr>
        <w:t xml:space="preserve"> pp. 127-141. Available at: </w:t>
      </w:r>
      <w:hyperlink r:id="rId23" w:history="1">
        <w:r>
          <w:rPr>
            <w:rStyle w:val="Hyperlink"/>
            <w:rFonts w:ascii="Times New Roman Regular" w:eastAsia="SimSun" w:hAnsi="Times New Roman Regular" w:cs="Times New Roman Regular"/>
            <w:sz w:val="24"/>
            <w:szCs w:val="24"/>
            <w:shd w:val="clear" w:color="auto" w:fill="FFFFFF"/>
            <w:lang w:bidi="ar"/>
          </w:rPr>
          <w:t>https://rku.ac.in/icostart2022/books/14-management-jenil-gandhi-(127-141).pdf</w:t>
        </w:r>
      </w:hyperlink>
    </w:p>
    <w:p w14:paraId="055EB061" w14:textId="77777777" w:rsidR="00D224FD" w:rsidRDefault="004E566D">
      <w:pPr>
        <w:spacing w:beforeLines="100" w:before="240" w:afterLines="100" w:after="240" w:line="360" w:lineRule="auto"/>
        <w:jc w:val="both"/>
        <w:rPr>
          <w:rFonts w:ascii="Times New Roman Regular" w:eastAsia="SimSun" w:hAnsi="Times New Roman Regular" w:cs="Times New Roman Regular"/>
          <w:color w:val="222222"/>
          <w:sz w:val="24"/>
          <w:szCs w:val="24"/>
          <w:shd w:val="clear" w:color="auto" w:fill="FFFFFF"/>
          <w:lang w:bidi="ar"/>
        </w:rPr>
      </w:pPr>
      <w:proofErr w:type="spellStart"/>
      <w:r>
        <w:rPr>
          <w:rFonts w:ascii="Times New Roman Regular" w:eastAsia="SimSun" w:hAnsi="Times New Roman Regular" w:cs="Times New Roman Regular"/>
          <w:color w:val="222222"/>
          <w:sz w:val="24"/>
          <w:szCs w:val="24"/>
          <w:shd w:val="clear" w:color="auto" w:fill="FFFFFF"/>
          <w:lang w:bidi="ar"/>
        </w:rPr>
        <w:t>Ghabban</w:t>
      </w:r>
      <w:proofErr w:type="spellEnd"/>
      <w:r>
        <w:rPr>
          <w:rFonts w:ascii="Times New Roman Regular" w:eastAsia="SimSun" w:hAnsi="Times New Roman Regular" w:cs="Times New Roman Regular"/>
          <w:color w:val="222222"/>
          <w:sz w:val="24"/>
          <w:szCs w:val="24"/>
          <w:shd w:val="clear" w:color="auto" w:fill="FFFFFF"/>
          <w:lang w:bidi="ar"/>
        </w:rPr>
        <w:t xml:space="preserve">, M.O., </w:t>
      </w:r>
      <w:proofErr w:type="spellStart"/>
      <w:r>
        <w:rPr>
          <w:rFonts w:ascii="Times New Roman Regular" w:eastAsia="SimSun" w:hAnsi="Times New Roman Regular" w:cs="Times New Roman Regular"/>
          <w:color w:val="222222"/>
          <w:sz w:val="24"/>
          <w:szCs w:val="24"/>
          <w:shd w:val="clear" w:color="auto" w:fill="FFFFFF"/>
          <w:lang w:bidi="ar"/>
        </w:rPr>
        <w:t>Alsughayyir</w:t>
      </w:r>
      <w:proofErr w:type="spellEnd"/>
      <w:r>
        <w:rPr>
          <w:rFonts w:ascii="Times New Roman Regular" w:eastAsia="SimSun" w:hAnsi="Times New Roman Regular" w:cs="Times New Roman Regular"/>
          <w:color w:val="222222"/>
          <w:sz w:val="24"/>
          <w:szCs w:val="24"/>
          <w:shd w:val="clear" w:color="auto" w:fill="FFFFFF"/>
          <w:lang w:bidi="ar"/>
        </w:rPr>
        <w:t xml:space="preserve">, Y.A., </w:t>
      </w:r>
      <w:proofErr w:type="spellStart"/>
      <w:r>
        <w:rPr>
          <w:rFonts w:ascii="Times New Roman Regular" w:eastAsia="SimSun" w:hAnsi="Times New Roman Regular" w:cs="Times New Roman Regular"/>
          <w:color w:val="222222"/>
          <w:sz w:val="24"/>
          <w:szCs w:val="24"/>
          <w:shd w:val="clear" w:color="auto" w:fill="FFFFFF"/>
          <w:lang w:bidi="ar"/>
        </w:rPr>
        <w:t>Alghanmi</w:t>
      </w:r>
      <w:proofErr w:type="spellEnd"/>
      <w:r>
        <w:rPr>
          <w:rFonts w:ascii="Times New Roman Regular" w:eastAsia="SimSun" w:hAnsi="Times New Roman Regular" w:cs="Times New Roman Regular"/>
          <w:color w:val="222222"/>
          <w:sz w:val="24"/>
          <w:szCs w:val="24"/>
          <w:shd w:val="clear" w:color="auto" w:fill="FFFFFF"/>
          <w:lang w:bidi="ar"/>
        </w:rPr>
        <w:t xml:space="preserve">, M.A. and </w:t>
      </w:r>
      <w:proofErr w:type="spellStart"/>
      <w:r>
        <w:rPr>
          <w:rFonts w:ascii="Times New Roman Regular" w:eastAsia="SimSun" w:hAnsi="Times New Roman Regular" w:cs="Times New Roman Regular"/>
          <w:color w:val="222222"/>
          <w:sz w:val="24"/>
          <w:szCs w:val="24"/>
          <w:shd w:val="clear" w:color="auto" w:fill="FFFFFF"/>
          <w:lang w:bidi="ar"/>
        </w:rPr>
        <w:t>AlGhamdi</w:t>
      </w:r>
      <w:proofErr w:type="spellEnd"/>
      <w:r>
        <w:rPr>
          <w:rFonts w:ascii="Times New Roman Regular" w:eastAsia="SimSun" w:hAnsi="Times New Roman Regular" w:cs="Times New Roman Regular"/>
          <w:color w:val="222222"/>
          <w:sz w:val="24"/>
          <w:szCs w:val="24"/>
          <w:shd w:val="clear" w:color="auto" w:fill="FFFFFF"/>
          <w:lang w:bidi="ar"/>
        </w:rPr>
        <w:t>, S.M. (2024) ‘Impact of cash conversion cycle on firm's profitability by applying to companies listed on the Saudi stock market’, </w:t>
      </w:r>
      <w:proofErr w:type="spellStart"/>
      <w:r>
        <w:rPr>
          <w:rFonts w:ascii="Times New Roman Regular" w:eastAsia="SimSun" w:hAnsi="Times New Roman Regular" w:cs="Times New Roman Regular"/>
          <w:i/>
          <w:iCs/>
          <w:color w:val="222222"/>
          <w:sz w:val="24"/>
          <w:szCs w:val="24"/>
          <w:shd w:val="clear" w:color="auto" w:fill="FFFFFF"/>
          <w:lang w:bidi="ar"/>
        </w:rPr>
        <w:t>Ajrsp</w:t>
      </w:r>
      <w:proofErr w:type="spellEnd"/>
      <w:r>
        <w:rPr>
          <w:rFonts w:ascii="Times New Roman Regular" w:eastAsia="SimSun" w:hAnsi="Times New Roman Regular" w:cs="Times New Roman Regular"/>
          <w:color w:val="222222"/>
          <w:sz w:val="24"/>
          <w:szCs w:val="24"/>
          <w:shd w:val="clear" w:color="auto" w:fill="FFFFFF"/>
          <w:lang w:bidi="ar"/>
        </w:rPr>
        <w:t xml:space="preserve">, 5(57), pp. 29-50. Available at: </w:t>
      </w:r>
      <w:hyperlink r:id="rId24" w:history="1">
        <w:r>
          <w:rPr>
            <w:rStyle w:val="Hyperlink"/>
            <w:rFonts w:ascii="Times New Roman Regular" w:eastAsia="SimSun" w:hAnsi="Times New Roman Regular" w:cs="Times New Roman Regular"/>
            <w:sz w:val="24"/>
            <w:szCs w:val="24"/>
            <w:shd w:val="clear" w:color="auto" w:fill="FFFFFF"/>
            <w:lang w:bidi="ar"/>
          </w:rPr>
          <w:t>https://www.sdmimd.ac.in/financeconference2023/papers/IFC2372.pdf</w:t>
        </w:r>
      </w:hyperlink>
    </w:p>
    <w:p w14:paraId="1CA134A9"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Global Data. (2025) ‘Marriott International Inc: Overview’. Available at: </w:t>
      </w:r>
      <w:hyperlink r:id="rId25" w:history="1">
        <w:r>
          <w:rPr>
            <w:rStyle w:val="Hyperlink"/>
            <w:rFonts w:ascii="Times New Roman Regular" w:hAnsi="Times New Roman Regular" w:cs="Times New Roman Regular"/>
            <w:sz w:val="24"/>
            <w:szCs w:val="24"/>
          </w:rPr>
          <w:t>https://www.globaldata.com/company-profile/marriott-international-inc/</w:t>
        </w:r>
      </w:hyperlink>
      <w:r>
        <w:rPr>
          <w:rFonts w:ascii="Times New Roman Regular" w:hAnsi="Times New Roman Regular" w:cs="Times New Roman Regular"/>
          <w:sz w:val="24"/>
          <w:szCs w:val="24"/>
        </w:rPr>
        <w:t xml:space="preserve"> (Accessed: 30 July 2026).</w:t>
      </w:r>
    </w:p>
    <w:p w14:paraId="6F6DEC71"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Golembieski, M. (2025) ‘6 ways to improve working capital’. Available at: </w:t>
      </w:r>
      <w:hyperlink r:id="rId26" w:history="1">
        <w:r>
          <w:rPr>
            <w:rStyle w:val="Hyperlink"/>
            <w:rFonts w:ascii="Times New Roman Regular" w:hAnsi="Times New Roman Regular" w:cs="Times New Roman Regular"/>
            <w:sz w:val="24"/>
            <w:szCs w:val="24"/>
          </w:rPr>
          <w:t>https://www.jpmorgan.com/insights/treasury/treasury-management/6-ways-to-increase-working-capital</w:t>
        </w:r>
      </w:hyperlink>
      <w:r>
        <w:rPr>
          <w:rFonts w:ascii="Times New Roman Regular" w:hAnsi="Times New Roman Regular" w:cs="Times New Roman Regular"/>
          <w:sz w:val="24"/>
          <w:szCs w:val="24"/>
        </w:rPr>
        <w:t xml:space="preserve"> (Accessed: 30 July 2026).</w:t>
      </w:r>
    </w:p>
    <w:p w14:paraId="67149BF7"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Investing. (2025) ‘Hilton Worldwide Holdings Inc (HLT)’. Available at: </w:t>
      </w:r>
      <w:hyperlink r:id="rId27" w:history="1">
        <w:r>
          <w:rPr>
            <w:rStyle w:val="Hyperlink"/>
            <w:rFonts w:ascii="Times New Roman Regular" w:hAnsi="Times New Roman Regular" w:cs="Times New Roman Regular"/>
            <w:sz w:val="24"/>
            <w:szCs w:val="24"/>
          </w:rPr>
          <w:t>https://in.investing.com/equities/hilton-worldwide-ratios</w:t>
        </w:r>
      </w:hyperlink>
      <w:r>
        <w:rPr>
          <w:rFonts w:ascii="Times New Roman Regular" w:hAnsi="Times New Roman Regular" w:cs="Times New Roman Regular"/>
          <w:sz w:val="24"/>
          <w:szCs w:val="24"/>
        </w:rPr>
        <w:t xml:space="preserve"> (Accessed: 30 July 2026).</w:t>
      </w:r>
    </w:p>
    <w:p w14:paraId="1CB048BF"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 xml:space="preserve">Investing1. (2025) ‘InterContinental Hotels Group PLC (IHG)’. Available at: </w:t>
      </w:r>
      <w:hyperlink r:id="rId28" w:history="1">
        <w:r>
          <w:rPr>
            <w:rStyle w:val="Hyperlink"/>
            <w:rFonts w:ascii="Times New Roman Regular" w:hAnsi="Times New Roman Regular" w:cs="Times New Roman Regular"/>
            <w:sz w:val="24"/>
            <w:szCs w:val="24"/>
          </w:rPr>
          <w:t>https://in.investing.com/equities/intercontinental-hotels-group-ratios</w:t>
        </w:r>
      </w:hyperlink>
      <w:r>
        <w:rPr>
          <w:rFonts w:ascii="Times New Roman Regular" w:hAnsi="Times New Roman Regular" w:cs="Times New Roman Regular"/>
          <w:sz w:val="24"/>
          <w:szCs w:val="24"/>
        </w:rPr>
        <w:t xml:space="preserve"> (Accessed: 30 July 2026).</w:t>
      </w:r>
    </w:p>
    <w:p w14:paraId="31E37E16"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lang w:bidi="ar"/>
        </w:rPr>
        <w:t xml:space="preserve">Kieran, R. (2026) ‘Difference Between Short-Term and Long-Term Financing in the UK’. </w:t>
      </w:r>
      <w:r>
        <w:rPr>
          <w:rFonts w:ascii="Times New Roman Regular" w:hAnsi="Times New Roman Regular" w:cs="Times New Roman Regular"/>
          <w:sz w:val="24"/>
          <w:szCs w:val="24"/>
        </w:rPr>
        <w:t xml:space="preserve">Available at: </w:t>
      </w:r>
      <w:hyperlink r:id="rId29" w:history="1">
        <w:r>
          <w:rPr>
            <w:rStyle w:val="Hyperlink"/>
            <w:rFonts w:ascii="Times New Roman Regular" w:hAnsi="Times New Roman Regular" w:cs="Times New Roman Regular"/>
            <w:sz w:val="24"/>
            <w:szCs w:val="24"/>
          </w:rPr>
          <w:t>https://legalvision.co.uk/corporations/term-financing/</w:t>
        </w:r>
      </w:hyperlink>
      <w:r>
        <w:rPr>
          <w:rFonts w:ascii="Times New Roman Regular" w:hAnsi="Times New Roman Regular" w:cs="Times New Roman Regular"/>
          <w:sz w:val="24"/>
          <w:szCs w:val="24"/>
        </w:rPr>
        <w:t xml:space="preserve"> (Accessed: 30 July 2026).</w:t>
      </w:r>
    </w:p>
    <w:p w14:paraId="7F68DC64"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Marriott International. (2025) ‘Annual Report’. Available at: </w:t>
      </w:r>
      <w:hyperlink r:id="rId30" w:history="1">
        <w:r>
          <w:rPr>
            <w:rStyle w:val="Hyperlink"/>
            <w:rFonts w:ascii="Times New Roman Regular" w:hAnsi="Times New Roman Regular" w:cs="Times New Roman Regular"/>
            <w:sz w:val="24"/>
            <w:szCs w:val="24"/>
          </w:rPr>
          <w:t>https://marriott.gcs-web.com/static-files/9cf0e9b0-bbfa-48a6-9e21-ffbdbc4b2d78</w:t>
        </w:r>
      </w:hyperlink>
      <w:r>
        <w:rPr>
          <w:rFonts w:ascii="Times New Roman Regular" w:hAnsi="Times New Roman Regular" w:cs="Times New Roman Regular"/>
          <w:sz w:val="24"/>
          <w:szCs w:val="24"/>
        </w:rPr>
        <w:t xml:space="preserve"> (Accessed: 30 July 2026).</w:t>
      </w:r>
    </w:p>
    <w:p w14:paraId="74DBF6B0"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McEnroe, J.E. and Mindak, M. (2023) ‘Is It Time to Revise Diluted Earnings per Share?’, </w:t>
      </w:r>
      <w:r>
        <w:rPr>
          <w:rFonts w:ascii="Times New Roman Regular" w:hAnsi="Times New Roman Regular" w:cs="Times New Roman Regular"/>
          <w:i/>
          <w:sz w:val="24"/>
          <w:szCs w:val="24"/>
        </w:rPr>
        <w:t>MANAGEMENT ACCOUNTING</w:t>
      </w:r>
      <w:r>
        <w:rPr>
          <w:rFonts w:ascii="Times New Roman Regular" w:hAnsi="Times New Roman Regular" w:cs="Times New Roman Regular"/>
          <w:sz w:val="24"/>
          <w:szCs w:val="24"/>
        </w:rPr>
        <w:t xml:space="preserve">, 24(2), p. 1. Available at: </w:t>
      </w:r>
      <w:hyperlink r:id="rId31" w:history="1">
        <w:r>
          <w:rPr>
            <w:rStyle w:val="Hyperlink"/>
            <w:rFonts w:ascii="Times New Roman Regular" w:hAnsi="Times New Roman Regular" w:cs="Times New Roman Regular"/>
            <w:sz w:val="24"/>
            <w:szCs w:val="24"/>
          </w:rPr>
          <w:t>https://www.researchgate.net/profile/John-Mcenroe-2/publication/377328992_Is_it_Time_to_Revise_Diluted_Earnings_per_Share/links/65a1822740ce1c5902da6d52/Is-it-Time-to-Revise-Diluted-Earnings-per-Share.pdf</w:t>
        </w:r>
      </w:hyperlink>
      <w:r>
        <w:rPr>
          <w:rFonts w:ascii="Times New Roman Regular" w:hAnsi="Times New Roman Regular" w:cs="Times New Roman Regular"/>
          <w:sz w:val="24"/>
          <w:szCs w:val="24"/>
        </w:rPr>
        <w:t xml:space="preserve"> </w:t>
      </w:r>
    </w:p>
    <w:p w14:paraId="3593C2A3"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proofErr w:type="spellStart"/>
      <w:r>
        <w:rPr>
          <w:rFonts w:ascii="Times New Roman Regular" w:hAnsi="Times New Roman Regular" w:cs="Times New Roman Regular"/>
          <w:sz w:val="24"/>
          <w:szCs w:val="24"/>
        </w:rPr>
        <w:t>Oukil</w:t>
      </w:r>
      <w:proofErr w:type="spellEnd"/>
      <w:r>
        <w:rPr>
          <w:rFonts w:ascii="Times New Roman Regular" w:hAnsi="Times New Roman Regular" w:cs="Times New Roman Regular"/>
          <w:sz w:val="24"/>
          <w:szCs w:val="24"/>
        </w:rPr>
        <w:t xml:space="preserve">, A. (2025) ‘Planning large-scale partnerships in the hotel industry: An Inverse DEA perspective’, </w:t>
      </w:r>
      <w:r>
        <w:rPr>
          <w:rFonts w:ascii="Times New Roman Regular" w:hAnsi="Times New Roman Regular" w:cs="Times New Roman Regular"/>
          <w:i/>
          <w:sz w:val="24"/>
          <w:szCs w:val="24"/>
        </w:rPr>
        <w:t>In Decision Making Optimization Models for Business Partnerships</w:t>
      </w:r>
      <w:r>
        <w:rPr>
          <w:rFonts w:ascii="Times New Roman Regular" w:hAnsi="Times New Roman Regular" w:cs="Times New Roman Regular"/>
          <w:sz w:val="24"/>
          <w:szCs w:val="24"/>
        </w:rPr>
        <w:t xml:space="preserve">. pp. 79-103. Chapman and Hall/CRC. Available at: </w:t>
      </w:r>
      <w:hyperlink r:id="rId32" w:history="1">
        <w:r>
          <w:rPr>
            <w:rStyle w:val="Hyperlink"/>
            <w:rFonts w:ascii="Times New Roman Regular" w:hAnsi="Times New Roman Regular" w:cs="Times New Roman Regular"/>
            <w:sz w:val="24"/>
            <w:szCs w:val="24"/>
          </w:rPr>
          <w:t>https://www.researchgate.net/profile/Amar-Oukil/publication/391457278_Planning_Large-Scale_Partnerships_in_the_Hotel_Industry/links/69a74905d1599a2cb7f63255/Planning-Large-Scale-Partnerships-in-the-Hotel-Industry.pdf</w:t>
        </w:r>
      </w:hyperlink>
      <w:r>
        <w:rPr>
          <w:rFonts w:ascii="Times New Roman Regular" w:hAnsi="Times New Roman Regular" w:cs="Times New Roman Regular"/>
          <w:sz w:val="24"/>
          <w:szCs w:val="24"/>
        </w:rPr>
        <w:t xml:space="preserve"> </w:t>
      </w:r>
    </w:p>
    <w:p w14:paraId="009EB512" w14:textId="77777777" w:rsidR="00D224FD" w:rsidRDefault="004E566D">
      <w:pPr>
        <w:spacing w:beforeLines="100" w:before="240" w:afterLines="100" w:after="240" w:line="360" w:lineRule="auto"/>
        <w:jc w:val="both"/>
        <w:rPr>
          <w:rFonts w:ascii="Times New Roman Regular" w:eastAsia="SimSun" w:hAnsi="Times New Roman Regular" w:cs="Times New Roman Regular"/>
          <w:sz w:val="24"/>
          <w:szCs w:val="24"/>
          <w:lang w:bidi="ar"/>
        </w:rPr>
      </w:pPr>
      <w:proofErr w:type="spellStart"/>
      <w:r>
        <w:rPr>
          <w:rFonts w:ascii="Times New Roman Regular" w:hAnsi="Times New Roman Regular" w:cs="Times New Roman Regular"/>
          <w:sz w:val="24"/>
          <w:szCs w:val="24"/>
        </w:rPr>
        <w:t>Ramadugu</w:t>
      </w:r>
      <w:proofErr w:type="spellEnd"/>
      <w:r>
        <w:rPr>
          <w:rFonts w:ascii="Times New Roman Regular" w:hAnsi="Times New Roman Regular" w:cs="Times New Roman Regular"/>
          <w:sz w:val="24"/>
          <w:szCs w:val="24"/>
        </w:rPr>
        <w:t xml:space="preserve">, R., </w:t>
      </w:r>
      <w:proofErr w:type="spellStart"/>
      <w:r>
        <w:rPr>
          <w:rFonts w:ascii="Times New Roman Regular" w:hAnsi="Times New Roman Regular" w:cs="Times New Roman Regular"/>
          <w:sz w:val="24"/>
          <w:szCs w:val="24"/>
        </w:rPr>
        <w:t>Doddipatla</w:t>
      </w:r>
      <w:proofErr w:type="spellEnd"/>
      <w:r>
        <w:rPr>
          <w:rFonts w:ascii="Times New Roman Regular" w:hAnsi="Times New Roman Regular" w:cs="Times New Roman Regular"/>
          <w:sz w:val="24"/>
          <w:szCs w:val="24"/>
        </w:rPr>
        <w:t xml:space="preserve">, L. and </w:t>
      </w:r>
      <w:proofErr w:type="spellStart"/>
      <w:r>
        <w:rPr>
          <w:rFonts w:ascii="Times New Roman Regular" w:hAnsi="Times New Roman Regular" w:cs="Times New Roman Regular"/>
          <w:sz w:val="24"/>
          <w:szCs w:val="24"/>
        </w:rPr>
        <w:t>Yerram</w:t>
      </w:r>
      <w:proofErr w:type="spellEnd"/>
      <w:r>
        <w:rPr>
          <w:rFonts w:ascii="Times New Roman Regular" w:hAnsi="Times New Roman Regular" w:cs="Times New Roman Regular"/>
          <w:sz w:val="24"/>
          <w:szCs w:val="24"/>
        </w:rPr>
        <w:t xml:space="preserve">, R.R. (2020) ‘Risk management in foreign exchange for cross-border payments: Strategies for minimizing exposure’, </w:t>
      </w:r>
      <w:r>
        <w:rPr>
          <w:rFonts w:ascii="Times New Roman Regular" w:hAnsi="Times New Roman Regular" w:cs="Times New Roman Regular"/>
          <w:i/>
          <w:sz w:val="24"/>
          <w:szCs w:val="24"/>
        </w:rPr>
        <w:t>Turkish Online Journal of Qualitative Inquiry</w:t>
      </w:r>
      <w:r>
        <w:rPr>
          <w:rFonts w:ascii="Times New Roman Regular" w:hAnsi="Times New Roman Regular" w:cs="Times New Roman Regular"/>
          <w:sz w:val="24"/>
          <w:szCs w:val="24"/>
        </w:rPr>
        <w:t xml:space="preserve">, 11(2), pp. 892-900. Available at: </w:t>
      </w:r>
      <w:hyperlink r:id="rId33" w:history="1">
        <w:r>
          <w:rPr>
            <w:rStyle w:val="Hyperlink"/>
            <w:rFonts w:ascii="Times New Roman Regular" w:hAnsi="Times New Roman Regular" w:cs="Times New Roman Regular"/>
            <w:sz w:val="24"/>
            <w:szCs w:val="24"/>
          </w:rPr>
          <w:t>https://www.researchgate.net/profile/Roaan-Reddy-Yerram/publication/388109110_Risk_Management_in_Foreign_Exchange_for_Cross-Border_Payments_Strategies_for_Minimizing_Exposure/links/678a6bde1ec9f9589f491ade/Risk-Management-in-Foreign-Exchange-for-Cross-Border-Payments-Strategies-for-Minimizing-Exposure.pdf</w:t>
        </w:r>
      </w:hyperlink>
      <w:r>
        <w:rPr>
          <w:rFonts w:ascii="Times New Roman Regular" w:hAnsi="Times New Roman Regular" w:cs="Times New Roman Regular"/>
          <w:sz w:val="24"/>
          <w:szCs w:val="24"/>
        </w:rPr>
        <w:t xml:space="preserve"> </w:t>
      </w:r>
    </w:p>
    <w:p w14:paraId="63951C73"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lastRenderedPageBreak/>
        <w:t xml:space="preserve">Totuka, V. (2025) ‘Short-Term vs. Long-Term Financing Options: What’s Best for Your Business?’. Available at: </w:t>
      </w:r>
      <w:hyperlink r:id="rId34" w:history="1">
        <w:r>
          <w:rPr>
            <w:rStyle w:val="Hyperlink"/>
            <w:rFonts w:ascii="Times New Roman Regular" w:hAnsi="Times New Roman Regular" w:cs="Times New Roman Regular"/>
            <w:sz w:val="24"/>
            <w:szCs w:val="24"/>
          </w:rPr>
          <w:t>https://qubit.capital/short-term-vs-long-term-financing</w:t>
        </w:r>
      </w:hyperlink>
      <w:r>
        <w:rPr>
          <w:rFonts w:ascii="Times New Roman Regular" w:hAnsi="Times New Roman Regular" w:cs="Times New Roman Regular"/>
          <w:sz w:val="24"/>
          <w:szCs w:val="24"/>
        </w:rPr>
        <w:t xml:space="preserve"> (Accessed: 30 July 2026).</w:t>
      </w:r>
    </w:p>
    <w:p w14:paraId="6A71485C"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Vaidya, D. (2025) ‘What Is Profitability Index?’. Available at: </w:t>
      </w:r>
      <w:hyperlink r:id="rId35" w:history="1">
        <w:r>
          <w:rPr>
            <w:rStyle w:val="Hyperlink"/>
            <w:rFonts w:ascii="Times New Roman Regular" w:hAnsi="Times New Roman Regular" w:cs="Times New Roman Regular"/>
            <w:sz w:val="24"/>
            <w:szCs w:val="24"/>
          </w:rPr>
          <w:t>https://www.wallstreetmojo.com/profitability-index/</w:t>
        </w:r>
      </w:hyperlink>
      <w:r>
        <w:rPr>
          <w:rFonts w:ascii="Times New Roman Regular" w:hAnsi="Times New Roman Regular" w:cs="Times New Roman Regular"/>
          <w:sz w:val="24"/>
          <w:szCs w:val="24"/>
        </w:rPr>
        <w:t xml:space="preserve"> (Accessed: 30 July 2026).</w:t>
      </w:r>
    </w:p>
    <w:p w14:paraId="16F1DBE6"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Vipond, T. (2019) ‘Accounting Rate of Return’. Available at: </w:t>
      </w:r>
      <w:hyperlink r:id="rId36" w:history="1">
        <w:r>
          <w:rPr>
            <w:rStyle w:val="Hyperlink"/>
            <w:rFonts w:ascii="Times New Roman Regular" w:hAnsi="Times New Roman Regular" w:cs="Times New Roman Regular"/>
            <w:sz w:val="24"/>
            <w:szCs w:val="24"/>
          </w:rPr>
          <w:t>https://corporatefinanceinstitute.com/resources/accounting/arr-accounting-rate-of-return/</w:t>
        </w:r>
      </w:hyperlink>
      <w:r>
        <w:rPr>
          <w:rFonts w:ascii="Times New Roman Regular" w:hAnsi="Times New Roman Regular" w:cs="Times New Roman Regular"/>
          <w:sz w:val="24"/>
          <w:szCs w:val="24"/>
        </w:rPr>
        <w:t xml:space="preserve"> (Accessed: 30 July 2026).</w:t>
      </w:r>
    </w:p>
    <w:p w14:paraId="578DBE4D" w14:textId="77777777" w:rsidR="00D224FD" w:rsidRDefault="004E566D">
      <w:pPr>
        <w:spacing w:beforeLines="100" w:before="240" w:afterLines="100" w:after="240" w:line="360" w:lineRule="auto"/>
        <w:jc w:val="both"/>
        <w:rPr>
          <w:rFonts w:ascii="Times New Roman Regular" w:hAnsi="Times New Roman Regular" w:cs="Times New Roman Regular"/>
          <w:sz w:val="24"/>
          <w:szCs w:val="24"/>
        </w:rPr>
      </w:pPr>
      <w:r>
        <w:rPr>
          <w:rFonts w:ascii="Times New Roman Regular" w:eastAsia="SimSun" w:hAnsi="Times New Roman Regular" w:cs="Times New Roman Regular"/>
          <w:color w:val="222222"/>
          <w:sz w:val="24"/>
          <w:szCs w:val="24"/>
          <w:shd w:val="clear" w:color="auto" w:fill="FFFFFF"/>
          <w:lang w:bidi="ar"/>
        </w:rPr>
        <w:t xml:space="preserve">Vipond, T. (2020) ‘Internal rate of Return (IRR)’. </w:t>
      </w:r>
      <w:r>
        <w:rPr>
          <w:rFonts w:ascii="Times New Roman Regular" w:hAnsi="Times New Roman Regular" w:cs="Times New Roman Regular"/>
          <w:sz w:val="24"/>
          <w:szCs w:val="24"/>
        </w:rPr>
        <w:t xml:space="preserve">Available at: </w:t>
      </w:r>
      <w:hyperlink r:id="rId37" w:history="1">
        <w:r>
          <w:rPr>
            <w:rStyle w:val="Hyperlink"/>
            <w:rFonts w:ascii="Times New Roman Regular" w:hAnsi="Times New Roman Regular" w:cs="Times New Roman Regular"/>
            <w:sz w:val="24"/>
            <w:szCs w:val="24"/>
          </w:rPr>
          <w:t>https://corporatefinanceinstitute.com/resources/valuation/internal-rate-return-irr/</w:t>
        </w:r>
      </w:hyperlink>
      <w:r>
        <w:rPr>
          <w:rFonts w:ascii="Times New Roman Regular" w:hAnsi="Times New Roman Regular" w:cs="Times New Roman Regular"/>
          <w:sz w:val="24"/>
          <w:szCs w:val="24"/>
        </w:rPr>
        <w:t xml:space="preserve"> (Accessed: 30 July 2026).</w:t>
      </w:r>
    </w:p>
    <w:p w14:paraId="73CA6F34" w14:textId="77777777" w:rsidR="00D224FD" w:rsidRDefault="004E566D">
      <w:pPr>
        <w:rPr>
          <w:rFonts w:ascii="Times New Roman Regular" w:eastAsia="SimSun" w:hAnsi="Times New Roman Regular" w:cs="Times New Roman Regular"/>
          <w:sz w:val="24"/>
          <w:szCs w:val="24"/>
          <w:lang w:bidi="ar"/>
        </w:rPr>
      </w:pPr>
      <w:bookmarkStart w:id="8" w:name="_Toc682385582"/>
      <w:r>
        <w:rPr>
          <w:rFonts w:ascii="Times New Roman Regular" w:hAnsi="Times New Roman Regular" w:cs="Times New Roman Regular"/>
          <w:sz w:val="24"/>
          <w:szCs w:val="24"/>
        </w:rPr>
        <w:br w:type="page"/>
      </w:r>
    </w:p>
    <w:p w14:paraId="381918EC" w14:textId="77777777" w:rsidR="00D224FD" w:rsidRDefault="00D224FD">
      <w:pPr>
        <w:pStyle w:val="Heading1"/>
        <w:numPr>
          <w:ilvl w:val="0"/>
          <w:numId w:val="1"/>
        </w:numPr>
        <w:spacing w:before="0" w:after="0" w:line="360" w:lineRule="auto"/>
        <w:jc w:val="both"/>
        <w:rPr>
          <w:rFonts w:ascii="Times New Roman Regular" w:eastAsia="SimSun" w:hAnsi="Times New Roman Regular" w:cs="Times New Roman Regular"/>
          <w:kern w:val="0"/>
          <w:sz w:val="24"/>
          <w:szCs w:val="24"/>
          <w:lang w:bidi="ar"/>
        </w:rPr>
        <w:sectPr w:rsidR="00D224FD">
          <w:footerReference w:type="default" r:id="rId38"/>
          <w:pgSz w:w="11906" w:h="16838"/>
          <w:pgMar w:top="1440" w:right="1800" w:bottom="1440" w:left="1800" w:header="720" w:footer="720" w:gutter="0"/>
          <w:cols w:space="720"/>
          <w:docGrid w:linePitch="360"/>
        </w:sectPr>
      </w:pPr>
    </w:p>
    <w:p w14:paraId="35DDF977" w14:textId="77777777" w:rsidR="00D224FD" w:rsidRDefault="004E566D">
      <w:pPr>
        <w:pStyle w:val="Heading1"/>
        <w:numPr>
          <w:ilvl w:val="0"/>
          <w:numId w:val="1"/>
        </w:numPr>
        <w:spacing w:before="0" w:after="0" w:line="360" w:lineRule="auto"/>
        <w:jc w:val="both"/>
        <w:rPr>
          <w:rFonts w:ascii="Times New Roman Regular" w:eastAsia="SimSun" w:hAnsi="Times New Roman Regular" w:cs="Times New Roman Regular"/>
          <w:kern w:val="0"/>
          <w:sz w:val="24"/>
          <w:szCs w:val="24"/>
          <w:lang w:bidi="ar"/>
        </w:rPr>
      </w:pPr>
      <w:r>
        <w:rPr>
          <w:rFonts w:ascii="Times New Roman Regular" w:hAnsi="Times New Roman Regular" w:cs="Times New Roman Regular"/>
          <w:sz w:val="24"/>
          <w:szCs w:val="24"/>
        </w:rPr>
        <w:lastRenderedPageBreak/>
        <w:t>Appendices</w:t>
      </w:r>
      <w:bookmarkEnd w:id="8"/>
    </w:p>
    <w:p w14:paraId="1FB81B01" w14:textId="77777777" w:rsidR="00D224FD" w:rsidRDefault="004E566D">
      <w:pPr>
        <w:numPr>
          <w:ilvl w:val="0"/>
          <w:numId w:val="2"/>
        </w:numPr>
        <w:spacing w:line="360" w:lineRule="auto"/>
        <w:jc w:val="both"/>
        <w:rPr>
          <w:rFonts w:ascii="Times New Roman Bold" w:eastAsia="SimSun" w:hAnsi="Times New Roman Bold" w:cs="Times New Roman Bold"/>
          <w:b/>
          <w:bCs/>
          <w:sz w:val="24"/>
          <w:szCs w:val="24"/>
          <w:lang w:bidi="ar"/>
        </w:rPr>
      </w:pPr>
      <w:r>
        <w:rPr>
          <w:rFonts w:ascii="Times New Roman Bold" w:eastAsia="SimSun" w:hAnsi="Times New Roman Bold" w:cs="Times New Roman Bold"/>
          <w:b/>
          <w:bCs/>
          <w:sz w:val="24"/>
          <w:szCs w:val="24"/>
          <w:lang w:bidi="ar"/>
        </w:rPr>
        <w:t>Ratio Calculations</w:t>
      </w:r>
    </w:p>
    <w:tbl>
      <w:tblPr>
        <w:tblW w:w="5000" w:type="pct"/>
        <w:tblLook w:val="04A0" w:firstRow="1" w:lastRow="0" w:firstColumn="1" w:lastColumn="0" w:noHBand="0" w:noVBand="1"/>
      </w:tblPr>
      <w:tblGrid>
        <w:gridCol w:w="6143"/>
        <w:gridCol w:w="1460"/>
        <w:gridCol w:w="1639"/>
        <w:gridCol w:w="1760"/>
        <w:gridCol w:w="1579"/>
        <w:gridCol w:w="1593"/>
      </w:tblGrid>
      <w:tr w:rsidR="00D224FD" w14:paraId="54301C3C" w14:textId="77777777">
        <w:trPr>
          <w:trHeight w:val="336"/>
        </w:trPr>
        <w:tc>
          <w:tcPr>
            <w:tcW w:w="5000" w:type="pct"/>
            <w:gridSpan w:val="6"/>
            <w:tcBorders>
              <w:top w:val="single" w:sz="4" w:space="0" w:color="000000"/>
              <w:left w:val="single" w:sz="4" w:space="0" w:color="000000"/>
              <w:bottom w:val="single" w:sz="4" w:space="0" w:color="000000"/>
              <w:right w:val="single" w:sz="4" w:space="0" w:color="000000"/>
            </w:tcBorders>
            <w:noWrap/>
            <w:vAlign w:val="center"/>
          </w:tcPr>
          <w:p w14:paraId="74F0C7DB"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Marriott International ($M)</w:t>
            </w:r>
          </w:p>
        </w:tc>
      </w:tr>
      <w:tr w:rsidR="00D224FD" w14:paraId="29D4FBF1"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54B8176B"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Profitability Ratios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356733BF"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2021</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5338F1FD"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2022</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4AA85B50"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7C3F530"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2024</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73A20634"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2025</w:t>
            </w:r>
          </w:p>
        </w:tc>
      </w:tr>
      <w:tr w:rsidR="00D224FD" w14:paraId="04AF6F9C"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6AD21A8D"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Operating profit</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19517070"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1,750</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64532AAA"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3,462</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65989B84"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3,864</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2A92F60A"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3,767</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62F5A45D"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4,141</w:t>
            </w:r>
          </w:p>
        </w:tc>
      </w:tr>
      <w:tr w:rsidR="00D224FD" w14:paraId="28E95914"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595975C2"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Sales</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58077542"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13,857</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312A4064"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20,773</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3CF506E2"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23,713</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1F15DBAE"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25,100</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249951F1"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26,186</w:t>
            </w:r>
          </w:p>
        </w:tc>
      </w:tr>
      <w:tr w:rsidR="00D224FD" w14:paraId="2AD14639"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B0B1588"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Operating profit margin</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1345BDE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12.63%</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759302E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16.67%</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23E4779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16.29%</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0ECDDEB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15.01%</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0AE5BEB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15.81%</w:t>
            </w:r>
          </w:p>
        </w:tc>
      </w:tr>
      <w:tr w:rsidR="00D224FD" w14:paraId="70258985"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397FBBD8"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(Operating profit)/sales*100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4561DB7"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26BEE3ED"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043ACB0D"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5E8C5DEE"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49FC53BE"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7F4869D"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6B19A9ED"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298D79E"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4C949F3D"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7CADD500"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3D16C25"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042E86C3"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1052E6E"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4ADCE91C"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Net profit</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17E7BA3B"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1,099</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2FE021DB"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2,358</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447F9FC8"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3083</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6F219199"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2,375</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75DB8188"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2,601</w:t>
            </w:r>
          </w:p>
        </w:tc>
      </w:tr>
      <w:tr w:rsidR="00D224FD" w14:paraId="73AC046C"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3ED2D45A"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Sales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392968D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13,857</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04A81E3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20,773</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409B94C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23,713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BA7284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25,100</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46C0F60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26,186</w:t>
            </w:r>
          </w:p>
        </w:tc>
      </w:tr>
      <w:tr w:rsidR="00D224FD" w14:paraId="5A6D8C57"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293289D0"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Net profit margin</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12DDBDA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7.93%</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5FC1F91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11.35%</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2F7D315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13.00%</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70DA652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9.46%</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0566F91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9.93%</w:t>
            </w:r>
          </w:p>
        </w:tc>
      </w:tr>
      <w:tr w:rsidR="00D224FD" w14:paraId="733E1F79"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37ADC1EB"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(Net profit/sales)*100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1FF525D2"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1AB8ADC7"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39EF5F85"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F303BF2"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68788974"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3F25E59B"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314A5A39"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0C73FA87"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585EBAE6"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4534E9B0"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19F5E081"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08B266FE"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6FEA2C8"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2BE64227"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Liquidity Ratios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3B8499A6"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2021</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69075A15"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2022</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5A17BD3B"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5BC365F6"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2024</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722B6CED"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2025</w:t>
            </w:r>
          </w:p>
        </w:tc>
      </w:tr>
      <w:tr w:rsidR="00D224FD" w14:paraId="572F26F4"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71B78EAC"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Current assets</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29E94948"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3,626</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75AD1F1A"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3,313</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0D8F2162"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3,311</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470066AC"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3,485</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756FA58E"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3,584</w:t>
            </w:r>
          </w:p>
        </w:tc>
      </w:tr>
      <w:tr w:rsidR="00D224FD" w14:paraId="082478A3"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46F64DE9"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Current liabilities</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7217B35E"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6,407</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1249012E"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7,339</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15BF0812"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7,762</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5CA56385"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8,649</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4FE7BC02"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8,398</w:t>
            </w:r>
          </w:p>
        </w:tc>
      </w:tr>
      <w:tr w:rsidR="00D224FD" w14:paraId="12FFB7D0"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7A34CBDE"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Current ratio</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67E0ED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0.57</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3D0D210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0.45</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3BB812B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0.43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1FB2807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0.40</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1DF6755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0.43</w:t>
            </w:r>
          </w:p>
        </w:tc>
      </w:tr>
      <w:tr w:rsidR="00D224FD" w14:paraId="7C84214B"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773B650D"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(CA/CL)</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3CA0904B"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76CC6EBA"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1BC0BB7A"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BE4EBFF"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283E63B7"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BBC0978"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73FE34D3"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A3D8925"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25C35272"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513E9895"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9707CAB"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1B6BA595"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B5A62D1"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47C3E6E2"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Current assets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417D3EF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3,626</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7CE5AC3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3,313</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120DEC4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3,311</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B2DBE7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3,485</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64F0222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3,584</w:t>
            </w:r>
          </w:p>
        </w:tc>
      </w:tr>
      <w:tr w:rsidR="00D224FD" w14:paraId="721FF517"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058DDE6C"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Inventory</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2E9A7754"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76E09DCA"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22124B24"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32D96830"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597ED78C"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r>
      <w:tr w:rsidR="00D224FD" w14:paraId="433C3C5E"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4F0A6E63"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Current liabilities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E39AFB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6,407</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6616106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7,339</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77816B2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7,762</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AF9C36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8,649</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1AC99A9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8,398</w:t>
            </w:r>
          </w:p>
        </w:tc>
      </w:tr>
      <w:tr w:rsidR="00D224FD" w14:paraId="318410B3"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78E4ADBF"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lastRenderedPageBreak/>
              <w:t>Quick ratio</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7EA832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0.57</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7AB6584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0.45</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4066091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0.43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5779B1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0.40</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78856BC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0.43</w:t>
            </w:r>
          </w:p>
        </w:tc>
      </w:tr>
      <w:tr w:rsidR="00D224FD" w14:paraId="367DE536"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32817C6B"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 inventory)/ CL</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C8EE319"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00AB01D7"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3B723AB8"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84385BB"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416E108E"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104A8409" w14:textId="77777777">
        <w:trPr>
          <w:trHeight w:val="336"/>
        </w:trPr>
        <w:tc>
          <w:tcPr>
            <w:tcW w:w="2167" w:type="pct"/>
            <w:tcBorders>
              <w:top w:val="nil"/>
              <w:left w:val="nil"/>
              <w:bottom w:val="nil"/>
              <w:right w:val="nil"/>
            </w:tcBorders>
            <w:noWrap/>
            <w:vAlign w:val="center"/>
          </w:tcPr>
          <w:p w14:paraId="16CF295A"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nil"/>
              <w:left w:val="nil"/>
              <w:bottom w:val="nil"/>
              <w:right w:val="nil"/>
            </w:tcBorders>
            <w:noWrap/>
            <w:vAlign w:val="center"/>
          </w:tcPr>
          <w:p w14:paraId="24722848"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nil"/>
              <w:left w:val="nil"/>
              <w:bottom w:val="nil"/>
              <w:right w:val="nil"/>
            </w:tcBorders>
            <w:noWrap/>
            <w:vAlign w:val="center"/>
          </w:tcPr>
          <w:p w14:paraId="4A8009AE"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nil"/>
              <w:left w:val="nil"/>
              <w:bottom w:val="nil"/>
              <w:right w:val="nil"/>
            </w:tcBorders>
            <w:noWrap/>
            <w:vAlign w:val="center"/>
          </w:tcPr>
          <w:p w14:paraId="2D00228B"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nil"/>
              <w:left w:val="nil"/>
              <w:bottom w:val="nil"/>
              <w:right w:val="nil"/>
            </w:tcBorders>
            <w:noWrap/>
            <w:vAlign w:val="center"/>
          </w:tcPr>
          <w:p w14:paraId="7939E929"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nil"/>
              <w:left w:val="nil"/>
              <w:bottom w:val="nil"/>
              <w:right w:val="nil"/>
            </w:tcBorders>
            <w:noWrap/>
            <w:vAlign w:val="center"/>
          </w:tcPr>
          <w:p w14:paraId="3DB2D2B7"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78C8ABE"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5B800AC"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Efficiency Ratios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4EFE9130"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2021</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1714BBF3"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2022</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117B2722"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C98EC43"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2024</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51ACA6EC"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2025</w:t>
            </w:r>
          </w:p>
        </w:tc>
      </w:tr>
      <w:tr w:rsidR="00D224FD" w14:paraId="45691B29"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5B38127"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Sales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26E7EC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13,857</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04014D7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20,773</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41058D2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23,713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0D059AA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25,100</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2B0A4E4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26,186</w:t>
            </w:r>
          </w:p>
        </w:tc>
      </w:tr>
      <w:tr w:rsidR="00D224FD" w14:paraId="2019A6AA"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6C43BDEC"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Total assets</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7DD9F241"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25,553</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2D2F9AA1"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24,815</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164BE570"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25,674</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78ADB015"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26,182</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3A4910E3"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27,540</w:t>
            </w:r>
          </w:p>
        </w:tc>
      </w:tr>
      <w:tr w:rsidR="00D224FD" w14:paraId="2596A5A6"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31B8534"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Asset turnover ratio</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1D1CD4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0.54</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08BC9E7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0.84</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47172EB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0.92</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5F68F2C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0.96</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5835DE1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0.95</w:t>
            </w:r>
          </w:p>
        </w:tc>
      </w:tr>
      <w:tr w:rsidR="00D224FD" w14:paraId="0BA14058"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F5DA41A"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Sales/ Total assets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666D4845"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097A5C35"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36300844"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BB9D638"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535C010D"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4995ED8"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442E23AB"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391B3DB3"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651AC90D"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4F9FED6F"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564A2E0"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40C94643"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D394530"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0AD84A88"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COS</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26AFF084"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11,056</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46AAB8C4"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16,215</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1E7F159D"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18,589</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0C6CFCC8"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20,128</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4C2A48D7"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20,964</w:t>
            </w:r>
          </w:p>
        </w:tc>
      </w:tr>
      <w:tr w:rsidR="00D224FD" w14:paraId="4EB2EEB9"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691FF72F"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Average inventory</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0A5AC17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56BD6BB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3BDB2C9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24B860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0660E80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r>
      <w:tr w:rsidR="00D224FD" w14:paraId="499FE94B"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417D0B4B"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Inventory turnover ratio</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5271F2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0.00</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78E2EC0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0.00</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34852EF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0.00</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7468A28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0.00</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6D2F461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0.00</w:t>
            </w:r>
          </w:p>
        </w:tc>
      </w:tr>
      <w:tr w:rsidR="00D224FD" w14:paraId="1CF2640D"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6C5CA79"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(COS/ average inventory)</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3CF550D5"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2A2AE328"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4A593EF6"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5CD13D81"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62316B68"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2216E175" w14:textId="77777777">
        <w:trPr>
          <w:trHeight w:val="336"/>
        </w:trPr>
        <w:tc>
          <w:tcPr>
            <w:tcW w:w="2167" w:type="pct"/>
            <w:tcBorders>
              <w:top w:val="nil"/>
              <w:left w:val="nil"/>
              <w:bottom w:val="nil"/>
              <w:right w:val="nil"/>
            </w:tcBorders>
            <w:noWrap/>
            <w:vAlign w:val="center"/>
          </w:tcPr>
          <w:p w14:paraId="19F51673"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nil"/>
              <w:left w:val="nil"/>
              <w:bottom w:val="nil"/>
              <w:right w:val="nil"/>
            </w:tcBorders>
            <w:noWrap/>
            <w:vAlign w:val="center"/>
          </w:tcPr>
          <w:p w14:paraId="6A6AF771"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nil"/>
              <w:left w:val="nil"/>
              <w:bottom w:val="nil"/>
              <w:right w:val="nil"/>
            </w:tcBorders>
            <w:noWrap/>
            <w:vAlign w:val="center"/>
          </w:tcPr>
          <w:p w14:paraId="24A396B3"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nil"/>
              <w:left w:val="nil"/>
              <w:bottom w:val="nil"/>
              <w:right w:val="nil"/>
            </w:tcBorders>
            <w:noWrap/>
            <w:vAlign w:val="center"/>
          </w:tcPr>
          <w:p w14:paraId="32D9130A"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nil"/>
              <w:left w:val="nil"/>
              <w:bottom w:val="nil"/>
              <w:right w:val="nil"/>
            </w:tcBorders>
            <w:noWrap/>
            <w:vAlign w:val="center"/>
          </w:tcPr>
          <w:p w14:paraId="4CBC4172"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nil"/>
              <w:left w:val="nil"/>
              <w:bottom w:val="nil"/>
              <w:right w:val="nil"/>
            </w:tcBorders>
            <w:noWrap/>
            <w:vAlign w:val="center"/>
          </w:tcPr>
          <w:p w14:paraId="6D2791F2"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48E3DA73"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62D418BF"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Gearing Ratios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DC65005"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2021</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3BF8BA97"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2022</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501B068D"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7D724F1"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2024</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53B10399"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2025</w:t>
            </w:r>
          </w:p>
        </w:tc>
      </w:tr>
      <w:tr w:rsidR="00D224FD" w14:paraId="7A92C71E"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68404DC2"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Debt</w:t>
            </w:r>
          </w:p>
        </w:tc>
        <w:tc>
          <w:tcPr>
            <w:tcW w:w="515" w:type="pct"/>
            <w:tcBorders>
              <w:top w:val="nil"/>
              <w:left w:val="nil"/>
              <w:bottom w:val="nil"/>
              <w:right w:val="nil"/>
            </w:tcBorders>
            <w:noWrap/>
            <w:vAlign w:val="center"/>
          </w:tcPr>
          <w:p w14:paraId="05F3FF7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17732</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7C9C58F6"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16,908</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150DC251"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18,594</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4BE45519"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20,525</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11A1785A"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22,913</w:t>
            </w:r>
          </w:p>
        </w:tc>
      </w:tr>
      <w:tr w:rsidR="00D224FD" w14:paraId="41858F76"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6BEDD377"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Equity</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1DD668F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1,414</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458521B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568</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1F6A875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-682</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54D656F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-2,992</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3DD2229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-3,771</w:t>
            </w:r>
          </w:p>
        </w:tc>
      </w:tr>
      <w:tr w:rsidR="00D224FD" w14:paraId="633FD2F3"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3BDD79D5"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Debt-equity ratio</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3A97C3A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12.54</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6B39F7B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29.77</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29E1391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-27.26</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057185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-6.86</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684CBEC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-6.08</w:t>
            </w:r>
          </w:p>
        </w:tc>
      </w:tr>
      <w:tr w:rsidR="00D224FD" w14:paraId="15F42484"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228C9B61"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(Debt/equity)</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0731AFAF"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182D7F14"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2470E614"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1A374F81"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56F1D138"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6581B1C"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5229A741"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3025782"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2BE3E979"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6180993A"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1D8330D8"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4CF5A217"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4F887C21"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7D14B0F9"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EBIT</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1DD63C51"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1,600</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3ED4ACA5"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3,517</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7FEFF8C6"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3,943</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3427C508"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3,846</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74BE9C8B"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4,203</w:t>
            </w:r>
          </w:p>
        </w:tc>
      </w:tr>
      <w:tr w:rsidR="00D224FD" w14:paraId="17C7453E"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420ECCBD"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Interest</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4CD144D4"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420</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134A4E83"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403</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24B2B4BC"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565</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76CC4C29"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695</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1692C61F"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809</w:t>
            </w:r>
          </w:p>
        </w:tc>
      </w:tr>
      <w:tr w:rsidR="00D224FD" w14:paraId="1263CB73"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52B814EB"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Interest coverage ratio</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B075A7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3.81</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6426013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8.73</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210A469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6.98</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24403D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5.53</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26547D9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5.20</w:t>
            </w:r>
          </w:p>
        </w:tc>
      </w:tr>
      <w:tr w:rsidR="00D224FD" w14:paraId="230167DF"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980C555"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lastRenderedPageBreak/>
              <w:t>EBIT/ interest</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C1F1D73"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50B9C13C"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0136E967"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2A4B649"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73F1EC41"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5386C38B" w14:textId="77777777">
        <w:trPr>
          <w:trHeight w:val="336"/>
        </w:trPr>
        <w:tc>
          <w:tcPr>
            <w:tcW w:w="2167" w:type="pct"/>
            <w:tcBorders>
              <w:top w:val="nil"/>
              <w:left w:val="nil"/>
              <w:bottom w:val="nil"/>
              <w:right w:val="nil"/>
            </w:tcBorders>
            <w:noWrap/>
            <w:vAlign w:val="center"/>
          </w:tcPr>
          <w:p w14:paraId="07FAA79D"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nil"/>
              <w:left w:val="nil"/>
              <w:bottom w:val="nil"/>
              <w:right w:val="nil"/>
            </w:tcBorders>
            <w:noWrap/>
            <w:vAlign w:val="center"/>
          </w:tcPr>
          <w:p w14:paraId="35FCDE18"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nil"/>
              <w:left w:val="nil"/>
              <w:bottom w:val="nil"/>
              <w:right w:val="nil"/>
            </w:tcBorders>
            <w:noWrap/>
            <w:vAlign w:val="center"/>
          </w:tcPr>
          <w:p w14:paraId="40E11111"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nil"/>
              <w:left w:val="nil"/>
              <w:bottom w:val="nil"/>
              <w:right w:val="nil"/>
            </w:tcBorders>
            <w:noWrap/>
            <w:vAlign w:val="center"/>
          </w:tcPr>
          <w:p w14:paraId="1558848E"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nil"/>
              <w:left w:val="nil"/>
              <w:bottom w:val="nil"/>
              <w:right w:val="nil"/>
            </w:tcBorders>
            <w:noWrap/>
            <w:vAlign w:val="center"/>
          </w:tcPr>
          <w:p w14:paraId="7FE20B15"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nil"/>
              <w:left w:val="nil"/>
              <w:bottom w:val="nil"/>
              <w:right w:val="nil"/>
            </w:tcBorders>
            <w:noWrap/>
            <w:vAlign w:val="center"/>
          </w:tcPr>
          <w:p w14:paraId="1DD01A1E"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50D20088"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740892BF"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Investment Ratios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07F28EC5"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2021</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7F5BC5E6"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2022</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7EC3FA71"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F6BC4DA"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2024</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246BA628"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2025</w:t>
            </w:r>
          </w:p>
        </w:tc>
      </w:tr>
      <w:tr w:rsidR="00D224FD" w14:paraId="299B65E7"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236B3D7F"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Earnings</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6422EDAD"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1,099</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2B04FD0F"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2,358</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796D01E9"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3,083</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65EF4333"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2,375</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26F1E999"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2,601</w:t>
            </w:r>
          </w:p>
        </w:tc>
      </w:tr>
      <w:tr w:rsidR="00D224FD" w14:paraId="39D1A1F5"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49A12828"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Outstanding shares</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468E6D2F"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327</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60FF7811"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324</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43AE15C4"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301</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0885E822"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284</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1427115C"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273</w:t>
            </w:r>
          </w:p>
        </w:tc>
      </w:tr>
      <w:tr w:rsidR="00D224FD" w14:paraId="00137D6E"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3A3EFBF0"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EPS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1D53E80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3.36</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36FA079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7.28</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3102605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10.24</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33772D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8.36</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413DEF5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9.53</w:t>
            </w:r>
          </w:p>
        </w:tc>
      </w:tr>
      <w:tr w:rsidR="00D224FD" w14:paraId="280927A2"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06BF8782"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(Earnings/ outstanding shares)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CBE2F96"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27347F2E"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23FFC887"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6BC9B17"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2C96961A"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9EDB2DF"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02423092"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404E05CA"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0C40EB6F"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3194ABA9"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F8A3DEC"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6576642B"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D0C72F3"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7EF3C20A"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Equity</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6868003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1,414</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78DCAD6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568</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44F5DC9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-682</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271CEE2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-2,992</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1BE9A28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-3,771</w:t>
            </w:r>
          </w:p>
        </w:tc>
      </w:tr>
      <w:tr w:rsidR="00D224FD" w14:paraId="75704521"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1A2BBAE"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Net profit</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B06CF2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1,099</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3F4646A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2,358</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0610C6E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3,083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CAACCF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2,375</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4F867CD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2,601</w:t>
            </w:r>
          </w:p>
        </w:tc>
      </w:tr>
      <w:tr w:rsidR="00D224FD" w14:paraId="7870912F"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6F18FAF2"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Return on equity</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C600EC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77.72%</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7C239B5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415.14%</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7D0A670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-452.05%</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131ED03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-79.38%</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20264D4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-68.97%</w:t>
            </w:r>
          </w:p>
        </w:tc>
      </w:tr>
      <w:tr w:rsidR="00D224FD" w14:paraId="5BFF66B3"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17EAED7"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Net profit/ equity</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44061DD6"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39B36945"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32DA3D55"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796FA15E"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4A8E9BE4"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9623945" w14:textId="77777777">
        <w:trPr>
          <w:trHeight w:val="336"/>
        </w:trPr>
        <w:tc>
          <w:tcPr>
            <w:tcW w:w="2167" w:type="pct"/>
            <w:tcBorders>
              <w:top w:val="nil"/>
              <w:left w:val="nil"/>
              <w:bottom w:val="nil"/>
              <w:right w:val="nil"/>
            </w:tcBorders>
            <w:noWrap/>
            <w:vAlign w:val="center"/>
          </w:tcPr>
          <w:p w14:paraId="7013B7F1"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nil"/>
              <w:left w:val="nil"/>
              <w:bottom w:val="nil"/>
              <w:right w:val="nil"/>
            </w:tcBorders>
            <w:noWrap/>
            <w:vAlign w:val="center"/>
          </w:tcPr>
          <w:p w14:paraId="3F848D5D"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nil"/>
              <w:left w:val="nil"/>
              <w:bottom w:val="nil"/>
              <w:right w:val="nil"/>
            </w:tcBorders>
            <w:noWrap/>
            <w:vAlign w:val="center"/>
          </w:tcPr>
          <w:p w14:paraId="5B300984"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nil"/>
              <w:left w:val="nil"/>
              <w:bottom w:val="nil"/>
              <w:right w:val="nil"/>
            </w:tcBorders>
            <w:noWrap/>
            <w:vAlign w:val="center"/>
          </w:tcPr>
          <w:p w14:paraId="5CE9F9E6"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nil"/>
              <w:left w:val="nil"/>
              <w:bottom w:val="nil"/>
              <w:right w:val="nil"/>
            </w:tcBorders>
            <w:noWrap/>
            <w:vAlign w:val="center"/>
          </w:tcPr>
          <w:p w14:paraId="1724CA71"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nil"/>
              <w:left w:val="nil"/>
              <w:bottom w:val="nil"/>
              <w:right w:val="nil"/>
            </w:tcBorders>
            <w:noWrap/>
            <w:vAlign w:val="center"/>
          </w:tcPr>
          <w:p w14:paraId="79771B60"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15369057"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783BEE98"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Cash Flow Ratios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E3D37F4"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2021</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7D98537E"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2022</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57C81064"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2023</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3129C3D7"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2024</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2A4ADE15"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2025</w:t>
            </w:r>
          </w:p>
        </w:tc>
      </w:tr>
      <w:tr w:rsidR="00D224FD" w14:paraId="39374BEF"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694C22BC"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Operating cash flow</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28DD6AED"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1,177</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515BDDC3"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2,363</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4C576F9C"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3,170</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5161917B"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2,749</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27170569"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3,212</w:t>
            </w:r>
          </w:p>
        </w:tc>
      </w:tr>
      <w:tr w:rsidR="00D224FD" w14:paraId="25288AD7"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968F1E8"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Current liabilities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6A15223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6,407</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47CE055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7,339</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45AF123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7,762</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685B031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8,649</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0691DF1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8,398</w:t>
            </w:r>
          </w:p>
        </w:tc>
      </w:tr>
      <w:tr w:rsidR="00D224FD" w14:paraId="44B61310"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F631BE5"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Operating cash flow ratio</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3831E61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0.18</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6D5538F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0.32</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7977BE3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0.41</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01CA07E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0.32</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3E9DBF0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0.38</w:t>
            </w:r>
          </w:p>
        </w:tc>
      </w:tr>
      <w:tr w:rsidR="00D224FD" w14:paraId="2707269D"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8061B0A"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(Operating cash flow/ current liabilities)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3D481A63"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122913F2"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4CEEE56F"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03E4A7D9"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7607DF1C"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A199CBE"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58612F2C"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35B9888"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0BF76251"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2C8366CA"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80B110C"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6B99E601"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5BE38EC7"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139ED98D"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Cash</w:t>
            </w:r>
          </w:p>
        </w:tc>
        <w:tc>
          <w:tcPr>
            <w:tcW w:w="515" w:type="pct"/>
            <w:tcBorders>
              <w:top w:val="single" w:sz="4" w:space="0" w:color="000000"/>
              <w:left w:val="single" w:sz="4" w:space="0" w:color="000000"/>
              <w:bottom w:val="single" w:sz="4" w:space="0" w:color="000000"/>
              <w:right w:val="single" w:sz="4" w:space="0" w:color="000000"/>
            </w:tcBorders>
            <w:noWrap/>
            <w:vAlign w:val="bottom"/>
          </w:tcPr>
          <w:p w14:paraId="500CB65C"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1,393</w:t>
            </w:r>
          </w:p>
        </w:tc>
        <w:tc>
          <w:tcPr>
            <w:tcW w:w="578" w:type="pct"/>
            <w:tcBorders>
              <w:top w:val="single" w:sz="4" w:space="0" w:color="000000"/>
              <w:left w:val="single" w:sz="4" w:space="0" w:color="000000"/>
              <w:bottom w:val="single" w:sz="4" w:space="0" w:color="000000"/>
              <w:right w:val="single" w:sz="4" w:space="0" w:color="000000"/>
            </w:tcBorders>
            <w:noWrap/>
            <w:vAlign w:val="bottom"/>
          </w:tcPr>
          <w:p w14:paraId="12BCD3D9"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507</w:t>
            </w:r>
          </w:p>
        </w:tc>
        <w:tc>
          <w:tcPr>
            <w:tcW w:w="621" w:type="pct"/>
            <w:tcBorders>
              <w:top w:val="single" w:sz="4" w:space="0" w:color="000000"/>
              <w:left w:val="single" w:sz="4" w:space="0" w:color="000000"/>
              <w:bottom w:val="single" w:sz="4" w:space="0" w:color="000000"/>
              <w:right w:val="single" w:sz="4" w:space="0" w:color="000000"/>
            </w:tcBorders>
            <w:noWrap/>
            <w:vAlign w:val="bottom"/>
          </w:tcPr>
          <w:p w14:paraId="7117D8F0"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338</w:t>
            </w:r>
          </w:p>
        </w:tc>
        <w:tc>
          <w:tcPr>
            <w:tcW w:w="557" w:type="pct"/>
            <w:tcBorders>
              <w:top w:val="single" w:sz="4" w:space="0" w:color="000000"/>
              <w:left w:val="single" w:sz="4" w:space="0" w:color="000000"/>
              <w:bottom w:val="single" w:sz="4" w:space="0" w:color="000000"/>
              <w:right w:val="single" w:sz="4" w:space="0" w:color="000000"/>
            </w:tcBorders>
            <w:noWrap/>
            <w:vAlign w:val="bottom"/>
          </w:tcPr>
          <w:p w14:paraId="3AEA565D"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396</w:t>
            </w:r>
          </w:p>
        </w:tc>
        <w:tc>
          <w:tcPr>
            <w:tcW w:w="559" w:type="pct"/>
            <w:tcBorders>
              <w:top w:val="single" w:sz="4" w:space="0" w:color="000000"/>
              <w:left w:val="single" w:sz="4" w:space="0" w:color="000000"/>
              <w:bottom w:val="single" w:sz="4" w:space="0" w:color="000000"/>
              <w:right w:val="single" w:sz="4" w:space="0" w:color="000000"/>
            </w:tcBorders>
            <w:noWrap/>
            <w:vAlign w:val="bottom"/>
          </w:tcPr>
          <w:p w14:paraId="4B000C45"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358</w:t>
            </w:r>
          </w:p>
        </w:tc>
      </w:tr>
      <w:tr w:rsidR="00D224FD" w14:paraId="0C9E3785"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43E94EB8"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Current liabilities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687DCE4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6,407</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3D60113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7,339</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2980B85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7,762</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4A2C507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8,649</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21170EC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8,398</w:t>
            </w:r>
          </w:p>
        </w:tc>
      </w:tr>
      <w:tr w:rsidR="00D224FD" w14:paraId="7496F473"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2CC49347"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Cash ratio</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0C52D9D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0.22</w:t>
            </w: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617BFF2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0.07</w:t>
            </w: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6CF819D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0.04</w:t>
            </w: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0503259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0.05</w:t>
            </w: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64C4FFD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0.04</w:t>
            </w:r>
          </w:p>
        </w:tc>
      </w:tr>
      <w:tr w:rsidR="00D224FD" w14:paraId="7E50A6B5" w14:textId="77777777">
        <w:trPr>
          <w:trHeight w:val="336"/>
        </w:trPr>
        <w:tc>
          <w:tcPr>
            <w:tcW w:w="2167" w:type="pct"/>
            <w:tcBorders>
              <w:top w:val="single" w:sz="4" w:space="0" w:color="000000"/>
              <w:left w:val="single" w:sz="4" w:space="0" w:color="000000"/>
              <w:bottom w:val="single" w:sz="4" w:space="0" w:color="000000"/>
              <w:right w:val="single" w:sz="4" w:space="0" w:color="000000"/>
            </w:tcBorders>
            <w:noWrap/>
            <w:vAlign w:val="center"/>
          </w:tcPr>
          <w:p w14:paraId="5E2CE5D3"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(Cash flow/ current liabilities)</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B79A7D7" w14:textId="77777777" w:rsidR="00D224FD" w:rsidRDefault="00D224FD">
            <w:pPr>
              <w:rPr>
                <w:rFonts w:ascii="Times New Roman Regular" w:eastAsia="Times New Roman Regular" w:hAnsi="Times New Roman Regular" w:cs="Times New Roman Regular"/>
                <w:color w:val="000000"/>
                <w:sz w:val="22"/>
                <w:szCs w:val="22"/>
              </w:rPr>
            </w:pPr>
          </w:p>
        </w:tc>
        <w:tc>
          <w:tcPr>
            <w:tcW w:w="578" w:type="pct"/>
            <w:tcBorders>
              <w:top w:val="single" w:sz="4" w:space="0" w:color="000000"/>
              <w:left w:val="single" w:sz="4" w:space="0" w:color="000000"/>
              <w:bottom w:val="single" w:sz="4" w:space="0" w:color="000000"/>
              <w:right w:val="single" w:sz="4" w:space="0" w:color="000000"/>
            </w:tcBorders>
            <w:noWrap/>
            <w:vAlign w:val="center"/>
          </w:tcPr>
          <w:p w14:paraId="0528DB4B" w14:textId="77777777" w:rsidR="00D224FD" w:rsidRDefault="00D224FD">
            <w:pPr>
              <w:rPr>
                <w:rFonts w:ascii="Times New Roman Regular" w:eastAsia="Times New Roman Regular" w:hAnsi="Times New Roman Regular" w:cs="Times New Roman Regular"/>
                <w:color w:val="000000"/>
                <w:sz w:val="22"/>
                <w:szCs w:val="22"/>
              </w:rPr>
            </w:pPr>
          </w:p>
        </w:tc>
        <w:tc>
          <w:tcPr>
            <w:tcW w:w="621" w:type="pct"/>
            <w:tcBorders>
              <w:top w:val="single" w:sz="4" w:space="0" w:color="000000"/>
              <w:left w:val="single" w:sz="4" w:space="0" w:color="000000"/>
              <w:bottom w:val="single" w:sz="4" w:space="0" w:color="000000"/>
              <w:right w:val="single" w:sz="4" w:space="0" w:color="000000"/>
            </w:tcBorders>
            <w:noWrap/>
            <w:vAlign w:val="center"/>
          </w:tcPr>
          <w:p w14:paraId="0B718D36" w14:textId="77777777" w:rsidR="00D224FD" w:rsidRDefault="00D224FD">
            <w:pPr>
              <w:rPr>
                <w:rFonts w:ascii="Times New Roman Regular" w:eastAsia="Times New Roman Regular" w:hAnsi="Times New Roman Regular" w:cs="Times New Roman Regular"/>
                <w:color w:val="000000"/>
                <w:sz w:val="22"/>
                <w:szCs w:val="22"/>
              </w:rPr>
            </w:pPr>
          </w:p>
        </w:tc>
        <w:tc>
          <w:tcPr>
            <w:tcW w:w="557" w:type="pct"/>
            <w:tcBorders>
              <w:top w:val="single" w:sz="4" w:space="0" w:color="000000"/>
              <w:left w:val="single" w:sz="4" w:space="0" w:color="000000"/>
              <w:bottom w:val="single" w:sz="4" w:space="0" w:color="000000"/>
              <w:right w:val="single" w:sz="4" w:space="0" w:color="000000"/>
            </w:tcBorders>
            <w:noWrap/>
            <w:vAlign w:val="center"/>
          </w:tcPr>
          <w:p w14:paraId="1E43169A" w14:textId="77777777" w:rsidR="00D224FD" w:rsidRDefault="00D224FD">
            <w:pPr>
              <w:rPr>
                <w:rFonts w:ascii="Times New Roman Regular" w:eastAsia="Times New Roman Regular" w:hAnsi="Times New Roman Regular" w:cs="Times New Roman Regular"/>
                <w:color w:val="000000"/>
                <w:sz w:val="22"/>
                <w:szCs w:val="22"/>
              </w:rPr>
            </w:pPr>
          </w:p>
        </w:tc>
        <w:tc>
          <w:tcPr>
            <w:tcW w:w="559" w:type="pct"/>
            <w:tcBorders>
              <w:top w:val="single" w:sz="4" w:space="0" w:color="000000"/>
              <w:left w:val="single" w:sz="4" w:space="0" w:color="000000"/>
              <w:bottom w:val="single" w:sz="4" w:space="0" w:color="000000"/>
              <w:right w:val="single" w:sz="4" w:space="0" w:color="000000"/>
            </w:tcBorders>
            <w:noWrap/>
            <w:vAlign w:val="center"/>
          </w:tcPr>
          <w:p w14:paraId="0EC6DE73" w14:textId="77777777" w:rsidR="00D224FD" w:rsidRDefault="00D224FD">
            <w:pPr>
              <w:rPr>
                <w:rFonts w:ascii="Times New Roman Regular" w:eastAsia="Times New Roman Regular" w:hAnsi="Times New Roman Regular" w:cs="Times New Roman Regular"/>
                <w:color w:val="000000"/>
                <w:sz w:val="22"/>
                <w:szCs w:val="22"/>
              </w:rPr>
            </w:pPr>
          </w:p>
        </w:tc>
      </w:tr>
    </w:tbl>
    <w:p w14:paraId="77187226" w14:textId="77777777" w:rsidR="00D224FD" w:rsidRDefault="00D224FD">
      <w:pPr>
        <w:spacing w:line="360" w:lineRule="auto"/>
        <w:jc w:val="both"/>
        <w:rPr>
          <w:rFonts w:ascii="Times New Roman Bold" w:eastAsia="SimSun" w:hAnsi="Times New Roman Bold" w:cs="Times New Roman Bold"/>
          <w:b/>
          <w:bCs/>
          <w:sz w:val="24"/>
          <w:szCs w:val="24"/>
          <w:lang w:bidi="ar"/>
        </w:rPr>
      </w:pPr>
    </w:p>
    <w:p w14:paraId="7FE01A81" w14:textId="77777777" w:rsidR="00D224FD" w:rsidRDefault="004E566D">
      <w:pPr>
        <w:numPr>
          <w:ilvl w:val="0"/>
          <w:numId w:val="2"/>
        </w:numPr>
        <w:spacing w:line="360" w:lineRule="auto"/>
        <w:jc w:val="both"/>
        <w:rPr>
          <w:rFonts w:ascii="Times New Roman Bold" w:eastAsia="SimSun" w:hAnsi="Times New Roman Bold" w:cs="Times New Roman Bold"/>
          <w:b/>
          <w:bCs/>
          <w:sz w:val="24"/>
          <w:szCs w:val="24"/>
          <w:lang w:bidi="ar"/>
        </w:rPr>
      </w:pPr>
      <w:r>
        <w:rPr>
          <w:rFonts w:ascii="Times New Roman Bold" w:eastAsia="SimSun" w:hAnsi="Times New Roman Bold" w:cs="Times New Roman Bold"/>
          <w:b/>
          <w:bCs/>
          <w:sz w:val="24"/>
          <w:szCs w:val="24"/>
          <w:lang w:bidi="ar"/>
        </w:rPr>
        <w:lastRenderedPageBreak/>
        <w:t>Cash Operating Cycle</w:t>
      </w:r>
    </w:p>
    <w:tbl>
      <w:tblPr>
        <w:tblW w:w="5000" w:type="pct"/>
        <w:tblLook w:val="04A0" w:firstRow="1" w:lastRow="0" w:firstColumn="1" w:lastColumn="0" w:noHBand="0" w:noVBand="1"/>
      </w:tblPr>
      <w:tblGrid>
        <w:gridCol w:w="7315"/>
        <w:gridCol w:w="1369"/>
        <w:gridCol w:w="1369"/>
        <w:gridCol w:w="1369"/>
        <w:gridCol w:w="1369"/>
        <w:gridCol w:w="1383"/>
      </w:tblGrid>
      <w:tr w:rsidR="00D224FD" w14:paraId="03789E95" w14:textId="77777777">
        <w:trPr>
          <w:trHeight w:val="336"/>
        </w:trPr>
        <w:tc>
          <w:tcPr>
            <w:tcW w:w="5000" w:type="pct"/>
            <w:gridSpan w:val="6"/>
            <w:tcBorders>
              <w:top w:val="single" w:sz="4" w:space="0" w:color="000000"/>
              <w:left w:val="single" w:sz="4" w:space="0" w:color="000000"/>
              <w:bottom w:val="single" w:sz="4" w:space="0" w:color="000000"/>
              <w:right w:val="single" w:sz="4" w:space="0" w:color="000000"/>
            </w:tcBorders>
            <w:noWrap/>
            <w:vAlign w:val="center"/>
          </w:tcPr>
          <w:p w14:paraId="5365CD0F"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Cash Operating Cycle</w:t>
            </w:r>
          </w:p>
        </w:tc>
      </w:tr>
      <w:tr w:rsidR="00D224FD" w14:paraId="6D03CADD"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45685D58" w14:textId="77777777" w:rsidR="00D224FD" w:rsidRDefault="00D224FD">
            <w:pPr>
              <w:rPr>
                <w:rFonts w:ascii="Times New Roman Regular" w:eastAsia="Times New Roman Regular" w:hAnsi="Times New Roman Regular" w:cs="Times New Roman Regular"/>
                <w:b/>
                <w:bCs/>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FD1E10B"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2021</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1B3484D"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2022</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5E97BA1"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2023</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938982B"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2024</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B328ACD"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2025</w:t>
            </w:r>
          </w:p>
        </w:tc>
      </w:tr>
      <w:tr w:rsidR="00D224FD" w14:paraId="71B73CBA"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458A6BCF"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Average inventory</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A56B0D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ACB6E1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094A57F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041D9E1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7F4769E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r>
      <w:tr w:rsidR="00D224FD" w14:paraId="3995D15D"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1DA19C31"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COS</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BF1B79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11,056</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31C6FF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16,215</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4FF862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18,589</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9CB88C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20,128</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04BDE2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20,964</w:t>
            </w:r>
          </w:p>
        </w:tc>
      </w:tr>
      <w:tr w:rsidR="00D224FD" w14:paraId="66652CC0"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438D9ECC"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Inventory days</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2B11D2E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5D5874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BB32C3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3B53FF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B646AE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r>
      <w:tr w:rsidR="00D224FD" w14:paraId="73D86AB5"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5272BAFC"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(Average inventory/COS)*365</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67C2B58"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497819F"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3548282"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C1F9595"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72BA6598"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4A0D083E"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50829092"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BF123C1"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2CF5807A"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14E883C"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CCD3D51"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08B605E6"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90EBCBC"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71021B7F"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Receivables</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78E5C35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1,982</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218378C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2,571</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BBE6A7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2,712</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306A20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2,795</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082E81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2,909</w:t>
            </w:r>
          </w:p>
        </w:tc>
      </w:tr>
      <w:tr w:rsidR="00D224FD" w14:paraId="52FE32E8"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156B2DE0"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Sales</w:t>
            </w:r>
          </w:p>
        </w:tc>
        <w:tc>
          <w:tcPr>
            <w:tcW w:w="483" w:type="pct"/>
            <w:tcBorders>
              <w:top w:val="single" w:sz="4" w:space="0" w:color="000000"/>
              <w:left w:val="single" w:sz="4" w:space="0" w:color="000000"/>
              <w:bottom w:val="single" w:sz="4" w:space="0" w:color="000000"/>
              <w:right w:val="single" w:sz="4" w:space="0" w:color="000000"/>
            </w:tcBorders>
            <w:noWrap/>
            <w:vAlign w:val="bottom"/>
          </w:tcPr>
          <w:p w14:paraId="4BCB98FB"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13,857</w:t>
            </w:r>
          </w:p>
        </w:tc>
        <w:tc>
          <w:tcPr>
            <w:tcW w:w="483" w:type="pct"/>
            <w:tcBorders>
              <w:top w:val="single" w:sz="4" w:space="0" w:color="000000"/>
              <w:left w:val="single" w:sz="4" w:space="0" w:color="000000"/>
              <w:bottom w:val="single" w:sz="4" w:space="0" w:color="000000"/>
              <w:right w:val="single" w:sz="4" w:space="0" w:color="000000"/>
            </w:tcBorders>
            <w:noWrap/>
            <w:vAlign w:val="bottom"/>
          </w:tcPr>
          <w:p w14:paraId="5CB8AE46"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20,773</w:t>
            </w:r>
          </w:p>
        </w:tc>
        <w:tc>
          <w:tcPr>
            <w:tcW w:w="483" w:type="pct"/>
            <w:tcBorders>
              <w:top w:val="single" w:sz="4" w:space="0" w:color="000000"/>
              <w:left w:val="single" w:sz="4" w:space="0" w:color="000000"/>
              <w:bottom w:val="single" w:sz="4" w:space="0" w:color="000000"/>
              <w:right w:val="single" w:sz="4" w:space="0" w:color="000000"/>
            </w:tcBorders>
            <w:noWrap/>
            <w:vAlign w:val="bottom"/>
          </w:tcPr>
          <w:p w14:paraId="34028C25"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23,713</w:t>
            </w:r>
          </w:p>
        </w:tc>
        <w:tc>
          <w:tcPr>
            <w:tcW w:w="483" w:type="pct"/>
            <w:tcBorders>
              <w:top w:val="single" w:sz="4" w:space="0" w:color="000000"/>
              <w:left w:val="single" w:sz="4" w:space="0" w:color="000000"/>
              <w:bottom w:val="single" w:sz="4" w:space="0" w:color="000000"/>
              <w:right w:val="single" w:sz="4" w:space="0" w:color="000000"/>
            </w:tcBorders>
            <w:noWrap/>
            <w:vAlign w:val="bottom"/>
          </w:tcPr>
          <w:p w14:paraId="60C743AD"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25,100</w:t>
            </w:r>
          </w:p>
        </w:tc>
        <w:tc>
          <w:tcPr>
            <w:tcW w:w="483" w:type="pct"/>
            <w:tcBorders>
              <w:top w:val="single" w:sz="4" w:space="0" w:color="000000"/>
              <w:left w:val="single" w:sz="4" w:space="0" w:color="000000"/>
              <w:bottom w:val="single" w:sz="4" w:space="0" w:color="000000"/>
              <w:right w:val="single" w:sz="4" w:space="0" w:color="000000"/>
            </w:tcBorders>
            <w:noWrap/>
            <w:vAlign w:val="bottom"/>
          </w:tcPr>
          <w:p w14:paraId="577C34B0"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26,186</w:t>
            </w:r>
          </w:p>
        </w:tc>
      </w:tr>
      <w:tr w:rsidR="00D224FD" w14:paraId="68EB2F31"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7CF3C87E"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Receivable days</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2F5F7E4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52</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7D7CA1B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45</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155CD1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42</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3A9C7E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41</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3665C2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41</w:t>
            </w:r>
          </w:p>
        </w:tc>
      </w:tr>
      <w:tr w:rsidR="00D224FD" w14:paraId="10A80F48"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217E6CE1"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(Receivables/Sales)*365</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0A23B3CE"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6B5A4EE"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184EFB0"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73EC19BC"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3A44997"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75C9516"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1A5F0670"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A86C2E4"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2EEF7441"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34BA9C5"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78BCC155"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7C51C0C1"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2550A90B"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65D05943"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Payables</w:t>
            </w:r>
          </w:p>
        </w:tc>
        <w:tc>
          <w:tcPr>
            <w:tcW w:w="483" w:type="pct"/>
            <w:tcBorders>
              <w:top w:val="single" w:sz="4" w:space="0" w:color="000000"/>
              <w:left w:val="single" w:sz="4" w:space="0" w:color="000000"/>
              <w:bottom w:val="single" w:sz="4" w:space="0" w:color="000000"/>
              <w:right w:val="single" w:sz="4" w:space="0" w:color="000000"/>
            </w:tcBorders>
            <w:noWrap/>
            <w:vAlign w:val="bottom"/>
          </w:tcPr>
          <w:p w14:paraId="04FD4B3E"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726</w:t>
            </w:r>
          </w:p>
        </w:tc>
        <w:tc>
          <w:tcPr>
            <w:tcW w:w="483" w:type="pct"/>
            <w:tcBorders>
              <w:top w:val="single" w:sz="4" w:space="0" w:color="000000"/>
              <w:left w:val="single" w:sz="4" w:space="0" w:color="000000"/>
              <w:bottom w:val="single" w:sz="4" w:space="0" w:color="000000"/>
              <w:right w:val="single" w:sz="4" w:space="0" w:color="000000"/>
            </w:tcBorders>
            <w:noWrap/>
            <w:vAlign w:val="bottom"/>
          </w:tcPr>
          <w:p w14:paraId="043C2C38"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746</w:t>
            </w:r>
          </w:p>
        </w:tc>
        <w:tc>
          <w:tcPr>
            <w:tcW w:w="483" w:type="pct"/>
            <w:tcBorders>
              <w:top w:val="single" w:sz="4" w:space="0" w:color="000000"/>
              <w:left w:val="single" w:sz="4" w:space="0" w:color="000000"/>
              <w:bottom w:val="single" w:sz="4" w:space="0" w:color="000000"/>
              <w:right w:val="single" w:sz="4" w:space="0" w:color="000000"/>
            </w:tcBorders>
            <w:noWrap/>
            <w:vAlign w:val="bottom"/>
          </w:tcPr>
          <w:p w14:paraId="137917A5"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738</w:t>
            </w:r>
          </w:p>
        </w:tc>
        <w:tc>
          <w:tcPr>
            <w:tcW w:w="483" w:type="pct"/>
            <w:tcBorders>
              <w:top w:val="single" w:sz="4" w:space="0" w:color="000000"/>
              <w:left w:val="single" w:sz="4" w:space="0" w:color="000000"/>
              <w:bottom w:val="single" w:sz="4" w:space="0" w:color="000000"/>
              <w:right w:val="single" w:sz="4" w:space="0" w:color="000000"/>
            </w:tcBorders>
            <w:noWrap/>
            <w:vAlign w:val="bottom"/>
          </w:tcPr>
          <w:p w14:paraId="278CCA5E"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763</w:t>
            </w:r>
          </w:p>
        </w:tc>
        <w:tc>
          <w:tcPr>
            <w:tcW w:w="483" w:type="pct"/>
            <w:tcBorders>
              <w:top w:val="single" w:sz="4" w:space="0" w:color="000000"/>
              <w:left w:val="single" w:sz="4" w:space="0" w:color="000000"/>
              <w:bottom w:val="single" w:sz="4" w:space="0" w:color="000000"/>
              <w:right w:val="single" w:sz="4" w:space="0" w:color="000000"/>
            </w:tcBorders>
            <w:noWrap/>
            <w:vAlign w:val="bottom"/>
          </w:tcPr>
          <w:p w14:paraId="5F3C3F2E" w14:textId="77777777" w:rsidR="00D224FD" w:rsidRDefault="004E566D">
            <w:pPr>
              <w:jc w:val="right"/>
              <w:textAlignment w:val="bottom"/>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814</w:t>
            </w:r>
          </w:p>
        </w:tc>
      </w:tr>
      <w:tr w:rsidR="00D224FD" w14:paraId="79077D48"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2271E2F7"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COS</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061CDAA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11,056</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BFCDFA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16,215</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F1C0EB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18,589</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026D333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20,128</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2516E7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20,964</w:t>
            </w:r>
          </w:p>
        </w:tc>
      </w:tr>
      <w:tr w:rsidR="00D224FD" w14:paraId="75F5D6B4"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2F5E30E3"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Payable days</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B86468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24</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794BE57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17</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FAE997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8431E1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1E6FFF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w:t>
            </w:r>
          </w:p>
        </w:tc>
      </w:tr>
      <w:tr w:rsidR="00D224FD" w14:paraId="5F0C90FB"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733AB7E4"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(Payables/ COS)*365</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2EAD9373"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3FE72BA"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3841C24"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E38715C"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661BFEC"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4F91E93D"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0022DBA2"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4507F49"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2F2FFE85"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F4404DD"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F7B763D"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E73E7D6"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BDDF47C"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2BADA39A"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F6A07A3"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1B3D6FF"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B4BEC39"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AB21CA7"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E01F341"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3B103A35"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5CF8F3CA"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Inventory days</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5AD75C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7A8D4F7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A2EEDE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568ECF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75578ED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r>
      <w:tr w:rsidR="00D224FD" w14:paraId="21E99B0D"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7895C437"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Receivable days</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24955E5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52</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150892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45</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9AB097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42</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197FC9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41</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0EC11FB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41</w:t>
            </w:r>
          </w:p>
        </w:tc>
      </w:tr>
      <w:tr w:rsidR="00D224FD" w14:paraId="66D5B7A9"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19EDFBB8"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Payable days</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9DE8BF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24</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9ABB56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17</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B5B1F3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1CA337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524261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w:t>
            </w:r>
          </w:p>
        </w:tc>
      </w:tr>
      <w:tr w:rsidR="00D224FD" w14:paraId="65107FA0"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2FF3CBE7"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Cash Operating Cycle</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6E219E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28</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1B08D3F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28</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CB7854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27</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7813F5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27</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64672C0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26</w:t>
            </w:r>
          </w:p>
        </w:tc>
      </w:tr>
      <w:tr w:rsidR="00D224FD" w14:paraId="4A7AB4CB" w14:textId="77777777">
        <w:trPr>
          <w:trHeight w:val="336"/>
        </w:trPr>
        <w:tc>
          <w:tcPr>
            <w:tcW w:w="2580" w:type="pct"/>
            <w:tcBorders>
              <w:top w:val="single" w:sz="4" w:space="0" w:color="000000"/>
              <w:left w:val="single" w:sz="4" w:space="0" w:color="000000"/>
              <w:bottom w:val="single" w:sz="4" w:space="0" w:color="000000"/>
              <w:right w:val="single" w:sz="4" w:space="0" w:color="000000"/>
            </w:tcBorders>
            <w:noWrap/>
            <w:vAlign w:val="center"/>
          </w:tcPr>
          <w:p w14:paraId="44FD05BA"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lastRenderedPageBreak/>
              <w:t xml:space="preserve">(Inventory </w:t>
            </w:r>
            <w:proofErr w:type="spellStart"/>
            <w:r>
              <w:rPr>
                <w:rFonts w:ascii="Times New Roman Regular" w:eastAsia="Times New Roman Regular" w:hAnsi="Times New Roman Regular" w:cs="Times New Roman Regular"/>
                <w:color w:val="000000"/>
                <w:sz w:val="22"/>
                <w:szCs w:val="22"/>
                <w:lang w:bidi="ar"/>
              </w:rPr>
              <w:t>days+receivable</w:t>
            </w:r>
            <w:proofErr w:type="spellEnd"/>
            <w:r>
              <w:rPr>
                <w:rFonts w:ascii="Times New Roman Regular" w:eastAsia="Times New Roman Regular" w:hAnsi="Times New Roman Regular" w:cs="Times New Roman Regular"/>
                <w:color w:val="000000"/>
                <w:sz w:val="22"/>
                <w:szCs w:val="22"/>
                <w:lang w:bidi="ar"/>
              </w:rPr>
              <w:t xml:space="preserve"> days-payable days)</w:t>
            </w: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9D179ED"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343F4C45"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7B5DBE5E"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565D0B0B" w14:textId="77777777" w:rsidR="00D224FD" w:rsidRDefault="00D224FD">
            <w:pPr>
              <w:rPr>
                <w:rFonts w:ascii="Times New Roman Regular" w:eastAsia="Times New Roman Regular" w:hAnsi="Times New Roman Regular" w:cs="Times New Roman Regular"/>
                <w:color w:val="000000"/>
                <w:sz w:val="22"/>
                <w:szCs w:val="22"/>
              </w:rPr>
            </w:pPr>
          </w:p>
        </w:tc>
        <w:tc>
          <w:tcPr>
            <w:tcW w:w="483" w:type="pct"/>
            <w:tcBorders>
              <w:top w:val="single" w:sz="4" w:space="0" w:color="000000"/>
              <w:left w:val="single" w:sz="4" w:space="0" w:color="000000"/>
              <w:bottom w:val="single" w:sz="4" w:space="0" w:color="000000"/>
              <w:right w:val="single" w:sz="4" w:space="0" w:color="000000"/>
            </w:tcBorders>
            <w:noWrap/>
            <w:vAlign w:val="center"/>
          </w:tcPr>
          <w:p w14:paraId="4A7D783E" w14:textId="77777777" w:rsidR="00D224FD" w:rsidRDefault="00D224FD">
            <w:pPr>
              <w:rPr>
                <w:rFonts w:ascii="Times New Roman Regular" w:eastAsia="Times New Roman Regular" w:hAnsi="Times New Roman Regular" w:cs="Times New Roman Regular"/>
                <w:color w:val="000000"/>
                <w:sz w:val="22"/>
                <w:szCs w:val="22"/>
              </w:rPr>
            </w:pPr>
          </w:p>
        </w:tc>
      </w:tr>
    </w:tbl>
    <w:p w14:paraId="6076BA84" w14:textId="77777777" w:rsidR="00D224FD" w:rsidRDefault="00D224FD">
      <w:pPr>
        <w:spacing w:line="360" w:lineRule="auto"/>
        <w:jc w:val="both"/>
        <w:rPr>
          <w:rFonts w:ascii="Times New Roman Bold" w:eastAsia="SimSun" w:hAnsi="Times New Roman Bold" w:cs="Times New Roman Bold"/>
          <w:b/>
          <w:bCs/>
          <w:sz w:val="24"/>
          <w:szCs w:val="24"/>
          <w:lang w:bidi="ar"/>
        </w:rPr>
      </w:pPr>
    </w:p>
    <w:p w14:paraId="45DE53F0" w14:textId="77777777" w:rsidR="00D224FD" w:rsidRDefault="004E566D">
      <w:pPr>
        <w:numPr>
          <w:ilvl w:val="0"/>
          <w:numId w:val="2"/>
        </w:numPr>
        <w:spacing w:line="360" w:lineRule="auto"/>
        <w:jc w:val="both"/>
        <w:rPr>
          <w:rFonts w:ascii="Times New Roman Bold" w:eastAsia="SimSun" w:hAnsi="Times New Roman Bold" w:cs="Times New Roman Bold"/>
          <w:b/>
          <w:bCs/>
          <w:sz w:val="24"/>
          <w:szCs w:val="24"/>
          <w:lang w:bidi="ar"/>
        </w:rPr>
      </w:pPr>
      <w:r>
        <w:rPr>
          <w:rFonts w:ascii="Times New Roman Bold" w:eastAsia="SimSun" w:hAnsi="Times New Roman Bold" w:cs="Times New Roman Bold"/>
          <w:b/>
          <w:bCs/>
          <w:sz w:val="24"/>
          <w:szCs w:val="24"/>
          <w:lang w:bidi="ar"/>
        </w:rPr>
        <w:t>Investment Appraisal Techniques</w:t>
      </w:r>
    </w:p>
    <w:tbl>
      <w:tblPr>
        <w:tblW w:w="4999" w:type="pct"/>
        <w:tblLook w:val="04A0" w:firstRow="1" w:lastRow="0" w:firstColumn="1" w:lastColumn="0" w:noHBand="0" w:noVBand="1"/>
      </w:tblPr>
      <w:tblGrid>
        <w:gridCol w:w="2165"/>
        <w:gridCol w:w="1784"/>
        <w:gridCol w:w="1457"/>
        <w:gridCol w:w="1416"/>
        <w:gridCol w:w="1371"/>
        <w:gridCol w:w="1457"/>
        <w:gridCol w:w="1027"/>
        <w:gridCol w:w="1371"/>
        <w:gridCol w:w="1457"/>
        <w:gridCol w:w="669"/>
      </w:tblGrid>
      <w:tr w:rsidR="00D224FD" w14:paraId="28FFEE96" w14:textId="77777777">
        <w:trPr>
          <w:trHeight w:val="336"/>
        </w:trPr>
        <w:tc>
          <w:tcPr>
            <w:tcW w:w="3896" w:type="pct"/>
            <w:gridSpan w:val="7"/>
            <w:tcBorders>
              <w:top w:val="single" w:sz="4" w:space="0" w:color="000000"/>
              <w:left w:val="single" w:sz="4" w:space="0" w:color="000000"/>
              <w:bottom w:val="single" w:sz="4" w:space="0" w:color="000000"/>
              <w:right w:val="single" w:sz="4" w:space="0" w:color="000000"/>
            </w:tcBorders>
            <w:noWrap/>
            <w:vAlign w:val="center"/>
          </w:tcPr>
          <w:p w14:paraId="7D46ECEF"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Payback period</w:t>
            </w:r>
          </w:p>
        </w:tc>
        <w:tc>
          <w:tcPr>
            <w:tcW w:w="443" w:type="pct"/>
            <w:tcBorders>
              <w:top w:val="nil"/>
              <w:left w:val="nil"/>
              <w:bottom w:val="nil"/>
              <w:right w:val="nil"/>
            </w:tcBorders>
            <w:noWrap/>
            <w:vAlign w:val="center"/>
          </w:tcPr>
          <w:p w14:paraId="24FC895B"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072E3DB5"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1401ED79"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76E485BC"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7D70A9BC"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Projects</w:t>
            </w:r>
          </w:p>
        </w:tc>
        <w:tc>
          <w:tcPr>
            <w:tcW w:w="1185" w:type="pct"/>
            <w:gridSpan w:val="2"/>
            <w:tcBorders>
              <w:top w:val="single" w:sz="4" w:space="0" w:color="000000"/>
              <w:left w:val="single" w:sz="4" w:space="0" w:color="000000"/>
              <w:bottom w:val="single" w:sz="4" w:space="0" w:color="000000"/>
              <w:right w:val="single" w:sz="4" w:space="0" w:color="000000"/>
            </w:tcBorders>
            <w:noWrap/>
            <w:vAlign w:val="center"/>
          </w:tcPr>
          <w:p w14:paraId="662C88CE"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A</w:t>
            </w:r>
          </w:p>
        </w:tc>
        <w:tc>
          <w:tcPr>
            <w:tcW w:w="1013" w:type="pct"/>
            <w:gridSpan w:val="2"/>
            <w:tcBorders>
              <w:top w:val="single" w:sz="4" w:space="0" w:color="000000"/>
              <w:left w:val="single" w:sz="4" w:space="0" w:color="000000"/>
              <w:bottom w:val="single" w:sz="4" w:space="0" w:color="000000"/>
              <w:right w:val="single" w:sz="4" w:space="0" w:color="000000"/>
            </w:tcBorders>
            <w:noWrap/>
            <w:vAlign w:val="center"/>
          </w:tcPr>
          <w:p w14:paraId="55893C3F"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B</w:t>
            </w:r>
          </w:p>
        </w:tc>
        <w:tc>
          <w:tcPr>
            <w:tcW w:w="898" w:type="pct"/>
            <w:gridSpan w:val="2"/>
            <w:tcBorders>
              <w:top w:val="single" w:sz="4" w:space="0" w:color="000000"/>
              <w:left w:val="single" w:sz="4" w:space="0" w:color="000000"/>
              <w:bottom w:val="single" w:sz="4" w:space="0" w:color="000000"/>
              <w:right w:val="single" w:sz="4" w:space="0" w:color="000000"/>
            </w:tcBorders>
            <w:noWrap/>
            <w:vAlign w:val="center"/>
          </w:tcPr>
          <w:p w14:paraId="0CD92EEE"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w:t>
            </w:r>
          </w:p>
        </w:tc>
        <w:tc>
          <w:tcPr>
            <w:tcW w:w="443" w:type="pct"/>
            <w:tcBorders>
              <w:top w:val="nil"/>
              <w:left w:val="nil"/>
              <w:bottom w:val="nil"/>
              <w:right w:val="nil"/>
            </w:tcBorders>
            <w:noWrap/>
            <w:vAlign w:val="center"/>
          </w:tcPr>
          <w:p w14:paraId="02EA2579"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6BAC5198"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4CC32EBA"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3100BAF7"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37EB7A47"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Year</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5FBECEBB"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Cash Flows (£M)</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60DCD14"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Cumulative</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4A813662"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Cash Flows (£M)</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5A101754"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Cumulative</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65BE787"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Cash Flows (£M)</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7ECE031A"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Cumulative</w:t>
            </w:r>
          </w:p>
        </w:tc>
        <w:tc>
          <w:tcPr>
            <w:tcW w:w="443" w:type="pct"/>
            <w:tcBorders>
              <w:top w:val="nil"/>
              <w:left w:val="nil"/>
              <w:bottom w:val="nil"/>
              <w:right w:val="nil"/>
            </w:tcBorders>
            <w:noWrap/>
            <w:vAlign w:val="center"/>
          </w:tcPr>
          <w:p w14:paraId="4059ED36"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54EE18B1"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4D36239A"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2713DCAF"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04115E6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295FC35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59D5378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63C0BB0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73D37B6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13319D9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7177AA3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443" w:type="pct"/>
            <w:tcBorders>
              <w:top w:val="nil"/>
              <w:left w:val="nil"/>
              <w:bottom w:val="nil"/>
              <w:right w:val="nil"/>
            </w:tcBorders>
            <w:noWrap/>
            <w:vAlign w:val="center"/>
          </w:tcPr>
          <w:p w14:paraId="16C992DE"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4E13F96F"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6F54E64C"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3EF37BF3"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4005EEC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3EA633E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0921856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66067BA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21C2B65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-39</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45D93CE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3A02774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-45</w:t>
            </w:r>
          </w:p>
        </w:tc>
        <w:tc>
          <w:tcPr>
            <w:tcW w:w="443" w:type="pct"/>
            <w:tcBorders>
              <w:top w:val="nil"/>
              <w:left w:val="nil"/>
              <w:bottom w:val="nil"/>
              <w:right w:val="nil"/>
            </w:tcBorders>
            <w:noWrap/>
            <w:vAlign w:val="center"/>
          </w:tcPr>
          <w:p w14:paraId="0BA7E22D"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429C8EF8"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0B25A9E5"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C0F5BA3"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1DE6F73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40A7B07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12</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7C29556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-28</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8BEA65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2500219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-28</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11144F8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533AD88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-35</w:t>
            </w:r>
          </w:p>
        </w:tc>
        <w:tc>
          <w:tcPr>
            <w:tcW w:w="443" w:type="pct"/>
            <w:tcBorders>
              <w:top w:val="nil"/>
              <w:left w:val="nil"/>
              <w:bottom w:val="nil"/>
              <w:right w:val="nil"/>
            </w:tcBorders>
            <w:noWrap/>
            <w:vAlign w:val="center"/>
          </w:tcPr>
          <w:p w14:paraId="1392D7D8"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036F308C"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5BA60B60"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3536AF4"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443B360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2E95BFF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41F2D48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1BD1134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3EDDF79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-17</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46F4EE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1D334DA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-15</w:t>
            </w:r>
          </w:p>
        </w:tc>
        <w:tc>
          <w:tcPr>
            <w:tcW w:w="443" w:type="pct"/>
            <w:tcBorders>
              <w:top w:val="nil"/>
              <w:left w:val="nil"/>
              <w:bottom w:val="nil"/>
              <w:right w:val="nil"/>
            </w:tcBorders>
            <w:noWrap/>
            <w:vAlign w:val="center"/>
          </w:tcPr>
          <w:p w14:paraId="54372063"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61E2678E"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45AB9A83"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11CDDFB5"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123B0AE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7E1E07D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11FF80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27C246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0F8D4BC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-6</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AA1BCC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25</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69D41F2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443" w:type="pct"/>
            <w:tcBorders>
              <w:top w:val="nil"/>
              <w:left w:val="nil"/>
              <w:bottom w:val="nil"/>
              <w:right w:val="nil"/>
            </w:tcBorders>
            <w:noWrap/>
            <w:vAlign w:val="center"/>
          </w:tcPr>
          <w:p w14:paraId="09BC9EA6"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241EFA9B"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5380DDE8"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1FD16593"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220BCEB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3A06F40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7CCF32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4C982E7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053BD0F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2CC7AF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5996D48F"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0A6568F0"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6F7783BF"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570617F1"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BCC391A"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3F3276E5"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Payback Period</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0E07F567" w14:textId="77777777" w:rsidR="00D224FD" w:rsidRDefault="00D224FD">
            <w:pPr>
              <w:rPr>
                <w:rFonts w:ascii="Times New Roman Regular" w:eastAsia="Times New Roman Regular" w:hAnsi="Times New Roman Regular" w:cs="Times New Roman Regular"/>
                <w:b/>
                <w:bCs/>
                <w:color w:val="000000"/>
                <w:sz w:val="22"/>
                <w:szCs w:val="22"/>
              </w:rPr>
            </w:pP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25E2B76"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 xml:space="preserve">4.50 </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1B62CCD" w14:textId="77777777" w:rsidR="00D224FD" w:rsidRDefault="00D224FD">
            <w:pPr>
              <w:rPr>
                <w:rFonts w:ascii="Times New Roman Regular" w:eastAsia="Times New Roman Regular" w:hAnsi="Times New Roman Regular" w:cs="Times New Roman Regular"/>
                <w:b/>
                <w:bCs/>
                <w:color w:val="000000"/>
                <w:sz w:val="22"/>
                <w:szCs w:val="22"/>
              </w:rPr>
            </w:pP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54E193A1"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 xml:space="preserve">4.55 </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CE97B8D" w14:textId="77777777" w:rsidR="00D224FD" w:rsidRDefault="00D224FD">
            <w:pPr>
              <w:rPr>
                <w:rFonts w:ascii="Times New Roman Regular" w:eastAsia="Times New Roman Regular" w:hAnsi="Times New Roman Regular" w:cs="Times New Roman Regular"/>
                <w:b/>
                <w:bCs/>
                <w:color w:val="000000"/>
                <w:sz w:val="22"/>
                <w:szCs w:val="22"/>
              </w:rPr>
            </w:pP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5435B7EC"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 xml:space="preserve">3.60 </w:t>
            </w:r>
          </w:p>
        </w:tc>
        <w:tc>
          <w:tcPr>
            <w:tcW w:w="443" w:type="pct"/>
            <w:tcBorders>
              <w:top w:val="nil"/>
              <w:left w:val="nil"/>
              <w:bottom w:val="nil"/>
              <w:right w:val="nil"/>
            </w:tcBorders>
            <w:noWrap/>
            <w:vAlign w:val="center"/>
          </w:tcPr>
          <w:p w14:paraId="2BDDC190"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75576935"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356C036D"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36C4A0E9" w14:textId="77777777">
        <w:trPr>
          <w:trHeight w:val="336"/>
        </w:trPr>
        <w:tc>
          <w:tcPr>
            <w:tcW w:w="799" w:type="pct"/>
            <w:tcBorders>
              <w:top w:val="nil"/>
              <w:left w:val="nil"/>
              <w:bottom w:val="nil"/>
              <w:right w:val="nil"/>
            </w:tcBorders>
            <w:noWrap/>
            <w:vAlign w:val="center"/>
          </w:tcPr>
          <w:p w14:paraId="34B75F61" w14:textId="77777777" w:rsidR="00D224FD" w:rsidRDefault="00D224FD">
            <w:pPr>
              <w:rPr>
                <w:rFonts w:ascii="Times New Roman Regular" w:eastAsia="Times New Roman Regular" w:hAnsi="Times New Roman Regular" w:cs="Times New Roman Regular"/>
                <w:color w:val="000000"/>
                <w:sz w:val="22"/>
                <w:szCs w:val="22"/>
              </w:rPr>
            </w:pPr>
          </w:p>
        </w:tc>
        <w:tc>
          <w:tcPr>
            <w:tcW w:w="654" w:type="pct"/>
            <w:tcBorders>
              <w:top w:val="nil"/>
              <w:left w:val="nil"/>
              <w:bottom w:val="nil"/>
              <w:right w:val="nil"/>
            </w:tcBorders>
            <w:noWrap/>
            <w:vAlign w:val="center"/>
          </w:tcPr>
          <w:p w14:paraId="79D2EA45"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2B7257B2"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nil"/>
              <w:left w:val="nil"/>
              <w:bottom w:val="nil"/>
              <w:right w:val="nil"/>
            </w:tcBorders>
            <w:noWrap/>
            <w:vAlign w:val="center"/>
          </w:tcPr>
          <w:p w14:paraId="5C9B209A" w14:textId="77777777" w:rsidR="00D224FD" w:rsidRDefault="00D224FD">
            <w:pPr>
              <w:rPr>
                <w:rFonts w:ascii="Times New Roman Regular" w:eastAsia="Times New Roman Regular" w:hAnsi="Times New Roman Regular" w:cs="Times New Roman Regular"/>
                <w:color w:val="000000"/>
                <w:sz w:val="22"/>
                <w:szCs w:val="22"/>
              </w:rPr>
            </w:pPr>
          </w:p>
        </w:tc>
        <w:tc>
          <w:tcPr>
            <w:tcW w:w="498" w:type="pct"/>
            <w:tcBorders>
              <w:top w:val="nil"/>
              <w:left w:val="nil"/>
              <w:bottom w:val="nil"/>
              <w:right w:val="nil"/>
            </w:tcBorders>
            <w:noWrap/>
            <w:vAlign w:val="center"/>
          </w:tcPr>
          <w:p w14:paraId="463EA516"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6C502178"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5920E8AF"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5E8B7796"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2777928E"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313E1BFE"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1DBFB2F6" w14:textId="77777777">
        <w:trPr>
          <w:trHeight w:val="336"/>
        </w:trPr>
        <w:tc>
          <w:tcPr>
            <w:tcW w:w="5000" w:type="pct"/>
            <w:gridSpan w:val="10"/>
            <w:tcBorders>
              <w:top w:val="single" w:sz="4" w:space="0" w:color="000000"/>
              <w:left w:val="single" w:sz="4" w:space="0" w:color="000000"/>
              <w:bottom w:val="single" w:sz="4" w:space="0" w:color="000000"/>
              <w:right w:val="single" w:sz="4" w:space="0" w:color="000000"/>
            </w:tcBorders>
            <w:noWrap/>
            <w:vAlign w:val="center"/>
          </w:tcPr>
          <w:p w14:paraId="305DE8FB"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Accounting rate of return</w:t>
            </w:r>
          </w:p>
        </w:tc>
      </w:tr>
      <w:tr w:rsidR="00D224FD" w14:paraId="0BEC21A0"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5E414FAC"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Projects</w:t>
            </w:r>
          </w:p>
        </w:tc>
        <w:tc>
          <w:tcPr>
            <w:tcW w:w="1700" w:type="pct"/>
            <w:gridSpan w:val="3"/>
            <w:tcBorders>
              <w:top w:val="single" w:sz="4" w:space="0" w:color="000000"/>
              <w:left w:val="single" w:sz="4" w:space="0" w:color="000000"/>
              <w:bottom w:val="single" w:sz="4" w:space="0" w:color="000000"/>
              <w:right w:val="single" w:sz="4" w:space="0" w:color="000000"/>
            </w:tcBorders>
            <w:noWrap/>
            <w:vAlign w:val="center"/>
          </w:tcPr>
          <w:p w14:paraId="0A9A5E31"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A</w:t>
            </w:r>
          </w:p>
        </w:tc>
        <w:tc>
          <w:tcPr>
            <w:tcW w:w="1397" w:type="pct"/>
            <w:gridSpan w:val="3"/>
            <w:tcBorders>
              <w:top w:val="single" w:sz="4" w:space="0" w:color="000000"/>
              <w:left w:val="single" w:sz="4" w:space="0" w:color="000000"/>
              <w:bottom w:val="single" w:sz="4" w:space="0" w:color="000000"/>
              <w:right w:val="single" w:sz="4" w:space="0" w:color="000000"/>
            </w:tcBorders>
            <w:noWrap/>
            <w:vAlign w:val="center"/>
          </w:tcPr>
          <w:p w14:paraId="5F1C3612"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B</w:t>
            </w:r>
          </w:p>
        </w:tc>
        <w:tc>
          <w:tcPr>
            <w:tcW w:w="1103" w:type="pct"/>
            <w:gridSpan w:val="3"/>
            <w:tcBorders>
              <w:top w:val="single" w:sz="4" w:space="0" w:color="000000"/>
              <w:left w:val="single" w:sz="4" w:space="0" w:color="000000"/>
              <w:bottom w:val="single" w:sz="4" w:space="0" w:color="000000"/>
              <w:right w:val="single" w:sz="4" w:space="0" w:color="000000"/>
            </w:tcBorders>
            <w:noWrap/>
            <w:vAlign w:val="center"/>
          </w:tcPr>
          <w:p w14:paraId="58533A30"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w:t>
            </w:r>
          </w:p>
        </w:tc>
      </w:tr>
      <w:tr w:rsidR="00D224FD" w14:paraId="44E0B5D0"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7CD2B6F6"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Year</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3AC1F247"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Cash Flows (£M)</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D7871D3"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Less: Depreciation</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0B371EF"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Profit</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0F26C634"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Cash Flows (£M)</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5D8E6D57"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Less: Depreciation</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3C058224"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Profit</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3A5E6942"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Cash Flows (£M)</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52F8DC12"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Less: Depreciation</w:t>
            </w:r>
          </w:p>
        </w:tc>
        <w:tc>
          <w:tcPr>
            <w:tcW w:w="251" w:type="pct"/>
            <w:tcBorders>
              <w:top w:val="single" w:sz="4" w:space="0" w:color="000000"/>
              <w:left w:val="single" w:sz="4" w:space="0" w:color="000000"/>
              <w:bottom w:val="single" w:sz="4" w:space="0" w:color="000000"/>
              <w:right w:val="single" w:sz="4" w:space="0" w:color="000000"/>
            </w:tcBorders>
            <w:noWrap/>
            <w:vAlign w:val="center"/>
          </w:tcPr>
          <w:p w14:paraId="301F893D"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Profit</w:t>
            </w:r>
          </w:p>
        </w:tc>
      </w:tr>
      <w:tr w:rsidR="00D224FD" w14:paraId="6C49004F"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7BABBF6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06DBDB1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B71E6F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1BB750A1" w14:textId="77777777" w:rsidR="00D224FD" w:rsidRDefault="00D224FD">
            <w:pPr>
              <w:rPr>
                <w:rFonts w:ascii="Times New Roman Regular" w:eastAsia="Times New Roman Regular" w:hAnsi="Times New Roman Regular" w:cs="Times New Roman Regular"/>
                <w:color w:val="000000"/>
                <w:sz w:val="22"/>
                <w:szCs w:val="22"/>
              </w:rPr>
            </w:pP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629CE65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83E4844"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4867214F"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3775ADE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389DB829"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single" w:sz="4" w:space="0" w:color="000000"/>
              <w:left w:val="single" w:sz="4" w:space="0" w:color="000000"/>
              <w:bottom w:val="single" w:sz="4" w:space="0" w:color="000000"/>
              <w:right w:val="single" w:sz="4" w:space="0" w:color="000000"/>
            </w:tcBorders>
            <w:noWrap/>
            <w:vAlign w:val="center"/>
          </w:tcPr>
          <w:p w14:paraId="15AEC1AE"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3ADA2FD"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479DB73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088A444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B6ADB7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0D73605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1E43D53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2B56FF7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4392337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5ACD5CE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13711F3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251" w:type="pct"/>
            <w:tcBorders>
              <w:top w:val="single" w:sz="4" w:space="0" w:color="000000"/>
              <w:left w:val="single" w:sz="4" w:space="0" w:color="000000"/>
              <w:bottom w:val="single" w:sz="4" w:space="0" w:color="000000"/>
              <w:right w:val="single" w:sz="4" w:space="0" w:color="000000"/>
            </w:tcBorders>
            <w:noWrap/>
            <w:vAlign w:val="center"/>
          </w:tcPr>
          <w:p w14:paraId="75C78E5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r>
      <w:tr w:rsidR="00D224FD" w14:paraId="78F862E2"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37527AA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72395CF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12</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1DAF93C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3C5B18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02387FA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4C85196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292D77E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505E2C8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47DE9BF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251" w:type="pct"/>
            <w:tcBorders>
              <w:top w:val="single" w:sz="4" w:space="0" w:color="000000"/>
              <w:left w:val="single" w:sz="4" w:space="0" w:color="000000"/>
              <w:bottom w:val="single" w:sz="4" w:space="0" w:color="000000"/>
              <w:right w:val="single" w:sz="4" w:space="0" w:color="000000"/>
            </w:tcBorders>
            <w:noWrap/>
            <w:vAlign w:val="center"/>
          </w:tcPr>
          <w:p w14:paraId="4213498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r>
      <w:tr w:rsidR="00D224FD" w14:paraId="21FDC9B9"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6BF663B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665B9D9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3B8D84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454D3D3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3F32F7C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21590E2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708094C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0FD79ED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5DF6236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251" w:type="pct"/>
            <w:tcBorders>
              <w:top w:val="single" w:sz="4" w:space="0" w:color="000000"/>
              <w:left w:val="single" w:sz="4" w:space="0" w:color="000000"/>
              <w:bottom w:val="single" w:sz="4" w:space="0" w:color="000000"/>
              <w:right w:val="single" w:sz="4" w:space="0" w:color="000000"/>
            </w:tcBorders>
            <w:noWrap/>
            <w:vAlign w:val="center"/>
          </w:tcPr>
          <w:p w14:paraId="46B828B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r>
      <w:tr w:rsidR="00D224FD" w14:paraId="03753568"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2030734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7DC2758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2823B1F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C6FC06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6635F20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E9408F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502975B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619633A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25</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5A48EB7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251" w:type="pct"/>
            <w:tcBorders>
              <w:top w:val="single" w:sz="4" w:space="0" w:color="000000"/>
              <w:left w:val="single" w:sz="4" w:space="0" w:color="000000"/>
              <w:bottom w:val="single" w:sz="4" w:space="0" w:color="000000"/>
              <w:right w:val="single" w:sz="4" w:space="0" w:color="000000"/>
            </w:tcBorders>
            <w:noWrap/>
            <w:vAlign w:val="center"/>
          </w:tcPr>
          <w:p w14:paraId="3A7DB42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15</w:t>
            </w:r>
          </w:p>
        </w:tc>
      </w:tr>
      <w:tr w:rsidR="00D224FD" w14:paraId="70F37C6D"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428E863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lastRenderedPageBreak/>
              <w:t>5</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70BF9EA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02357E9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946940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03A92E8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0C6AD00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78BC68D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6F0F3CC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369B602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251" w:type="pct"/>
            <w:tcBorders>
              <w:top w:val="single" w:sz="4" w:space="0" w:color="000000"/>
              <w:left w:val="single" w:sz="4" w:space="0" w:color="000000"/>
              <w:bottom w:val="single" w:sz="4" w:space="0" w:color="000000"/>
              <w:right w:val="single" w:sz="4" w:space="0" w:color="000000"/>
            </w:tcBorders>
            <w:noWrap/>
            <w:vAlign w:val="center"/>
          </w:tcPr>
          <w:p w14:paraId="01C4AB7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r>
      <w:tr w:rsidR="00D224FD" w14:paraId="3D63B877"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47F94D46"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Average profit</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42164195"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ADED215"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012E717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0.8</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6DC44D47"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1ED59595"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02D82CA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3A35CCFF"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3D0633AC"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single" w:sz="4" w:space="0" w:color="000000"/>
              <w:left w:val="single" w:sz="4" w:space="0" w:color="000000"/>
              <w:bottom w:val="single" w:sz="4" w:space="0" w:color="000000"/>
              <w:right w:val="single" w:sz="4" w:space="0" w:color="000000"/>
            </w:tcBorders>
            <w:noWrap/>
            <w:vAlign w:val="center"/>
          </w:tcPr>
          <w:p w14:paraId="31F9209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w:t>
            </w:r>
          </w:p>
        </w:tc>
      </w:tr>
      <w:tr w:rsidR="00D224FD" w14:paraId="3CC1E482"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35A879E2"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Investment</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1B58A5FA"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2E41740"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35CCB4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49EEC173"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7803935"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3D1F9DB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00F15750"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45AF3A88"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single" w:sz="4" w:space="0" w:color="000000"/>
              <w:left w:val="single" w:sz="4" w:space="0" w:color="000000"/>
              <w:bottom w:val="single" w:sz="4" w:space="0" w:color="000000"/>
              <w:right w:val="single" w:sz="4" w:space="0" w:color="000000"/>
            </w:tcBorders>
            <w:noWrap/>
            <w:vAlign w:val="center"/>
          </w:tcPr>
          <w:p w14:paraId="6E653C2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r>
      <w:tr w:rsidR="00D224FD" w14:paraId="59195956"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7568338D"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ARR</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398EB0BE" w14:textId="77777777" w:rsidR="00D224FD" w:rsidRDefault="00D224FD">
            <w:pPr>
              <w:rPr>
                <w:rFonts w:ascii="Times New Roman Regular" w:eastAsia="Times New Roman Regular" w:hAnsi="Times New Roman Regular" w:cs="Times New Roman Regular"/>
                <w:b/>
                <w:bCs/>
                <w:color w:val="000000"/>
                <w:sz w:val="22"/>
                <w:szCs w:val="22"/>
              </w:rPr>
            </w:pP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21F4111" w14:textId="77777777" w:rsidR="00D224FD" w:rsidRDefault="00D224FD">
            <w:pPr>
              <w:rPr>
                <w:rFonts w:ascii="Times New Roman Regular" w:eastAsia="Times New Roman Regular" w:hAnsi="Times New Roman Regular" w:cs="Times New Roman Regular"/>
                <w:b/>
                <w:bCs/>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40FED0F"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1.60%</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22064805" w14:textId="77777777" w:rsidR="00D224FD" w:rsidRDefault="00D224FD">
            <w:pPr>
              <w:rPr>
                <w:rFonts w:ascii="Times New Roman Regular" w:eastAsia="Times New Roman Regular" w:hAnsi="Times New Roman Regular" w:cs="Times New Roman Regular"/>
                <w:b/>
                <w:bCs/>
                <w:color w:val="000000"/>
                <w:sz w:val="22"/>
                <w:szCs w:val="22"/>
              </w:rPr>
            </w:pP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605AD20" w14:textId="77777777" w:rsidR="00D224FD" w:rsidRDefault="00D224FD">
            <w:pPr>
              <w:rPr>
                <w:rFonts w:ascii="Times New Roman Regular" w:eastAsia="Times New Roman Regular" w:hAnsi="Times New Roman Regular" w:cs="Times New Roman Regular"/>
                <w:b/>
                <w:bCs/>
                <w:color w:val="000000"/>
                <w:sz w:val="22"/>
                <w:szCs w:val="22"/>
              </w:rPr>
            </w:pP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02CF7F24"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2.00%</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6D4D4BBC" w14:textId="77777777" w:rsidR="00D224FD" w:rsidRDefault="00D224FD">
            <w:pPr>
              <w:rPr>
                <w:rFonts w:ascii="Times New Roman Regular" w:eastAsia="Times New Roman Regular" w:hAnsi="Times New Roman Regular" w:cs="Times New Roman Regular"/>
                <w:b/>
                <w:bCs/>
                <w:color w:val="000000"/>
                <w:sz w:val="22"/>
                <w:szCs w:val="22"/>
              </w:rPr>
            </w:pP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495F6C53" w14:textId="77777777" w:rsidR="00D224FD" w:rsidRDefault="00D224FD">
            <w:pPr>
              <w:rPr>
                <w:rFonts w:ascii="Times New Roman Regular" w:eastAsia="Times New Roman Regular" w:hAnsi="Times New Roman Regular" w:cs="Times New Roman Regular"/>
                <w:b/>
                <w:bCs/>
                <w:color w:val="000000"/>
                <w:sz w:val="22"/>
                <w:szCs w:val="22"/>
              </w:rPr>
            </w:pPr>
          </w:p>
        </w:tc>
        <w:tc>
          <w:tcPr>
            <w:tcW w:w="251" w:type="pct"/>
            <w:tcBorders>
              <w:top w:val="single" w:sz="4" w:space="0" w:color="000000"/>
              <w:left w:val="single" w:sz="4" w:space="0" w:color="000000"/>
              <w:bottom w:val="single" w:sz="4" w:space="0" w:color="000000"/>
              <w:right w:val="single" w:sz="4" w:space="0" w:color="000000"/>
            </w:tcBorders>
            <w:noWrap/>
            <w:vAlign w:val="center"/>
          </w:tcPr>
          <w:p w14:paraId="6CCB94D3"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6.00%</w:t>
            </w:r>
          </w:p>
        </w:tc>
      </w:tr>
      <w:tr w:rsidR="00D224FD" w14:paraId="18A996B6"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3C852DA8"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(Average profits/ investment)</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5C3551B5"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048C7821"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1BE948A2" w14:textId="77777777" w:rsidR="00D224FD" w:rsidRDefault="00D224FD">
            <w:pPr>
              <w:rPr>
                <w:rFonts w:ascii="Times New Roman Regular" w:eastAsia="Times New Roman Regular" w:hAnsi="Times New Roman Regular" w:cs="Times New Roman Regular"/>
                <w:color w:val="000000"/>
                <w:sz w:val="22"/>
                <w:szCs w:val="22"/>
              </w:rPr>
            </w:pP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5F941CA2"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501B4C04"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42401523"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2F77B7D5"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single" w:sz="4" w:space="0" w:color="000000"/>
              <w:left w:val="single" w:sz="4" w:space="0" w:color="000000"/>
              <w:bottom w:val="single" w:sz="4" w:space="0" w:color="000000"/>
              <w:right w:val="single" w:sz="4" w:space="0" w:color="000000"/>
            </w:tcBorders>
            <w:noWrap/>
            <w:vAlign w:val="center"/>
          </w:tcPr>
          <w:p w14:paraId="1ED4313C"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single" w:sz="4" w:space="0" w:color="000000"/>
              <w:left w:val="single" w:sz="4" w:space="0" w:color="000000"/>
              <w:bottom w:val="single" w:sz="4" w:space="0" w:color="000000"/>
              <w:right w:val="single" w:sz="4" w:space="0" w:color="000000"/>
            </w:tcBorders>
            <w:noWrap/>
            <w:vAlign w:val="center"/>
          </w:tcPr>
          <w:p w14:paraId="4D718FE1"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37CB7EE" w14:textId="77777777">
        <w:trPr>
          <w:trHeight w:val="336"/>
        </w:trPr>
        <w:tc>
          <w:tcPr>
            <w:tcW w:w="799" w:type="pct"/>
            <w:tcBorders>
              <w:top w:val="nil"/>
              <w:left w:val="nil"/>
              <w:bottom w:val="nil"/>
              <w:right w:val="nil"/>
            </w:tcBorders>
            <w:noWrap/>
            <w:vAlign w:val="center"/>
          </w:tcPr>
          <w:p w14:paraId="3D079424" w14:textId="77777777" w:rsidR="00D224FD" w:rsidRDefault="00D224FD">
            <w:pPr>
              <w:rPr>
                <w:rFonts w:ascii="Times New Roman Regular" w:eastAsia="Times New Roman Regular" w:hAnsi="Times New Roman Regular" w:cs="Times New Roman Regular"/>
                <w:color w:val="000000"/>
                <w:sz w:val="22"/>
                <w:szCs w:val="22"/>
              </w:rPr>
            </w:pPr>
          </w:p>
        </w:tc>
        <w:tc>
          <w:tcPr>
            <w:tcW w:w="654" w:type="pct"/>
            <w:tcBorders>
              <w:top w:val="nil"/>
              <w:left w:val="nil"/>
              <w:bottom w:val="nil"/>
              <w:right w:val="nil"/>
            </w:tcBorders>
            <w:noWrap/>
            <w:vAlign w:val="center"/>
          </w:tcPr>
          <w:p w14:paraId="66CB029E"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15304390"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nil"/>
              <w:left w:val="nil"/>
              <w:bottom w:val="nil"/>
              <w:right w:val="nil"/>
            </w:tcBorders>
            <w:noWrap/>
            <w:vAlign w:val="center"/>
          </w:tcPr>
          <w:p w14:paraId="779CAED2" w14:textId="77777777" w:rsidR="00D224FD" w:rsidRDefault="00D224FD">
            <w:pPr>
              <w:rPr>
                <w:rFonts w:ascii="Times New Roman Regular" w:eastAsia="Times New Roman Regular" w:hAnsi="Times New Roman Regular" w:cs="Times New Roman Regular"/>
                <w:color w:val="000000"/>
                <w:sz w:val="22"/>
                <w:szCs w:val="22"/>
              </w:rPr>
            </w:pPr>
          </w:p>
        </w:tc>
        <w:tc>
          <w:tcPr>
            <w:tcW w:w="498" w:type="pct"/>
            <w:tcBorders>
              <w:top w:val="nil"/>
              <w:left w:val="nil"/>
              <w:bottom w:val="nil"/>
              <w:right w:val="nil"/>
            </w:tcBorders>
            <w:noWrap/>
            <w:vAlign w:val="center"/>
          </w:tcPr>
          <w:p w14:paraId="50EBA161"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7A9AE013"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229330F1"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03C940BB"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5AC4FBBB"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51FA1ECE"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3AC4F84A" w14:textId="77777777">
        <w:trPr>
          <w:trHeight w:val="336"/>
        </w:trPr>
        <w:tc>
          <w:tcPr>
            <w:tcW w:w="4340" w:type="pct"/>
            <w:gridSpan w:val="8"/>
            <w:tcBorders>
              <w:top w:val="single" w:sz="4" w:space="0" w:color="000000"/>
              <w:left w:val="single" w:sz="4" w:space="0" w:color="000000"/>
              <w:bottom w:val="single" w:sz="4" w:space="0" w:color="000000"/>
              <w:right w:val="single" w:sz="4" w:space="0" w:color="000000"/>
            </w:tcBorders>
            <w:noWrap/>
            <w:vAlign w:val="center"/>
          </w:tcPr>
          <w:p w14:paraId="62A8D8EF"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Net Present Value</w:t>
            </w:r>
          </w:p>
        </w:tc>
        <w:tc>
          <w:tcPr>
            <w:tcW w:w="408" w:type="pct"/>
            <w:tcBorders>
              <w:top w:val="nil"/>
              <w:left w:val="nil"/>
              <w:bottom w:val="nil"/>
              <w:right w:val="nil"/>
            </w:tcBorders>
            <w:noWrap/>
            <w:vAlign w:val="center"/>
          </w:tcPr>
          <w:p w14:paraId="029740DD"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7FA0114F"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706F743E"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317611B7"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Projects</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1992635D" w14:textId="77777777" w:rsidR="00D224FD" w:rsidRDefault="00D224FD">
            <w:pPr>
              <w:rPr>
                <w:rFonts w:ascii="Times New Roman Regular" w:eastAsia="Times New Roman Regular" w:hAnsi="Times New Roman Regular" w:cs="Times New Roman Regular"/>
                <w:b/>
                <w:bCs/>
                <w:color w:val="000000"/>
                <w:sz w:val="22"/>
                <w:szCs w:val="22"/>
              </w:rPr>
            </w:pPr>
          </w:p>
        </w:tc>
        <w:tc>
          <w:tcPr>
            <w:tcW w:w="1046" w:type="pct"/>
            <w:gridSpan w:val="2"/>
            <w:tcBorders>
              <w:top w:val="single" w:sz="4" w:space="0" w:color="000000"/>
              <w:left w:val="single" w:sz="4" w:space="0" w:color="000000"/>
              <w:bottom w:val="single" w:sz="4" w:space="0" w:color="000000"/>
              <w:right w:val="single" w:sz="4" w:space="0" w:color="000000"/>
            </w:tcBorders>
            <w:noWrap/>
            <w:vAlign w:val="center"/>
          </w:tcPr>
          <w:p w14:paraId="1FFA9E02"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A</w:t>
            </w:r>
          </w:p>
        </w:tc>
        <w:tc>
          <w:tcPr>
            <w:tcW w:w="1028" w:type="pct"/>
            <w:gridSpan w:val="2"/>
            <w:tcBorders>
              <w:top w:val="single" w:sz="4" w:space="0" w:color="000000"/>
              <w:left w:val="single" w:sz="4" w:space="0" w:color="000000"/>
              <w:bottom w:val="single" w:sz="4" w:space="0" w:color="000000"/>
              <w:right w:val="single" w:sz="4" w:space="0" w:color="000000"/>
            </w:tcBorders>
            <w:noWrap/>
            <w:vAlign w:val="center"/>
          </w:tcPr>
          <w:p w14:paraId="6C8C878B"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B</w:t>
            </w:r>
          </w:p>
        </w:tc>
        <w:tc>
          <w:tcPr>
            <w:tcW w:w="811" w:type="pct"/>
            <w:gridSpan w:val="2"/>
            <w:tcBorders>
              <w:top w:val="single" w:sz="4" w:space="0" w:color="000000"/>
              <w:left w:val="single" w:sz="4" w:space="0" w:color="000000"/>
              <w:bottom w:val="single" w:sz="4" w:space="0" w:color="000000"/>
              <w:right w:val="single" w:sz="4" w:space="0" w:color="000000"/>
            </w:tcBorders>
            <w:noWrap/>
            <w:vAlign w:val="center"/>
          </w:tcPr>
          <w:p w14:paraId="6638D103"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w:t>
            </w:r>
          </w:p>
        </w:tc>
        <w:tc>
          <w:tcPr>
            <w:tcW w:w="408" w:type="pct"/>
            <w:tcBorders>
              <w:top w:val="nil"/>
              <w:left w:val="nil"/>
              <w:bottom w:val="nil"/>
              <w:right w:val="nil"/>
            </w:tcBorders>
            <w:noWrap/>
            <w:vAlign w:val="center"/>
          </w:tcPr>
          <w:p w14:paraId="2CB74120"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0D4A24B9"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227924C7"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7ECB60B6"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Year</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5B4A1F6D"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Discount factor @ 8%</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45A4756F"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Cash Flows (£M)</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139FF30"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PV (£M)</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38FFA270"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Cash Flows</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42077FE6"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PV (£M)</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34C272E5"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Cash Flows</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22BE9AF4"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PV (£M)</w:t>
            </w:r>
          </w:p>
        </w:tc>
        <w:tc>
          <w:tcPr>
            <w:tcW w:w="408" w:type="pct"/>
            <w:tcBorders>
              <w:top w:val="nil"/>
              <w:left w:val="nil"/>
              <w:bottom w:val="nil"/>
              <w:right w:val="nil"/>
            </w:tcBorders>
            <w:noWrap/>
            <w:vAlign w:val="center"/>
          </w:tcPr>
          <w:p w14:paraId="054B3B5E"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32312585"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79DDADA5"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1C84A86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283C730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215623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9663BF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6218287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53D5F34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51E33A5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1542215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408" w:type="pct"/>
            <w:tcBorders>
              <w:top w:val="nil"/>
              <w:left w:val="nil"/>
              <w:bottom w:val="nil"/>
              <w:right w:val="nil"/>
            </w:tcBorders>
            <w:noWrap/>
            <w:vAlign w:val="center"/>
          </w:tcPr>
          <w:p w14:paraId="25065C4E"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000FD151"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7003D6B6"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485B8D0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7B3D1C6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0.9259 </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7278833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144F04D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9.26 </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36796B9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B20941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10.19 </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5BDEC85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0CB9A20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4.63 </w:t>
            </w:r>
          </w:p>
        </w:tc>
        <w:tc>
          <w:tcPr>
            <w:tcW w:w="408" w:type="pct"/>
            <w:tcBorders>
              <w:top w:val="nil"/>
              <w:left w:val="nil"/>
              <w:bottom w:val="nil"/>
              <w:right w:val="nil"/>
            </w:tcBorders>
            <w:noWrap/>
            <w:vAlign w:val="center"/>
          </w:tcPr>
          <w:p w14:paraId="4889C541"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686118DD"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6EACAD8"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5E50EAB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61487BC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0.8573 </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4C0E48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12</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670BA5B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10.29 </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44E26BA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D48A24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9.43 </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2686A256"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160E929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8.57 </w:t>
            </w:r>
          </w:p>
        </w:tc>
        <w:tc>
          <w:tcPr>
            <w:tcW w:w="408" w:type="pct"/>
            <w:tcBorders>
              <w:top w:val="nil"/>
              <w:left w:val="nil"/>
              <w:bottom w:val="nil"/>
              <w:right w:val="nil"/>
            </w:tcBorders>
            <w:noWrap/>
            <w:vAlign w:val="center"/>
          </w:tcPr>
          <w:p w14:paraId="481A5A0F"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35FDDBEC"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405294E7"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58749FB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0D1F911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0.7938 </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0F0CD00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99585BD"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11.11 </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7838A4C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015A57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8.73 </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497A350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7051231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15.88 </w:t>
            </w:r>
          </w:p>
        </w:tc>
        <w:tc>
          <w:tcPr>
            <w:tcW w:w="408" w:type="pct"/>
            <w:tcBorders>
              <w:top w:val="nil"/>
              <w:left w:val="nil"/>
              <w:bottom w:val="nil"/>
              <w:right w:val="nil"/>
            </w:tcBorders>
            <w:noWrap/>
            <w:vAlign w:val="center"/>
          </w:tcPr>
          <w:p w14:paraId="73BCD3A4"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2E103F21"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42C5D6E"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3B27396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6AD3372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0.7350 </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43F7DF9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1749404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7.35 </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7032D16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897794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8.09 </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1614D9E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25</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38F7905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18.38 </w:t>
            </w:r>
          </w:p>
        </w:tc>
        <w:tc>
          <w:tcPr>
            <w:tcW w:w="408" w:type="pct"/>
            <w:tcBorders>
              <w:top w:val="nil"/>
              <w:left w:val="nil"/>
              <w:bottom w:val="nil"/>
              <w:right w:val="nil"/>
            </w:tcBorders>
            <w:noWrap/>
            <w:vAlign w:val="center"/>
          </w:tcPr>
          <w:p w14:paraId="0C682568"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126FC02E"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54E1DE7F"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1509320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1CD22EE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0.6806 </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465E62B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DFE81B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5.44 </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17C324E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46B2FB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7.49 </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0F1381F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7A6D907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3.40 </w:t>
            </w:r>
          </w:p>
        </w:tc>
        <w:tc>
          <w:tcPr>
            <w:tcW w:w="408" w:type="pct"/>
            <w:tcBorders>
              <w:top w:val="nil"/>
              <w:left w:val="nil"/>
              <w:bottom w:val="nil"/>
              <w:right w:val="nil"/>
            </w:tcBorders>
            <w:noWrap/>
            <w:vAlign w:val="center"/>
          </w:tcPr>
          <w:p w14:paraId="584BCD64"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6F135CF4"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030CEE3"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782190AA"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NPV</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3AB7C47E" w14:textId="77777777" w:rsidR="00D224FD" w:rsidRDefault="00D224FD">
            <w:pPr>
              <w:rPr>
                <w:rFonts w:ascii="Times New Roman Regular" w:eastAsia="Times New Roman Regular" w:hAnsi="Times New Roman Regular" w:cs="Times New Roman Regular"/>
                <w:b/>
                <w:bCs/>
                <w:color w:val="000000"/>
                <w:sz w:val="22"/>
                <w:szCs w:val="22"/>
              </w:rPr>
            </w:pP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6F9DDA1" w14:textId="77777777" w:rsidR="00D224FD" w:rsidRDefault="00D224FD">
            <w:pPr>
              <w:rPr>
                <w:rFonts w:ascii="Times New Roman Regular" w:eastAsia="Times New Roman Regular" w:hAnsi="Times New Roman Regular" w:cs="Times New Roman Regular"/>
                <w:b/>
                <w:bCs/>
                <w:color w:val="000000"/>
                <w:sz w:val="22"/>
                <w:szCs w:val="22"/>
              </w:rPr>
            </w:pP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AB84ABF"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 xml:space="preserve">-6.54 </w:t>
            </w:r>
          </w:p>
        </w:tc>
        <w:tc>
          <w:tcPr>
            <w:tcW w:w="498" w:type="pct"/>
            <w:tcBorders>
              <w:top w:val="single" w:sz="4" w:space="0" w:color="000000"/>
              <w:left w:val="single" w:sz="4" w:space="0" w:color="000000"/>
              <w:bottom w:val="single" w:sz="4" w:space="0" w:color="000000"/>
              <w:right w:val="single" w:sz="4" w:space="0" w:color="000000"/>
            </w:tcBorders>
            <w:noWrap/>
            <w:vAlign w:val="center"/>
          </w:tcPr>
          <w:p w14:paraId="7B185262" w14:textId="77777777" w:rsidR="00D224FD" w:rsidRDefault="00D224FD">
            <w:pPr>
              <w:rPr>
                <w:rFonts w:ascii="Times New Roman Regular" w:eastAsia="Times New Roman Regular" w:hAnsi="Times New Roman Regular" w:cs="Times New Roman Regular"/>
                <w:b/>
                <w:bCs/>
                <w:color w:val="000000"/>
                <w:sz w:val="22"/>
                <w:szCs w:val="22"/>
              </w:rPr>
            </w:pP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6F1D6100"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 xml:space="preserve">-6.08 </w:t>
            </w:r>
          </w:p>
        </w:tc>
        <w:tc>
          <w:tcPr>
            <w:tcW w:w="368" w:type="pct"/>
            <w:tcBorders>
              <w:top w:val="single" w:sz="4" w:space="0" w:color="000000"/>
              <w:left w:val="single" w:sz="4" w:space="0" w:color="000000"/>
              <w:bottom w:val="single" w:sz="4" w:space="0" w:color="000000"/>
              <w:right w:val="single" w:sz="4" w:space="0" w:color="000000"/>
            </w:tcBorders>
            <w:noWrap/>
            <w:vAlign w:val="center"/>
          </w:tcPr>
          <w:p w14:paraId="551F3050" w14:textId="77777777" w:rsidR="00D224FD" w:rsidRDefault="00D224FD">
            <w:pPr>
              <w:rPr>
                <w:rFonts w:ascii="Times New Roman Regular" w:eastAsia="Times New Roman Regular" w:hAnsi="Times New Roman Regular" w:cs="Times New Roman Regular"/>
                <w:b/>
                <w:bCs/>
                <w:color w:val="000000"/>
                <w:sz w:val="22"/>
                <w:szCs w:val="22"/>
              </w:rPr>
            </w:pPr>
          </w:p>
        </w:tc>
        <w:tc>
          <w:tcPr>
            <w:tcW w:w="443" w:type="pct"/>
            <w:tcBorders>
              <w:top w:val="single" w:sz="4" w:space="0" w:color="000000"/>
              <w:left w:val="single" w:sz="4" w:space="0" w:color="000000"/>
              <w:bottom w:val="single" w:sz="4" w:space="0" w:color="000000"/>
              <w:right w:val="single" w:sz="4" w:space="0" w:color="000000"/>
            </w:tcBorders>
            <w:noWrap/>
            <w:vAlign w:val="center"/>
          </w:tcPr>
          <w:p w14:paraId="288D5BE2"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 xml:space="preserve">0.86 </w:t>
            </w:r>
          </w:p>
        </w:tc>
        <w:tc>
          <w:tcPr>
            <w:tcW w:w="408" w:type="pct"/>
            <w:tcBorders>
              <w:top w:val="nil"/>
              <w:left w:val="nil"/>
              <w:bottom w:val="nil"/>
              <w:right w:val="nil"/>
            </w:tcBorders>
            <w:noWrap/>
            <w:vAlign w:val="center"/>
          </w:tcPr>
          <w:p w14:paraId="520AB961"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007694A3"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5BE4995F" w14:textId="77777777">
        <w:trPr>
          <w:trHeight w:val="336"/>
        </w:trPr>
        <w:tc>
          <w:tcPr>
            <w:tcW w:w="799" w:type="pct"/>
            <w:tcBorders>
              <w:top w:val="nil"/>
              <w:left w:val="nil"/>
              <w:bottom w:val="nil"/>
              <w:right w:val="nil"/>
            </w:tcBorders>
            <w:noWrap/>
            <w:vAlign w:val="center"/>
          </w:tcPr>
          <w:p w14:paraId="4B7DB19B" w14:textId="77777777" w:rsidR="00D224FD" w:rsidRDefault="00D224FD">
            <w:pPr>
              <w:rPr>
                <w:rFonts w:ascii="Times New Roman Regular" w:eastAsia="Times New Roman Regular" w:hAnsi="Times New Roman Regular" w:cs="Times New Roman Regular"/>
                <w:color w:val="000000"/>
                <w:sz w:val="22"/>
                <w:szCs w:val="22"/>
              </w:rPr>
            </w:pPr>
          </w:p>
        </w:tc>
        <w:tc>
          <w:tcPr>
            <w:tcW w:w="654" w:type="pct"/>
            <w:tcBorders>
              <w:top w:val="nil"/>
              <w:left w:val="nil"/>
              <w:bottom w:val="nil"/>
              <w:right w:val="nil"/>
            </w:tcBorders>
            <w:noWrap/>
            <w:vAlign w:val="center"/>
          </w:tcPr>
          <w:p w14:paraId="30137621"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75A79C43"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nil"/>
              <w:left w:val="nil"/>
              <w:bottom w:val="nil"/>
              <w:right w:val="nil"/>
            </w:tcBorders>
            <w:noWrap/>
            <w:vAlign w:val="center"/>
          </w:tcPr>
          <w:p w14:paraId="3A22B319" w14:textId="77777777" w:rsidR="00D224FD" w:rsidRDefault="00D224FD">
            <w:pPr>
              <w:rPr>
                <w:rFonts w:ascii="Times New Roman Regular" w:eastAsia="Times New Roman Regular" w:hAnsi="Times New Roman Regular" w:cs="Times New Roman Regular"/>
                <w:color w:val="000000"/>
                <w:sz w:val="22"/>
                <w:szCs w:val="22"/>
              </w:rPr>
            </w:pPr>
          </w:p>
        </w:tc>
        <w:tc>
          <w:tcPr>
            <w:tcW w:w="498" w:type="pct"/>
            <w:tcBorders>
              <w:top w:val="nil"/>
              <w:left w:val="nil"/>
              <w:bottom w:val="nil"/>
              <w:right w:val="nil"/>
            </w:tcBorders>
            <w:noWrap/>
            <w:vAlign w:val="center"/>
          </w:tcPr>
          <w:p w14:paraId="603D8A31"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33EB57E9"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669864E0"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7F62E067"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0F47D95D"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526A87B2"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574EE523" w14:textId="77777777">
        <w:trPr>
          <w:trHeight w:val="336"/>
        </w:trPr>
        <w:tc>
          <w:tcPr>
            <w:tcW w:w="2499" w:type="pct"/>
            <w:gridSpan w:val="4"/>
            <w:tcBorders>
              <w:top w:val="single" w:sz="4" w:space="0" w:color="000000"/>
              <w:left w:val="single" w:sz="4" w:space="0" w:color="000000"/>
              <w:bottom w:val="single" w:sz="4" w:space="0" w:color="000000"/>
              <w:right w:val="single" w:sz="4" w:space="0" w:color="000000"/>
            </w:tcBorders>
            <w:noWrap/>
            <w:vAlign w:val="center"/>
          </w:tcPr>
          <w:p w14:paraId="6BDCA5F4"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Profitability Index</w:t>
            </w:r>
          </w:p>
        </w:tc>
        <w:tc>
          <w:tcPr>
            <w:tcW w:w="498" w:type="pct"/>
            <w:tcBorders>
              <w:top w:val="nil"/>
              <w:left w:val="nil"/>
              <w:bottom w:val="nil"/>
              <w:right w:val="nil"/>
            </w:tcBorders>
            <w:noWrap/>
            <w:vAlign w:val="center"/>
          </w:tcPr>
          <w:p w14:paraId="0AD776AF"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06F0C090"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5D181580"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7FFDAA62"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417E7E78"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2CC687A7"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417B031E"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08B956E5" w14:textId="77777777" w:rsidR="00D224FD" w:rsidRDefault="00D224FD">
            <w:pPr>
              <w:rPr>
                <w:rFonts w:ascii="Times New Roman Regular" w:eastAsia="Times New Roman Regular" w:hAnsi="Times New Roman Regular" w:cs="Times New Roman Regular"/>
                <w:b/>
                <w:bCs/>
                <w:color w:val="000000"/>
                <w:sz w:val="22"/>
                <w:szCs w:val="22"/>
              </w:rPr>
            </w:pP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4947473D"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A</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4E84C3E7"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B</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65C5F77"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w:t>
            </w:r>
          </w:p>
        </w:tc>
        <w:tc>
          <w:tcPr>
            <w:tcW w:w="498" w:type="pct"/>
            <w:tcBorders>
              <w:top w:val="nil"/>
              <w:left w:val="nil"/>
              <w:bottom w:val="nil"/>
              <w:right w:val="nil"/>
            </w:tcBorders>
            <w:noWrap/>
            <w:vAlign w:val="center"/>
          </w:tcPr>
          <w:p w14:paraId="30C73D4F"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6687DACF"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04E2329C"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74BC445D"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75979EBD"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54B1BBB5"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312A857B"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2733731C"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PV of cash flows</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7BD3D182"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43.46 </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08196E5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43.92 </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2AB2B9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 xml:space="preserve">50.86 </w:t>
            </w:r>
          </w:p>
        </w:tc>
        <w:tc>
          <w:tcPr>
            <w:tcW w:w="498" w:type="pct"/>
            <w:tcBorders>
              <w:top w:val="nil"/>
              <w:left w:val="nil"/>
              <w:bottom w:val="nil"/>
              <w:right w:val="nil"/>
            </w:tcBorders>
            <w:noWrap/>
            <w:vAlign w:val="center"/>
          </w:tcPr>
          <w:p w14:paraId="0BB32E59"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7405C98C"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1D11E910"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5326BF30"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10816D02"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503F8DAA"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5C700352"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474F878A"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Investment</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510F9A6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5EA2BF53"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492BA8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498" w:type="pct"/>
            <w:tcBorders>
              <w:top w:val="nil"/>
              <w:left w:val="nil"/>
              <w:bottom w:val="nil"/>
              <w:right w:val="nil"/>
            </w:tcBorders>
            <w:noWrap/>
            <w:vAlign w:val="center"/>
          </w:tcPr>
          <w:p w14:paraId="2C0BA68A"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5600C483"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767FC142"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1E2601DB"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3321F238"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38562902"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156CC169"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503C5993"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PI</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36452EC0"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 xml:space="preserve">0.87 </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171F4721"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 xml:space="preserve">0.88 </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5F88C7D"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 xml:space="preserve">1.02 </w:t>
            </w:r>
          </w:p>
        </w:tc>
        <w:tc>
          <w:tcPr>
            <w:tcW w:w="498" w:type="pct"/>
            <w:tcBorders>
              <w:top w:val="nil"/>
              <w:left w:val="nil"/>
              <w:bottom w:val="nil"/>
              <w:right w:val="nil"/>
            </w:tcBorders>
            <w:noWrap/>
            <w:vAlign w:val="center"/>
          </w:tcPr>
          <w:p w14:paraId="4B326689"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6794686A"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437691C2"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36C2A4DB"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643B362E"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4E9A6DA2"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5E99147B" w14:textId="77777777">
        <w:trPr>
          <w:trHeight w:val="336"/>
        </w:trPr>
        <w:tc>
          <w:tcPr>
            <w:tcW w:w="799" w:type="pct"/>
            <w:tcBorders>
              <w:top w:val="nil"/>
              <w:left w:val="nil"/>
              <w:bottom w:val="nil"/>
              <w:right w:val="nil"/>
            </w:tcBorders>
            <w:noWrap/>
            <w:vAlign w:val="center"/>
          </w:tcPr>
          <w:p w14:paraId="08449FA8" w14:textId="77777777" w:rsidR="00D224FD" w:rsidRDefault="00D224FD">
            <w:pPr>
              <w:rPr>
                <w:rFonts w:ascii="Times New Roman Regular" w:eastAsia="Times New Roman Regular" w:hAnsi="Times New Roman Regular" w:cs="Times New Roman Regular"/>
                <w:color w:val="000000"/>
                <w:sz w:val="22"/>
                <w:szCs w:val="22"/>
              </w:rPr>
            </w:pPr>
          </w:p>
        </w:tc>
        <w:tc>
          <w:tcPr>
            <w:tcW w:w="654" w:type="pct"/>
            <w:tcBorders>
              <w:top w:val="nil"/>
              <w:left w:val="nil"/>
              <w:bottom w:val="nil"/>
              <w:right w:val="nil"/>
            </w:tcBorders>
            <w:noWrap/>
            <w:vAlign w:val="center"/>
          </w:tcPr>
          <w:p w14:paraId="4BADA096"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5EF668F1" w14:textId="77777777" w:rsidR="00D224FD" w:rsidRDefault="00D224FD">
            <w:pPr>
              <w:rPr>
                <w:rFonts w:ascii="Times New Roman Regular" w:eastAsia="Times New Roman Regular" w:hAnsi="Times New Roman Regular" w:cs="Times New Roman Regular"/>
                <w:color w:val="000000"/>
                <w:sz w:val="22"/>
                <w:szCs w:val="22"/>
              </w:rPr>
            </w:pPr>
          </w:p>
        </w:tc>
        <w:tc>
          <w:tcPr>
            <w:tcW w:w="515" w:type="pct"/>
            <w:tcBorders>
              <w:top w:val="nil"/>
              <w:left w:val="nil"/>
              <w:bottom w:val="nil"/>
              <w:right w:val="nil"/>
            </w:tcBorders>
            <w:noWrap/>
            <w:vAlign w:val="center"/>
          </w:tcPr>
          <w:p w14:paraId="2E24C636" w14:textId="77777777" w:rsidR="00D224FD" w:rsidRDefault="00D224FD">
            <w:pPr>
              <w:rPr>
                <w:rFonts w:ascii="Times New Roman Regular" w:eastAsia="Times New Roman Regular" w:hAnsi="Times New Roman Regular" w:cs="Times New Roman Regular"/>
                <w:color w:val="000000"/>
                <w:sz w:val="22"/>
                <w:szCs w:val="22"/>
              </w:rPr>
            </w:pPr>
          </w:p>
        </w:tc>
        <w:tc>
          <w:tcPr>
            <w:tcW w:w="498" w:type="pct"/>
            <w:tcBorders>
              <w:top w:val="nil"/>
              <w:left w:val="nil"/>
              <w:bottom w:val="nil"/>
              <w:right w:val="nil"/>
            </w:tcBorders>
            <w:noWrap/>
            <w:vAlign w:val="center"/>
          </w:tcPr>
          <w:p w14:paraId="53D4C53B"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249F4A71"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0DF79B02"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6F0259EA"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48405D12"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683F4724"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5F85DAC9" w14:textId="77777777">
        <w:trPr>
          <w:trHeight w:val="336"/>
        </w:trPr>
        <w:tc>
          <w:tcPr>
            <w:tcW w:w="2499" w:type="pct"/>
            <w:gridSpan w:val="4"/>
            <w:tcBorders>
              <w:top w:val="single" w:sz="4" w:space="0" w:color="000000"/>
              <w:left w:val="single" w:sz="4" w:space="0" w:color="000000"/>
              <w:bottom w:val="single" w:sz="4" w:space="0" w:color="000000"/>
              <w:right w:val="single" w:sz="4" w:space="0" w:color="000000"/>
            </w:tcBorders>
            <w:noWrap/>
            <w:vAlign w:val="center"/>
          </w:tcPr>
          <w:p w14:paraId="31B39BCF" w14:textId="77777777" w:rsidR="00D224FD" w:rsidRDefault="004E566D">
            <w:pPr>
              <w:jc w:val="cente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Internal rate of return</w:t>
            </w:r>
          </w:p>
        </w:tc>
        <w:tc>
          <w:tcPr>
            <w:tcW w:w="498" w:type="pct"/>
            <w:tcBorders>
              <w:top w:val="nil"/>
              <w:left w:val="nil"/>
              <w:bottom w:val="nil"/>
              <w:right w:val="nil"/>
            </w:tcBorders>
            <w:noWrap/>
            <w:vAlign w:val="center"/>
          </w:tcPr>
          <w:p w14:paraId="526D27F8"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40A331C8"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4FB99395"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1D5F9160"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7658C5F8"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46AFC0D7"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13ACFCC5"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2D273354"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Projects</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53E8DCFB"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A</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27725D41"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B</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697058CF"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w:t>
            </w:r>
          </w:p>
        </w:tc>
        <w:tc>
          <w:tcPr>
            <w:tcW w:w="498" w:type="pct"/>
            <w:tcBorders>
              <w:top w:val="nil"/>
              <w:left w:val="nil"/>
              <w:bottom w:val="nil"/>
              <w:right w:val="nil"/>
            </w:tcBorders>
            <w:noWrap/>
            <w:vAlign w:val="center"/>
          </w:tcPr>
          <w:p w14:paraId="160BE102"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60C3BB1A"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4FEDC92F"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704BE9C3"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2B53C7F1"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482A23D2"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2BBDEC7"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6E69BDFF" w14:textId="77777777" w:rsidR="00D224FD" w:rsidRDefault="004E566D">
            <w:pPr>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Year</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69AAD4D3"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Cash Flows (£M)</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59B37FC9"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Cash Flows (£M)</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63A39C1"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Cash Flows (£M)</w:t>
            </w:r>
          </w:p>
        </w:tc>
        <w:tc>
          <w:tcPr>
            <w:tcW w:w="498" w:type="pct"/>
            <w:tcBorders>
              <w:top w:val="nil"/>
              <w:left w:val="nil"/>
              <w:bottom w:val="nil"/>
              <w:right w:val="nil"/>
            </w:tcBorders>
            <w:noWrap/>
            <w:vAlign w:val="center"/>
          </w:tcPr>
          <w:p w14:paraId="12C684FF"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64E8E2FB"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5558A7CD"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452A3D89"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0087975A"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6CC5FE5B"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060B7B36"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7C5E1EB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0</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41CDCCB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0F3479A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6B2BD35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-50</w:t>
            </w:r>
          </w:p>
        </w:tc>
        <w:tc>
          <w:tcPr>
            <w:tcW w:w="498" w:type="pct"/>
            <w:tcBorders>
              <w:top w:val="nil"/>
              <w:left w:val="nil"/>
              <w:bottom w:val="nil"/>
              <w:right w:val="nil"/>
            </w:tcBorders>
            <w:noWrap/>
            <w:vAlign w:val="center"/>
          </w:tcPr>
          <w:p w14:paraId="0B5751A7"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2FE42B31"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5F59C121"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1152F006"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35CED246"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5A6594D4"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3086BAED"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0182733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048A484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480413C7"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F7796E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498" w:type="pct"/>
            <w:tcBorders>
              <w:top w:val="nil"/>
              <w:left w:val="nil"/>
              <w:bottom w:val="nil"/>
              <w:right w:val="nil"/>
            </w:tcBorders>
            <w:noWrap/>
            <w:vAlign w:val="center"/>
          </w:tcPr>
          <w:p w14:paraId="09E54C87"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3CB58F64"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1C4AB996"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79BE6331"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17F03561"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753C9756"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B46AB6B"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3BBDD32A"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7C5ACD84"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12</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428B4A4C"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74AE1D7F"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498" w:type="pct"/>
            <w:tcBorders>
              <w:top w:val="nil"/>
              <w:left w:val="nil"/>
              <w:bottom w:val="nil"/>
              <w:right w:val="nil"/>
            </w:tcBorders>
            <w:noWrap/>
            <w:vAlign w:val="center"/>
          </w:tcPr>
          <w:p w14:paraId="56AE93D0"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02696403"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202E8B94"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34AD60FE"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7A6ED1E7"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08777EC3"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7F32EBD1"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112B2B0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3</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401D4DAE"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14</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F39EC45"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2C29E7A9"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20</w:t>
            </w:r>
          </w:p>
        </w:tc>
        <w:tc>
          <w:tcPr>
            <w:tcW w:w="498" w:type="pct"/>
            <w:tcBorders>
              <w:top w:val="nil"/>
              <w:left w:val="nil"/>
              <w:bottom w:val="nil"/>
              <w:right w:val="nil"/>
            </w:tcBorders>
            <w:noWrap/>
            <w:vAlign w:val="center"/>
          </w:tcPr>
          <w:p w14:paraId="5EA91B01"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187DE2B0"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306E2DF0"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0DE52C47"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2BE05C56"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59432017"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32DEC5B"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5F8DAC7B"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4</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591ED8C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10</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0F6E377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12517691"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25</w:t>
            </w:r>
          </w:p>
        </w:tc>
        <w:tc>
          <w:tcPr>
            <w:tcW w:w="498" w:type="pct"/>
            <w:tcBorders>
              <w:top w:val="nil"/>
              <w:left w:val="nil"/>
              <w:bottom w:val="nil"/>
              <w:right w:val="nil"/>
            </w:tcBorders>
            <w:noWrap/>
            <w:vAlign w:val="center"/>
          </w:tcPr>
          <w:p w14:paraId="5A3E58F7"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24E7CFBA"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6C18DDCC"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1101C30A"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0BA407B7"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2EC8A9FC"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BE6572E"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73D147A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3EB6E7C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8</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09E58400"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11</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45059FE8" w14:textId="77777777" w:rsidR="00D224FD" w:rsidRDefault="004E566D">
            <w:pPr>
              <w:jc w:val="right"/>
              <w:textAlignment w:val="center"/>
              <w:rPr>
                <w:rFonts w:ascii="Times New Roman Regular" w:eastAsia="Times New Roman Regular" w:hAnsi="Times New Roman Regular" w:cs="Times New Roman Regular"/>
                <w:color w:val="000000"/>
                <w:sz w:val="22"/>
                <w:szCs w:val="22"/>
              </w:rPr>
            </w:pPr>
            <w:r>
              <w:rPr>
                <w:rFonts w:ascii="Times New Roman Regular" w:eastAsia="Times New Roman Regular" w:hAnsi="Times New Roman Regular" w:cs="Times New Roman Regular"/>
                <w:color w:val="000000"/>
                <w:sz w:val="22"/>
                <w:szCs w:val="22"/>
                <w:lang w:bidi="ar"/>
              </w:rPr>
              <w:t>5</w:t>
            </w:r>
          </w:p>
        </w:tc>
        <w:tc>
          <w:tcPr>
            <w:tcW w:w="498" w:type="pct"/>
            <w:tcBorders>
              <w:top w:val="nil"/>
              <w:left w:val="nil"/>
              <w:bottom w:val="nil"/>
              <w:right w:val="nil"/>
            </w:tcBorders>
            <w:noWrap/>
            <w:vAlign w:val="center"/>
          </w:tcPr>
          <w:p w14:paraId="03D4720F"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082856B6"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0E932C82"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3F1F2708"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29293367"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2CA5B390" w14:textId="77777777" w:rsidR="00D224FD" w:rsidRDefault="00D224FD">
            <w:pPr>
              <w:rPr>
                <w:rFonts w:ascii="Times New Roman Regular" w:eastAsia="Times New Roman Regular" w:hAnsi="Times New Roman Regular" w:cs="Times New Roman Regular"/>
                <w:color w:val="000000"/>
                <w:sz w:val="22"/>
                <w:szCs w:val="22"/>
              </w:rPr>
            </w:pPr>
          </w:p>
        </w:tc>
      </w:tr>
      <w:tr w:rsidR="00D224FD" w14:paraId="6CB57A9C" w14:textId="77777777">
        <w:trPr>
          <w:trHeight w:val="336"/>
        </w:trPr>
        <w:tc>
          <w:tcPr>
            <w:tcW w:w="799" w:type="pct"/>
            <w:tcBorders>
              <w:top w:val="single" w:sz="4" w:space="0" w:color="000000"/>
              <w:left w:val="single" w:sz="4" w:space="0" w:color="000000"/>
              <w:bottom w:val="single" w:sz="4" w:space="0" w:color="000000"/>
              <w:right w:val="single" w:sz="4" w:space="0" w:color="000000"/>
            </w:tcBorders>
            <w:noWrap/>
            <w:vAlign w:val="center"/>
          </w:tcPr>
          <w:p w14:paraId="7EAB5E91" w14:textId="77777777" w:rsidR="00D224FD" w:rsidRDefault="004E566D">
            <w:pPr>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IRR</w:t>
            </w:r>
          </w:p>
        </w:tc>
        <w:tc>
          <w:tcPr>
            <w:tcW w:w="654" w:type="pct"/>
            <w:tcBorders>
              <w:top w:val="single" w:sz="4" w:space="0" w:color="000000"/>
              <w:left w:val="single" w:sz="4" w:space="0" w:color="000000"/>
              <w:bottom w:val="single" w:sz="4" w:space="0" w:color="000000"/>
              <w:right w:val="single" w:sz="4" w:space="0" w:color="000000"/>
            </w:tcBorders>
            <w:noWrap/>
            <w:vAlign w:val="center"/>
          </w:tcPr>
          <w:p w14:paraId="0F57DF62"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2.72%</w:t>
            </w:r>
          </w:p>
        </w:tc>
        <w:tc>
          <w:tcPr>
            <w:tcW w:w="530" w:type="pct"/>
            <w:tcBorders>
              <w:top w:val="single" w:sz="4" w:space="0" w:color="000000"/>
              <w:left w:val="single" w:sz="4" w:space="0" w:color="000000"/>
              <w:bottom w:val="single" w:sz="4" w:space="0" w:color="000000"/>
              <w:right w:val="single" w:sz="4" w:space="0" w:color="000000"/>
            </w:tcBorders>
            <w:noWrap/>
            <w:vAlign w:val="center"/>
          </w:tcPr>
          <w:p w14:paraId="39216C13"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3.26%</w:t>
            </w:r>
          </w:p>
        </w:tc>
        <w:tc>
          <w:tcPr>
            <w:tcW w:w="515" w:type="pct"/>
            <w:tcBorders>
              <w:top w:val="single" w:sz="4" w:space="0" w:color="000000"/>
              <w:left w:val="single" w:sz="4" w:space="0" w:color="000000"/>
              <w:bottom w:val="single" w:sz="4" w:space="0" w:color="000000"/>
              <w:right w:val="single" w:sz="4" w:space="0" w:color="000000"/>
            </w:tcBorders>
            <w:noWrap/>
            <w:vAlign w:val="center"/>
          </w:tcPr>
          <w:p w14:paraId="523BD497" w14:textId="77777777" w:rsidR="00D224FD" w:rsidRDefault="004E566D">
            <w:pPr>
              <w:jc w:val="right"/>
              <w:textAlignment w:val="center"/>
              <w:rPr>
                <w:rFonts w:ascii="Times New Roman Regular" w:eastAsia="Times New Roman Regular" w:hAnsi="Times New Roman Regular" w:cs="Times New Roman Regular"/>
                <w:b/>
                <w:bCs/>
                <w:color w:val="000000"/>
                <w:sz w:val="22"/>
                <w:szCs w:val="22"/>
              </w:rPr>
            </w:pPr>
            <w:r>
              <w:rPr>
                <w:rFonts w:ascii="Times New Roman Regular" w:eastAsia="Times New Roman Regular" w:hAnsi="Times New Roman Regular" w:cs="Times New Roman Regular"/>
                <w:b/>
                <w:bCs/>
                <w:color w:val="000000"/>
                <w:sz w:val="22"/>
                <w:szCs w:val="22"/>
                <w:lang w:bidi="ar"/>
              </w:rPr>
              <w:t>8.59%</w:t>
            </w:r>
          </w:p>
        </w:tc>
        <w:tc>
          <w:tcPr>
            <w:tcW w:w="498" w:type="pct"/>
            <w:tcBorders>
              <w:top w:val="nil"/>
              <w:left w:val="nil"/>
              <w:bottom w:val="nil"/>
              <w:right w:val="nil"/>
            </w:tcBorders>
            <w:noWrap/>
            <w:vAlign w:val="center"/>
          </w:tcPr>
          <w:p w14:paraId="5C578DD4" w14:textId="77777777" w:rsidR="00D224FD" w:rsidRDefault="00D224FD">
            <w:pPr>
              <w:rPr>
                <w:rFonts w:ascii="Times New Roman Regular" w:eastAsia="Times New Roman Regular" w:hAnsi="Times New Roman Regular" w:cs="Times New Roman Regular"/>
                <w:color w:val="000000"/>
                <w:sz w:val="22"/>
                <w:szCs w:val="22"/>
              </w:rPr>
            </w:pPr>
          </w:p>
        </w:tc>
        <w:tc>
          <w:tcPr>
            <w:tcW w:w="530" w:type="pct"/>
            <w:tcBorders>
              <w:top w:val="nil"/>
              <w:left w:val="nil"/>
              <w:bottom w:val="nil"/>
              <w:right w:val="nil"/>
            </w:tcBorders>
            <w:noWrap/>
            <w:vAlign w:val="center"/>
          </w:tcPr>
          <w:p w14:paraId="25E8EA37" w14:textId="77777777" w:rsidR="00D224FD" w:rsidRDefault="00D224FD">
            <w:pPr>
              <w:rPr>
                <w:rFonts w:ascii="Times New Roman Regular" w:eastAsia="Times New Roman Regular" w:hAnsi="Times New Roman Regular" w:cs="Times New Roman Regular"/>
                <w:color w:val="000000"/>
                <w:sz w:val="22"/>
                <w:szCs w:val="22"/>
              </w:rPr>
            </w:pPr>
          </w:p>
        </w:tc>
        <w:tc>
          <w:tcPr>
            <w:tcW w:w="368" w:type="pct"/>
            <w:tcBorders>
              <w:top w:val="nil"/>
              <w:left w:val="nil"/>
              <w:bottom w:val="nil"/>
              <w:right w:val="nil"/>
            </w:tcBorders>
            <w:noWrap/>
            <w:vAlign w:val="center"/>
          </w:tcPr>
          <w:p w14:paraId="736DFE8B" w14:textId="77777777" w:rsidR="00D224FD" w:rsidRDefault="00D224FD">
            <w:pPr>
              <w:rPr>
                <w:rFonts w:ascii="Times New Roman Regular" w:eastAsia="Times New Roman Regular" w:hAnsi="Times New Roman Regular" w:cs="Times New Roman Regular"/>
                <w:color w:val="000000"/>
                <w:sz w:val="22"/>
                <w:szCs w:val="22"/>
              </w:rPr>
            </w:pPr>
          </w:p>
        </w:tc>
        <w:tc>
          <w:tcPr>
            <w:tcW w:w="443" w:type="pct"/>
            <w:tcBorders>
              <w:top w:val="nil"/>
              <w:left w:val="nil"/>
              <w:bottom w:val="nil"/>
              <w:right w:val="nil"/>
            </w:tcBorders>
            <w:noWrap/>
            <w:vAlign w:val="center"/>
          </w:tcPr>
          <w:p w14:paraId="5DCB0E09" w14:textId="77777777" w:rsidR="00D224FD" w:rsidRDefault="00D224FD">
            <w:pPr>
              <w:rPr>
                <w:rFonts w:ascii="Times New Roman Regular" w:eastAsia="Times New Roman Regular" w:hAnsi="Times New Roman Regular" w:cs="Times New Roman Regular"/>
                <w:color w:val="000000"/>
                <w:sz w:val="22"/>
                <w:szCs w:val="22"/>
              </w:rPr>
            </w:pPr>
          </w:p>
        </w:tc>
        <w:tc>
          <w:tcPr>
            <w:tcW w:w="408" w:type="pct"/>
            <w:tcBorders>
              <w:top w:val="nil"/>
              <w:left w:val="nil"/>
              <w:bottom w:val="nil"/>
              <w:right w:val="nil"/>
            </w:tcBorders>
            <w:noWrap/>
            <w:vAlign w:val="center"/>
          </w:tcPr>
          <w:p w14:paraId="51E64CB4" w14:textId="77777777" w:rsidR="00D224FD" w:rsidRDefault="00D224FD">
            <w:pPr>
              <w:rPr>
                <w:rFonts w:ascii="Times New Roman Regular" w:eastAsia="Times New Roman Regular" w:hAnsi="Times New Roman Regular" w:cs="Times New Roman Regular"/>
                <w:color w:val="000000"/>
                <w:sz w:val="22"/>
                <w:szCs w:val="22"/>
              </w:rPr>
            </w:pPr>
          </w:p>
        </w:tc>
        <w:tc>
          <w:tcPr>
            <w:tcW w:w="251" w:type="pct"/>
            <w:tcBorders>
              <w:top w:val="nil"/>
              <w:left w:val="nil"/>
              <w:bottom w:val="nil"/>
              <w:right w:val="nil"/>
            </w:tcBorders>
            <w:noWrap/>
            <w:vAlign w:val="center"/>
          </w:tcPr>
          <w:p w14:paraId="0B1982A4" w14:textId="77777777" w:rsidR="00D224FD" w:rsidRDefault="00D224FD">
            <w:pPr>
              <w:rPr>
                <w:rFonts w:ascii="Times New Roman Regular" w:eastAsia="Times New Roman Regular" w:hAnsi="Times New Roman Regular" w:cs="Times New Roman Regular"/>
                <w:color w:val="000000"/>
                <w:sz w:val="22"/>
                <w:szCs w:val="22"/>
              </w:rPr>
            </w:pPr>
          </w:p>
        </w:tc>
      </w:tr>
    </w:tbl>
    <w:p w14:paraId="092D92E2" w14:textId="77777777" w:rsidR="00D224FD" w:rsidRDefault="00D224FD">
      <w:pPr>
        <w:spacing w:line="360" w:lineRule="auto"/>
        <w:jc w:val="both"/>
        <w:rPr>
          <w:rFonts w:ascii="Times New Roman Bold" w:eastAsia="SimSun" w:hAnsi="Times New Roman Bold" w:cs="Times New Roman Bold"/>
          <w:b/>
          <w:bCs/>
          <w:sz w:val="24"/>
          <w:szCs w:val="24"/>
          <w:lang w:bidi="ar"/>
        </w:rPr>
      </w:pPr>
    </w:p>
    <w:p w14:paraId="3468A445" w14:textId="77777777" w:rsidR="00D224FD" w:rsidRDefault="00D224FD">
      <w:pPr>
        <w:spacing w:line="360" w:lineRule="auto"/>
        <w:jc w:val="both"/>
        <w:rPr>
          <w:rFonts w:ascii="Times New Roman Regular" w:hAnsi="Times New Roman Regular" w:cs="Times New Roman Regular"/>
          <w:sz w:val="24"/>
          <w:szCs w:val="24"/>
        </w:rPr>
      </w:pPr>
    </w:p>
    <w:p w14:paraId="2D72BF70" w14:textId="77777777" w:rsidR="00D224FD" w:rsidRDefault="00D224FD">
      <w:pPr>
        <w:spacing w:line="360" w:lineRule="auto"/>
        <w:jc w:val="both"/>
        <w:rPr>
          <w:rFonts w:ascii="Times New Roman Regular" w:hAnsi="Times New Roman Regular" w:cs="Times New Roman Regular"/>
          <w:i/>
          <w:iCs/>
          <w:sz w:val="24"/>
          <w:szCs w:val="24"/>
        </w:rPr>
      </w:pPr>
    </w:p>
    <w:p w14:paraId="2626F365" w14:textId="77777777" w:rsidR="00D224FD" w:rsidRDefault="00D224FD">
      <w:pPr>
        <w:spacing w:line="360" w:lineRule="auto"/>
        <w:jc w:val="both"/>
        <w:rPr>
          <w:rFonts w:ascii="Times New Roman Regular" w:hAnsi="Times New Roman Regular" w:cs="Times New Roman Regular"/>
          <w:sz w:val="24"/>
          <w:szCs w:val="24"/>
        </w:rPr>
      </w:pPr>
    </w:p>
    <w:p w14:paraId="3F543D03" w14:textId="77777777" w:rsidR="00D224FD" w:rsidRDefault="00D224FD">
      <w:pPr>
        <w:spacing w:line="360" w:lineRule="auto"/>
        <w:jc w:val="both"/>
        <w:rPr>
          <w:rFonts w:ascii="Times New Roman Regular" w:hAnsi="Times New Roman Regular" w:cs="Times New Roman Regular"/>
          <w:sz w:val="24"/>
          <w:szCs w:val="24"/>
        </w:rPr>
      </w:pPr>
    </w:p>
    <w:sectPr w:rsidR="00D224FD">
      <w:pgSz w:w="16838" w:h="11906"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1CCBA" w14:textId="77777777" w:rsidR="005E6391" w:rsidRDefault="005E6391">
      <w:r>
        <w:separator/>
      </w:r>
    </w:p>
  </w:endnote>
  <w:endnote w:type="continuationSeparator" w:id="0">
    <w:p w14:paraId="08CA99ED" w14:textId="77777777" w:rsidR="005E6391" w:rsidRDefault="005E63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Times New Roman Regular">
    <w:altName w:val="Times New Roman"/>
    <w:charset w:val="00"/>
    <w:family w:val="auto"/>
    <w:pitch w:val="default"/>
    <w:sig w:usb0="E0000AFF" w:usb1="00007843" w:usb2="00000001" w:usb3="00000000" w:csb0="400001BF" w:csb1="DFF70000"/>
  </w:font>
  <w:font w:name="Times New Roman Bold Italic">
    <w:panose1 w:val="02020703060505090304"/>
    <w:charset w:val="00"/>
    <w:family w:val="auto"/>
    <w:pitch w:val="default"/>
    <w:sig w:usb0="E0000AFF" w:usb1="00007843" w:usb2="00000001" w:usb3="00000000" w:csb0="400001BF" w:csb1="DFF70000"/>
  </w:font>
  <w:font w:name="Times New Roman Bold">
    <w:panose1 w:val="02020803070505020304"/>
    <w:charset w:val="00"/>
    <w:family w:val="auto"/>
    <w:pitch w:val="default"/>
    <w:sig w:usb0="E0000AFF" w:usb1="00007843" w:usb2="00000001" w:usb3="00000000" w:csb0="400001BF" w:csb1="DFF7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E9224" w14:textId="77777777" w:rsidR="00D224FD" w:rsidRDefault="004E566D">
    <w:pPr>
      <w:pStyle w:val="Footer"/>
    </w:pPr>
    <w:r>
      <w:rPr>
        <w:noProof/>
      </w:rPr>
      <mc:AlternateContent>
        <mc:Choice Requires="wps">
          <w:drawing>
            <wp:anchor distT="0" distB="0" distL="114300" distR="114300" simplePos="0" relativeHeight="251659264" behindDoc="0" locked="0" layoutInCell="1" allowOverlap="1" wp14:anchorId="33CD40AE" wp14:editId="64371AFE">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7359162" w14:textId="77777777" w:rsidR="00D224FD" w:rsidRDefault="004E566D">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3CD40AE"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47359162" w14:textId="77777777" w:rsidR="00D224FD" w:rsidRDefault="004E566D">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34DAA" w14:textId="77777777" w:rsidR="005E6391" w:rsidRDefault="005E6391">
      <w:r>
        <w:separator/>
      </w:r>
    </w:p>
  </w:footnote>
  <w:footnote w:type="continuationSeparator" w:id="0">
    <w:p w14:paraId="6187CE87" w14:textId="77777777" w:rsidR="005E6391" w:rsidRDefault="005E63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E4286B8"/>
    <w:multiLevelType w:val="singleLevel"/>
    <w:tmpl w:val="FE4286B8"/>
    <w:lvl w:ilvl="0">
      <w:start w:val="1"/>
      <w:numFmt w:val="decimal"/>
      <w:suff w:val="space"/>
      <w:lvlText w:val="%1."/>
      <w:lvlJc w:val="left"/>
    </w:lvl>
  </w:abstractNum>
  <w:abstractNum w:abstractNumId="1" w15:restartNumberingAfterBreak="0">
    <w:nsid w:val="5B6DC8ED"/>
    <w:multiLevelType w:val="singleLevel"/>
    <w:tmpl w:val="5B6DC8ED"/>
    <w:lvl w:ilvl="0">
      <w:start w:val="1"/>
      <w:numFmt w:val="decimal"/>
      <w:suff w:val="space"/>
      <w:lvlText w:val="%1."/>
      <w:lvlJc w:val="left"/>
    </w:lvl>
  </w:abstractNum>
  <w:num w:numId="1" w16cid:durableId="114100109">
    <w:abstractNumId w:val="0"/>
  </w:num>
  <w:num w:numId="2" w16cid:durableId="19297306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DEED605E"/>
    <w:rsid w:val="00395683"/>
    <w:rsid w:val="00396984"/>
    <w:rsid w:val="004431BB"/>
    <w:rsid w:val="0047116C"/>
    <w:rsid w:val="004E566D"/>
    <w:rsid w:val="005E6391"/>
    <w:rsid w:val="006E4AF9"/>
    <w:rsid w:val="00C46B66"/>
    <w:rsid w:val="00D224FD"/>
    <w:rsid w:val="0757F2D7"/>
    <w:rsid w:val="07E4C26F"/>
    <w:rsid w:val="07EEF34C"/>
    <w:rsid w:val="0997402C"/>
    <w:rsid w:val="0BEFE195"/>
    <w:rsid w:val="0BFFDD59"/>
    <w:rsid w:val="0DED7849"/>
    <w:rsid w:val="0DFEA1BF"/>
    <w:rsid w:val="0DFFD6E0"/>
    <w:rsid w:val="13AEAA89"/>
    <w:rsid w:val="15FEE1EB"/>
    <w:rsid w:val="16FCA9ED"/>
    <w:rsid w:val="177932AD"/>
    <w:rsid w:val="17FA4FE8"/>
    <w:rsid w:val="18FFCC13"/>
    <w:rsid w:val="1AEF4EB0"/>
    <w:rsid w:val="1BAF99C0"/>
    <w:rsid w:val="1BBBCD57"/>
    <w:rsid w:val="1BBFFE2C"/>
    <w:rsid w:val="1BDB3877"/>
    <w:rsid w:val="1BE94BFE"/>
    <w:rsid w:val="1C5F6AB3"/>
    <w:rsid w:val="1CBE29F3"/>
    <w:rsid w:val="1CDB1530"/>
    <w:rsid w:val="1CFF3FAF"/>
    <w:rsid w:val="1D37353C"/>
    <w:rsid w:val="1E6E45CF"/>
    <w:rsid w:val="1EFD74FF"/>
    <w:rsid w:val="1F4FA38F"/>
    <w:rsid w:val="1FBE0832"/>
    <w:rsid w:val="1FBF61E9"/>
    <w:rsid w:val="1FBF7CCF"/>
    <w:rsid w:val="1FDA3529"/>
    <w:rsid w:val="1FDFCD2C"/>
    <w:rsid w:val="1FE5A0E5"/>
    <w:rsid w:val="1FEEE1C8"/>
    <w:rsid w:val="1FEF4F9E"/>
    <w:rsid w:val="1FF11C6C"/>
    <w:rsid w:val="1FF6411A"/>
    <w:rsid w:val="21A7562B"/>
    <w:rsid w:val="23FD8D6D"/>
    <w:rsid w:val="25FDE715"/>
    <w:rsid w:val="263D0C09"/>
    <w:rsid w:val="27CF66F0"/>
    <w:rsid w:val="27EE12D8"/>
    <w:rsid w:val="27F76B82"/>
    <w:rsid w:val="27FFC714"/>
    <w:rsid w:val="299EFED8"/>
    <w:rsid w:val="29BB1F9B"/>
    <w:rsid w:val="2AC097B5"/>
    <w:rsid w:val="2BD69F72"/>
    <w:rsid w:val="2BF6F040"/>
    <w:rsid w:val="2BFD1515"/>
    <w:rsid w:val="2BFFF510"/>
    <w:rsid w:val="2D77CFFE"/>
    <w:rsid w:val="2D9F5679"/>
    <w:rsid w:val="2DAB4363"/>
    <w:rsid w:val="2DBD9624"/>
    <w:rsid w:val="2DE5530B"/>
    <w:rsid w:val="2E6FCE2D"/>
    <w:rsid w:val="2EDBB24A"/>
    <w:rsid w:val="2EFB152C"/>
    <w:rsid w:val="2F664353"/>
    <w:rsid w:val="2F7A7255"/>
    <w:rsid w:val="2F9B9FDF"/>
    <w:rsid w:val="2FAF1C2E"/>
    <w:rsid w:val="2FB52A22"/>
    <w:rsid w:val="2FBB9091"/>
    <w:rsid w:val="2FBE4B52"/>
    <w:rsid w:val="2FDB2D9B"/>
    <w:rsid w:val="2FDF6227"/>
    <w:rsid w:val="2FE8DDEA"/>
    <w:rsid w:val="2FF33B60"/>
    <w:rsid w:val="2FF6A78D"/>
    <w:rsid w:val="2FFBFD61"/>
    <w:rsid w:val="2FFDCD0D"/>
    <w:rsid w:val="32F3F7E2"/>
    <w:rsid w:val="33E6DA1F"/>
    <w:rsid w:val="33FAC388"/>
    <w:rsid w:val="33FFC162"/>
    <w:rsid w:val="34F4C971"/>
    <w:rsid w:val="357547A7"/>
    <w:rsid w:val="35B7B774"/>
    <w:rsid w:val="35F7A137"/>
    <w:rsid w:val="367BA205"/>
    <w:rsid w:val="36BFB36E"/>
    <w:rsid w:val="36DFE22A"/>
    <w:rsid w:val="36FF6CD1"/>
    <w:rsid w:val="371D479F"/>
    <w:rsid w:val="372CF2DF"/>
    <w:rsid w:val="377602F1"/>
    <w:rsid w:val="379F6EDB"/>
    <w:rsid w:val="37BF9B2B"/>
    <w:rsid w:val="37DCCCFA"/>
    <w:rsid w:val="37EE4EC4"/>
    <w:rsid w:val="37F65B26"/>
    <w:rsid w:val="37FF2ECF"/>
    <w:rsid w:val="37FFF91E"/>
    <w:rsid w:val="39BA7C4E"/>
    <w:rsid w:val="39CFF3D9"/>
    <w:rsid w:val="3AF9C185"/>
    <w:rsid w:val="3B3FD99E"/>
    <w:rsid w:val="3B77A789"/>
    <w:rsid w:val="3BBFCAC0"/>
    <w:rsid w:val="3BDAE0BF"/>
    <w:rsid w:val="3BDFE401"/>
    <w:rsid w:val="3BE3492D"/>
    <w:rsid w:val="3BFD4F3D"/>
    <w:rsid w:val="3C9FE72C"/>
    <w:rsid w:val="3CFDBD59"/>
    <w:rsid w:val="3CFDC5D9"/>
    <w:rsid w:val="3CFE9085"/>
    <w:rsid w:val="3D7FC04D"/>
    <w:rsid w:val="3DBD1980"/>
    <w:rsid w:val="3DE68736"/>
    <w:rsid w:val="3DF32905"/>
    <w:rsid w:val="3DF69FAD"/>
    <w:rsid w:val="3DF8D006"/>
    <w:rsid w:val="3DFE3655"/>
    <w:rsid w:val="3E36A6F5"/>
    <w:rsid w:val="3E6F8737"/>
    <w:rsid w:val="3E759BBF"/>
    <w:rsid w:val="3E7DB233"/>
    <w:rsid w:val="3EBF4E14"/>
    <w:rsid w:val="3EDBE09C"/>
    <w:rsid w:val="3EEFB426"/>
    <w:rsid w:val="3EFE229B"/>
    <w:rsid w:val="3EFE562B"/>
    <w:rsid w:val="3F3B5EED"/>
    <w:rsid w:val="3F3BEB03"/>
    <w:rsid w:val="3F6EFCBA"/>
    <w:rsid w:val="3F6F1A2F"/>
    <w:rsid w:val="3F73FF13"/>
    <w:rsid w:val="3F771A56"/>
    <w:rsid w:val="3F7F4B20"/>
    <w:rsid w:val="3F930643"/>
    <w:rsid w:val="3F972AF1"/>
    <w:rsid w:val="3FB3DC4C"/>
    <w:rsid w:val="3FBBC6FD"/>
    <w:rsid w:val="3FBDAE60"/>
    <w:rsid w:val="3FBE0F8E"/>
    <w:rsid w:val="3FBF8714"/>
    <w:rsid w:val="3FBFAD95"/>
    <w:rsid w:val="3FCEB533"/>
    <w:rsid w:val="3FD98CD2"/>
    <w:rsid w:val="3FDC0C10"/>
    <w:rsid w:val="3FDF11C7"/>
    <w:rsid w:val="3FECD5E3"/>
    <w:rsid w:val="3FEF5883"/>
    <w:rsid w:val="3FF74F29"/>
    <w:rsid w:val="3FF74F48"/>
    <w:rsid w:val="3FFB271A"/>
    <w:rsid w:val="3FFBC88F"/>
    <w:rsid w:val="3FFDCB70"/>
    <w:rsid w:val="40EEA975"/>
    <w:rsid w:val="473E5F66"/>
    <w:rsid w:val="47EDC4C4"/>
    <w:rsid w:val="48FB7BD9"/>
    <w:rsid w:val="4B356211"/>
    <w:rsid w:val="4B5F3933"/>
    <w:rsid w:val="4BCBD373"/>
    <w:rsid w:val="4BFBB8AF"/>
    <w:rsid w:val="4CFBB6B9"/>
    <w:rsid w:val="4DBF3EF5"/>
    <w:rsid w:val="4DCFD2DA"/>
    <w:rsid w:val="4DD72FC1"/>
    <w:rsid w:val="4DF3F838"/>
    <w:rsid w:val="4E4FA2BD"/>
    <w:rsid w:val="4EFFDBAD"/>
    <w:rsid w:val="4F3E78E6"/>
    <w:rsid w:val="4F5E95B3"/>
    <w:rsid w:val="4F5F0B6D"/>
    <w:rsid w:val="4F7967E2"/>
    <w:rsid w:val="4F7F8A5E"/>
    <w:rsid w:val="4FD6378E"/>
    <w:rsid w:val="4FEF8026"/>
    <w:rsid w:val="4FFF0458"/>
    <w:rsid w:val="516E8835"/>
    <w:rsid w:val="51F5869F"/>
    <w:rsid w:val="529A42EB"/>
    <w:rsid w:val="529E0783"/>
    <w:rsid w:val="53297A49"/>
    <w:rsid w:val="533E1A23"/>
    <w:rsid w:val="537F8E30"/>
    <w:rsid w:val="539F61FC"/>
    <w:rsid w:val="53FECEED"/>
    <w:rsid w:val="53FF0C86"/>
    <w:rsid w:val="546622DD"/>
    <w:rsid w:val="5536ADCC"/>
    <w:rsid w:val="557B7839"/>
    <w:rsid w:val="55DF85C9"/>
    <w:rsid w:val="55FD9487"/>
    <w:rsid w:val="56EF1698"/>
    <w:rsid w:val="5749EBDE"/>
    <w:rsid w:val="579F88D8"/>
    <w:rsid w:val="57B7FEC1"/>
    <w:rsid w:val="57BE7DB1"/>
    <w:rsid w:val="57ED5737"/>
    <w:rsid w:val="58DFB402"/>
    <w:rsid w:val="59951E12"/>
    <w:rsid w:val="59B98903"/>
    <w:rsid w:val="59F7D62D"/>
    <w:rsid w:val="5AAE0A9F"/>
    <w:rsid w:val="5AFE2A1B"/>
    <w:rsid w:val="5B2F1AB8"/>
    <w:rsid w:val="5B6BE6DB"/>
    <w:rsid w:val="5B7ACC55"/>
    <w:rsid w:val="5B7B9698"/>
    <w:rsid w:val="5BF744C2"/>
    <w:rsid w:val="5BF7F272"/>
    <w:rsid w:val="5BFF8250"/>
    <w:rsid w:val="5CA370B4"/>
    <w:rsid w:val="5CDE440E"/>
    <w:rsid w:val="5CFB42CB"/>
    <w:rsid w:val="5D771573"/>
    <w:rsid w:val="5D7F5BC2"/>
    <w:rsid w:val="5D9D1EC4"/>
    <w:rsid w:val="5DDC85A2"/>
    <w:rsid w:val="5DED87D3"/>
    <w:rsid w:val="5DFBC92B"/>
    <w:rsid w:val="5DFD86C5"/>
    <w:rsid w:val="5E7F6F73"/>
    <w:rsid w:val="5EB2E894"/>
    <w:rsid w:val="5EBF2011"/>
    <w:rsid w:val="5ED17EEA"/>
    <w:rsid w:val="5EDEF530"/>
    <w:rsid w:val="5EFECCFD"/>
    <w:rsid w:val="5F5D8724"/>
    <w:rsid w:val="5F5E3F85"/>
    <w:rsid w:val="5F7D3401"/>
    <w:rsid w:val="5F7F11F9"/>
    <w:rsid w:val="5FAB9634"/>
    <w:rsid w:val="5FABF7E3"/>
    <w:rsid w:val="5FAFAEA3"/>
    <w:rsid w:val="5FB8B417"/>
    <w:rsid w:val="5FCF0CAC"/>
    <w:rsid w:val="5FCFB968"/>
    <w:rsid w:val="5FD9C893"/>
    <w:rsid w:val="5FDF11E3"/>
    <w:rsid w:val="5FE785FE"/>
    <w:rsid w:val="5FE7B999"/>
    <w:rsid w:val="5FF37246"/>
    <w:rsid w:val="5FF59DBE"/>
    <w:rsid w:val="5FF6B6D1"/>
    <w:rsid w:val="5FFE6511"/>
    <w:rsid w:val="5FFF2052"/>
    <w:rsid w:val="5FFF6028"/>
    <w:rsid w:val="5FFF6834"/>
    <w:rsid w:val="61FFF4F5"/>
    <w:rsid w:val="635DE48B"/>
    <w:rsid w:val="63FBEE2F"/>
    <w:rsid w:val="647E01A2"/>
    <w:rsid w:val="65EB0BFE"/>
    <w:rsid w:val="66DFE35E"/>
    <w:rsid w:val="672D3476"/>
    <w:rsid w:val="675F6D24"/>
    <w:rsid w:val="6767DFBE"/>
    <w:rsid w:val="676F1636"/>
    <w:rsid w:val="679F6234"/>
    <w:rsid w:val="679FB590"/>
    <w:rsid w:val="67AFEAFF"/>
    <w:rsid w:val="67E69232"/>
    <w:rsid w:val="67EFD5E0"/>
    <w:rsid w:val="67FE07E9"/>
    <w:rsid w:val="67FF331B"/>
    <w:rsid w:val="67FF3B30"/>
    <w:rsid w:val="69DFB0F0"/>
    <w:rsid w:val="6B579065"/>
    <w:rsid w:val="6B9F6582"/>
    <w:rsid w:val="6BBFD530"/>
    <w:rsid w:val="6BEFB4C6"/>
    <w:rsid w:val="6BF10CF7"/>
    <w:rsid w:val="6BF50F30"/>
    <w:rsid w:val="6BF76B2D"/>
    <w:rsid w:val="6BFA8FE1"/>
    <w:rsid w:val="6CFED5EB"/>
    <w:rsid w:val="6D5F7A63"/>
    <w:rsid w:val="6DB79CBD"/>
    <w:rsid w:val="6DBCFEBD"/>
    <w:rsid w:val="6DCD9579"/>
    <w:rsid w:val="6DDF908E"/>
    <w:rsid w:val="6DED3025"/>
    <w:rsid w:val="6DF99D9A"/>
    <w:rsid w:val="6DFD5C75"/>
    <w:rsid w:val="6E27170F"/>
    <w:rsid w:val="6E5F2CEC"/>
    <w:rsid w:val="6E5F468F"/>
    <w:rsid w:val="6E766B72"/>
    <w:rsid w:val="6E7F7981"/>
    <w:rsid w:val="6EBC3526"/>
    <w:rsid w:val="6EED13A7"/>
    <w:rsid w:val="6EF3ADF0"/>
    <w:rsid w:val="6F369F60"/>
    <w:rsid w:val="6F4FDDE3"/>
    <w:rsid w:val="6F6D9EEE"/>
    <w:rsid w:val="6F77FEEF"/>
    <w:rsid w:val="6F7D94D5"/>
    <w:rsid w:val="6F7F65FF"/>
    <w:rsid w:val="6F7F7BE1"/>
    <w:rsid w:val="6F9391AE"/>
    <w:rsid w:val="6F994974"/>
    <w:rsid w:val="6FA72122"/>
    <w:rsid w:val="6FBB23CD"/>
    <w:rsid w:val="6FBC1161"/>
    <w:rsid w:val="6FBFCEFD"/>
    <w:rsid w:val="6FC8E065"/>
    <w:rsid w:val="6FD5EE07"/>
    <w:rsid w:val="6FD79CB2"/>
    <w:rsid w:val="6FE83FDF"/>
    <w:rsid w:val="6FEB7B27"/>
    <w:rsid w:val="6FED98DF"/>
    <w:rsid w:val="6FEF266B"/>
    <w:rsid w:val="6FEFCE88"/>
    <w:rsid w:val="6FF2F35D"/>
    <w:rsid w:val="6FF3FFAB"/>
    <w:rsid w:val="6FF67930"/>
    <w:rsid w:val="6FF9D7F6"/>
    <w:rsid w:val="6FFA74CC"/>
    <w:rsid w:val="6FFA8F56"/>
    <w:rsid w:val="6FFB9476"/>
    <w:rsid w:val="6FFBAF76"/>
    <w:rsid w:val="6FFBAF7D"/>
    <w:rsid w:val="6FFF867C"/>
    <w:rsid w:val="6FFF986A"/>
    <w:rsid w:val="6FFFAD15"/>
    <w:rsid w:val="70761E4C"/>
    <w:rsid w:val="71FF2813"/>
    <w:rsid w:val="71FF3153"/>
    <w:rsid w:val="7257E44C"/>
    <w:rsid w:val="72EF43C9"/>
    <w:rsid w:val="72F350EE"/>
    <w:rsid w:val="72F78291"/>
    <w:rsid w:val="73B32F58"/>
    <w:rsid w:val="73F856A5"/>
    <w:rsid w:val="73FBFB53"/>
    <w:rsid w:val="73FC63FC"/>
    <w:rsid w:val="73FF373F"/>
    <w:rsid w:val="73FF433D"/>
    <w:rsid w:val="74AB5022"/>
    <w:rsid w:val="754B43EC"/>
    <w:rsid w:val="757DC0FA"/>
    <w:rsid w:val="75A5E7DB"/>
    <w:rsid w:val="75B752D0"/>
    <w:rsid w:val="75CFB067"/>
    <w:rsid w:val="75D954D1"/>
    <w:rsid w:val="75DFD649"/>
    <w:rsid w:val="75E83668"/>
    <w:rsid w:val="75F61198"/>
    <w:rsid w:val="75FF734B"/>
    <w:rsid w:val="7637D73B"/>
    <w:rsid w:val="767F63FB"/>
    <w:rsid w:val="76AF9CD8"/>
    <w:rsid w:val="76BD9487"/>
    <w:rsid w:val="76BE43C2"/>
    <w:rsid w:val="76BE4440"/>
    <w:rsid w:val="76BF0A5B"/>
    <w:rsid w:val="76DEB469"/>
    <w:rsid w:val="76E94D4D"/>
    <w:rsid w:val="76F325DB"/>
    <w:rsid w:val="76FDB6F0"/>
    <w:rsid w:val="775DC2C0"/>
    <w:rsid w:val="775F7395"/>
    <w:rsid w:val="776ED0DC"/>
    <w:rsid w:val="777F1230"/>
    <w:rsid w:val="77BC7FD3"/>
    <w:rsid w:val="77CE7139"/>
    <w:rsid w:val="77D543EC"/>
    <w:rsid w:val="77DCB520"/>
    <w:rsid w:val="77DD9828"/>
    <w:rsid w:val="77DFE7B9"/>
    <w:rsid w:val="77EE9218"/>
    <w:rsid w:val="77EF1A86"/>
    <w:rsid w:val="77EF555C"/>
    <w:rsid w:val="77EFDA52"/>
    <w:rsid w:val="77F330CF"/>
    <w:rsid w:val="77FA2EEA"/>
    <w:rsid w:val="77FB5558"/>
    <w:rsid w:val="77FC70F1"/>
    <w:rsid w:val="77FDB018"/>
    <w:rsid w:val="77FEBEF2"/>
    <w:rsid w:val="77FECEF9"/>
    <w:rsid w:val="77FF2AD2"/>
    <w:rsid w:val="77FF3BE4"/>
    <w:rsid w:val="77FF4EE4"/>
    <w:rsid w:val="77FF8204"/>
    <w:rsid w:val="787F5694"/>
    <w:rsid w:val="78AAD97C"/>
    <w:rsid w:val="78F75056"/>
    <w:rsid w:val="78FFA059"/>
    <w:rsid w:val="79B11240"/>
    <w:rsid w:val="79C9F068"/>
    <w:rsid w:val="79DF0FBC"/>
    <w:rsid w:val="79DF8617"/>
    <w:rsid w:val="79E5642E"/>
    <w:rsid w:val="7A7F5FA4"/>
    <w:rsid w:val="7ABF9AF1"/>
    <w:rsid w:val="7ACBDAA7"/>
    <w:rsid w:val="7ACDCAC4"/>
    <w:rsid w:val="7AEB9C44"/>
    <w:rsid w:val="7AFB200E"/>
    <w:rsid w:val="7AFF32B8"/>
    <w:rsid w:val="7AFF9BF5"/>
    <w:rsid w:val="7B3D4C6F"/>
    <w:rsid w:val="7B3DB77C"/>
    <w:rsid w:val="7B5D19EA"/>
    <w:rsid w:val="7B6764BB"/>
    <w:rsid w:val="7B7E954A"/>
    <w:rsid w:val="7BBB6CCA"/>
    <w:rsid w:val="7BBFF52D"/>
    <w:rsid w:val="7BCD438B"/>
    <w:rsid w:val="7BD336D2"/>
    <w:rsid w:val="7BDF70F5"/>
    <w:rsid w:val="7BF39CA2"/>
    <w:rsid w:val="7BF76FE5"/>
    <w:rsid w:val="7BF918A2"/>
    <w:rsid w:val="7BFB190E"/>
    <w:rsid w:val="7BFB3E60"/>
    <w:rsid w:val="7BFB409A"/>
    <w:rsid w:val="7BFE0EEE"/>
    <w:rsid w:val="7BFF16AA"/>
    <w:rsid w:val="7BFFAADC"/>
    <w:rsid w:val="7C37F32E"/>
    <w:rsid w:val="7C774174"/>
    <w:rsid w:val="7C775BB3"/>
    <w:rsid w:val="7C7B9040"/>
    <w:rsid w:val="7C8FC5A6"/>
    <w:rsid w:val="7CEBFCDD"/>
    <w:rsid w:val="7CEEFC3A"/>
    <w:rsid w:val="7CEF5167"/>
    <w:rsid w:val="7CEF7F1D"/>
    <w:rsid w:val="7CFB007E"/>
    <w:rsid w:val="7CFDC632"/>
    <w:rsid w:val="7CFFE4DC"/>
    <w:rsid w:val="7D3E899B"/>
    <w:rsid w:val="7D57078F"/>
    <w:rsid w:val="7D5FB6A2"/>
    <w:rsid w:val="7D69B7FC"/>
    <w:rsid w:val="7D6F7FD8"/>
    <w:rsid w:val="7D6FDDE7"/>
    <w:rsid w:val="7D764708"/>
    <w:rsid w:val="7D7A1C80"/>
    <w:rsid w:val="7DB9C1A1"/>
    <w:rsid w:val="7DC7DDEE"/>
    <w:rsid w:val="7DCFE49A"/>
    <w:rsid w:val="7DDD0D3A"/>
    <w:rsid w:val="7DEE4699"/>
    <w:rsid w:val="7DEF776F"/>
    <w:rsid w:val="7DF75293"/>
    <w:rsid w:val="7DF81BEF"/>
    <w:rsid w:val="7DFA394B"/>
    <w:rsid w:val="7E358C27"/>
    <w:rsid w:val="7E3D72B3"/>
    <w:rsid w:val="7E3F232F"/>
    <w:rsid w:val="7E5FD7B8"/>
    <w:rsid w:val="7E736AB3"/>
    <w:rsid w:val="7E771D10"/>
    <w:rsid w:val="7E7FC68B"/>
    <w:rsid w:val="7E9D7AB9"/>
    <w:rsid w:val="7EB60D35"/>
    <w:rsid w:val="7EBDBFBE"/>
    <w:rsid w:val="7EBF7962"/>
    <w:rsid w:val="7ED93913"/>
    <w:rsid w:val="7EDFD429"/>
    <w:rsid w:val="7EEC8B9E"/>
    <w:rsid w:val="7EEE638F"/>
    <w:rsid w:val="7EFB66F5"/>
    <w:rsid w:val="7EFBA9B3"/>
    <w:rsid w:val="7EFBB1C5"/>
    <w:rsid w:val="7EFBB4C1"/>
    <w:rsid w:val="7EFD5288"/>
    <w:rsid w:val="7EFDB46C"/>
    <w:rsid w:val="7EFE09BD"/>
    <w:rsid w:val="7EFE3231"/>
    <w:rsid w:val="7EFEEFBF"/>
    <w:rsid w:val="7EFF0376"/>
    <w:rsid w:val="7EFF6D56"/>
    <w:rsid w:val="7EFF7934"/>
    <w:rsid w:val="7EFF92B7"/>
    <w:rsid w:val="7F27EE90"/>
    <w:rsid w:val="7F2E646E"/>
    <w:rsid w:val="7F2FE393"/>
    <w:rsid w:val="7F3B7F30"/>
    <w:rsid w:val="7F3D3756"/>
    <w:rsid w:val="7F3DB722"/>
    <w:rsid w:val="7F3E2CC8"/>
    <w:rsid w:val="7F478DE3"/>
    <w:rsid w:val="7F4B31DA"/>
    <w:rsid w:val="7F4F2AC6"/>
    <w:rsid w:val="7F52241B"/>
    <w:rsid w:val="7F54667C"/>
    <w:rsid w:val="7F5E6368"/>
    <w:rsid w:val="7F6F9DCD"/>
    <w:rsid w:val="7F6FE624"/>
    <w:rsid w:val="7F72A379"/>
    <w:rsid w:val="7F742419"/>
    <w:rsid w:val="7F7AEC17"/>
    <w:rsid w:val="7F7B4E27"/>
    <w:rsid w:val="7F7BB5F2"/>
    <w:rsid w:val="7F7C7439"/>
    <w:rsid w:val="7F7DD4E5"/>
    <w:rsid w:val="7F7E6606"/>
    <w:rsid w:val="7F7F39C3"/>
    <w:rsid w:val="7F7F9141"/>
    <w:rsid w:val="7F878371"/>
    <w:rsid w:val="7F8FDEC5"/>
    <w:rsid w:val="7FAD6387"/>
    <w:rsid w:val="7FAEA408"/>
    <w:rsid w:val="7FAEE690"/>
    <w:rsid w:val="7FB57BC7"/>
    <w:rsid w:val="7FB5CEA3"/>
    <w:rsid w:val="7FB7CEDD"/>
    <w:rsid w:val="7FBBA680"/>
    <w:rsid w:val="7FBE96A5"/>
    <w:rsid w:val="7FBECC14"/>
    <w:rsid w:val="7FBF541C"/>
    <w:rsid w:val="7FC9C942"/>
    <w:rsid w:val="7FCC9063"/>
    <w:rsid w:val="7FCD91E9"/>
    <w:rsid w:val="7FCF003B"/>
    <w:rsid w:val="7FD1DC44"/>
    <w:rsid w:val="7FDA7033"/>
    <w:rsid w:val="7FDAC664"/>
    <w:rsid w:val="7FDB4EA9"/>
    <w:rsid w:val="7FDCCF89"/>
    <w:rsid w:val="7FDF6825"/>
    <w:rsid w:val="7FDFB344"/>
    <w:rsid w:val="7FDFB396"/>
    <w:rsid w:val="7FDFB57D"/>
    <w:rsid w:val="7FE36DB8"/>
    <w:rsid w:val="7FE3D996"/>
    <w:rsid w:val="7FEB73FE"/>
    <w:rsid w:val="7FEBC85D"/>
    <w:rsid w:val="7FEC5251"/>
    <w:rsid w:val="7FED9800"/>
    <w:rsid w:val="7FEF5B31"/>
    <w:rsid w:val="7FEF85B2"/>
    <w:rsid w:val="7FEF8F07"/>
    <w:rsid w:val="7FEFF001"/>
    <w:rsid w:val="7FF38BE0"/>
    <w:rsid w:val="7FF51CF1"/>
    <w:rsid w:val="7FF57333"/>
    <w:rsid w:val="7FF6BF8F"/>
    <w:rsid w:val="7FF715C5"/>
    <w:rsid w:val="7FFA0CA4"/>
    <w:rsid w:val="7FFB0D49"/>
    <w:rsid w:val="7FFB43C8"/>
    <w:rsid w:val="7FFD153C"/>
    <w:rsid w:val="7FFD1E9B"/>
    <w:rsid w:val="7FFD4099"/>
    <w:rsid w:val="7FFDA4EB"/>
    <w:rsid w:val="7FFDAE32"/>
    <w:rsid w:val="7FFE6C4C"/>
    <w:rsid w:val="7FFE8600"/>
    <w:rsid w:val="7FFE8922"/>
    <w:rsid w:val="7FFF0851"/>
    <w:rsid w:val="7FFF1323"/>
    <w:rsid w:val="7FFF4A60"/>
    <w:rsid w:val="7FFF577E"/>
    <w:rsid w:val="7FFF5C57"/>
    <w:rsid w:val="7FFF66D9"/>
    <w:rsid w:val="7FFFF8C1"/>
    <w:rsid w:val="87B75B18"/>
    <w:rsid w:val="8BE7386D"/>
    <w:rsid w:val="8BEE550C"/>
    <w:rsid w:val="8BFFE3B9"/>
    <w:rsid w:val="8DB7F3E6"/>
    <w:rsid w:val="8DBF07B7"/>
    <w:rsid w:val="8FA71777"/>
    <w:rsid w:val="95457E53"/>
    <w:rsid w:val="979F1343"/>
    <w:rsid w:val="97B7E84B"/>
    <w:rsid w:val="97FE0FE1"/>
    <w:rsid w:val="99BB2E25"/>
    <w:rsid w:val="9A5F082C"/>
    <w:rsid w:val="9BFF6C79"/>
    <w:rsid w:val="9CBBAF53"/>
    <w:rsid w:val="9CF75FE4"/>
    <w:rsid w:val="9DBFE950"/>
    <w:rsid w:val="9ED2E2EE"/>
    <w:rsid w:val="9F1BCE47"/>
    <w:rsid w:val="9F44192C"/>
    <w:rsid w:val="9F7E7A23"/>
    <w:rsid w:val="9FC9A898"/>
    <w:rsid w:val="9FE32D66"/>
    <w:rsid w:val="9FFA92D4"/>
    <w:rsid w:val="A248F415"/>
    <w:rsid w:val="A2DFEFC5"/>
    <w:rsid w:val="A5BFABB3"/>
    <w:rsid w:val="A5FFEADE"/>
    <w:rsid w:val="A77B1450"/>
    <w:rsid w:val="A77DFC4B"/>
    <w:rsid w:val="A7EAAA97"/>
    <w:rsid w:val="A7FC9243"/>
    <w:rsid w:val="AA1D3121"/>
    <w:rsid w:val="AABD554A"/>
    <w:rsid w:val="ABE39D89"/>
    <w:rsid w:val="ABFB05CC"/>
    <w:rsid w:val="ACF85510"/>
    <w:rsid w:val="ADD64607"/>
    <w:rsid w:val="ADDD6832"/>
    <w:rsid w:val="AE5F0F61"/>
    <w:rsid w:val="AED41280"/>
    <w:rsid w:val="AEFAE8C4"/>
    <w:rsid w:val="AF9DE06F"/>
    <w:rsid w:val="AFADADE9"/>
    <w:rsid w:val="AFEF6FC0"/>
    <w:rsid w:val="AFFE3028"/>
    <w:rsid w:val="AFFF4CF9"/>
    <w:rsid w:val="B0CD95D8"/>
    <w:rsid w:val="B35BC1AA"/>
    <w:rsid w:val="B3BFDF3B"/>
    <w:rsid w:val="B3FE2DE7"/>
    <w:rsid w:val="B4C72622"/>
    <w:rsid w:val="B57CDFEE"/>
    <w:rsid w:val="B5D6B41C"/>
    <w:rsid w:val="B5EA165E"/>
    <w:rsid w:val="B73DCD13"/>
    <w:rsid w:val="B75E3B3B"/>
    <w:rsid w:val="B7BD50E8"/>
    <w:rsid w:val="B7DF2219"/>
    <w:rsid w:val="B7E79A79"/>
    <w:rsid w:val="B7FB8C4F"/>
    <w:rsid w:val="B9CF2988"/>
    <w:rsid w:val="B9EE02FB"/>
    <w:rsid w:val="B9F6CAAB"/>
    <w:rsid w:val="B9FD78EF"/>
    <w:rsid w:val="B9FF7BEB"/>
    <w:rsid w:val="BA561CB1"/>
    <w:rsid w:val="BA5F0295"/>
    <w:rsid w:val="BAD711FC"/>
    <w:rsid w:val="BADB1BA0"/>
    <w:rsid w:val="BAFFB6E2"/>
    <w:rsid w:val="BB59F3B0"/>
    <w:rsid w:val="BB7DAD06"/>
    <w:rsid w:val="BBBF7907"/>
    <w:rsid w:val="BBDB2F94"/>
    <w:rsid w:val="BBDDBB64"/>
    <w:rsid w:val="BBDE62E1"/>
    <w:rsid w:val="BBDFE2CF"/>
    <w:rsid w:val="BBFD05DB"/>
    <w:rsid w:val="BC71A0CB"/>
    <w:rsid w:val="BCCB3AAB"/>
    <w:rsid w:val="BCF7ED56"/>
    <w:rsid w:val="BCF89592"/>
    <w:rsid w:val="BCF9A10E"/>
    <w:rsid w:val="BCFDA10E"/>
    <w:rsid w:val="BCFF431B"/>
    <w:rsid w:val="BCFFC657"/>
    <w:rsid w:val="BD578308"/>
    <w:rsid w:val="BD6D7F49"/>
    <w:rsid w:val="BD77949C"/>
    <w:rsid w:val="BD7F6084"/>
    <w:rsid w:val="BD9DD182"/>
    <w:rsid w:val="BDBB0980"/>
    <w:rsid w:val="BDBFC70B"/>
    <w:rsid w:val="BDF1BE3D"/>
    <w:rsid w:val="BDFDD73C"/>
    <w:rsid w:val="BDFFAF92"/>
    <w:rsid w:val="BE3F147B"/>
    <w:rsid w:val="BE747A4E"/>
    <w:rsid w:val="BE7EBCC2"/>
    <w:rsid w:val="BEEB608C"/>
    <w:rsid w:val="BEED3666"/>
    <w:rsid w:val="BEF5B061"/>
    <w:rsid w:val="BEF72D95"/>
    <w:rsid w:val="BEF82E9E"/>
    <w:rsid w:val="BEFB6A30"/>
    <w:rsid w:val="BEFB8027"/>
    <w:rsid w:val="BEFE8DBE"/>
    <w:rsid w:val="BEFF75AD"/>
    <w:rsid w:val="BEFFBF23"/>
    <w:rsid w:val="BF1F191C"/>
    <w:rsid w:val="BF37FBB3"/>
    <w:rsid w:val="BF3D67E8"/>
    <w:rsid w:val="BF59AD8F"/>
    <w:rsid w:val="BF5BAA07"/>
    <w:rsid w:val="BF5FE22F"/>
    <w:rsid w:val="BF631242"/>
    <w:rsid w:val="BF6FAF73"/>
    <w:rsid w:val="BF7AFE1E"/>
    <w:rsid w:val="BF7B551C"/>
    <w:rsid w:val="BF7FFE36"/>
    <w:rsid w:val="BFB53992"/>
    <w:rsid w:val="BFBD7F4D"/>
    <w:rsid w:val="BFBFBF1F"/>
    <w:rsid w:val="BFD38AB6"/>
    <w:rsid w:val="BFDC500D"/>
    <w:rsid w:val="BFDD4B49"/>
    <w:rsid w:val="BFDF26B2"/>
    <w:rsid w:val="BFE71A8F"/>
    <w:rsid w:val="BFE75C19"/>
    <w:rsid w:val="BFEE43BF"/>
    <w:rsid w:val="BFF66BA7"/>
    <w:rsid w:val="BFF8D6C3"/>
    <w:rsid w:val="BFFC4110"/>
    <w:rsid w:val="BFFD523B"/>
    <w:rsid w:val="BFFDB292"/>
    <w:rsid w:val="BFFF8D6F"/>
    <w:rsid w:val="BFFFB4C4"/>
    <w:rsid w:val="C6B3962D"/>
    <w:rsid w:val="C6BF2EFB"/>
    <w:rsid w:val="C72A81E4"/>
    <w:rsid w:val="C7F500FB"/>
    <w:rsid w:val="C87DE3A6"/>
    <w:rsid w:val="C96D0AE3"/>
    <w:rsid w:val="CAF8F61C"/>
    <w:rsid w:val="CAFF984C"/>
    <w:rsid w:val="CBB3383A"/>
    <w:rsid w:val="CBDDE353"/>
    <w:rsid w:val="CCFE1657"/>
    <w:rsid w:val="CD79448E"/>
    <w:rsid w:val="CEEAAAE5"/>
    <w:rsid w:val="CEEB3543"/>
    <w:rsid w:val="CF6D5708"/>
    <w:rsid w:val="CF7DC407"/>
    <w:rsid w:val="CF7DDA6B"/>
    <w:rsid w:val="CF9D63CE"/>
    <w:rsid w:val="CFBA32C3"/>
    <w:rsid w:val="CFD57CF9"/>
    <w:rsid w:val="CFDF12F9"/>
    <w:rsid w:val="CFDF5D94"/>
    <w:rsid w:val="CFEF2CE1"/>
    <w:rsid w:val="CFF44258"/>
    <w:rsid w:val="D2FDC814"/>
    <w:rsid w:val="D397B576"/>
    <w:rsid w:val="D39AB26C"/>
    <w:rsid w:val="D3BFBF75"/>
    <w:rsid w:val="D3CF612D"/>
    <w:rsid w:val="D4E938C8"/>
    <w:rsid w:val="D4F16156"/>
    <w:rsid w:val="D4FFBF74"/>
    <w:rsid w:val="D5ED57A7"/>
    <w:rsid w:val="D67D93B3"/>
    <w:rsid w:val="D6AF98D5"/>
    <w:rsid w:val="D75F8ECF"/>
    <w:rsid w:val="D79F2550"/>
    <w:rsid w:val="D7AD7DDB"/>
    <w:rsid w:val="D7BF3FE5"/>
    <w:rsid w:val="D7F543AC"/>
    <w:rsid w:val="D7F5A227"/>
    <w:rsid w:val="D7FFA081"/>
    <w:rsid w:val="D93F38EB"/>
    <w:rsid w:val="D9FB245F"/>
    <w:rsid w:val="DB3FE94D"/>
    <w:rsid w:val="DB7E447E"/>
    <w:rsid w:val="DB9C4CEE"/>
    <w:rsid w:val="DB9F1D41"/>
    <w:rsid w:val="DBFBEA08"/>
    <w:rsid w:val="DBFF5E86"/>
    <w:rsid w:val="DBFF947C"/>
    <w:rsid w:val="DCBB3CD9"/>
    <w:rsid w:val="DCFDF8CA"/>
    <w:rsid w:val="DCFE60A3"/>
    <w:rsid w:val="DD779D4F"/>
    <w:rsid w:val="DD7EDF57"/>
    <w:rsid w:val="DD9ED32E"/>
    <w:rsid w:val="DDC7FA49"/>
    <w:rsid w:val="DDCE35AB"/>
    <w:rsid w:val="DDDAC121"/>
    <w:rsid w:val="DDE79FF2"/>
    <w:rsid w:val="DDED927B"/>
    <w:rsid w:val="DDEFFB1E"/>
    <w:rsid w:val="DE77D34D"/>
    <w:rsid w:val="DECEC693"/>
    <w:rsid w:val="DEDF72E4"/>
    <w:rsid w:val="DEE6D7A8"/>
    <w:rsid w:val="DEED605E"/>
    <w:rsid w:val="DEFBCAB2"/>
    <w:rsid w:val="DEFF5765"/>
    <w:rsid w:val="DF398944"/>
    <w:rsid w:val="DF3F2887"/>
    <w:rsid w:val="DF6BAFBC"/>
    <w:rsid w:val="DF6EB94E"/>
    <w:rsid w:val="DF797AAB"/>
    <w:rsid w:val="DF7CEC9F"/>
    <w:rsid w:val="DF7EE2C4"/>
    <w:rsid w:val="DF7FFA35"/>
    <w:rsid w:val="DF969026"/>
    <w:rsid w:val="DF9D9D8E"/>
    <w:rsid w:val="DFD75F55"/>
    <w:rsid w:val="DFDF4BF0"/>
    <w:rsid w:val="DFDFA0C8"/>
    <w:rsid w:val="DFE8EE82"/>
    <w:rsid w:val="DFED599F"/>
    <w:rsid w:val="DFEFE76C"/>
    <w:rsid w:val="DFF48BD7"/>
    <w:rsid w:val="DFF69DCC"/>
    <w:rsid w:val="DFF7A3EC"/>
    <w:rsid w:val="DFFBE7DB"/>
    <w:rsid w:val="DFFDDA0E"/>
    <w:rsid w:val="DFFF60FA"/>
    <w:rsid w:val="DFFF9599"/>
    <w:rsid w:val="E2CDD85C"/>
    <w:rsid w:val="E37C57A4"/>
    <w:rsid w:val="E3B41F48"/>
    <w:rsid w:val="E3CC096D"/>
    <w:rsid w:val="E3E288CF"/>
    <w:rsid w:val="E3E90835"/>
    <w:rsid w:val="E3F5A106"/>
    <w:rsid w:val="E5BE13C1"/>
    <w:rsid w:val="E5BFD574"/>
    <w:rsid w:val="E6BD8FB4"/>
    <w:rsid w:val="E6E71E61"/>
    <w:rsid w:val="E7630990"/>
    <w:rsid w:val="E7BB6008"/>
    <w:rsid w:val="E7BDD662"/>
    <w:rsid w:val="E7CDD526"/>
    <w:rsid w:val="E7D52538"/>
    <w:rsid w:val="E7D7092B"/>
    <w:rsid w:val="E7DE740C"/>
    <w:rsid w:val="E7DF22EB"/>
    <w:rsid w:val="E7EB0C8F"/>
    <w:rsid w:val="E7F5FA4C"/>
    <w:rsid w:val="E7FDB138"/>
    <w:rsid w:val="E7FFE0D8"/>
    <w:rsid w:val="E97DF5C2"/>
    <w:rsid w:val="E9D6863B"/>
    <w:rsid w:val="EA5F6353"/>
    <w:rsid w:val="EAF63B94"/>
    <w:rsid w:val="EAFEF77B"/>
    <w:rsid w:val="EB4FCBDB"/>
    <w:rsid w:val="EB7F2C16"/>
    <w:rsid w:val="EBDFA9A2"/>
    <w:rsid w:val="EBF49CCF"/>
    <w:rsid w:val="EBFE6559"/>
    <w:rsid w:val="EBFF8468"/>
    <w:rsid w:val="EC7E2D38"/>
    <w:rsid w:val="ECF3FDA5"/>
    <w:rsid w:val="ED771DAF"/>
    <w:rsid w:val="ED7D3E98"/>
    <w:rsid w:val="ED7F189D"/>
    <w:rsid w:val="ED97CBCC"/>
    <w:rsid w:val="EDB2A6EB"/>
    <w:rsid w:val="EDF24C57"/>
    <w:rsid w:val="EDF7B9B6"/>
    <w:rsid w:val="EDFF15AC"/>
    <w:rsid w:val="EDFF6287"/>
    <w:rsid w:val="EE0F3B53"/>
    <w:rsid w:val="EE4F47D0"/>
    <w:rsid w:val="EEF7722F"/>
    <w:rsid w:val="EEFBAC25"/>
    <w:rsid w:val="EF76D48D"/>
    <w:rsid w:val="EF7F0A09"/>
    <w:rsid w:val="EFAE45B2"/>
    <w:rsid w:val="EFBEFB78"/>
    <w:rsid w:val="EFBF38A0"/>
    <w:rsid w:val="EFBFABAD"/>
    <w:rsid w:val="EFBFDC4A"/>
    <w:rsid w:val="EFEC09DA"/>
    <w:rsid w:val="EFEF228F"/>
    <w:rsid w:val="EFFD262F"/>
    <w:rsid w:val="EFFDDC9F"/>
    <w:rsid w:val="EFFEA009"/>
    <w:rsid w:val="EFFF57F6"/>
    <w:rsid w:val="EFFF5CB9"/>
    <w:rsid w:val="F0777935"/>
    <w:rsid w:val="F0FF5B28"/>
    <w:rsid w:val="F1F4E28E"/>
    <w:rsid w:val="F2DAD3FE"/>
    <w:rsid w:val="F2EF0F66"/>
    <w:rsid w:val="F3493315"/>
    <w:rsid w:val="F3796C15"/>
    <w:rsid w:val="F3BCAF87"/>
    <w:rsid w:val="F3EC324E"/>
    <w:rsid w:val="F3EF2225"/>
    <w:rsid w:val="F3EF43C7"/>
    <w:rsid w:val="F3F68262"/>
    <w:rsid w:val="F3F9B175"/>
    <w:rsid w:val="F3FB8388"/>
    <w:rsid w:val="F3FF13B0"/>
    <w:rsid w:val="F49DFB7D"/>
    <w:rsid w:val="F4DC4999"/>
    <w:rsid w:val="F4DD5DD1"/>
    <w:rsid w:val="F4EFB727"/>
    <w:rsid w:val="F4FF6C96"/>
    <w:rsid w:val="F5681BFA"/>
    <w:rsid w:val="F57F0E16"/>
    <w:rsid w:val="F5AB6846"/>
    <w:rsid w:val="F5AB9B5F"/>
    <w:rsid w:val="F5BD3BA0"/>
    <w:rsid w:val="F5E66C10"/>
    <w:rsid w:val="F5EF1F7E"/>
    <w:rsid w:val="F5FE0BFF"/>
    <w:rsid w:val="F657E06C"/>
    <w:rsid w:val="F67D3B65"/>
    <w:rsid w:val="F6B7B33A"/>
    <w:rsid w:val="F6B83FEC"/>
    <w:rsid w:val="F6BE02FC"/>
    <w:rsid w:val="F6C96023"/>
    <w:rsid w:val="F6CF7C3E"/>
    <w:rsid w:val="F6DFC1B3"/>
    <w:rsid w:val="F6F7321B"/>
    <w:rsid w:val="F6FB0F18"/>
    <w:rsid w:val="F6FF59A3"/>
    <w:rsid w:val="F6FF7DFA"/>
    <w:rsid w:val="F76465BE"/>
    <w:rsid w:val="F776D2FB"/>
    <w:rsid w:val="F79CAF26"/>
    <w:rsid w:val="F79F0176"/>
    <w:rsid w:val="F79FC1CE"/>
    <w:rsid w:val="F7B34DA9"/>
    <w:rsid w:val="F7B5E6F3"/>
    <w:rsid w:val="F7BDD3ED"/>
    <w:rsid w:val="F7C92848"/>
    <w:rsid w:val="F7D78580"/>
    <w:rsid w:val="F7DB6B94"/>
    <w:rsid w:val="F7DC2FF9"/>
    <w:rsid w:val="F7DF8BE7"/>
    <w:rsid w:val="F7E6C67F"/>
    <w:rsid w:val="F7E9EC5C"/>
    <w:rsid w:val="F7EDAB74"/>
    <w:rsid w:val="F7EE1FAD"/>
    <w:rsid w:val="F7EF74B7"/>
    <w:rsid w:val="F7EF94A4"/>
    <w:rsid w:val="F7EFC286"/>
    <w:rsid w:val="F7EFC727"/>
    <w:rsid w:val="F7EFE4AB"/>
    <w:rsid w:val="F7F7C3A9"/>
    <w:rsid w:val="F7FB0967"/>
    <w:rsid w:val="F7FB7DF7"/>
    <w:rsid w:val="F7FF03F4"/>
    <w:rsid w:val="F7FF7B9A"/>
    <w:rsid w:val="F7FF7DD8"/>
    <w:rsid w:val="F7FF7F59"/>
    <w:rsid w:val="F85F447D"/>
    <w:rsid w:val="F8FE2AC5"/>
    <w:rsid w:val="F90EBB34"/>
    <w:rsid w:val="F96B3095"/>
    <w:rsid w:val="F99FF2A4"/>
    <w:rsid w:val="F9DFD808"/>
    <w:rsid w:val="F9F30AE3"/>
    <w:rsid w:val="F9FD65CF"/>
    <w:rsid w:val="FA5BE642"/>
    <w:rsid w:val="FABEF5CB"/>
    <w:rsid w:val="FAFA00C9"/>
    <w:rsid w:val="FAFBFEEA"/>
    <w:rsid w:val="FAFD3CDB"/>
    <w:rsid w:val="FB3B60FD"/>
    <w:rsid w:val="FB3BDACD"/>
    <w:rsid w:val="FB558BA8"/>
    <w:rsid w:val="FB6DB453"/>
    <w:rsid w:val="FB739383"/>
    <w:rsid w:val="FB7F8CFB"/>
    <w:rsid w:val="FB9711C4"/>
    <w:rsid w:val="FB971DE4"/>
    <w:rsid w:val="FB9B6A4F"/>
    <w:rsid w:val="FB9FC8D2"/>
    <w:rsid w:val="FBBF5498"/>
    <w:rsid w:val="FBEDB349"/>
    <w:rsid w:val="FBF2B10D"/>
    <w:rsid w:val="FBFD14BA"/>
    <w:rsid w:val="FBFEF85A"/>
    <w:rsid w:val="FBFF649E"/>
    <w:rsid w:val="FBFFF129"/>
    <w:rsid w:val="FC148C8E"/>
    <w:rsid w:val="FC5D4DD9"/>
    <w:rsid w:val="FC6B74B4"/>
    <w:rsid w:val="FCBD5C58"/>
    <w:rsid w:val="FCD549AF"/>
    <w:rsid w:val="FCED3939"/>
    <w:rsid w:val="FCF634AF"/>
    <w:rsid w:val="FCF671B7"/>
    <w:rsid w:val="FCFFA1E9"/>
    <w:rsid w:val="FD177289"/>
    <w:rsid w:val="FD4D43D3"/>
    <w:rsid w:val="FD5DA054"/>
    <w:rsid w:val="FD6A64F8"/>
    <w:rsid w:val="FDAA0118"/>
    <w:rsid w:val="FDAF1D03"/>
    <w:rsid w:val="FDAF317C"/>
    <w:rsid w:val="FDB79851"/>
    <w:rsid w:val="FDBB9FE2"/>
    <w:rsid w:val="FDDD7802"/>
    <w:rsid w:val="FDDF1995"/>
    <w:rsid w:val="FDDFD5F0"/>
    <w:rsid w:val="FDE36C6E"/>
    <w:rsid w:val="FDE79A11"/>
    <w:rsid w:val="FDE7C5B0"/>
    <w:rsid w:val="FDE7F793"/>
    <w:rsid w:val="FDEF8236"/>
    <w:rsid w:val="FDEFDAB6"/>
    <w:rsid w:val="FDF0C6B8"/>
    <w:rsid w:val="FDF2EA28"/>
    <w:rsid w:val="FDF6209A"/>
    <w:rsid w:val="FDFB2F28"/>
    <w:rsid w:val="FDFBB7EE"/>
    <w:rsid w:val="FDFDC6D8"/>
    <w:rsid w:val="FDFEBFD0"/>
    <w:rsid w:val="FDFF55FA"/>
    <w:rsid w:val="FDFF6E75"/>
    <w:rsid w:val="FDFF83E7"/>
    <w:rsid w:val="FDFFF598"/>
    <w:rsid w:val="FDFFF638"/>
    <w:rsid w:val="FE1AADA2"/>
    <w:rsid w:val="FE5F4B93"/>
    <w:rsid w:val="FE778D42"/>
    <w:rsid w:val="FE790260"/>
    <w:rsid w:val="FE87B690"/>
    <w:rsid w:val="FEA75E33"/>
    <w:rsid w:val="FECC985C"/>
    <w:rsid w:val="FECFA062"/>
    <w:rsid w:val="FED311AB"/>
    <w:rsid w:val="FED714E1"/>
    <w:rsid w:val="FEDD0DA1"/>
    <w:rsid w:val="FEDEBC13"/>
    <w:rsid w:val="FEDFED1B"/>
    <w:rsid w:val="FEEF7C58"/>
    <w:rsid w:val="FEF3FFDB"/>
    <w:rsid w:val="FEF780CB"/>
    <w:rsid w:val="FEFD87F1"/>
    <w:rsid w:val="FEFDC74A"/>
    <w:rsid w:val="FEFF5267"/>
    <w:rsid w:val="FEFFBBC1"/>
    <w:rsid w:val="FF3B28B2"/>
    <w:rsid w:val="FF3B4842"/>
    <w:rsid w:val="FF3BEA85"/>
    <w:rsid w:val="FF3F1C8F"/>
    <w:rsid w:val="FF3F67D5"/>
    <w:rsid w:val="FF4CE055"/>
    <w:rsid w:val="FF564F95"/>
    <w:rsid w:val="FF573F31"/>
    <w:rsid w:val="FF5DC59C"/>
    <w:rsid w:val="FF5E3852"/>
    <w:rsid w:val="FF5FB704"/>
    <w:rsid w:val="FF6793F1"/>
    <w:rsid w:val="FF6F619D"/>
    <w:rsid w:val="FF743050"/>
    <w:rsid w:val="FF7A1BD6"/>
    <w:rsid w:val="FF7A6CEE"/>
    <w:rsid w:val="FF7B252E"/>
    <w:rsid w:val="FF7B455D"/>
    <w:rsid w:val="FF7B9202"/>
    <w:rsid w:val="FF7C87CE"/>
    <w:rsid w:val="FF7E4855"/>
    <w:rsid w:val="FF7EFEF4"/>
    <w:rsid w:val="FF7F4BBE"/>
    <w:rsid w:val="FF7FF3EB"/>
    <w:rsid w:val="FF977D42"/>
    <w:rsid w:val="FF9CF382"/>
    <w:rsid w:val="FF9F3F09"/>
    <w:rsid w:val="FFAADCB7"/>
    <w:rsid w:val="FFBB6F11"/>
    <w:rsid w:val="FFBB8749"/>
    <w:rsid w:val="FFBB9756"/>
    <w:rsid w:val="FFBD2DEF"/>
    <w:rsid w:val="FFBE0BE1"/>
    <w:rsid w:val="FFBF11E1"/>
    <w:rsid w:val="FFBF70E3"/>
    <w:rsid w:val="FFCA019B"/>
    <w:rsid w:val="FFCF81FC"/>
    <w:rsid w:val="FFCF8797"/>
    <w:rsid w:val="FFCFCFF1"/>
    <w:rsid w:val="FFD71536"/>
    <w:rsid w:val="FFD7C1E1"/>
    <w:rsid w:val="FFD9E338"/>
    <w:rsid w:val="FFDB7409"/>
    <w:rsid w:val="FFDBCAED"/>
    <w:rsid w:val="FFDCD1BC"/>
    <w:rsid w:val="FFDF6137"/>
    <w:rsid w:val="FFDF99A8"/>
    <w:rsid w:val="FFDFC6ED"/>
    <w:rsid w:val="FFE53FE4"/>
    <w:rsid w:val="FFE6017D"/>
    <w:rsid w:val="FFE606D1"/>
    <w:rsid w:val="FFEB83B1"/>
    <w:rsid w:val="FFEC514A"/>
    <w:rsid w:val="FFEF2906"/>
    <w:rsid w:val="FFEF3461"/>
    <w:rsid w:val="FFEF6CBC"/>
    <w:rsid w:val="FFEFCB5F"/>
    <w:rsid w:val="FFF051C9"/>
    <w:rsid w:val="FFF3065D"/>
    <w:rsid w:val="FFF581D1"/>
    <w:rsid w:val="FFF60355"/>
    <w:rsid w:val="FFF66D22"/>
    <w:rsid w:val="FFF70EBA"/>
    <w:rsid w:val="FFF71E88"/>
    <w:rsid w:val="FFF73507"/>
    <w:rsid w:val="FFF74C47"/>
    <w:rsid w:val="FFFB0727"/>
    <w:rsid w:val="FFFB117C"/>
    <w:rsid w:val="FFFB3A12"/>
    <w:rsid w:val="FFFB466A"/>
    <w:rsid w:val="FFFD64B4"/>
    <w:rsid w:val="FFFEB918"/>
    <w:rsid w:val="FFFEC39D"/>
    <w:rsid w:val="FFFED70E"/>
    <w:rsid w:val="FFFEF2C5"/>
    <w:rsid w:val="FFFF09D5"/>
    <w:rsid w:val="FFFF2B17"/>
    <w:rsid w:val="FFFF4046"/>
    <w:rsid w:val="FFFF4536"/>
    <w:rsid w:val="FFFF59E4"/>
    <w:rsid w:val="FFFFBC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DAAAB2"/>
  <w15:docId w15:val="{15B1E744-5D94-4158-9864-18BC0122E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basedOn w:val="Normal"/>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rial MT" w:eastAsia="Arial MT" w:hAnsi="Arial MT" w:cs="Arial MT"/>
      <w:sz w:val="22"/>
      <w:szCs w:val="22"/>
      <w:lang w:eastAsia="en-U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TOC1">
    <w:name w:val="toc 1"/>
    <w:basedOn w:val="Normal"/>
    <w:next w:val="Normal"/>
  </w:style>
  <w:style w:type="paragraph" w:customStyle="1" w:styleId="TableParagraph">
    <w:name w:val="Table Paragraph"/>
    <w:basedOn w:val="Normal"/>
    <w:uiPriority w:val="1"/>
    <w:qFormat/>
    <w:rPr>
      <w:rFonts w:ascii="Arial MT" w:eastAsia="Arial MT" w:hAnsi="Arial MT" w:cs="Arial M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www.netsuite.com/portal/resource/articles/financial-management/working-capital.shtml" TargetMode="External"/><Relationship Id="rId26" Type="http://schemas.openxmlformats.org/officeDocument/2006/relationships/hyperlink" Target="https://www.jpmorgan.com/insights/treasury/treasury-management/6-ways-to-increase-working-capital" TargetMode="External"/><Relationship Id="rId39" Type="http://schemas.openxmlformats.org/officeDocument/2006/relationships/fontTable" Target="fontTable.xml"/><Relationship Id="rId21" Type="http://schemas.openxmlformats.org/officeDocument/2006/relationships/hyperlink" Target="https://www.researchgate.net/publication/363370336_The_Analysis_of_Three_Main_Investment_Criteria_NPV_IRR_and_Payback_Period" TargetMode="External"/><Relationship Id="rId34" Type="http://schemas.openxmlformats.org/officeDocument/2006/relationships/hyperlink" Target="https://qubit.capital/blog/short-term-vs-long-term-financing"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researchgate.net/profile/Deborah-Atere-2/publication/399419573_Framework_for_Designing_Effective_Corporate_Restructuring_Strategies_to_Optimize_Liquidity_and_Working_Capital/links/6959b11a27359023a013262d/Framework-for-Designing-Effective-Corporate-Restructuring-Strategies-to-Optimize-Liquidity-and-Working-Capital.pdf" TargetMode="External"/><Relationship Id="rId25" Type="http://schemas.openxmlformats.org/officeDocument/2006/relationships/hyperlink" Target="https://www.globaldata.com/company-profile/marriott-international-inc/" TargetMode="External"/><Relationship Id="rId33" Type="http://schemas.openxmlformats.org/officeDocument/2006/relationships/hyperlink" Target="https://www.researchgate.net/profile/Roaan-Reddy-Yerram/publication/388109110_Risk_Management_in_Foreign_Exchange_for_Cross-Border_Payments_Strategies_for_Minimizing_Exposure/links/678a6bde1ec9f9589f491ade/Risk-Management-in-Foreign-Exchange-for-Cross-Border-Payments-Strategies-for-Minimizing-Exposure.pd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365825964_Cash_Conversion_Cycle_and_Firm's_Performance" TargetMode="External"/><Relationship Id="rId20" Type="http://schemas.openxmlformats.org/officeDocument/2006/relationships/hyperlink" Target="https://scholarworks.wmich.edu/cgi/viewcontent.cgi?article=4808&amp;context=honors_theses" TargetMode="External"/><Relationship Id="rId29" Type="http://schemas.openxmlformats.org/officeDocument/2006/relationships/hyperlink" Target="https://legalvision.co.uk/corporations/term-financ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sdmimd.ac.in/financeconference2023/papers/IFC2372.pdf" TargetMode="External"/><Relationship Id="rId32" Type="http://schemas.openxmlformats.org/officeDocument/2006/relationships/hyperlink" Target="https://www.researchgate.net/profile/Amar-Oukil/publication/391457278_Planning_Large-Scale_Partnerships_in_the_Hotel_Industry/links/69a74905d1599a2cb7f63255/Planning-Large-Scale-Partnerships-in-the-Hotel-Industry.pdf" TargetMode="External"/><Relationship Id="rId37" Type="http://schemas.openxmlformats.org/officeDocument/2006/relationships/hyperlink" Target="https://corporatefinanceinstitute.com/resources/valuation/internal-rate-return-irr/"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dpi.com/2071-1050/12/13/5337" TargetMode="External"/><Relationship Id="rId23" Type="http://schemas.openxmlformats.org/officeDocument/2006/relationships/hyperlink" Target="https://rku.ac.in/icostart2022/books/14-management-jenil-gandhi-(127-141).pdf" TargetMode="External"/><Relationship Id="rId28" Type="http://schemas.openxmlformats.org/officeDocument/2006/relationships/hyperlink" Target="https://in.investing.com/equities/intercontinental-hotels-group-ratios" TargetMode="External"/><Relationship Id="rId36" Type="http://schemas.openxmlformats.org/officeDocument/2006/relationships/hyperlink" Target="https://corporatefinanceinstitute.com/resources/accounting/arr-accounting-rate-of-return/" TargetMode="External"/><Relationship Id="rId10" Type="http://schemas.openxmlformats.org/officeDocument/2006/relationships/chart" Target="charts/chart2.xml"/><Relationship Id="rId19" Type="http://schemas.openxmlformats.org/officeDocument/2006/relationships/hyperlink" Target="https://papers.ssrn.com/sol3/Delivery.cfm?abstractid=2619462" TargetMode="External"/><Relationship Id="rId31" Type="http://schemas.openxmlformats.org/officeDocument/2006/relationships/hyperlink" Target="https://www.researchgate.net/profile/John-Mcenroe-2/publication/377328992_Is_it_Time_to_Revise_Diluted_Earnings_per_Share/links/65a1822740ce1c5902da6d52/Is-it-Time-to-Revise-Diluted-Earnings-per-Share.pdf"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ijirset.com/upload/2026/march/209_A%20Study%20of%20Financial%20Performance%20Using%20Ratio%20Analysis%20at%20ITC.pdf" TargetMode="External"/><Relationship Id="rId27" Type="http://schemas.openxmlformats.org/officeDocument/2006/relationships/hyperlink" Target="https://in.investing.com/equities/hilton-worldwide-ratios" TargetMode="External"/><Relationship Id="rId30" Type="http://schemas.openxmlformats.org/officeDocument/2006/relationships/hyperlink" Target="https://marriott.gcs-web.com/static-files/9cf0e9b0-bbfa-48a6-9e21-ffbdbc4b2d78" TargetMode="External"/><Relationship Id="rId35" Type="http://schemas.openxmlformats.org/officeDocument/2006/relationships/hyperlink" Target="https://www.wallstreetmojo.com/profitability-index/" TargetMode="Externa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Users/vineet/Documents/CB/June%202026/D2634396V1/08072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Users/vineet/Documents/CB/June%202026/D2634396V1/08072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Users/vineet/Documents/CB/June%202026/D2634396V1/08072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Users/vineet/Documents/CB/June%202026/D2634396V1/08072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Users/vineet/Documents/CB/June%202026/D2634396V1/08072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Users/vineet/Documents/CB/June%202026/D2634396V1/080726.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Profitability</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[080726.xlsx]Charts!$A$3</c:f>
              <c:strCache>
                <c:ptCount val="1"/>
                <c:pt idx="0">
                  <c:v>Operating profit margin</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[080726.xlsx]Charts!$B$2:$F$2</c:f>
              <c:numCache>
                <c:formatCode>General</c:formatCode>
                <c:ptCount val="5"/>
                <c:pt idx="0">
                  <c:v>2021</c:v>
                </c:pt>
                <c:pt idx="1">
                  <c:v>2022</c:v>
                </c:pt>
                <c:pt idx="2">
                  <c:v>2023</c:v>
                </c:pt>
                <c:pt idx="3">
                  <c:v>2024</c:v>
                </c:pt>
                <c:pt idx="4">
                  <c:v>2025</c:v>
                </c:pt>
              </c:numCache>
            </c:numRef>
          </c:cat>
          <c:val>
            <c:numRef>
              <c:f>[080726.xlsx]Charts!$B$3:$F$3</c:f>
              <c:numCache>
                <c:formatCode>0.00%</c:formatCode>
                <c:ptCount val="5"/>
                <c:pt idx="0">
                  <c:v>0.12628996175218299</c:v>
                </c:pt>
                <c:pt idx="1">
                  <c:v>0.16665864343137701</c:v>
                </c:pt>
                <c:pt idx="2">
                  <c:v>0.16294859359844799</c:v>
                </c:pt>
                <c:pt idx="3">
                  <c:v>0.15007968127490001</c:v>
                </c:pt>
                <c:pt idx="4">
                  <c:v>0.158137936301841</c:v>
                </c:pt>
              </c:numCache>
            </c:numRef>
          </c:val>
          <c:extLst>
            <c:ext xmlns:c16="http://schemas.microsoft.com/office/drawing/2014/chart" uri="{C3380CC4-5D6E-409C-BE32-E72D297353CC}">
              <c16:uniqueId val="{00000000-3913-443A-BEDA-82212D8D0261}"/>
            </c:ext>
          </c:extLst>
        </c:ser>
        <c:ser>
          <c:idx val="1"/>
          <c:order val="1"/>
          <c:tx>
            <c:strRef>
              <c:f>[080726.xlsx]Charts!$A$4</c:f>
              <c:strCache>
                <c:ptCount val="1"/>
                <c:pt idx="0">
                  <c:v>Net profit margin</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[080726.xlsx]Charts!$B$2:$F$2</c:f>
              <c:numCache>
                <c:formatCode>General</c:formatCode>
                <c:ptCount val="5"/>
                <c:pt idx="0">
                  <c:v>2021</c:v>
                </c:pt>
                <c:pt idx="1">
                  <c:v>2022</c:v>
                </c:pt>
                <c:pt idx="2">
                  <c:v>2023</c:v>
                </c:pt>
                <c:pt idx="3">
                  <c:v>2024</c:v>
                </c:pt>
                <c:pt idx="4">
                  <c:v>2025</c:v>
                </c:pt>
              </c:numCache>
            </c:numRef>
          </c:cat>
          <c:val>
            <c:numRef>
              <c:f>[080726.xlsx]Charts!$B$4:$F$4</c:f>
              <c:numCache>
                <c:formatCode>0.00%</c:formatCode>
                <c:ptCount val="5"/>
                <c:pt idx="0">
                  <c:v>7.9310095980370907E-2</c:v>
                </c:pt>
                <c:pt idx="1">
                  <c:v>0.113512732874404</c:v>
                </c:pt>
                <c:pt idx="2">
                  <c:v>0.13001307299793399</c:v>
                </c:pt>
                <c:pt idx="3">
                  <c:v>9.4621513944223107E-2</c:v>
                </c:pt>
                <c:pt idx="4">
                  <c:v>9.9327885129458504E-2</c:v>
                </c:pt>
              </c:numCache>
            </c:numRef>
          </c:val>
          <c:extLst>
            <c:ext xmlns:c16="http://schemas.microsoft.com/office/drawing/2014/chart" uri="{C3380CC4-5D6E-409C-BE32-E72D297353CC}">
              <c16:uniqueId val="{00000001-3913-443A-BEDA-82212D8D0261}"/>
            </c:ext>
          </c:extLst>
        </c:ser>
        <c:dLbls>
          <c:showLegendKey val="0"/>
          <c:showVal val="1"/>
          <c:showCatName val="0"/>
          <c:showSerName val="0"/>
          <c:showPercent val="0"/>
          <c:showBubbleSize val="0"/>
        </c:dLbls>
        <c:gapWidth val="219"/>
        <c:overlap val="-27"/>
        <c:axId val="1078721031"/>
        <c:axId val="1096163847"/>
      </c:barChart>
      <c:catAx>
        <c:axId val="10787210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96163847"/>
        <c:crosses val="autoZero"/>
        <c:auto val="1"/>
        <c:lblAlgn val="ctr"/>
        <c:lblOffset val="100"/>
        <c:noMultiLvlLbl val="0"/>
      </c:catAx>
      <c:valAx>
        <c:axId val="109616384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787210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51689e9b-341e-4655-9aa6-925f9be2471b}"/>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Liquidity</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[080726.xlsx]Charts!$A$7</c:f>
              <c:strCache>
                <c:ptCount val="1"/>
                <c:pt idx="0">
                  <c:v>Current ratio</c:v>
                </c:pt>
              </c:strCache>
            </c:strRef>
          </c:tx>
          <c:spPr>
            <a:ln w="28575" cap="rnd">
              <a:solidFill>
                <a:schemeClr val="accent1"/>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[080726.xlsx]Charts!$B$6:$F$6</c:f>
              <c:numCache>
                <c:formatCode>General</c:formatCode>
                <c:ptCount val="5"/>
                <c:pt idx="0">
                  <c:v>2021</c:v>
                </c:pt>
                <c:pt idx="1">
                  <c:v>2022</c:v>
                </c:pt>
                <c:pt idx="2">
                  <c:v>2023</c:v>
                </c:pt>
                <c:pt idx="3">
                  <c:v>2024</c:v>
                </c:pt>
                <c:pt idx="4">
                  <c:v>2025</c:v>
                </c:pt>
              </c:numCache>
            </c:numRef>
          </c:cat>
          <c:val>
            <c:numRef>
              <c:f>[080726.xlsx]Charts!$B$7:$F$7</c:f>
              <c:numCache>
                <c:formatCode>0.00_ </c:formatCode>
                <c:ptCount val="5"/>
                <c:pt idx="0">
                  <c:v>0.56594349929764298</c:v>
                </c:pt>
                <c:pt idx="1">
                  <c:v>0.45142389971385699</c:v>
                </c:pt>
                <c:pt idx="2">
                  <c:v>0.42656531821695398</c:v>
                </c:pt>
                <c:pt idx="3">
                  <c:v>0.40293675569429999</c:v>
                </c:pt>
                <c:pt idx="4">
                  <c:v>0.42676827816146701</c:v>
                </c:pt>
              </c:numCache>
            </c:numRef>
          </c:val>
          <c:smooth val="0"/>
          <c:extLst>
            <c:ext xmlns:c16="http://schemas.microsoft.com/office/drawing/2014/chart" uri="{C3380CC4-5D6E-409C-BE32-E72D297353CC}">
              <c16:uniqueId val="{00000000-B5BA-44C5-AC7A-2F1F35BA0C3C}"/>
            </c:ext>
          </c:extLst>
        </c:ser>
        <c:ser>
          <c:idx val="1"/>
          <c:order val="1"/>
          <c:tx>
            <c:strRef>
              <c:f>[080726.xlsx]Charts!$A$8</c:f>
              <c:strCache>
                <c:ptCount val="1"/>
                <c:pt idx="0">
                  <c:v>Quick ratio</c:v>
                </c:pt>
              </c:strCache>
            </c:strRef>
          </c:tx>
          <c:spPr>
            <a:ln w="28575" cap="rnd">
              <a:solidFill>
                <a:schemeClr val="accent2"/>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[080726.xlsx]Charts!$B$6:$F$6</c:f>
              <c:numCache>
                <c:formatCode>General</c:formatCode>
                <c:ptCount val="5"/>
                <c:pt idx="0">
                  <c:v>2021</c:v>
                </c:pt>
                <c:pt idx="1">
                  <c:v>2022</c:v>
                </c:pt>
                <c:pt idx="2">
                  <c:v>2023</c:v>
                </c:pt>
                <c:pt idx="3">
                  <c:v>2024</c:v>
                </c:pt>
                <c:pt idx="4">
                  <c:v>2025</c:v>
                </c:pt>
              </c:numCache>
            </c:numRef>
          </c:cat>
          <c:val>
            <c:numRef>
              <c:f>[080726.xlsx]Charts!$B$8:$F$8</c:f>
              <c:numCache>
                <c:formatCode>0.00_ </c:formatCode>
                <c:ptCount val="5"/>
                <c:pt idx="0">
                  <c:v>0.56594349929764298</c:v>
                </c:pt>
                <c:pt idx="1">
                  <c:v>0.45142389971385699</c:v>
                </c:pt>
                <c:pt idx="2">
                  <c:v>0.42656531821695398</c:v>
                </c:pt>
                <c:pt idx="3">
                  <c:v>0.40293675569429999</c:v>
                </c:pt>
                <c:pt idx="4">
                  <c:v>0.42676827816146701</c:v>
                </c:pt>
              </c:numCache>
            </c:numRef>
          </c:val>
          <c:smooth val="0"/>
          <c:extLst>
            <c:ext xmlns:c16="http://schemas.microsoft.com/office/drawing/2014/chart" uri="{C3380CC4-5D6E-409C-BE32-E72D297353CC}">
              <c16:uniqueId val="{00000001-B5BA-44C5-AC7A-2F1F35BA0C3C}"/>
            </c:ext>
          </c:extLst>
        </c:ser>
        <c:dLbls>
          <c:showLegendKey val="0"/>
          <c:showVal val="1"/>
          <c:showCatName val="0"/>
          <c:showSerName val="0"/>
          <c:showPercent val="0"/>
          <c:showBubbleSize val="0"/>
        </c:dLbls>
        <c:smooth val="0"/>
        <c:axId val="695604232"/>
        <c:axId val="695606280"/>
      </c:lineChart>
      <c:catAx>
        <c:axId val="695604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95606280"/>
        <c:crosses val="autoZero"/>
        <c:auto val="1"/>
        <c:lblAlgn val="ctr"/>
        <c:lblOffset val="100"/>
        <c:noMultiLvlLbl val="0"/>
      </c:catAx>
      <c:valAx>
        <c:axId val="695606280"/>
        <c:scaling>
          <c:orientation val="minMax"/>
        </c:scaling>
        <c:delete val="0"/>
        <c:axPos val="l"/>
        <c:majorGridlines>
          <c:spPr>
            <a:ln w="9525" cap="flat" cmpd="sng" algn="ctr">
              <a:solidFill>
                <a:schemeClr val="tx1">
                  <a:lumMod val="15000"/>
                  <a:lumOff val="85000"/>
                </a:schemeClr>
              </a:solidFill>
              <a:round/>
            </a:ln>
            <a:effectLst/>
          </c:spPr>
        </c:majorGridlines>
        <c:numFmt formatCode="0.00_ "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95604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034cd038-af77-4059-8765-a52303dbdb32}"/>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Efficiency</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[080726.xlsx]Charts!$A$11</c:f>
              <c:strCache>
                <c:ptCount val="1"/>
                <c:pt idx="0">
                  <c:v>Asset turnover ratio</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[080726.xlsx]Charts!$B$10:$F$10</c:f>
              <c:numCache>
                <c:formatCode>General</c:formatCode>
                <c:ptCount val="5"/>
                <c:pt idx="0">
                  <c:v>2021</c:v>
                </c:pt>
                <c:pt idx="1">
                  <c:v>2022</c:v>
                </c:pt>
                <c:pt idx="2">
                  <c:v>2023</c:v>
                </c:pt>
                <c:pt idx="3">
                  <c:v>2024</c:v>
                </c:pt>
                <c:pt idx="4">
                  <c:v>2025</c:v>
                </c:pt>
              </c:numCache>
            </c:numRef>
          </c:cat>
          <c:val>
            <c:numRef>
              <c:f>[080726.xlsx]Charts!$B$11:$F$11</c:f>
              <c:numCache>
                <c:formatCode>0.00_ </c:formatCode>
                <c:ptCount val="5"/>
                <c:pt idx="0">
                  <c:v>0.54228466324893398</c:v>
                </c:pt>
                <c:pt idx="1">
                  <c:v>0.83711464839814598</c:v>
                </c:pt>
                <c:pt idx="2">
                  <c:v>0.92361922567578103</c:v>
                </c:pt>
                <c:pt idx="3">
                  <c:v>0.95867389809793002</c:v>
                </c:pt>
                <c:pt idx="4">
                  <c:v>0.95083514887436504</c:v>
                </c:pt>
              </c:numCache>
            </c:numRef>
          </c:val>
          <c:extLst>
            <c:ext xmlns:c16="http://schemas.microsoft.com/office/drawing/2014/chart" uri="{C3380CC4-5D6E-409C-BE32-E72D297353CC}">
              <c16:uniqueId val="{00000000-102F-422A-9325-DAFBD76847B5}"/>
            </c:ext>
          </c:extLst>
        </c:ser>
        <c:dLbls>
          <c:showLegendKey val="0"/>
          <c:showVal val="1"/>
          <c:showCatName val="0"/>
          <c:showSerName val="0"/>
          <c:showPercent val="0"/>
          <c:showBubbleSize val="0"/>
        </c:dLbls>
        <c:gapWidth val="182"/>
        <c:axId val="619901960"/>
        <c:axId val="619904008"/>
        <c:extLst>
          <c:ext xmlns:c15="http://schemas.microsoft.com/office/drawing/2012/chart" uri="{02D57815-91ED-43cb-92C2-25804820EDAC}">
            <c15:filteredBarSeries>
              <c15:ser>
                <c:idx val="1"/>
                <c:order val="1"/>
                <c:tx>
                  <c:strRef>
                    <c:extLst>
                      <c:ext uri="{02D57815-91ED-43cb-92C2-25804820EDAC}">
                        <c15:formulaRef>
                          <c15:sqref>[080726.xlsx]Charts!$A$12</c15:sqref>
                        </c15:formulaRef>
                      </c:ext>
                    </c:extLst>
                    <c:strCache>
                      <c:ptCount val="1"/>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c:ext uri="{02D57815-91ED-43cb-92C2-25804820EDAC}">
                        <c15:formulaRef>
                          <c15:sqref>[080726.xlsx]Charts!$B$10:$F$10</c15:sqref>
                        </c15:formulaRef>
                      </c:ext>
                    </c:extLst>
                    <c:numCache>
                      <c:formatCode>General</c:formatCode>
                      <c:ptCount val="5"/>
                      <c:pt idx="0">
                        <c:v>2021</c:v>
                      </c:pt>
                      <c:pt idx="1">
                        <c:v>2022</c:v>
                      </c:pt>
                      <c:pt idx="2">
                        <c:v>2023</c:v>
                      </c:pt>
                      <c:pt idx="3">
                        <c:v>2024</c:v>
                      </c:pt>
                      <c:pt idx="4">
                        <c:v>2025</c:v>
                      </c:pt>
                    </c:numCache>
                  </c:numRef>
                </c:cat>
                <c:val>
                  <c:numRef>
                    <c:extLst>
                      <c:ext uri="{02D57815-91ED-43cb-92C2-25804820EDAC}">
                        <c15:formulaRef>
                          <c15:sqref>{#N/A,#N/A,#N/A,#N/A,#N/A}</c15:sqref>
                        </c15:formulaRef>
                      </c:ext>
                    </c:extLst>
                    <c:numCache>
                      <c:formatCode>General</c:formatCode>
                      <c:ptCount val="5"/>
                    </c:numCache>
                  </c:numRef>
                </c:val>
                <c:extLst>
                  <c:ext xmlns:c16="http://schemas.microsoft.com/office/drawing/2014/chart" uri="{C3380CC4-5D6E-409C-BE32-E72D297353CC}">
                    <c16:uniqueId val="{00000001-102F-422A-9325-DAFBD76847B5}"/>
                  </c:ext>
                </c:extLst>
              </c15:ser>
            </c15:filteredBarSeries>
          </c:ext>
        </c:extLst>
      </c:barChart>
      <c:catAx>
        <c:axId val="6199019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19904008"/>
        <c:crosses val="autoZero"/>
        <c:auto val="1"/>
        <c:lblAlgn val="ctr"/>
        <c:lblOffset val="100"/>
        <c:noMultiLvlLbl val="0"/>
      </c:catAx>
      <c:valAx>
        <c:axId val="619904008"/>
        <c:scaling>
          <c:orientation val="minMax"/>
        </c:scaling>
        <c:delete val="0"/>
        <c:axPos val="b"/>
        <c:majorGridlines>
          <c:spPr>
            <a:ln w="9525" cap="flat" cmpd="sng" algn="ctr">
              <a:solidFill>
                <a:schemeClr val="tx1">
                  <a:lumMod val="15000"/>
                  <a:lumOff val="85000"/>
                </a:schemeClr>
              </a:solidFill>
              <a:round/>
            </a:ln>
            <a:effectLst/>
          </c:spPr>
        </c:majorGridlines>
        <c:numFmt formatCode="0.00_ "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619901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52bdaf6f-d80a-42b3-b7af-5a2f5496a0de}"/>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Gearing</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[080726.xlsx]Charts!$A$15</c:f>
              <c:strCache>
                <c:ptCount val="1"/>
                <c:pt idx="0">
                  <c:v>Debt-equity ratio</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[080726.xlsx]Charts!$B$14:$F$14</c:f>
              <c:numCache>
                <c:formatCode>General</c:formatCode>
                <c:ptCount val="5"/>
                <c:pt idx="0">
                  <c:v>2021</c:v>
                </c:pt>
                <c:pt idx="1">
                  <c:v>2022</c:v>
                </c:pt>
                <c:pt idx="2">
                  <c:v>2023</c:v>
                </c:pt>
                <c:pt idx="3">
                  <c:v>2024</c:v>
                </c:pt>
                <c:pt idx="4">
                  <c:v>2025</c:v>
                </c:pt>
              </c:numCache>
            </c:numRef>
          </c:cat>
          <c:val>
            <c:numRef>
              <c:f>[080726.xlsx]Charts!$B$15:$F$15</c:f>
              <c:numCache>
                <c:formatCode>0.00_ </c:formatCode>
                <c:ptCount val="5"/>
                <c:pt idx="0">
                  <c:v>12.5403111739745</c:v>
                </c:pt>
                <c:pt idx="1">
                  <c:v>29.767605633802798</c:v>
                </c:pt>
                <c:pt idx="2">
                  <c:v>-27.263929618768302</c:v>
                </c:pt>
                <c:pt idx="3">
                  <c:v>-6.8599598930481296</c:v>
                </c:pt>
                <c:pt idx="4">
                  <c:v>-6.0761071333863699</c:v>
                </c:pt>
              </c:numCache>
            </c:numRef>
          </c:val>
          <c:extLst>
            <c:ext xmlns:c16="http://schemas.microsoft.com/office/drawing/2014/chart" uri="{C3380CC4-5D6E-409C-BE32-E72D297353CC}">
              <c16:uniqueId val="{00000000-B8D5-43F4-A8F6-09FCD12F9126}"/>
            </c:ext>
          </c:extLst>
        </c:ser>
        <c:ser>
          <c:idx val="1"/>
          <c:order val="1"/>
          <c:tx>
            <c:strRef>
              <c:f>[080726.xlsx]Charts!$A$16</c:f>
              <c:strCache>
                <c:ptCount val="1"/>
                <c:pt idx="0">
                  <c:v>Interest coverage ratio</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[080726.xlsx]Charts!$B$14:$F$14</c:f>
              <c:numCache>
                <c:formatCode>General</c:formatCode>
                <c:ptCount val="5"/>
                <c:pt idx="0">
                  <c:v>2021</c:v>
                </c:pt>
                <c:pt idx="1">
                  <c:v>2022</c:v>
                </c:pt>
                <c:pt idx="2">
                  <c:v>2023</c:v>
                </c:pt>
                <c:pt idx="3">
                  <c:v>2024</c:v>
                </c:pt>
                <c:pt idx="4">
                  <c:v>2025</c:v>
                </c:pt>
              </c:numCache>
            </c:numRef>
          </c:cat>
          <c:val>
            <c:numRef>
              <c:f>[080726.xlsx]Charts!$B$16:$F$16</c:f>
              <c:numCache>
                <c:formatCode>0.00_ </c:formatCode>
                <c:ptCount val="5"/>
                <c:pt idx="0">
                  <c:v>3.8095238095238102</c:v>
                </c:pt>
                <c:pt idx="1">
                  <c:v>8.7270471464019792</c:v>
                </c:pt>
                <c:pt idx="2">
                  <c:v>6.9787610619468996</c:v>
                </c:pt>
                <c:pt idx="3">
                  <c:v>5.5338129496402901</c:v>
                </c:pt>
                <c:pt idx="4">
                  <c:v>5.1953028430160701</c:v>
                </c:pt>
              </c:numCache>
            </c:numRef>
          </c:val>
          <c:extLst>
            <c:ext xmlns:c16="http://schemas.microsoft.com/office/drawing/2014/chart" uri="{C3380CC4-5D6E-409C-BE32-E72D297353CC}">
              <c16:uniqueId val="{00000001-B8D5-43F4-A8F6-09FCD12F9126}"/>
            </c:ext>
          </c:extLst>
        </c:ser>
        <c:dLbls>
          <c:showLegendKey val="0"/>
          <c:showVal val="1"/>
          <c:showCatName val="0"/>
          <c:showSerName val="0"/>
          <c:showPercent val="0"/>
          <c:showBubbleSize val="0"/>
        </c:dLbls>
        <c:gapWidth val="219"/>
        <c:overlap val="-27"/>
        <c:axId val="976602632"/>
        <c:axId val="976604680"/>
      </c:barChart>
      <c:catAx>
        <c:axId val="976602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76604680"/>
        <c:crosses val="autoZero"/>
        <c:auto val="1"/>
        <c:lblAlgn val="ctr"/>
        <c:lblOffset val="100"/>
        <c:noMultiLvlLbl val="0"/>
      </c:catAx>
      <c:valAx>
        <c:axId val="976604680"/>
        <c:scaling>
          <c:orientation val="minMax"/>
        </c:scaling>
        <c:delete val="0"/>
        <c:axPos val="l"/>
        <c:majorGridlines>
          <c:spPr>
            <a:ln w="9525" cap="flat" cmpd="sng" algn="ctr">
              <a:solidFill>
                <a:schemeClr val="tx1">
                  <a:lumMod val="15000"/>
                  <a:lumOff val="85000"/>
                </a:schemeClr>
              </a:solidFill>
              <a:round/>
            </a:ln>
            <a:effectLst/>
          </c:spPr>
        </c:majorGridlines>
        <c:numFmt formatCode="0.00_ "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976602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020b9941-199a-4a31-b1c4-a2a97ee9292e}"/>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Investment</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[080726.xlsx]Charts!$A$19</c:f>
              <c:strCache>
                <c:ptCount val="1"/>
                <c:pt idx="0">
                  <c:v>EPS</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[080726.xlsx]Charts!$B$18:$F$18</c:f>
              <c:numCache>
                <c:formatCode>General</c:formatCode>
                <c:ptCount val="5"/>
                <c:pt idx="0">
                  <c:v>2021</c:v>
                </c:pt>
                <c:pt idx="1">
                  <c:v>2022</c:v>
                </c:pt>
                <c:pt idx="2">
                  <c:v>2023</c:v>
                </c:pt>
                <c:pt idx="3">
                  <c:v>2024</c:v>
                </c:pt>
                <c:pt idx="4">
                  <c:v>2025</c:v>
                </c:pt>
              </c:numCache>
            </c:numRef>
          </c:cat>
          <c:val>
            <c:numRef>
              <c:f>[080726.xlsx]Charts!$B$19:$F$19</c:f>
              <c:numCache>
                <c:formatCode>0.00_ </c:formatCode>
                <c:ptCount val="5"/>
                <c:pt idx="0">
                  <c:v>3.3608562691131501</c:v>
                </c:pt>
                <c:pt idx="1">
                  <c:v>7.2777777777777803</c:v>
                </c:pt>
                <c:pt idx="2">
                  <c:v>10.2425249169435</c:v>
                </c:pt>
                <c:pt idx="3">
                  <c:v>8.3626760563380298</c:v>
                </c:pt>
                <c:pt idx="4">
                  <c:v>9.5274725274725292</c:v>
                </c:pt>
              </c:numCache>
            </c:numRef>
          </c:val>
          <c:extLst>
            <c:ext xmlns:c16="http://schemas.microsoft.com/office/drawing/2014/chart" uri="{C3380CC4-5D6E-409C-BE32-E72D297353CC}">
              <c16:uniqueId val="{00000000-7F14-4482-A4F7-50B690FAF624}"/>
            </c:ext>
          </c:extLst>
        </c:ser>
        <c:ser>
          <c:idx val="1"/>
          <c:order val="1"/>
          <c:tx>
            <c:strRef>
              <c:f>[080726.xlsx]Charts!$A$20</c:f>
              <c:strCache>
                <c:ptCount val="1"/>
                <c:pt idx="0">
                  <c:v>Return on equity</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[080726.xlsx]Charts!$B$18:$F$18</c:f>
              <c:numCache>
                <c:formatCode>General</c:formatCode>
                <c:ptCount val="5"/>
                <c:pt idx="0">
                  <c:v>2021</c:v>
                </c:pt>
                <c:pt idx="1">
                  <c:v>2022</c:v>
                </c:pt>
                <c:pt idx="2">
                  <c:v>2023</c:v>
                </c:pt>
                <c:pt idx="3">
                  <c:v>2024</c:v>
                </c:pt>
                <c:pt idx="4">
                  <c:v>2025</c:v>
                </c:pt>
              </c:numCache>
            </c:numRef>
          </c:cat>
          <c:val>
            <c:numRef>
              <c:f>[080726.xlsx]Charts!$B$20:$F$20</c:f>
              <c:numCache>
                <c:formatCode>0.00%</c:formatCode>
                <c:ptCount val="5"/>
                <c:pt idx="0">
                  <c:v>0.77722772277227703</c:v>
                </c:pt>
                <c:pt idx="1">
                  <c:v>4.1514084507042304</c:v>
                </c:pt>
                <c:pt idx="2">
                  <c:v>-4.5205278592375402</c:v>
                </c:pt>
                <c:pt idx="3">
                  <c:v>-0.79378342245989297</c:v>
                </c:pt>
                <c:pt idx="4">
                  <c:v>-0.68973747016706399</c:v>
                </c:pt>
              </c:numCache>
            </c:numRef>
          </c:val>
          <c:extLst>
            <c:ext xmlns:c16="http://schemas.microsoft.com/office/drawing/2014/chart" uri="{C3380CC4-5D6E-409C-BE32-E72D297353CC}">
              <c16:uniqueId val="{00000001-7F14-4482-A4F7-50B690FAF624}"/>
            </c:ext>
          </c:extLst>
        </c:ser>
        <c:dLbls>
          <c:showLegendKey val="0"/>
          <c:showVal val="1"/>
          <c:showCatName val="0"/>
          <c:showSerName val="0"/>
          <c:showPercent val="0"/>
          <c:showBubbleSize val="0"/>
        </c:dLbls>
        <c:gapWidth val="182"/>
        <c:axId val="1238038536"/>
        <c:axId val="1037762567"/>
      </c:barChart>
      <c:catAx>
        <c:axId val="12380385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37762567"/>
        <c:crosses val="autoZero"/>
        <c:auto val="1"/>
        <c:lblAlgn val="ctr"/>
        <c:lblOffset val="100"/>
        <c:noMultiLvlLbl val="0"/>
      </c:catAx>
      <c:valAx>
        <c:axId val="1037762567"/>
        <c:scaling>
          <c:orientation val="minMax"/>
        </c:scaling>
        <c:delete val="0"/>
        <c:axPos val="b"/>
        <c:majorGridlines>
          <c:spPr>
            <a:ln w="9525" cap="flat" cmpd="sng" algn="ctr">
              <a:solidFill>
                <a:schemeClr val="tx1">
                  <a:lumMod val="15000"/>
                  <a:lumOff val="85000"/>
                </a:schemeClr>
              </a:solidFill>
              <a:round/>
            </a:ln>
            <a:effectLst/>
          </c:spPr>
        </c:majorGridlines>
        <c:numFmt formatCode="0.00_ "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238038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61011ada-0263-40a7-99d3-f387784c9faf}"/>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Cash Flow</a:t>
            </a:r>
          </a:p>
        </c:rich>
      </c:tx>
      <c:overlay val="0"/>
      <c:spPr>
        <a:noFill/>
        <a:ln>
          <a:noFill/>
        </a:ln>
        <a:effectLst/>
      </c:spPr>
      <c:txPr>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[080726.xlsx]Charts!$A$23</c:f>
              <c:strCache>
                <c:ptCount val="1"/>
                <c:pt idx="0">
                  <c:v>Operating cash flow ratio</c:v>
                </c:pt>
              </c:strCache>
            </c:strRef>
          </c:tx>
          <c:spPr>
            <a:ln w="28575" cap="rnd">
              <a:solidFill>
                <a:schemeClr val="accent1"/>
              </a:solidFill>
              <a:round/>
            </a:ln>
            <a:effectLst/>
          </c:spPr>
          <c:marker>
            <c:symbol val="none"/>
          </c:marker>
          <c:cat>
            <c:numRef>
              <c:f>[080726.xlsx]Charts!$B$22:$F$22</c:f>
              <c:numCache>
                <c:formatCode>General</c:formatCode>
                <c:ptCount val="5"/>
                <c:pt idx="0">
                  <c:v>2021</c:v>
                </c:pt>
                <c:pt idx="1">
                  <c:v>2022</c:v>
                </c:pt>
                <c:pt idx="2">
                  <c:v>2023</c:v>
                </c:pt>
                <c:pt idx="3">
                  <c:v>2024</c:v>
                </c:pt>
                <c:pt idx="4">
                  <c:v>2025</c:v>
                </c:pt>
              </c:numCache>
            </c:numRef>
          </c:cat>
          <c:val>
            <c:numRef>
              <c:f>[080726.xlsx]Charts!$B$23:$F$23</c:f>
              <c:numCache>
                <c:formatCode>0.00_ </c:formatCode>
                <c:ptCount val="5"/>
                <c:pt idx="0">
                  <c:v>0.18370532230372999</c:v>
                </c:pt>
                <c:pt idx="1">
                  <c:v>0.32197847118136003</c:v>
                </c:pt>
                <c:pt idx="2">
                  <c:v>0.40839989693377998</c:v>
                </c:pt>
                <c:pt idx="3">
                  <c:v>0.31784021274135699</c:v>
                </c:pt>
                <c:pt idx="4">
                  <c:v>0.38247201714694001</c:v>
                </c:pt>
              </c:numCache>
            </c:numRef>
          </c:val>
          <c:smooth val="0"/>
          <c:extLst>
            <c:ext xmlns:c16="http://schemas.microsoft.com/office/drawing/2014/chart" uri="{C3380CC4-5D6E-409C-BE32-E72D297353CC}">
              <c16:uniqueId val="{00000000-A060-4425-AEA8-B5EB57CA8F46}"/>
            </c:ext>
          </c:extLst>
        </c:ser>
        <c:ser>
          <c:idx val="1"/>
          <c:order val="1"/>
          <c:tx>
            <c:strRef>
              <c:f>[080726.xlsx]Charts!$A$24</c:f>
              <c:strCache>
                <c:ptCount val="1"/>
                <c:pt idx="0">
                  <c:v>Cash ratio</c:v>
                </c:pt>
              </c:strCache>
            </c:strRef>
          </c:tx>
          <c:spPr>
            <a:ln w="28575" cap="rnd">
              <a:solidFill>
                <a:schemeClr val="accent2"/>
              </a:solidFill>
              <a:round/>
            </a:ln>
            <a:effectLst/>
          </c:spPr>
          <c:marker>
            <c:symbol val="none"/>
          </c:marker>
          <c:cat>
            <c:numRef>
              <c:f>[080726.xlsx]Charts!$B$22:$F$22</c:f>
              <c:numCache>
                <c:formatCode>General</c:formatCode>
                <c:ptCount val="5"/>
                <c:pt idx="0">
                  <c:v>2021</c:v>
                </c:pt>
                <c:pt idx="1">
                  <c:v>2022</c:v>
                </c:pt>
                <c:pt idx="2">
                  <c:v>2023</c:v>
                </c:pt>
                <c:pt idx="3">
                  <c:v>2024</c:v>
                </c:pt>
                <c:pt idx="4">
                  <c:v>2025</c:v>
                </c:pt>
              </c:numCache>
            </c:numRef>
          </c:cat>
          <c:val>
            <c:numRef>
              <c:f>[080726.xlsx]Charts!$B$24:$F$24</c:f>
              <c:numCache>
                <c:formatCode>0.00_ </c:formatCode>
                <c:ptCount val="5"/>
                <c:pt idx="0">
                  <c:v>0.21741844857187501</c:v>
                </c:pt>
                <c:pt idx="1">
                  <c:v>6.9082981332606597E-2</c:v>
                </c:pt>
                <c:pt idx="2">
                  <c:v>4.35454779695955E-2</c:v>
                </c:pt>
                <c:pt idx="3">
                  <c:v>4.57856399583767E-2</c:v>
                </c:pt>
                <c:pt idx="4">
                  <c:v>4.2629197427959002E-2</c:v>
                </c:pt>
              </c:numCache>
            </c:numRef>
          </c:val>
          <c:smooth val="0"/>
          <c:extLst>
            <c:ext xmlns:c16="http://schemas.microsoft.com/office/drawing/2014/chart" uri="{C3380CC4-5D6E-409C-BE32-E72D297353CC}">
              <c16:uniqueId val="{00000001-A060-4425-AEA8-B5EB57CA8F46}"/>
            </c:ext>
          </c:extLst>
        </c:ser>
        <c:dLbls>
          <c:showLegendKey val="0"/>
          <c:showVal val="0"/>
          <c:showCatName val="0"/>
          <c:showSerName val="0"/>
          <c:showPercent val="0"/>
          <c:showBubbleSize val="0"/>
        </c:dLbls>
        <c:smooth val="0"/>
        <c:axId val="1026071559"/>
        <c:axId val="1026077703"/>
      </c:lineChart>
      <c:catAx>
        <c:axId val="1026071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26077703"/>
        <c:crosses val="autoZero"/>
        <c:auto val="1"/>
        <c:lblAlgn val="ctr"/>
        <c:lblOffset val="100"/>
        <c:noMultiLvlLbl val="0"/>
      </c:catAx>
      <c:valAx>
        <c:axId val="1026077703"/>
        <c:scaling>
          <c:orientation val="minMax"/>
        </c:scaling>
        <c:delete val="0"/>
        <c:axPos val="l"/>
        <c:majorGridlines>
          <c:spPr>
            <a:ln w="9525" cap="flat" cmpd="sng" algn="ctr">
              <a:solidFill>
                <a:schemeClr val="tx1">
                  <a:lumMod val="15000"/>
                  <a:lumOff val="85000"/>
                </a:schemeClr>
              </a:solidFill>
              <a:round/>
            </a:ln>
            <a:effectLst/>
          </c:spPr>
        </c:majorGridlines>
        <c:numFmt formatCode="0.00_ "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26071559"/>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af5a61d7-6345-4ffd-8cb4-88f07c52acc5}"/>
      </c:ext>
    </c:extLst>
  </c:chart>
  <c:spPr>
    <a:solidFill>
      <a:schemeClr val="bg1"/>
    </a:solidFill>
    <a:ln w="9525" cap="flat" cmpd="sng" algn="ctr">
      <a:solidFill>
        <a:schemeClr val="tx1">
          <a:lumMod val="15000"/>
          <a:lumOff val="85000"/>
        </a:schemeClr>
      </a:solidFill>
      <a:round/>
    </a:ln>
    <a:effectLst/>
  </c:spPr>
  <c:txPr>
    <a:bodyPr/>
    <a:lstStyle/>
    <a:p>
      <a:pPr>
        <a:defRPr lang="en-US"/>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29</Pages>
  <Words>7282</Words>
  <Characters>41512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DHRUPALSINH</dc:creator>
  <cp:lastModifiedBy>dhrupalsinhgohil09@gmail.com</cp:lastModifiedBy>
  <cp:revision>5</cp:revision>
  <dcterms:created xsi:type="dcterms:W3CDTF">2026-07-07T16:53:00Z</dcterms:created>
  <dcterms:modified xsi:type="dcterms:W3CDTF">2026-08-12T14:47:00Z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1033-12.1.26015.26015</vt:lpwstr>
  </property>
  <property fmtid="{D5CDD505-2E9C-101B-9397-08002B2CF9AE}" pid="3" name="ICV">
    <vt:lpwstr>FADBCDBD3F84F62067944C6A3EE469BB_41</vt:lpwstr>
  </property>
  <property fmtid="{D5CDD505-2E9C-101B-9397-08002B2CF9AE}" pid="4" name="GrammarlyDocumentId">
    <vt:lpwstr>6784e001-d747-4e6a-9213-318579917800</vt:lpwstr>
  </property>
</Properties>
</file>