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both"/>
        <w:rPr>
          <w:rFonts w:ascii="Times New Roman" w:hAnsi="Times New Roman" w:cs="Times New Roman" w:eastAsia="Times New Roman"/>
          <w:color w:val="auto"/>
          <w:spacing w:val="0"/>
          <w:position w:val="0"/>
          <w:sz w:val="24"/>
          <w:shd w:fill="auto" w:val="clear"/>
        </w:rPr>
      </w:pPr>
    </w:p>
    <w:p>
      <w:pPr>
        <w:spacing w:before="120" w:after="120" w:line="360"/>
        <w:ind w:right="0" w:left="0" w:firstLine="0"/>
        <w:jc w:val="center"/>
        <w:rPr>
          <w:rFonts w:ascii="Arial" w:hAnsi="Arial" w:cs="Arial" w:eastAsia="Arial"/>
          <w:b/>
          <w:color w:val="D19049"/>
          <w:spacing w:val="-10"/>
          <w:position w:val="0"/>
          <w:sz w:val="56"/>
          <w:shd w:fill="auto" w:val="clear"/>
        </w:rPr>
      </w:pPr>
      <w:r>
        <w:rPr>
          <w:rFonts w:ascii="Arial" w:hAnsi="Arial" w:cs="Arial" w:eastAsia="Arial"/>
          <w:b/>
          <w:color w:val="D19049"/>
          <w:spacing w:val="-10"/>
          <w:position w:val="0"/>
          <w:sz w:val="56"/>
          <w:shd w:fill="auto" w:val="clear"/>
        </w:rPr>
        <w:t xml:space="preserve">Report Case Study:</w:t>
      </w:r>
    </w:p>
    <w:p>
      <w:pPr>
        <w:spacing w:before="120" w:after="120" w:line="360"/>
        <w:ind w:right="0" w:left="0" w:firstLine="0"/>
        <w:jc w:val="center"/>
        <w:rPr>
          <w:rFonts w:ascii="Arial" w:hAnsi="Arial" w:cs="Arial" w:eastAsia="Arial"/>
          <w:b/>
          <w:color w:val="D19049"/>
          <w:spacing w:val="-10"/>
          <w:position w:val="0"/>
          <w:sz w:val="56"/>
          <w:shd w:fill="auto" w:val="clear"/>
        </w:rPr>
      </w:pPr>
      <w:r>
        <w:rPr>
          <w:rFonts w:ascii="Arial" w:hAnsi="Arial" w:cs="Arial" w:eastAsia="Arial"/>
          <w:b/>
          <w:color w:val="D19049"/>
          <w:spacing w:val="-10"/>
          <w:position w:val="0"/>
          <w:sz w:val="56"/>
          <w:shd w:fill="auto" w:val="clear"/>
        </w:rPr>
        <w:t xml:space="preserve">The Seaview Resort</w:t>
      </w:r>
    </w:p>
    <w:p>
      <w:pPr>
        <w:spacing w:before="120" w:after="120" w:line="360"/>
        <w:ind w:right="0" w:left="0" w:firstLine="0"/>
        <w:jc w:val="left"/>
        <w:rPr>
          <w:rFonts w:ascii="Arial" w:hAnsi="Arial" w:cs="Arial" w:eastAsia="Arial"/>
          <w:color w:val="auto"/>
          <w:spacing w:val="0"/>
          <w:position w:val="0"/>
          <w:sz w:val="24"/>
          <w:shd w:fill="auto" w:val="clear"/>
        </w:rPr>
      </w:pPr>
    </w:p>
    <w:p>
      <w:pPr>
        <w:spacing w:before="120" w:after="120" w:line="360"/>
        <w:ind w:right="0" w:left="0" w:firstLine="0"/>
        <w:jc w:val="left"/>
        <w:rPr>
          <w:rFonts w:ascii="Arial" w:hAnsi="Arial" w:cs="Arial" w:eastAsia="Arial"/>
          <w:color w:val="auto"/>
          <w:spacing w:val="0"/>
          <w:position w:val="0"/>
          <w:sz w:val="24"/>
          <w:shd w:fill="auto" w:val="clear"/>
        </w:rPr>
      </w:pPr>
    </w:p>
    <w:p>
      <w:pPr>
        <w:spacing w:before="120" w:after="120" w:line="360"/>
        <w:ind w:right="0" w:left="0" w:firstLine="0"/>
        <w:jc w:val="left"/>
        <w:rPr>
          <w:rFonts w:ascii="Arial" w:hAnsi="Arial" w:cs="Arial" w:eastAsia="Arial"/>
          <w:color w:val="auto"/>
          <w:spacing w:val="0"/>
          <w:position w:val="0"/>
          <w:sz w:val="24"/>
          <w:shd w:fill="auto" w:val="clear"/>
        </w:rPr>
      </w:pPr>
    </w:p>
    <w:p>
      <w:pPr>
        <w:spacing w:before="120" w:after="12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D19049"/>
          <w:spacing w:val="0"/>
          <w:position w:val="0"/>
          <w:sz w:val="24"/>
          <w:shd w:fill="auto" w:val="clear"/>
        </w:rPr>
        <w:t xml:space="preserve">Submitted By: </w:t>
      </w:r>
      <w:r>
        <w:rPr>
          <w:rFonts w:ascii="Arial" w:hAnsi="Arial" w:cs="Arial" w:eastAsia="Arial"/>
          <w:b/>
          <w:color w:val="auto"/>
          <w:spacing w:val="0"/>
          <w:position w:val="0"/>
          <w:sz w:val="24"/>
          <w:shd w:fill="auto" w:val="clear"/>
        </w:rPr>
        <w:t xml:space="preserve">Dan Andreea-Monica</w:t>
      </w:r>
    </w:p>
    <w:p>
      <w:pPr>
        <w:spacing w:before="120" w:after="12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D19049"/>
          <w:spacing w:val="0"/>
          <w:position w:val="0"/>
          <w:sz w:val="24"/>
          <w:shd w:fill="auto" w:val="clear"/>
        </w:rPr>
        <w:t xml:space="preserve">Student ID</w:t>
      </w:r>
      <w:r>
        <w:rPr>
          <w:rFonts w:ascii="Arial" w:hAnsi="Arial" w:cs="Arial" w:eastAsia="Arial"/>
          <w:b/>
          <w:color w:val="auto"/>
          <w:spacing w:val="0"/>
          <w:position w:val="0"/>
          <w:sz w:val="24"/>
          <w:shd w:fill="auto" w:val="clear"/>
        </w:rPr>
        <w:t xml:space="preserve">: 2127612</w:t>
      </w:r>
    </w:p>
    <w:p>
      <w:pPr>
        <w:spacing w:before="120" w:after="120" w:line="360"/>
        <w:ind w:right="0" w:left="0" w:firstLine="0"/>
        <w:jc w:val="left"/>
        <w:rPr>
          <w:rFonts w:ascii="Arial" w:hAnsi="Arial" w:cs="Arial" w:eastAsia="Arial"/>
          <w:b/>
          <w:color w:val="D19049"/>
          <w:spacing w:val="0"/>
          <w:position w:val="0"/>
          <w:sz w:val="24"/>
          <w:shd w:fill="auto" w:val="clear"/>
        </w:rPr>
      </w:pPr>
      <w:r>
        <w:rPr>
          <w:rFonts w:ascii="Arial" w:hAnsi="Arial" w:cs="Arial" w:eastAsia="Arial"/>
          <w:b/>
          <w:color w:val="D19049"/>
          <w:spacing w:val="0"/>
          <w:position w:val="0"/>
          <w:sz w:val="24"/>
          <w:shd w:fill="auto" w:val="clear"/>
        </w:rPr>
        <w:t xml:space="preserve">Prof</w:t>
      </w:r>
      <w:r>
        <w:rPr>
          <w:rFonts w:ascii="Arial" w:hAnsi="Arial" w:cs="Arial" w:eastAsia="Arial"/>
          <w:b/>
          <w:color w:val="D19049"/>
          <w:spacing w:val="0"/>
          <w:position w:val="0"/>
          <w:sz w:val="24"/>
          <w:shd w:fill="auto" w:val="clear"/>
        </w:rPr>
        <w:t xml:space="preserve">.: </w:t>
      </w:r>
      <w:r>
        <w:rPr>
          <w:rFonts w:ascii="Arial" w:hAnsi="Arial" w:cs="Arial" w:eastAsia="Arial"/>
          <w:b/>
          <w:color w:val="000000"/>
          <w:spacing w:val="0"/>
          <w:position w:val="0"/>
          <w:sz w:val="24"/>
          <w:shd w:fill="auto" w:val="clear"/>
        </w:rPr>
        <w:t xml:space="preserve">Ja</w:t>
      </w:r>
      <w:r>
        <w:rPr>
          <w:rFonts w:ascii="Arial" w:hAnsi="Arial" w:cs="Arial" w:eastAsia="Arial"/>
          <w:b/>
          <w:color w:val="000000"/>
          <w:spacing w:val="0"/>
          <w:position w:val="0"/>
          <w:sz w:val="24"/>
          <w:shd w:fill="auto" w:val="clear"/>
        </w:rPr>
        <w:t xml:space="preserve">liya de Silva</w:t>
      </w:r>
    </w:p>
    <w:p>
      <w:pPr>
        <w:spacing w:before="120" w:after="12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D19049"/>
          <w:spacing w:val="0"/>
          <w:position w:val="0"/>
          <w:sz w:val="24"/>
          <w:shd w:fill="auto" w:val="clear"/>
        </w:rPr>
        <w:t xml:space="preserve">Programme: </w:t>
      </w:r>
      <w:r>
        <w:rPr>
          <w:rFonts w:ascii="Arial" w:hAnsi="Arial" w:cs="Arial" w:eastAsia="Arial"/>
          <w:b/>
          <w:color w:val="auto"/>
          <w:spacing w:val="0"/>
          <w:position w:val="0"/>
          <w:sz w:val="24"/>
          <w:shd w:fill="auto" w:val="clear"/>
        </w:rPr>
        <w:t xml:space="preserve">BA International Hotel Management</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Executive Summary</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Seaview Resort, when a flourishing objective, faces an unmistakable truth of declining revenue, occupancy rates, and customer fulfilment. In a profoundly competitive coastal resort market, customer preferences have moved toward eco-friendly and experiential tourism. Our evaluation uncovers a reliable decline in financial performance for more than three years, with a negative net profit in 2022. The resort's balance sheet mirrors a huge financial deficiency, while cash flow difficulties are obvious. An exhaustive Turnaround strategy is significant, including modernizing amenities, changing pricing, further developing customer service, upgrading marketing endeavours, and tending to debt. The resort's future suitability relies upon its capacity to adjust and reestablish its reputation as a chief getaway destination. </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b/>
          <w:color w:val="auto"/>
          <w:spacing w:val="0"/>
          <w:position w:val="0"/>
          <w:sz w:val="32"/>
          <w:shd w:fill="auto" w:val="clear"/>
        </w:rPr>
      </w:pP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Introduction</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Seaview Resort settled along a beautiful shoreline, has long been a charming getaway destination. Notwithstanding, as of late, it has confronted an impressive slump. The coastal resort market's development and moving customer preferences toward eco-friendly and experiential tourism have negatively affected the resort's financial performance and reputation. This report looks at the resort's income statement, balance sheet, cash flow, and extra financial information to uncover basic experiences of its financial well-being and competitive difficulties. The objective is to diagram a course for a Turnaround strategy that renews the resort's financial strength and revives its picture as a chief getaway destination.</w:t>
      </w: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Market Analysis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coastal resort market where The Seaview Resort is arranged countenances serious competition because of the presence of a few fresher and more present-day resorts in its area. The development of these competitors has established a difficult environment for The Seaview Resort. To explore these difficulties, it is fundamental to grasp the competitive scene, customer preferences, and the resort's reputation (</w:t>
      </w:r>
      <w:r>
        <w:rPr>
          <w:rFonts w:ascii="Arial" w:hAnsi="Arial" w:cs="Arial" w:eastAsia="Arial"/>
          <w:color w:val="auto"/>
          <w:spacing w:val="0"/>
          <w:position w:val="0"/>
          <w:sz w:val="24"/>
          <w:shd w:fill="FFFFFF" w:val="clear"/>
        </w:rPr>
        <w:t xml:space="preserve">Gemar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2019</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Competitive Scene: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coastal resort market has seen significant development lately, drawing in various financial backers and engineers. The Seaview Resort, when a flourishing getaway destination, presently rivals a bunch of contemporary resorts bragging state the-craftsmanship conveniences and inventive services. These more up-to-date foundations have benefited from current plans and innovation, giving a competitive advantage in drawing in visitors (</w:t>
      </w:r>
      <w:r>
        <w:rPr>
          <w:rFonts w:ascii="Arial" w:hAnsi="Arial" w:cs="Arial" w:eastAsia="Arial"/>
          <w:color w:val="auto"/>
          <w:spacing w:val="0"/>
          <w:position w:val="0"/>
          <w:sz w:val="24"/>
          <w:shd w:fill="FFFFFF" w:val="clear"/>
        </w:rPr>
        <w:t xml:space="preserve">Vogel, 2021</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opposition reaches out to evaluate procedures, for certain competitors offering more competitive room rates and comprehensive bundles, which can come down on The Seaview Resort's estimating system. The opposition is savage as far as quality as well as far as drawing in a different scope of travellers, from thrifty tourists to extravagance searchers.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Preferences: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Lately, customer preferences have moved towards eco-friendly and experiential tourism. Travellers presently look for something beyond convenience; they want extraordinary encounters that are as one with the environment. Eco-friendly practices, like sustainability drives, diminished carbon impression, and eco-cognizant conveniences, have acquired significance in excursion choices (</w:t>
      </w:r>
      <w:r>
        <w:rPr>
          <w:rFonts w:ascii="Arial" w:hAnsi="Arial" w:cs="Arial" w:eastAsia="Arial"/>
          <w:color w:val="auto"/>
          <w:spacing w:val="0"/>
          <w:position w:val="0"/>
          <w:sz w:val="24"/>
          <w:shd w:fill="FFFFFF" w:val="clear"/>
        </w:rPr>
        <w:t xml:space="preserve">Al-Wattar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2019</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Experiential tourism is another rising pattern that The Seaview Resort should consider. The present visitors need to submerge themselves in neighbourhood culture, attempt new exercises, and draw in with the normal environmental elements. Resorts that offer vivid encounters, like directed visits, experience exercises, and culinary undertakings, are many times more interesting to the advanced traveller.</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Reviews and Reputation:</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reviews play a vital part in moulding the reputation and progress of any resort. On account of The Seaview Resort, the customer reviews show declining service quality and obsolete conveniences. These negative reviews can adversely affect the resort's reputation, deflecting possible visitors and disintegrating customer trust (</w:t>
      </w:r>
      <w:r>
        <w:rPr>
          <w:rFonts w:ascii="Arial" w:hAnsi="Arial" w:cs="Arial" w:eastAsia="Arial"/>
          <w:color w:val="auto"/>
          <w:spacing w:val="0"/>
          <w:position w:val="0"/>
          <w:sz w:val="24"/>
          <w:shd w:fill="FFFFFF" w:val="clear"/>
        </w:rPr>
        <w:t xml:space="preserve">Yalcin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2022</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Negative reviews influence occupancy rates as well as impact likely visitors' view of the resort. A discoloured reputation can negatively affect the resort's capacity to contend in the market.</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Seaview Resort is an area of strength for confronting fresher, more present-day resorts in the coastal market. To succeed, it should adjust to changing customer preferences, embrace eco-friendly and experiential tourism, and put resources into modernizing its conveniences and services. Tending to the worries brought up in customer reviews is likewise basic for reestablishing its reputation and recovering its competitive advantage (</w:t>
      </w:r>
      <w:r>
        <w:rPr>
          <w:rFonts w:ascii="Arial" w:hAnsi="Arial" w:cs="Arial" w:eastAsia="Arial"/>
          <w:color w:val="auto"/>
          <w:spacing w:val="0"/>
          <w:position w:val="0"/>
          <w:sz w:val="24"/>
          <w:shd w:fill="FFFFFF" w:val="clear"/>
        </w:rPr>
        <w:t xml:space="preserve">Rhou and Singal, 2020</w:t>
      </w:r>
      <w:r>
        <w:rPr>
          <w:rFonts w:ascii="Arial" w:hAnsi="Arial" w:cs="Arial" w:eastAsia="Arial"/>
          <w:color w:val="auto"/>
          <w:spacing w:val="0"/>
          <w:position w:val="0"/>
          <w:sz w:val="24"/>
          <w:shd w:fill="auto" w:val="clear"/>
        </w:rPr>
        <w:t xml:space="preserve">).</w:t>
      </w:r>
    </w:p>
    <w:p>
      <w:pPr>
        <w:keepNext w:val="true"/>
        <w:keepLines w:val="true"/>
        <w:spacing w:before="120" w:after="120" w:line="360"/>
        <w:ind w:right="0" w:left="0" w:firstLine="0"/>
        <w:jc w:val="both"/>
        <w:rPr>
          <w:rFonts w:ascii="Arial" w:hAnsi="Arial" w:cs="Arial" w:eastAsia="Arial"/>
          <w:b/>
          <w:color w:val="D19049"/>
          <w:spacing w:val="0"/>
          <w:position w:val="0"/>
          <w:sz w:val="32"/>
          <w:shd w:fill="auto" w:val="clear"/>
        </w:rPr>
      </w:pPr>
      <w:r>
        <w:rPr>
          <w:rFonts w:ascii="Arial" w:hAnsi="Arial" w:cs="Arial" w:eastAsia="Arial"/>
          <w:b/>
          <w:color w:val="D19049"/>
          <w:spacing w:val="0"/>
          <w:position w:val="0"/>
          <w:sz w:val="32"/>
          <w:shd w:fill="auto" w:val="clear"/>
        </w:rPr>
        <w:t xml:space="preserve">Financial Performance Analysis</w:t>
      </w:r>
    </w:p>
    <w:p>
      <w:pPr>
        <w:keepNext w:val="true"/>
        <w:keepLines w:val="true"/>
        <w:spacing w:before="40" w:after="120" w:line="360"/>
        <w:ind w:right="0" w:left="0" w:firstLine="0"/>
        <w:jc w:val="both"/>
        <w:rPr>
          <w:rFonts w:ascii="Arial" w:hAnsi="Arial" w:cs="Arial" w:eastAsia="Arial"/>
          <w:b/>
          <w:color w:val="D19049"/>
          <w:spacing w:val="0"/>
          <w:position w:val="0"/>
          <w:sz w:val="28"/>
          <w:shd w:fill="auto" w:val="clear"/>
        </w:rPr>
      </w:pPr>
      <w:r>
        <w:rPr>
          <w:rFonts w:ascii="Arial" w:hAnsi="Arial" w:cs="Arial" w:eastAsia="Arial"/>
          <w:b/>
          <w:color w:val="D19049"/>
          <w:spacing w:val="0"/>
          <w:position w:val="0"/>
          <w:sz w:val="28"/>
          <w:shd w:fill="auto" w:val="clear"/>
        </w:rPr>
        <w:t xml:space="preserve">Income Statement</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financial performance analysis of The Seaview Resort over a long time from 2020 to 2022 uncovers a challenging and concerning situation. During this period, the resort's income statement mirrors a consistent decrease in key financial measurements, illustrating its financial well-being and functional difficulties.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Total revenue, which is a central indicator of a business's capacity to draw in and hold customers, showed a tireless descending trend. It began at £520,000 in 2020, however in 2021, it dropped to £480,000, and by 2022, it had additionally decreased to simply £430,000. This significant lessening in total revenue highlights a critical test in keeping up with and developing the resort's customer base, which is a vital part of its, generally speaking, financial performance (</w:t>
      </w:r>
      <w:r>
        <w:rPr>
          <w:rFonts w:ascii="Arial" w:hAnsi="Arial" w:cs="Arial" w:eastAsia="Arial"/>
          <w:color w:val="auto"/>
          <w:spacing w:val="0"/>
          <w:position w:val="0"/>
          <w:sz w:val="24"/>
          <w:shd w:fill="FFFFFF" w:val="clear"/>
        </w:rPr>
        <w:t xml:space="preserve">Lee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Operating expenses, and the expenses related to running the resort, likewise showed a concerning design. While they added up to £390,000 in 2020, they expanded to £400,000 in 2021 and climbed further to £450,000 in 2022. This heightening expense structure shows a developing financial weight on the resort's tasks, making it progressively hard to oversee and keep up with profitability (</w:t>
      </w:r>
      <w:r>
        <w:rPr>
          <w:rFonts w:ascii="Arial" w:hAnsi="Arial" w:cs="Arial" w:eastAsia="Arial"/>
          <w:color w:val="auto"/>
          <w:spacing w:val="0"/>
          <w:position w:val="0"/>
          <w:sz w:val="24"/>
          <w:shd w:fill="FFFFFF" w:val="clear"/>
        </w:rPr>
        <w:t xml:space="preserve">Franco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Gross profit, which addresses the contrast between total revenue and the expense of merchandise sold, declined fundamentally over the three years. In 2020, the resort recorded a gross profit of £130,000, however, this number dropped to £80,000 in both 2021 and 2022. The reliable decrease in gross profit features the resort's battle to cover its operating expenses and produce a profit from its centre business exercises (</w:t>
      </w:r>
      <w:r>
        <w:rPr>
          <w:rFonts w:ascii="Arial" w:hAnsi="Arial" w:cs="Arial" w:eastAsia="Arial"/>
          <w:color w:val="auto"/>
          <w:spacing w:val="0"/>
          <w:position w:val="0"/>
          <w:sz w:val="24"/>
          <w:shd w:fill="FFFFFF" w:val="clear"/>
        </w:rPr>
        <w:t xml:space="preserve">Ye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2019</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net profit (loss) additionally pursued a similar discouraging direction. Beginning at £78,000 in 2020, it tumbled to only £40,000 in 2021 and further dove to a net loss of £17,500 in 2022. The resort's profitability is seriously compromised, and it is confronting a basic financial test.</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Besides, the net profit margin, which is a key financial efficiency indicator, declined considerably from 15% in 2020 to 8% in 2021, and further to a simple 4% in 2022. This constant lessening in the net profit margin highlights the resort's ability to decrease to create profits concerning its total revenue (</w:t>
      </w:r>
      <w:r>
        <w:rPr>
          <w:rFonts w:ascii="Arial" w:hAnsi="Arial" w:cs="Arial" w:eastAsia="Arial"/>
          <w:color w:val="auto"/>
          <w:spacing w:val="0"/>
          <w:position w:val="0"/>
          <w:sz w:val="24"/>
          <w:shd w:fill="FFFFFF" w:val="clear"/>
        </w:rPr>
        <w:t xml:space="preserve">Wang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keepNext w:val="true"/>
        <w:keepLines w:val="true"/>
        <w:spacing w:before="40" w:after="12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D19049"/>
          <w:spacing w:val="0"/>
          <w:position w:val="0"/>
          <w:sz w:val="28"/>
          <w:shd w:fill="auto" w:val="clear"/>
        </w:rPr>
        <w:t xml:space="preserve">Balance Sheet</w:t>
      </w:r>
    </w:p>
    <w:p>
      <w:pPr>
        <w:spacing w:before="120" w:after="12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balance sheet information for The Seaview Resort toward the finish of 2022 paints a concerning financial picture, featuring the resort's financial position and potential liquidity issues. The resort's total assets stand at £1,200,000, enveloping different classifications. Current assets add up to £250,000, which ordinarily incorporate cash, money due, and assets expected to be switched over completely to cash soon. Property and hardware have a worth of £80,000, with an extra £100,000 represented as stock. Different assets add up to £150,000, which could incorporate elusive assets, investments, or other non-current assets (</w:t>
      </w:r>
      <w:r>
        <w:rPr>
          <w:rFonts w:ascii="Arial" w:hAnsi="Arial" w:cs="Arial" w:eastAsia="Arial"/>
          <w:color w:val="auto"/>
          <w:spacing w:val="0"/>
          <w:position w:val="0"/>
          <w:sz w:val="24"/>
          <w:shd w:fill="FFFFFF" w:val="clear"/>
        </w:rPr>
        <w:t xml:space="preserve">Banka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2022</w:t>
      </w:r>
      <w:r>
        <w:rPr>
          <w:rFonts w:ascii="Arial" w:hAnsi="Arial" w:cs="Arial" w:eastAsia="Arial"/>
          <w:color w:val="auto"/>
          <w:spacing w:val="0"/>
          <w:position w:val="0"/>
          <w:sz w:val="24"/>
          <w:shd w:fill="auto" w:val="clear"/>
        </w:rPr>
        <w:t xml:space="preserve">).</w:t>
      </w:r>
    </w:p>
    <w:p>
      <w:pPr>
        <w:spacing w:before="120" w:after="12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Conversely, the resort's total liabilities add up to £750,000, which address its financial commitments and debts. Current liabilities, comprising £180,000, envelop short-term commitments due in no less than a year, like records payable and short-term credits. The resort conveys a significant long-term debt of £500,000, connoting the sum acquired for long-term investments and capital expenditures. At long last, the value of the resort stands at £450,000, addressing the leftover interest in the assets subsequent to deducting liabilities, demonstrating the proprietor's or alternately investors' stake in the business (</w:t>
      </w:r>
      <w:r>
        <w:rPr>
          <w:rFonts w:ascii="Arial" w:hAnsi="Arial" w:cs="Arial" w:eastAsia="Arial"/>
          <w:color w:val="auto"/>
          <w:spacing w:val="0"/>
          <w:position w:val="0"/>
          <w:sz w:val="24"/>
          <w:shd w:fill="FFFFFF" w:val="clear"/>
        </w:rPr>
        <w:t xml:space="preserve">Abhayawansa and Adams, 2021</w:t>
      </w:r>
      <w:r>
        <w:rPr>
          <w:rFonts w:ascii="Arial" w:hAnsi="Arial" w:cs="Arial" w:eastAsia="Arial"/>
          <w:color w:val="auto"/>
          <w:spacing w:val="0"/>
          <w:position w:val="0"/>
          <w:sz w:val="24"/>
          <w:shd w:fill="auto" w:val="clear"/>
        </w:rPr>
        <w:t xml:space="preserve">).</w:t>
      </w:r>
    </w:p>
    <w:p>
      <w:pPr>
        <w:keepNext w:val="true"/>
        <w:keepLines w:val="true"/>
        <w:spacing w:before="40" w:after="12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D19049"/>
          <w:spacing w:val="0"/>
          <w:position w:val="0"/>
          <w:sz w:val="28"/>
          <w:shd w:fill="auto" w:val="clear"/>
        </w:rPr>
        <w:t xml:space="preserve">Cash Flow</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cash flow analysis for 2021 uncovers a concerning financial situation for The Seaview Resort. The resort's net cash flow from tasks was negative, demonstrating that its core business activities were not creating sufficient cash to cover operating expenses, debt adjusting, and other financial responsibilities.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Moreover, the resort's significant capital expenditure of £30,000 recommends that it make huge investments during the year, possibly to redesign or keep up with its property and gear. While putting resources into the resort's foundation is urgent, it further stresses its cash position (</w:t>
      </w:r>
      <w:r>
        <w:rPr>
          <w:rFonts w:ascii="Arial" w:hAnsi="Arial" w:cs="Arial" w:eastAsia="Arial"/>
          <w:color w:val="auto"/>
          <w:spacing w:val="0"/>
          <w:position w:val="0"/>
          <w:sz w:val="24"/>
          <w:shd w:fill="FFFFFF" w:val="clear"/>
        </w:rPr>
        <w:t xml:space="preserve">Melián-Alzola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negative net cash flow of £110,000 demonstrates that the resort needed to depend on outside financing, dunk into its cash savings, or gather more debt to support its tasks in 2021. This trend is unreasonable in the long term and raises worries about the resort's capacity to meet its financial commitments and put resources into its future development (</w:t>
      </w:r>
      <w:r>
        <w:rPr>
          <w:rFonts w:ascii="Arial" w:hAnsi="Arial" w:cs="Arial" w:eastAsia="Arial"/>
          <w:color w:val="auto"/>
          <w:spacing w:val="0"/>
          <w:position w:val="0"/>
          <w:sz w:val="24"/>
          <w:shd w:fill="FFFFFF" w:val="clear"/>
        </w:rPr>
        <w:t xml:space="preserve">Wu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2023</w:t>
      </w:r>
      <w:r>
        <w:rPr>
          <w:rFonts w:ascii="Arial" w:hAnsi="Arial" w:cs="Arial" w:eastAsia="Arial"/>
          <w:color w:val="auto"/>
          <w:spacing w:val="0"/>
          <w:position w:val="0"/>
          <w:sz w:val="24"/>
          <w:shd w:fill="auto" w:val="clear"/>
        </w:rPr>
        <w:t xml:space="preserv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address the cash flow difficulties, The Seaview Resort might have to consider measures like cost reduction, revenue enhancement, and the investigation of new financing options. An extensive Turnaround methodology is fundamental to working on its financial sustainability and guaranteeing its long-term suitability in the competitive coastal resort market (</w:t>
      </w:r>
      <w:r>
        <w:rPr>
          <w:rFonts w:ascii="Arial" w:hAnsi="Arial" w:cs="Arial" w:eastAsia="Arial"/>
          <w:color w:val="auto"/>
          <w:spacing w:val="0"/>
          <w:position w:val="0"/>
          <w:sz w:val="24"/>
          <w:shd w:fill="FFFFFF" w:val="clear"/>
        </w:rPr>
        <w:t xml:space="preserve">Chien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keepNext w:val="true"/>
        <w:keepLines w:val="true"/>
        <w:spacing w:before="40" w:after="12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D19049"/>
          <w:spacing w:val="0"/>
          <w:position w:val="0"/>
          <w:sz w:val="28"/>
          <w:shd w:fill="auto" w:val="clear"/>
        </w:rPr>
        <w:t xml:space="preserve">Additional Financial Information</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2020, The Seaview Resort's average room rate (ARR) was £250, with an occupancy rate of 70%. These figures show a somewhat solid situation for the resort. Notwithstanding, in 2021, the ARR dropped to £230, joined by a decline in the occupancy rate to 65%. The descending trend went on in 2022, with the ARR further diminishing to £210 and the occupancy rate dropping to 60%. These trends in average room rates and occupancy rates have direct ramifications on the resort's revenue.</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declining ARR joined with diminishing occupancy rates, proposes that The Seaview Resort confronted difficulties in drawing in visitors and keeping up with evaluating power. Lower room rates and diminished occupancy rates can bring about diminished revenue, which lines up with the resort's noticed financial battles during these years. To work on its financial well-being, the resort should consider strategies to help occupancy and possibly reposition its estimating strategy to line up with market dynamics and customer preferences (</w:t>
      </w:r>
      <w:r>
        <w:rPr>
          <w:rFonts w:ascii="Arial" w:hAnsi="Arial" w:cs="Arial" w:eastAsia="Arial"/>
          <w:color w:val="auto"/>
          <w:spacing w:val="0"/>
          <w:position w:val="0"/>
          <w:sz w:val="24"/>
          <w:shd w:fill="FFFFFF" w:val="clear"/>
        </w:rPr>
        <w:t xml:space="preserve">Alvarez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2021</w:t>
      </w:r>
      <w:r>
        <w:rPr>
          <w:rFonts w:ascii="Arial" w:hAnsi="Arial" w:cs="Arial" w:eastAsia="Arial"/>
          <w:color w:val="auto"/>
          <w:spacing w:val="0"/>
          <w:position w:val="0"/>
          <w:sz w:val="24"/>
          <w:shd w:fill="auto" w:val="clear"/>
        </w:rPr>
        <w:t xml:space="preserve">).</w:t>
      </w: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Key Reasons behind the Decline in Profitability</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financial analysis and market appraisal of The Seaview Resort uncover a few basic discoveries. The resort has encountered a continuous decline in revenue and profit margins throughout recent years, fundamentally because of extraordinary rivalry in the coastal resort market and changing customer preferences leaning toward eco-friendly and experiential tourism. The resort's powerlessness to adjust to these trends has brought about obsolete conveniences and declining service quality, prompting negative customer reviews and a tarnished reputation. Its balance sheet shows a significant financial shortage, with liabilities surpassing assets.</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resort's cash flow analysis in 2021 demonstrates a dependence on outside financing and raises worries about its capacity to meet financial commitments. To reestablish its financial well-being and competitiveness, The Seaview Resort earnestly needs to carry out an exhaustive Turnaround strategy, zeroing in on cost control, modernization, and a restored way to deal with customer fulfilment and market situating.</w:t>
      </w:r>
    </w:p>
    <w:p>
      <w:pPr>
        <w:keepNext w:val="true"/>
        <w:keepLines w:val="true"/>
        <w:spacing w:before="120" w:after="120" w:line="360"/>
        <w:ind w:right="0" w:left="0" w:firstLine="0"/>
        <w:jc w:val="both"/>
        <w:rPr>
          <w:rFonts w:ascii="Arial" w:hAnsi="Arial" w:cs="Arial" w:eastAsia="Arial"/>
          <w:b/>
          <w:color w:val="D19049"/>
          <w:spacing w:val="0"/>
          <w:position w:val="0"/>
          <w:sz w:val="32"/>
          <w:shd w:fill="auto" w:val="clear"/>
        </w:rPr>
      </w:pPr>
      <w:r>
        <w:rPr>
          <w:rFonts w:ascii="Arial" w:hAnsi="Arial" w:cs="Arial" w:eastAsia="Arial"/>
          <w:b/>
          <w:color w:val="D19049"/>
          <w:spacing w:val="0"/>
          <w:position w:val="0"/>
          <w:sz w:val="32"/>
          <w:shd w:fill="auto" w:val="clear"/>
        </w:rPr>
        <w:t xml:space="preserve">Comprehensive Turnaround Strategy</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Seaview Resort faces huge challenges that require a thorough Turnaround strategy to renew its financial well-being and reestablish its reputation as a chief place to get away. To accomplish this, the accompanying recommendations ought to be thought of:</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Modernize Amenities and Services: The resort should put resources into modernizing its amenities and services to line up with contemporary traveller preferences. This incorporates refreshing room style, improving innovation framework, and presenting eco-friendly drives, like energy-productive lighting, water protection, and waste reduction. Providing extraordinary and vivid encounters, like directed visits, experience activities, and culinary undertakings, can likewise draw in current travellers looking for experiential tourism (</w:t>
      </w:r>
      <w:r>
        <w:rPr>
          <w:rFonts w:ascii="Arial" w:hAnsi="Arial" w:cs="Arial" w:eastAsia="Arial"/>
          <w:color w:val="auto"/>
          <w:spacing w:val="0"/>
          <w:position w:val="0"/>
          <w:sz w:val="24"/>
          <w:shd w:fill="FFFFFF" w:val="clear"/>
        </w:rPr>
        <w:t xml:space="preserve">Al-Hawary and Al-Syasneh, 2020</w:t>
      </w:r>
      <w:r>
        <w:rPr>
          <w:rFonts w:ascii="Arial" w:hAnsi="Arial" w:cs="Arial" w:eastAsia="Arial"/>
          <w:color w:val="auto"/>
          <w:spacing w:val="0"/>
          <w:position w:val="0"/>
          <w:sz w:val="24"/>
          <w:shd w:fill="auto" w:val="clear"/>
        </w:rPr>
        <w:t xml:space="preserve">).</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Change Pricing Strategy: Reconsider the pricing strategy to stay competitive while keeping up with profitability. Carry out dynamic pricing that changes rates given demand and occasional elements. Offer appealing bundles, including comprehensive options, to tempt cost-cognizant visitors and separate from competitors. Extraordinary limits or advancements can likewise draw in thrifty travellers (</w:t>
      </w:r>
      <w:r>
        <w:rPr>
          <w:rFonts w:ascii="Arial" w:hAnsi="Arial" w:cs="Arial" w:eastAsia="Arial"/>
          <w:color w:val="auto"/>
          <w:spacing w:val="0"/>
          <w:position w:val="0"/>
          <w:sz w:val="24"/>
          <w:shd w:fill="FFFFFF" w:val="clear"/>
        </w:rPr>
        <w:t xml:space="preserve">Úbeda-García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2021</w:t>
      </w:r>
      <w:r>
        <w:rPr>
          <w:rFonts w:ascii="Arial" w:hAnsi="Arial" w:cs="Arial" w:eastAsia="Arial"/>
          <w:color w:val="auto"/>
          <w:spacing w:val="0"/>
          <w:position w:val="0"/>
          <w:sz w:val="24"/>
          <w:shd w:fill="auto" w:val="clear"/>
        </w:rPr>
        <w:t xml:space="preserve">).</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Service Enhancement: Focus on customer service greatness to address the decline in service quality. Lead staff preparing programs, further develop reaction times and execute customer criticism systems to guarantee visitors feel appreciated and esteemed. Consistency in service quality is critical to recapturing customer trust.</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Marketing and Branding: Patch up the resort's marketing endeavours to advance its one-of-a-kind selling focuses. Influence computerized marketing, virtual entertainment, and organizations with travel services to contact a more extensive crowd. Stress the resort's eco-friendly drives and the experiential parts of a stay. Reconstruct the resort's web-based reputation by empowering fulfilled visitors to leave positive reviews (</w:t>
      </w:r>
      <w:r>
        <w:rPr>
          <w:rFonts w:ascii="Arial" w:hAnsi="Arial" w:cs="Arial" w:eastAsia="Arial"/>
          <w:color w:val="auto"/>
          <w:spacing w:val="0"/>
          <w:position w:val="0"/>
          <w:sz w:val="24"/>
          <w:shd w:fill="FFFFFF" w:val="clear"/>
        </w:rPr>
        <w:t xml:space="preserve">FABIYANI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2021</w:t>
      </w:r>
      <w:r>
        <w:rPr>
          <w:rFonts w:ascii="Arial" w:hAnsi="Arial" w:cs="Arial" w:eastAsia="Arial"/>
          <w:color w:val="auto"/>
          <w:spacing w:val="0"/>
          <w:position w:val="0"/>
          <w:sz w:val="24"/>
          <w:shd w:fill="auto" w:val="clear"/>
        </w:rPr>
        <w:t xml:space="preserve">).</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Cost Control and Efficiency: Review and smooth out operating expenses to work on cost control. Recognize regions where costs can be diminished without compromising quality. Haggle more ideal arrangements with providers and consider re-appropriating non-core capabilities to diminish the above.</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Debt Rebuilding: Address the resort's significant long-term debt by investigating options for debt rebuilding or refinancing to decrease the financial weight and further develop cash flow (</w:t>
      </w:r>
      <w:r>
        <w:rPr>
          <w:rFonts w:ascii="Arial" w:hAnsi="Arial" w:cs="Arial" w:eastAsia="Arial"/>
          <w:color w:val="auto"/>
          <w:spacing w:val="0"/>
          <w:position w:val="0"/>
          <w:sz w:val="24"/>
          <w:shd w:fill="FFFFFF" w:val="clear"/>
        </w:rPr>
        <w:t xml:space="preserve">Jelonek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2022</w:t>
      </w:r>
      <w:r>
        <w:rPr>
          <w:rFonts w:ascii="Arial" w:hAnsi="Arial" w:cs="Arial" w:eastAsia="Arial"/>
          <w:color w:val="auto"/>
          <w:spacing w:val="0"/>
          <w:position w:val="0"/>
          <w:sz w:val="24"/>
          <w:shd w:fill="auto" w:val="clear"/>
        </w:rPr>
        <w:t xml:space="preserve">).</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Financial Forecasting: Execute thorough financial forecasting to successfully screen and oversee cash flow. Make spending plans that line up with revenue assumptions and focus on cash stores to meet short-term commitments.</w:t>
      </w:r>
    </w:p>
    <w:p>
      <w:pPr>
        <w:widowControl w:val="false"/>
        <w:numPr>
          <w:ilvl w:val="0"/>
          <w:numId w:val="24"/>
        </w:numPr>
        <w:tabs>
          <w:tab w:val="left" w:pos="3168" w:leader="none"/>
        </w:tabs>
        <w:spacing w:before="0" w:after="160" w:line="360"/>
        <w:ind w:right="0" w:left="72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Customer Engagement and Loyalty Programs: Foster customer engagement and loyalty programs to support rehash visits. Reward faithful visitors with limits, selective encounters, or participation advantages to increment customer maintenance (</w:t>
      </w:r>
      <w:r>
        <w:rPr>
          <w:rFonts w:ascii="Arial" w:hAnsi="Arial" w:cs="Arial" w:eastAsia="Arial"/>
          <w:color w:val="auto"/>
          <w:spacing w:val="0"/>
          <w:position w:val="0"/>
          <w:sz w:val="24"/>
          <w:shd w:fill="FFFFFF" w:val="clear"/>
        </w:rPr>
        <w:t xml:space="preserve">Akgunduz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2020</w:t>
      </w:r>
      <w:r>
        <w:rPr>
          <w:rFonts w:ascii="Arial" w:hAnsi="Arial" w:cs="Arial" w:eastAsia="Arial"/>
          <w:color w:val="auto"/>
          <w:spacing w:val="0"/>
          <w:position w:val="0"/>
          <w:sz w:val="24"/>
          <w:shd w:fill="auto" w:val="clear"/>
        </w:rPr>
        <w:t xml:space="preserve">).</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All in all, a top-notch Turnaround strategy that tends to service quality, modernization, pricing, marketing, and cost control is fundamental for The Seaview Resort's restoration. With an emphasis on customer fulfilment, financial sustainability, and arrangement with developing market trends, the resort can reestablish its reputation and financial feasibility in the competitive coastal resort market (</w:t>
      </w:r>
      <w:r>
        <w:rPr>
          <w:rFonts w:ascii="Arial" w:hAnsi="Arial" w:cs="Arial" w:eastAsia="Arial"/>
          <w:color w:val="auto"/>
          <w:spacing w:val="0"/>
          <w:position w:val="0"/>
          <w:sz w:val="24"/>
          <w:shd w:fill="FFFFFF" w:val="clear"/>
        </w:rPr>
        <w:t xml:space="preserve">Ngoc </w:t>
      </w:r>
      <w:r>
        <w:rPr>
          <w:rFonts w:ascii="Arial" w:hAnsi="Arial" w:cs="Arial" w:eastAsia="Arial"/>
          <w:i/>
          <w:color w:val="auto"/>
          <w:spacing w:val="0"/>
          <w:position w:val="0"/>
          <w:sz w:val="24"/>
          <w:shd w:fill="FFFFFF" w:val="clear"/>
        </w:rPr>
        <w:t xml:space="preserve">et al.,</w:t>
      </w:r>
      <w:r>
        <w:rPr>
          <w:rFonts w:ascii="Arial" w:hAnsi="Arial" w:cs="Arial" w:eastAsia="Arial"/>
          <w:color w:val="auto"/>
          <w:spacing w:val="0"/>
          <w:position w:val="0"/>
          <w:sz w:val="24"/>
          <w:shd w:fill="FFFFFF" w:val="clear"/>
        </w:rPr>
        <w:t xml:space="preserve"> 2023</w:t>
      </w:r>
      <w:r>
        <w:rPr>
          <w:rFonts w:ascii="Arial" w:hAnsi="Arial" w:cs="Arial" w:eastAsia="Arial"/>
          <w:color w:val="auto"/>
          <w:spacing w:val="0"/>
          <w:position w:val="0"/>
          <w:sz w:val="24"/>
          <w:shd w:fill="auto" w:val="clear"/>
        </w:rPr>
        <w:t xml:space="preserve">).</w:t>
        <w:t xml:space="preserve"> </w:t>
      </w:r>
    </w:p>
    <w:p>
      <w:pPr>
        <w:widowControl w:val="false"/>
        <w:spacing w:before="0" w:after="16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Conclusion</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Seaview Resort's decline in revenue, profitability, and reputation is an unmistakable reality that demands earnest consideration. Our analysis discloses a challenging financial landscape, set apart by declining profits, significant liabilities, and cash flow obstacles. To achieve this notable objective, a strategic change is basic. Modernizing amenities, changing pricing, improving customer service, and patching up marketing endeavours are fundamental stages. Moreover, tending to debt and executing thorough cost controls are critical for financial sustainability. The resort's capacity to adjust to developing market dynamics and reestablish customer trust will determine its future practicality and reignite its status as a head place to get away. </w:t>
      </w:r>
    </w:p>
    <w:p>
      <w:pPr>
        <w:widowControl w:val="false"/>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both"/>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D19049"/>
          <w:spacing w:val="0"/>
          <w:position w:val="0"/>
          <w:sz w:val="32"/>
          <w:shd w:fill="auto" w:val="clear"/>
        </w:rPr>
        <w:t xml:space="preserve">References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Abhayawansa, S. and Adams, C., 2021. Towards a conceptual framework for non-financial reporting inclusive of pandemic and climate risk reporting. </w:t>
      </w:r>
      <w:r>
        <w:rPr>
          <w:rFonts w:ascii="Arial" w:hAnsi="Arial" w:cs="Arial" w:eastAsia="Arial"/>
          <w:i/>
          <w:color w:val="auto"/>
          <w:spacing w:val="0"/>
          <w:position w:val="0"/>
          <w:sz w:val="24"/>
          <w:shd w:fill="FFFFFF" w:val="clear"/>
        </w:rPr>
        <w:t xml:space="preserve">Meditari Accountancy Research</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30</w:t>
      </w:r>
      <w:r>
        <w:rPr>
          <w:rFonts w:ascii="Arial" w:hAnsi="Arial" w:cs="Arial" w:eastAsia="Arial"/>
          <w:color w:val="auto"/>
          <w:spacing w:val="0"/>
          <w:position w:val="0"/>
          <w:sz w:val="24"/>
          <w:shd w:fill="FFFFFF" w:val="clear"/>
        </w:rPr>
        <w:t xml:space="preserve">(3), pp.710-738.</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Akgunduz, Y., Adan Gök, Ö. and Alkan, C., 2020. The effects of rewards and proactive personality on turnover intentions and meaning of work in hotel businesses. </w:t>
      </w:r>
      <w:r>
        <w:rPr>
          <w:rFonts w:ascii="Arial" w:hAnsi="Arial" w:cs="Arial" w:eastAsia="Arial"/>
          <w:i/>
          <w:color w:val="auto"/>
          <w:spacing w:val="0"/>
          <w:position w:val="0"/>
          <w:sz w:val="24"/>
          <w:shd w:fill="FFFFFF" w:val="clear"/>
        </w:rPr>
        <w:t xml:space="preserve">Tourism and Hospitality Research</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20</w:t>
      </w:r>
      <w:r>
        <w:rPr>
          <w:rFonts w:ascii="Arial" w:hAnsi="Arial" w:cs="Arial" w:eastAsia="Arial"/>
          <w:color w:val="auto"/>
          <w:spacing w:val="0"/>
          <w:position w:val="0"/>
          <w:sz w:val="24"/>
          <w:shd w:fill="FFFFFF" w:val="clear"/>
        </w:rPr>
        <w:t xml:space="preserve">(2), pp.170-183.</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Al-Hawary, S.I. and Al-Syasneh, M.S., 2020. Impact of dynamic strategic capabilities on strategic entrepreneurship in presence of outsourcing of five stars hotels in Jordan. </w:t>
      </w:r>
      <w:r>
        <w:rPr>
          <w:rFonts w:ascii="Arial" w:hAnsi="Arial" w:cs="Arial" w:eastAsia="Arial"/>
          <w:i/>
          <w:color w:val="auto"/>
          <w:spacing w:val="0"/>
          <w:position w:val="0"/>
          <w:sz w:val="24"/>
          <w:shd w:fill="FFFFFF" w:val="clear"/>
        </w:rPr>
        <w:t xml:space="preserve">Business: Theory and Practice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21</w:t>
      </w:r>
      <w:r>
        <w:rPr>
          <w:rFonts w:ascii="Arial" w:hAnsi="Arial" w:cs="Arial" w:eastAsia="Arial"/>
          <w:color w:val="auto"/>
          <w:spacing w:val="0"/>
          <w:position w:val="0"/>
          <w:sz w:val="24"/>
          <w:shd w:fill="FFFFFF" w:val="clear"/>
        </w:rPr>
        <w:t xml:space="preserve">(2), pp.578-587.</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Alvarez, T., Sensini, L., Bello, C. and Vazquez, M., 2021. Management accounting practices and performance of SMEs in the Hotel industry: Evidence from an emerging economy. </w:t>
      </w:r>
      <w:r>
        <w:rPr>
          <w:rFonts w:ascii="Arial" w:hAnsi="Arial" w:cs="Arial" w:eastAsia="Arial"/>
          <w:i/>
          <w:color w:val="auto"/>
          <w:spacing w:val="0"/>
          <w:position w:val="0"/>
          <w:sz w:val="24"/>
          <w:shd w:fill="FFFFFF" w:val="clear"/>
        </w:rPr>
        <w:t xml:space="preserve">International Journal of Business and Social Science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w:t>
      </w:r>
      <w:r>
        <w:rPr>
          <w:rFonts w:ascii="Arial" w:hAnsi="Arial" w:cs="Arial" w:eastAsia="Arial"/>
          <w:color w:val="auto"/>
          <w:spacing w:val="0"/>
          <w:position w:val="0"/>
          <w:sz w:val="24"/>
          <w:shd w:fill="FFFFFF" w:val="clear"/>
        </w:rPr>
        <w:t xml:space="preserve">(2), pp.24-35.</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Al-Wattar, Y.M.A., Almagtome, A.H. and Al-Shafeay, K.M., 2019. The role of integrating hotel sustainability reporting practices into an Accounting Information System to enhance Hotel Financial Performance: Evidence from Iraq. </w:t>
      </w:r>
      <w:r>
        <w:rPr>
          <w:rFonts w:ascii="Arial" w:hAnsi="Arial" w:cs="Arial" w:eastAsia="Arial"/>
          <w:i/>
          <w:color w:val="auto"/>
          <w:spacing w:val="0"/>
          <w:position w:val="0"/>
          <w:sz w:val="24"/>
          <w:shd w:fill="FFFFFF" w:val="clear"/>
        </w:rPr>
        <w:t xml:space="preserve">African Journal of Hospitality, Tourism and Leisure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8</w:t>
      </w:r>
      <w:r>
        <w:rPr>
          <w:rFonts w:ascii="Arial" w:hAnsi="Arial" w:cs="Arial" w:eastAsia="Arial"/>
          <w:color w:val="auto"/>
          <w:spacing w:val="0"/>
          <w:position w:val="0"/>
          <w:sz w:val="24"/>
          <w:shd w:fill="FFFFFF" w:val="clear"/>
        </w:rPr>
        <w:t xml:space="preserve">(5), pp.1-16.</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Banka, M., Tien, N.H., Dao, M.T.H. and Minh, D.T., 2022. Analysis of business strategy of real estate developers in Vietnam: the application of QSPM matrix. </w:t>
      </w:r>
      <w:r>
        <w:rPr>
          <w:rFonts w:ascii="Arial" w:hAnsi="Arial" w:cs="Arial" w:eastAsia="Arial"/>
          <w:i/>
          <w:color w:val="auto"/>
          <w:spacing w:val="0"/>
          <w:position w:val="0"/>
          <w:sz w:val="24"/>
          <w:shd w:fill="FFFFFF" w:val="clear"/>
        </w:rPr>
        <w:t xml:space="preserve">International journal of multidisciplinary research and growth evaluation</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w:t>
      </w:r>
      <w:r>
        <w:rPr>
          <w:rFonts w:ascii="Arial" w:hAnsi="Arial" w:cs="Arial" w:eastAsia="Arial"/>
          <w:color w:val="auto"/>
          <w:spacing w:val="0"/>
          <w:position w:val="0"/>
          <w:sz w:val="24"/>
          <w:shd w:fill="FFFFFF" w:val="clear"/>
        </w:rPr>
        <w:t xml:space="preserve">(1), pp.188-196.</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Chien, G.C., Mao, I., Nergui, E. and Chang, W., 2020. The effect of work motivation on employee performance: Empirical evidence from 4-star hotels in Mongolia. </w:t>
      </w:r>
      <w:r>
        <w:rPr>
          <w:rFonts w:ascii="Arial" w:hAnsi="Arial" w:cs="Arial" w:eastAsia="Arial"/>
          <w:i/>
          <w:color w:val="auto"/>
          <w:spacing w:val="0"/>
          <w:position w:val="0"/>
          <w:sz w:val="24"/>
          <w:shd w:fill="FFFFFF" w:val="clear"/>
        </w:rPr>
        <w:t xml:space="preserve">Journal of Human Resources in Hospitality &amp; Tourism</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19</w:t>
      </w:r>
      <w:r>
        <w:rPr>
          <w:rFonts w:ascii="Arial" w:hAnsi="Arial" w:cs="Arial" w:eastAsia="Arial"/>
          <w:color w:val="auto"/>
          <w:spacing w:val="0"/>
          <w:position w:val="0"/>
          <w:sz w:val="24"/>
          <w:shd w:fill="FFFFFF" w:val="clear"/>
        </w:rPr>
        <w:t xml:space="preserve">(4), pp.473-495.</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FABIYANI, N.N., SUDIRO, A., MOKO, W. and SOELTON, M., 2021. Conceptualizing the role of work engagement: a case study of the hotel sector in Surabaya during the COVID-19. </w:t>
      </w:r>
      <w:r>
        <w:rPr>
          <w:rFonts w:ascii="Arial" w:hAnsi="Arial" w:cs="Arial" w:eastAsia="Arial"/>
          <w:i/>
          <w:color w:val="auto"/>
          <w:spacing w:val="0"/>
          <w:position w:val="0"/>
          <w:sz w:val="24"/>
          <w:shd w:fill="FFFFFF" w:val="clear"/>
        </w:rPr>
        <w:t xml:space="preserve">The Journal of Asian Finance, Economics and Business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8</w:t>
      </w:r>
      <w:r>
        <w:rPr>
          <w:rFonts w:ascii="Arial" w:hAnsi="Arial" w:cs="Arial" w:eastAsia="Arial"/>
          <w:color w:val="auto"/>
          <w:spacing w:val="0"/>
          <w:position w:val="0"/>
          <w:sz w:val="24"/>
          <w:shd w:fill="FFFFFF" w:val="clear"/>
        </w:rPr>
        <w:t xml:space="preserve">(5), pp.485-494.</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Franco, S., Caroli, M.G., Cappa, F. and Del Chiappa, G., 2020. Are you good enough? CSR, quality management and corporate financial performance in the hospitality industry. </w:t>
      </w:r>
      <w:r>
        <w:rPr>
          <w:rFonts w:ascii="Arial" w:hAnsi="Arial" w:cs="Arial" w:eastAsia="Arial"/>
          <w:i/>
          <w:color w:val="auto"/>
          <w:spacing w:val="0"/>
          <w:position w:val="0"/>
          <w:sz w:val="24"/>
          <w:shd w:fill="FFFFFF" w:val="clear"/>
        </w:rPr>
        <w:t xml:space="preserve">International Journal of Hospitality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88</w:t>
      </w:r>
      <w:r>
        <w:rPr>
          <w:rFonts w:ascii="Arial" w:hAnsi="Arial" w:cs="Arial" w:eastAsia="Arial"/>
          <w:color w:val="auto"/>
          <w:spacing w:val="0"/>
          <w:position w:val="0"/>
          <w:sz w:val="24"/>
          <w:shd w:fill="FFFFFF" w:val="clear"/>
        </w:rPr>
        <w:t xml:space="preserve">, p.102395.</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Gemar, G., Soler, I.P. and Guzman-Parra, V.F., 2019. Predicting bankruptcy in resort hotels: a survival analysis. </w:t>
      </w:r>
      <w:r>
        <w:rPr>
          <w:rFonts w:ascii="Arial" w:hAnsi="Arial" w:cs="Arial" w:eastAsia="Arial"/>
          <w:i/>
          <w:color w:val="auto"/>
          <w:spacing w:val="0"/>
          <w:position w:val="0"/>
          <w:sz w:val="24"/>
          <w:shd w:fill="FFFFFF" w:val="clear"/>
        </w:rPr>
        <w:t xml:space="preserve">International Journal of Contemporary Hospitality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31</w:t>
      </w:r>
      <w:r>
        <w:rPr>
          <w:rFonts w:ascii="Arial" w:hAnsi="Arial" w:cs="Arial" w:eastAsia="Arial"/>
          <w:color w:val="auto"/>
          <w:spacing w:val="0"/>
          <w:position w:val="0"/>
          <w:sz w:val="24"/>
          <w:shd w:fill="FFFFFF" w:val="clear"/>
        </w:rPr>
        <w:t xml:space="preserve">(4), pp.1546-1566.</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Jelonek, D., Tien, N.H., Dao, M.T.H. and Minh, D.T., 2022. Comparative analysis of business strategy of Vietnamese real estate developers: the use of Hoffer matrix. </w:t>
      </w:r>
      <w:r>
        <w:rPr>
          <w:rFonts w:ascii="Arial" w:hAnsi="Arial" w:cs="Arial" w:eastAsia="Arial"/>
          <w:i/>
          <w:color w:val="auto"/>
          <w:spacing w:val="0"/>
          <w:position w:val="0"/>
          <w:sz w:val="24"/>
          <w:shd w:fill="FFFFFF" w:val="clear"/>
        </w:rPr>
        <w:t xml:space="preserve">International journal of multidisciplinary research and growth evaluation</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w:t>
      </w:r>
      <w:r>
        <w:rPr>
          <w:rFonts w:ascii="Arial" w:hAnsi="Arial" w:cs="Arial" w:eastAsia="Arial"/>
          <w:color w:val="auto"/>
          <w:spacing w:val="0"/>
          <w:position w:val="0"/>
          <w:sz w:val="24"/>
          <w:shd w:fill="FFFFFF" w:val="clear"/>
        </w:rPr>
        <w:t xml:space="preserve">(1), pp.197-204.</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Lee, M., Cai, Y.M., DeFranco, A. and Lee, J., 2020. Exploring influential factors affecting guest satisfaction: Big data and business analytics in consumer-generated reviews. </w:t>
      </w:r>
      <w:r>
        <w:rPr>
          <w:rFonts w:ascii="Arial" w:hAnsi="Arial" w:cs="Arial" w:eastAsia="Arial"/>
          <w:i/>
          <w:color w:val="auto"/>
          <w:spacing w:val="0"/>
          <w:position w:val="0"/>
          <w:sz w:val="24"/>
          <w:shd w:fill="FFFFFF" w:val="clear"/>
        </w:rPr>
        <w:t xml:space="preserve">Journal of Hospitality and Tourism Technology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11</w:t>
      </w:r>
      <w:r>
        <w:rPr>
          <w:rFonts w:ascii="Arial" w:hAnsi="Arial" w:cs="Arial" w:eastAsia="Arial"/>
          <w:color w:val="auto"/>
          <w:spacing w:val="0"/>
          <w:position w:val="0"/>
          <w:sz w:val="24"/>
          <w:shd w:fill="FFFFFF" w:val="clear"/>
        </w:rPr>
        <w:t xml:space="preserve">(1), pp.137-153.</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Melián-Alzola, L., Fernández-Monroy, M. and Hidalgo-Peñate, M., 2020. Hotels in contexts of uncertainty: Measuring organisational resilience. </w:t>
      </w:r>
      <w:r>
        <w:rPr>
          <w:rFonts w:ascii="Arial" w:hAnsi="Arial" w:cs="Arial" w:eastAsia="Arial"/>
          <w:i/>
          <w:color w:val="auto"/>
          <w:spacing w:val="0"/>
          <w:position w:val="0"/>
          <w:sz w:val="24"/>
          <w:shd w:fill="FFFFFF" w:val="clear"/>
        </w:rPr>
        <w:t xml:space="preserve">Tourism management perspectives</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36</w:t>
      </w:r>
      <w:r>
        <w:rPr>
          <w:rFonts w:ascii="Arial" w:hAnsi="Arial" w:cs="Arial" w:eastAsia="Arial"/>
          <w:color w:val="auto"/>
          <w:spacing w:val="0"/>
          <w:position w:val="0"/>
          <w:sz w:val="24"/>
          <w:shd w:fill="FFFFFF" w:val="clear"/>
        </w:rPr>
        <w:t xml:space="preserve">, p.100747.</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Ngoc, N.M., Tien, N.H. and Hieu, V.M., 2023. Factors affecting the selling price of luxury apartments in Vietnam. A quantitative analysis. </w:t>
      </w:r>
      <w:r>
        <w:rPr>
          <w:rFonts w:ascii="Arial" w:hAnsi="Arial" w:cs="Arial" w:eastAsia="Arial"/>
          <w:i/>
          <w:color w:val="auto"/>
          <w:spacing w:val="0"/>
          <w:position w:val="0"/>
          <w:sz w:val="24"/>
          <w:shd w:fill="FFFFFF" w:val="clear"/>
        </w:rPr>
        <w:t xml:space="preserve">International journal of business and globalisation</w:t>
      </w:r>
      <w:r>
        <w:rPr>
          <w:rFonts w:ascii="Arial" w:hAnsi="Arial" w:cs="Arial" w:eastAsia="Arial"/>
          <w:color w:val="auto"/>
          <w:spacing w:val="0"/>
          <w:position w:val="0"/>
          <w:sz w:val="24"/>
          <w:shd w:fill="FFFFFF" w:val="clear"/>
        </w:rPr>
        <w:t xml:space="preserve">.</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Rhou, Y. and Singal, M., 2020. A review of the business case for CSR in the hospitality industry. </w:t>
      </w:r>
      <w:r>
        <w:rPr>
          <w:rFonts w:ascii="Arial" w:hAnsi="Arial" w:cs="Arial" w:eastAsia="Arial"/>
          <w:i/>
          <w:color w:val="auto"/>
          <w:spacing w:val="0"/>
          <w:position w:val="0"/>
          <w:sz w:val="24"/>
          <w:shd w:fill="FFFFFF" w:val="clear"/>
        </w:rPr>
        <w:t xml:space="preserve">International Journal of Hospitality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84</w:t>
      </w:r>
      <w:r>
        <w:rPr>
          <w:rFonts w:ascii="Arial" w:hAnsi="Arial" w:cs="Arial" w:eastAsia="Arial"/>
          <w:color w:val="auto"/>
          <w:spacing w:val="0"/>
          <w:position w:val="0"/>
          <w:sz w:val="24"/>
          <w:shd w:fill="FFFFFF" w:val="clear"/>
        </w:rPr>
        <w:t xml:space="preserve">, p.102330.</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Úbeda-García, M., Claver-Cortés, E., Marco-Lajara, B. and Zaragoza-Sáez, P., 2021. Corporate social responsibility and firm performance in the hotel industry. The mediating role of green human resource management and environmental outcomes. </w:t>
      </w:r>
      <w:r>
        <w:rPr>
          <w:rFonts w:ascii="Arial" w:hAnsi="Arial" w:cs="Arial" w:eastAsia="Arial"/>
          <w:i/>
          <w:color w:val="auto"/>
          <w:spacing w:val="0"/>
          <w:position w:val="0"/>
          <w:sz w:val="24"/>
          <w:shd w:fill="FFFFFF" w:val="clear"/>
        </w:rPr>
        <w:t xml:space="preserve">Journal of Business Research</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123</w:t>
      </w:r>
      <w:r>
        <w:rPr>
          <w:rFonts w:ascii="Arial" w:hAnsi="Arial" w:cs="Arial" w:eastAsia="Arial"/>
          <w:color w:val="auto"/>
          <w:spacing w:val="0"/>
          <w:position w:val="0"/>
          <w:sz w:val="24"/>
          <w:shd w:fill="FFFFFF" w:val="clear"/>
        </w:rPr>
        <w:t xml:space="preserve">, pp.57-69.</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Vogel, H.L., 2021. </w:t>
      </w:r>
      <w:r>
        <w:rPr>
          <w:rFonts w:ascii="Arial" w:hAnsi="Arial" w:cs="Arial" w:eastAsia="Arial"/>
          <w:i/>
          <w:color w:val="auto"/>
          <w:spacing w:val="0"/>
          <w:position w:val="0"/>
          <w:sz w:val="24"/>
          <w:shd w:fill="FFFFFF" w:val="clear"/>
        </w:rPr>
        <w:t xml:space="preserve">Travel industry economics: A guide for financial analysis</w:t>
      </w:r>
      <w:r>
        <w:rPr>
          <w:rFonts w:ascii="Arial" w:hAnsi="Arial" w:cs="Arial" w:eastAsia="Arial"/>
          <w:color w:val="auto"/>
          <w:spacing w:val="0"/>
          <w:position w:val="0"/>
          <w:sz w:val="24"/>
          <w:shd w:fill="FFFFFF" w:val="clear"/>
        </w:rPr>
        <w:t xml:space="preserve">. Springer Nature.</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Wang, L., Wang, X.K., Peng, J.J. and Wang, J.Q., 2020. The differences in hotel selection among various types of travellers: A comparative analysis with a useful bounded rationality behavioural decision support model. </w:t>
      </w:r>
      <w:r>
        <w:rPr>
          <w:rFonts w:ascii="Arial" w:hAnsi="Arial" w:cs="Arial" w:eastAsia="Arial"/>
          <w:i/>
          <w:color w:val="auto"/>
          <w:spacing w:val="0"/>
          <w:position w:val="0"/>
          <w:sz w:val="24"/>
          <w:shd w:fill="FFFFFF" w:val="clear"/>
        </w:rPr>
        <w:t xml:space="preserve">Tourism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76</w:t>
      </w:r>
      <w:r>
        <w:rPr>
          <w:rFonts w:ascii="Arial" w:hAnsi="Arial" w:cs="Arial" w:eastAsia="Arial"/>
          <w:color w:val="auto"/>
          <w:spacing w:val="0"/>
          <w:position w:val="0"/>
          <w:sz w:val="24"/>
          <w:shd w:fill="FFFFFF" w:val="clear"/>
        </w:rPr>
        <w:t xml:space="preserve">, p.103961.</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Wu, Q., Yan, D. and Umair, M., 2023. Assessing the role of competitive intelligence and practices of dynamic capabilities in business accommodation of SMEs. </w:t>
      </w:r>
      <w:r>
        <w:rPr>
          <w:rFonts w:ascii="Arial" w:hAnsi="Arial" w:cs="Arial" w:eastAsia="Arial"/>
          <w:i/>
          <w:color w:val="auto"/>
          <w:spacing w:val="0"/>
          <w:position w:val="0"/>
          <w:sz w:val="24"/>
          <w:shd w:fill="FFFFFF" w:val="clear"/>
        </w:rPr>
        <w:t xml:space="preserve">Economic Analysis and Policy</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77</w:t>
      </w:r>
      <w:r>
        <w:rPr>
          <w:rFonts w:ascii="Arial" w:hAnsi="Arial" w:cs="Arial" w:eastAsia="Arial"/>
          <w:color w:val="auto"/>
          <w:spacing w:val="0"/>
          <w:position w:val="0"/>
          <w:sz w:val="24"/>
          <w:shd w:fill="FFFFFF" w:val="clear"/>
        </w:rPr>
        <w:t xml:space="preserve">, pp.1103-1114.</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Yalcin, A.S., Kilic, H.S. and Delen, D., 2022. The use of multi-criteria decision-making methods in business analytics: A comprehensive literature review. </w:t>
      </w:r>
      <w:r>
        <w:rPr>
          <w:rFonts w:ascii="Arial" w:hAnsi="Arial" w:cs="Arial" w:eastAsia="Arial"/>
          <w:i/>
          <w:color w:val="auto"/>
          <w:spacing w:val="0"/>
          <w:position w:val="0"/>
          <w:sz w:val="24"/>
          <w:shd w:fill="FFFFFF" w:val="clear"/>
        </w:rPr>
        <w:t xml:space="preserve">Technological forecasting and social change</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174</w:t>
      </w:r>
      <w:r>
        <w:rPr>
          <w:rFonts w:ascii="Arial" w:hAnsi="Arial" w:cs="Arial" w:eastAsia="Arial"/>
          <w:color w:val="auto"/>
          <w:spacing w:val="0"/>
          <w:position w:val="0"/>
          <w:sz w:val="24"/>
          <w:shd w:fill="FFFFFF" w:val="clear"/>
        </w:rPr>
        <w:t xml:space="preserve">, p.121193.</w:t>
      </w:r>
      <w:r>
        <w:rPr>
          <w:rFonts w:ascii="Arial" w:hAnsi="Arial" w:cs="Arial" w:eastAsia="Arial"/>
          <w:color w:val="auto"/>
          <w:spacing w:val="0"/>
          <w:position w:val="0"/>
          <w:sz w:val="24"/>
          <w:shd w:fill="auto" w:val="clear"/>
        </w:rPr>
        <w:t xml:space="preserve"> </w:t>
      </w:r>
    </w:p>
    <w:p>
      <w:pPr>
        <w:spacing w:before="120" w:after="12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FFFFFF" w:val="clear"/>
        </w:rPr>
        <w:t xml:space="preserve">Ye, S., Xiao, H. and Zhou, L., 2019. Small accommodation business growth in rural areas: Effects on guest experience and financial performance. </w:t>
      </w:r>
      <w:r>
        <w:rPr>
          <w:rFonts w:ascii="Arial" w:hAnsi="Arial" w:cs="Arial" w:eastAsia="Arial"/>
          <w:i/>
          <w:color w:val="auto"/>
          <w:spacing w:val="0"/>
          <w:position w:val="0"/>
          <w:sz w:val="24"/>
          <w:shd w:fill="FFFFFF" w:val="clear"/>
        </w:rPr>
        <w:t xml:space="preserve">International Journal of Hospitality Management</w:t>
      </w:r>
      <w:r>
        <w:rPr>
          <w:rFonts w:ascii="Arial" w:hAnsi="Arial" w:cs="Arial" w:eastAsia="Arial"/>
          <w:color w:val="auto"/>
          <w:spacing w:val="0"/>
          <w:position w:val="0"/>
          <w:sz w:val="24"/>
          <w:shd w:fill="FFFFFF" w:val="clear"/>
        </w:rPr>
        <w:t xml:space="preserve">, </w:t>
      </w:r>
      <w:r>
        <w:rPr>
          <w:rFonts w:ascii="Arial" w:hAnsi="Arial" w:cs="Arial" w:eastAsia="Arial"/>
          <w:i/>
          <w:color w:val="auto"/>
          <w:spacing w:val="0"/>
          <w:position w:val="0"/>
          <w:sz w:val="24"/>
          <w:shd w:fill="FFFFFF" w:val="clear"/>
        </w:rPr>
        <w:t xml:space="preserve">76</w:t>
      </w:r>
      <w:r>
        <w:rPr>
          <w:rFonts w:ascii="Arial" w:hAnsi="Arial" w:cs="Arial" w:eastAsia="Arial"/>
          <w:color w:val="auto"/>
          <w:spacing w:val="0"/>
          <w:position w:val="0"/>
          <w:sz w:val="24"/>
          <w:shd w:fill="FFFFFF" w:val="clear"/>
        </w:rPr>
        <w:t xml:space="preserve">, pp.29-38.</w:t>
      </w: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widowControl w:val="false"/>
        <w:spacing w:before="0" w:after="160" w:line="360"/>
        <w:ind w:right="0" w:left="0" w:firstLine="0"/>
        <w:jc w:val="left"/>
        <w:rPr>
          <w:rFonts w:ascii="Arial" w:hAnsi="Arial" w:cs="Arial" w:eastAsia="Arial"/>
          <w:b/>
          <w:color w:val="auto"/>
          <w:spacing w:val="0"/>
          <w:position w:val="0"/>
          <w:sz w:val="32"/>
          <w:shd w:fill="auto" w:val="clear"/>
        </w:rPr>
      </w:pPr>
    </w:p>
    <w:p>
      <w:pPr>
        <w:keepNext w:val="true"/>
        <w:keepLines w:val="true"/>
        <w:spacing w:before="120" w:after="120" w:line="360"/>
        <w:ind w:right="0" w:left="0" w:firstLine="0"/>
        <w:jc w:val="both"/>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Appendices</w:t>
      </w:r>
    </w:p>
    <w:tbl>
      <w:tblPr/>
      <w:tblGrid>
        <w:gridCol w:w="2244"/>
        <w:gridCol w:w="876"/>
        <w:gridCol w:w="876"/>
        <w:gridCol w:w="876"/>
      </w:tblGrid>
      <w:tr>
        <w:trPr>
          <w:trHeight w:val="288" w:hRule="auto"/>
          <w:jc w:val="left"/>
        </w:trPr>
        <w:tc>
          <w:tcPr>
            <w:tcW w:w="4872" w:type="dxa"/>
            <w:gridSpan w:val="4"/>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center"/>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Income Statement Analysis</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Item</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2020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2021</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2022</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Total revenue</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520000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480000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430000</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Operating Expenses</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390000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400000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450000</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Gross Profit</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130000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80000</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Net Profit (Loss)</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78000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40000</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17500</w:t>
            </w:r>
          </w:p>
        </w:tc>
      </w:tr>
      <w:tr>
        <w:trPr>
          <w:trHeight w:val="288" w:hRule="auto"/>
          <w:jc w:val="left"/>
        </w:trPr>
        <w:tc>
          <w:tcPr>
            <w:tcW w:w="2244"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Net Profit Margin</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15%</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w:t>
            </w:r>
          </w:p>
        </w:tc>
        <w:tc>
          <w:tcPr>
            <w:tcW w:w="87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w:t>
            </w:r>
          </w:p>
        </w:tc>
      </w:tr>
    </w:tbl>
    <w:p>
      <w:pPr>
        <w:spacing w:before="120" w:after="120" w:line="360"/>
        <w:ind w:right="0" w:left="0" w:firstLine="0"/>
        <w:jc w:val="left"/>
        <w:rPr>
          <w:rFonts w:ascii="Arial" w:hAnsi="Arial" w:cs="Arial" w:eastAsia="Arial"/>
          <w:color w:val="auto"/>
          <w:spacing w:val="0"/>
          <w:position w:val="0"/>
          <w:sz w:val="24"/>
          <w:shd w:fill="auto" w:val="clear"/>
        </w:rPr>
      </w:pPr>
    </w:p>
    <w:tbl>
      <w:tblPr/>
      <w:tblGrid>
        <w:gridCol w:w="3323"/>
        <w:gridCol w:w="1537"/>
        <w:gridCol w:w="1985"/>
      </w:tblGrid>
      <w:tr>
        <w:trPr>
          <w:trHeight w:val="288" w:hRule="auto"/>
          <w:jc w:val="left"/>
        </w:trPr>
        <w:tc>
          <w:tcPr>
            <w:tcW w:w="486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center"/>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Balance Sheet Analysis (End of 2022)</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center"/>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center"/>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Items</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2022</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Total Assets</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1200000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Current Assets</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250000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Property and Equip</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(100000 as Inventory)</w:t>
            </w: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Other Assets</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150000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Total Liability</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750000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Current Liability</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180000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Long Term Debt</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500000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 </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color w:val="auto"/>
                <w:spacing w:val="0"/>
                <w:position w:val="0"/>
                <w:sz w:val="22"/>
                <w:shd w:fill="auto" w:val="clear"/>
              </w:rPr>
            </w:pPr>
          </w:p>
        </w:tc>
      </w:tr>
      <w:tr>
        <w:trPr>
          <w:trHeight w:val="288" w:hRule="auto"/>
          <w:jc w:val="left"/>
        </w:trPr>
        <w:tc>
          <w:tcPr>
            <w:tcW w:w="3323"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Equity</w:t>
            </w:r>
          </w:p>
        </w:tc>
        <w:tc>
          <w:tcPr>
            <w:tcW w:w="1537"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450000</w:t>
            </w:r>
          </w:p>
        </w:tc>
        <w:tc>
          <w:tcPr>
            <w:tcW w:w="1985" w:type="dxa"/>
            <w:tcBorders>
              <w:top w:val="single" w:color="000000" w:sz="0"/>
              <w:left w:val="single" w:color="000000" w:sz="0"/>
              <w:bottom w:val="single" w:color="000000" w:sz="0"/>
              <w:right w:val="single" w:color="000000" w:sz="0"/>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color w:val="auto"/>
                <w:spacing w:val="0"/>
                <w:position w:val="0"/>
                <w:sz w:val="22"/>
                <w:shd w:fill="auto" w:val="clear"/>
              </w:rPr>
            </w:pPr>
          </w:p>
        </w:tc>
      </w:tr>
    </w:tbl>
    <w:p>
      <w:pPr>
        <w:spacing w:before="120" w:after="120" w:line="360"/>
        <w:ind w:right="0" w:left="0" w:firstLine="0"/>
        <w:jc w:val="left"/>
        <w:rPr>
          <w:rFonts w:ascii="Arial" w:hAnsi="Arial" w:cs="Arial" w:eastAsia="Arial"/>
          <w:color w:val="auto"/>
          <w:spacing w:val="0"/>
          <w:position w:val="0"/>
          <w:sz w:val="24"/>
          <w:shd w:fill="auto" w:val="clear"/>
        </w:rPr>
      </w:pPr>
    </w:p>
    <w:tbl>
      <w:tblPr/>
      <w:tblGrid>
        <w:gridCol w:w="4005"/>
        <w:gridCol w:w="938"/>
      </w:tblGrid>
      <w:tr>
        <w:trPr>
          <w:trHeight w:val="288" w:hRule="auto"/>
          <w:jc w:val="left"/>
        </w:trPr>
        <w:tc>
          <w:tcPr>
            <w:tcW w:w="4943"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center"/>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Cash Flow Analysis (2021)</w:t>
            </w:r>
          </w:p>
        </w:tc>
      </w:tr>
      <w:tr>
        <w:trPr>
          <w:trHeight w:val="288" w:hRule="auto"/>
          <w:jc w:val="left"/>
        </w:trPr>
        <w:tc>
          <w:tcPr>
            <w:tcW w:w="400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Items</w:t>
            </w:r>
          </w:p>
        </w:tc>
        <w:tc>
          <w:tcPr>
            <w:tcW w:w="93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Amount</w:t>
            </w:r>
          </w:p>
        </w:tc>
      </w:tr>
      <w:tr>
        <w:trPr>
          <w:trHeight w:val="288" w:hRule="auto"/>
          <w:jc w:val="left"/>
        </w:trPr>
        <w:tc>
          <w:tcPr>
            <w:tcW w:w="400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Net Cash Flow from Operations</w:t>
            </w:r>
          </w:p>
        </w:tc>
        <w:tc>
          <w:tcPr>
            <w:tcW w:w="93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-80000</w:t>
            </w:r>
          </w:p>
        </w:tc>
      </w:tr>
      <w:tr>
        <w:trPr>
          <w:trHeight w:val="288" w:hRule="auto"/>
          <w:jc w:val="left"/>
        </w:trPr>
        <w:tc>
          <w:tcPr>
            <w:tcW w:w="400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Capital Expenditure</w:t>
            </w:r>
          </w:p>
        </w:tc>
        <w:tc>
          <w:tcPr>
            <w:tcW w:w="93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30000</w:t>
            </w:r>
          </w:p>
        </w:tc>
      </w:tr>
      <w:tr>
        <w:trPr>
          <w:trHeight w:val="288" w:hRule="auto"/>
          <w:jc w:val="left"/>
        </w:trPr>
        <w:tc>
          <w:tcPr>
            <w:tcW w:w="4005"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lef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Net Cash Flow (Change in Cash Balance)</w:t>
            </w:r>
          </w:p>
        </w:tc>
        <w:tc>
          <w:tcPr>
            <w:tcW w:w="938"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widowControl w:val="false"/>
              <w:spacing w:before="0" w:after="0" w:line="360"/>
              <w:ind w:right="0" w:left="0" w:firstLine="0"/>
              <w:jc w:val="right"/>
              <w:rPr>
                <w:rFonts w:ascii="Arial" w:hAnsi="Arial" w:cs="Arial" w:eastAsia="Arial"/>
                <w:spacing w:val="0"/>
                <w:position w:val="0"/>
                <w:sz w:val="22"/>
                <w:shd w:fill="auto" w:val="clear"/>
              </w:rPr>
            </w:pPr>
            <w:r>
              <w:rPr>
                <w:rFonts w:ascii="Arial" w:hAnsi="Arial" w:cs="Arial" w:eastAsia="Arial"/>
                <w:color w:val="000000"/>
                <w:spacing w:val="0"/>
                <w:position w:val="0"/>
                <w:sz w:val="22"/>
                <w:shd w:fill="auto" w:val="clear"/>
              </w:rPr>
              <w:t xml:space="preserve">-110000</w:t>
            </w:r>
          </w:p>
        </w:tc>
      </w:tr>
    </w:tbl>
    <w:p>
      <w:pPr>
        <w:spacing w:before="120" w:after="120" w:line="36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2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