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CEBDB" w14:textId="1416BC20" w:rsidR="001C1464" w:rsidRPr="001C1464" w:rsidRDefault="00994143" w:rsidP="002C5BED">
      <w:pPr>
        <w:spacing w:after="120" w:line="360" w:lineRule="auto"/>
        <w:ind w:firstLine="720"/>
        <w:contextualSpacing/>
        <w:mirrorIndents/>
        <w:rPr>
          <w:rFonts w:cstheme="minorHAnsi"/>
        </w:rPr>
      </w:pPr>
      <w:r w:rsidRPr="00994143">
        <w:rPr>
          <w:rFonts w:cstheme="minorHAnsi"/>
        </w:rPr>
        <w:t>The integration of creativity and digital technology in higher education revolutioni</w:t>
      </w:r>
      <w:r w:rsidR="00674097">
        <w:rPr>
          <w:rFonts w:cstheme="minorHAnsi"/>
        </w:rPr>
        <w:t>s</w:t>
      </w:r>
      <w:r w:rsidRPr="00994143">
        <w:rPr>
          <w:rFonts w:cstheme="minorHAnsi"/>
        </w:rPr>
        <w:t xml:space="preserve">es learning paradigms, </w:t>
      </w:r>
      <w:r w:rsidR="00674097">
        <w:rPr>
          <w:rFonts w:cstheme="minorHAnsi"/>
        </w:rPr>
        <w:t xml:space="preserve">facilitating </w:t>
      </w:r>
      <w:r w:rsidRPr="00994143">
        <w:rPr>
          <w:rFonts w:cstheme="minorHAnsi"/>
        </w:rPr>
        <w:t xml:space="preserve">innovation and adaptability in students. This synergy </w:t>
      </w:r>
      <w:r w:rsidR="00674097">
        <w:rPr>
          <w:rFonts w:cstheme="minorHAnsi"/>
        </w:rPr>
        <w:t xml:space="preserve">exploits </w:t>
      </w:r>
      <w:r w:rsidRPr="00994143">
        <w:rPr>
          <w:rFonts w:cstheme="minorHAnsi"/>
        </w:rPr>
        <w:t>the advantages of digital technology, particularly in post-16 classrooms, where it enhances inclusivity, facilitates remote learning, and improves resource accessibility. Accompanying this technological shift are new learning theories and digital pedagogies, emphasi</w:t>
      </w:r>
      <w:r w:rsidR="00E7179F">
        <w:rPr>
          <w:rFonts w:cstheme="minorHAnsi"/>
        </w:rPr>
        <w:t>s</w:t>
      </w:r>
      <w:r w:rsidRPr="00994143">
        <w:rPr>
          <w:rFonts w:cstheme="minorHAnsi"/>
        </w:rPr>
        <w:t xml:space="preserve">ing student-centred approaches and active engagement. These theories, such as connectivism, </w:t>
      </w:r>
      <w:proofErr w:type="spellStart"/>
      <w:r w:rsidRPr="00994143">
        <w:rPr>
          <w:rFonts w:cstheme="minorHAnsi"/>
        </w:rPr>
        <w:t>situative</w:t>
      </w:r>
      <w:proofErr w:type="spellEnd"/>
      <w:r w:rsidRPr="00994143">
        <w:rPr>
          <w:rFonts w:cstheme="minorHAnsi"/>
        </w:rPr>
        <w:t xml:space="preserve"> learning, and constructionism, are tailored for the digital age, promoting collaboration, personali</w:t>
      </w:r>
      <w:r w:rsidR="00054533">
        <w:rPr>
          <w:rFonts w:cstheme="minorHAnsi"/>
        </w:rPr>
        <w:t>s</w:t>
      </w:r>
      <w:r w:rsidRPr="00994143">
        <w:rPr>
          <w:rFonts w:cstheme="minorHAnsi"/>
        </w:rPr>
        <w:t>ed learning, and real-world application of knowledge. Moreover, learning design emerges as a crucial aspect, aligning educational objectives with employability skills to meet the demands of the modern job market. Ethical considerations also come to the forefront, as the collection and use of personal data in digital education raise concerns about privacy, security, and responsible technology use. Despite these challenges, the integration of digital innovations in higher education opens avenues for inclusive teaching practices, personali</w:t>
      </w:r>
      <w:r w:rsidR="002A0AB9">
        <w:rPr>
          <w:rFonts w:cstheme="minorHAnsi"/>
        </w:rPr>
        <w:t>s</w:t>
      </w:r>
      <w:r w:rsidRPr="00994143">
        <w:rPr>
          <w:rFonts w:cstheme="minorHAnsi"/>
        </w:rPr>
        <w:t>ed learning experiences, and diversified resources. Mobile technologies, virtual reality, and open education initiatives further democrati</w:t>
      </w:r>
      <w:r w:rsidR="002A0AB9">
        <w:rPr>
          <w:rFonts w:cstheme="minorHAnsi"/>
        </w:rPr>
        <w:t>s</w:t>
      </w:r>
      <w:r w:rsidRPr="00994143">
        <w:rPr>
          <w:rFonts w:cstheme="minorHAnsi"/>
        </w:rPr>
        <w:t>e learning, providing equal opportunities for all students</w:t>
      </w:r>
      <w:r w:rsidR="00E7604F">
        <w:rPr>
          <w:rFonts w:cstheme="minorHAnsi"/>
        </w:rPr>
        <w:t>. T</w:t>
      </w:r>
      <w:r w:rsidRPr="00994143">
        <w:rPr>
          <w:rFonts w:cstheme="minorHAnsi"/>
        </w:rPr>
        <w:t>his integration empowers learners with essential skills and a forward-thinking mindset, preparing them for success in a dynamic and technologically driven world. Thus, the relationship between creativity and digital technology in learning not only enriches educational experiences but also enhances students' employability and societal contributions while necessitating a mindful approach to ethical considerations.</w:t>
      </w:r>
    </w:p>
    <w:p w14:paraId="6760A417" w14:textId="77777777" w:rsidR="007C28AD" w:rsidRPr="001C1464" w:rsidRDefault="007C28AD" w:rsidP="001C1464">
      <w:pPr>
        <w:spacing w:after="120" w:line="360" w:lineRule="auto"/>
        <w:contextualSpacing/>
        <w:mirrorIndents/>
        <w:rPr>
          <w:rFonts w:cstheme="minorHAnsi"/>
        </w:rPr>
      </w:pPr>
    </w:p>
    <w:p w14:paraId="72269119" w14:textId="6918B8A4" w:rsidR="006F4D6F" w:rsidRPr="008C7DC0" w:rsidRDefault="006F4D6F" w:rsidP="008C7DC0">
      <w:pPr>
        <w:spacing w:after="120" w:line="360" w:lineRule="auto"/>
        <w:ind w:firstLine="720"/>
        <w:contextualSpacing/>
        <w:mirrorIndents/>
        <w:rPr>
          <w:rFonts w:eastAsia="Times New Roman" w:cstheme="minorHAnsi"/>
          <w:sz w:val="24"/>
          <w:szCs w:val="24"/>
        </w:rPr>
      </w:pPr>
      <w:r w:rsidRPr="001C1464">
        <w:rPr>
          <w:rFonts w:cstheme="minorHAnsi"/>
        </w:rPr>
        <w:t xml:space="preserve">In response to the challenges confronting higher education, particularly in meeting the precise demands of employers and the imperative of integrating digital technology into knowledge delivery, new learning theories have emerged. </w:t>
      </w:r>
      <w:sdt>
        <w:sdtPr>
          <w:rPr>
            <w:rFonts w:eastAsia="Times New Roman" w:cstheme="minorHAnsi"/>
            <w:color w:val="374151"/>
            <w:sz w:val="24"/>
            <w:szCs w:val="24"/>
            <w:highlight w:val="yellow"/>
          </w:rPr>
          <w:id w:val="2043929351"/>
          <w:citation/>
        </w:sdtPr>
        <w:sdtContent>
          <w:r w:rsidR="002414C9" w:rsidRPr="00551EBB">
            <w:rPr>
              <w:rFonts w:eastAsia="Times New Roman" w:cstheme="minorHAnsi"/>
              <w:color w:val="374151"/>
              <w:sz w:val="24"/>
              <w:szCs w:val="24"/>
              <w:highlight w:val="yellow"/>
            </w:rPr>
            <w:fldChar w:fldCharType="begin"/>
          </w:r>
          <w:r w:rsidR="002414C9" w:rsidRPr="00551EBB">
            <w:rPr>
              <w:rFonts w:eastAsia="Times New Roman" w:cstheme="minorHAnsi"/>
              <w:color w:val="374151"/>
              <w:sz w:val="24"/>
              <w:szCs w:val="24"/>
              <w:highlight w:val="yellow"/>
            </w:rPr>
            <w:instrText xml:space="preserve">CITATION Ren08 \p 18 \l 2057 </w:instrText>
          </w:r>
          <w:r w:rsidR="002414C9" w:rsidRPr="00551EBB">
            <w:rPr>
              <w:rFonts w:eastAsia="Times New Roman" w:cstheme="minorHAnsi"/>
              <w:color w:val="374151"/>
              <w:sz w:val="24"/>
              <w:szCs w:val="24"/>
              <w:highlight w:val="yellow"/>
            </w:rPr>
            <w:fldChar w:fldCharType="separate"/>
          </w:r>
          <w:r w:rsidR="002414C9" w:rsidRPr="00551EBB">
            <w:rPr>
              <w:rFonts w:eastAsia="Times New Roman" w:cstheme="minorHAnsi"/>
              <w:noProof/>
              <w:color w:val="374151"/>
              <w:sz w:val="24"/>
              <w:szCs w:val="24"/>
              <w:highlight w:val="yellow"/>
            </w:rPr>
            <w:t>(Rennie &amp; Mason, 2008, p. 18)</w:t>
          </w:r>
          <w:r w:rsidR="002414C9" w:rsidRPr="00551EBB">
            <w:rPr>
              <w:rFonts w:eastAsia="Times New Roman" w:cstheme="minorHAnsi"/>
              <w:color w:val="374151"/>
              <w:sz w:val="24"/>
              <w:szCs w:val="24"/>
              <w:highlight w:val="yellow"/>
            </w:rPr>
            <w:fldChar w:fldCharType="end"/>
          </w:r>
        </w:sdtContent>
      </w:sdt>
      <w:r w:rsidR="002414C9" w:rsidRPr="001C1464">
        <w:rPr>
          <w:rFonts w:cstheme="minorHAnsi"/>
        </w:rPr>
        <w:t xml:space="preserve"> </w:t>
      </w:r>
      <w:r w:rsidRPr="001C1464">
        <w:rPr>
          <w:rFonts w:cstheme="minorHAnsi"/>
        </w:rPr>
        <w:t>These theories, which offer unique perspectives on the learning process and corresponding teaching methods, stand in contrast to traditional theories such as behaviourism, cognitivism, and constructivism, which primarily focus on instructional methods known as "</w:t>
      </w:r>
      <w:proofErr w:type="spellStart"/>
      <w:r w:rsidRPr="001C1464">
        <w:rPr>
          <w:rFonts w:cstheme="minorHAnsi"/>
        </w:rPr>
        <w:t>instructionism</w:t>
      </w:r>
      <w:proofErr w:type="spellEnd"/>
      <w:r w:rsidRPr="001C1464">
        <w:rPr>
          <w:rFonts w:cstheme="minorHAnsi"/>
        </w:rPr>
        <w:t>."</w:t>
      </w:r>
      <w:r w:rsidR="008C7DC0" w:rsidRPr="008C7DC0">
        <w:rPr>
          <w:rFonts w:eastAsia="Times New Roman" w:cstheme="minorHAnsi"/>
          <w:color w:val="374151"/>
          <w:sz w:val="24"/>
          <w:szCs w:val="24"/>
          <w:highlight w:val="yellow"/>
        </w:rPr>
        <w:t xml:space="preserve"> </w:t>
      </w:r>
      <w:sdt>
        <w:sdtPr>
          <w:rPr>
            <w:rFonts w:eastAsia="Times New Roman" w:cstheme="minorHAnsi"/>
            <w:color w:val="374151"/>
            <w:sz w:val="24"/>
            <w:szCs w:val="24"/>
            <w:highlight w:val="yellow"/>
          </w:rPr>
          <w:id w:val="1587498886"/>
          <w:citation/>
        </w:sdtPr>
        <w:sdtContent>
          <w:r w:rsidR="008C7DC0" w:rsidRPr="00C10233">
            <w:rPr>
              <w:rFonts w:eastAsia="Times New Roman" w:cstheme="minorHAnsi"/>
              <w:color w:val="374151"/>
              <w:sz w:val="24"/>
              <w:szCs w:val="24"/>
              <w:highlight w:val="yellow"/>
            </w:rPr>
            <w:fldChar w:fldCharType="begin"/>
          </w:r>
          <w:r w:rsidR="008C7DC0">
            <w:rPr>
              <w:rFonts w:eastAsia="Times New Roman" w:cstheme="minorHAnsi"/>
              <w:color w:val="374151"/>
              <w:sz w:val="24"/>
              <w:szCs w:val="24"/>
              <w:highlight w:val="yellow"/>
            </w:rPr>
            <w:instrText>CITATION Joh05 \l 2057  \m Abd19</w:instrText>
          </w:r>
          <w:r w:rsidR="008C7DC0" w:rsidRPr="00C10233">
            <w:rPr>
              <w:rFonts w:eastAsia="Times New Roman" w:cstheme="minorHAnsi"/>
              <w:color w:val="374151"/>
              <w:sz w:val="24"/>
              <w:szCs w:val="24"/>
              <w:highlight w:val="yellow"/>
            </w:rPr>
            <w:fldChar w:fldCharType="separate"/>
          </w:r>
          <w:r w:rsidR="008C7DC0">
            <w:rPr>
              <w:rFonts w:eastAsia="Times New Roman" w:cstheme="minorHAnsi"/>
              <w:noProof/>
              <w:color w:val="374151"/>
              <w:sz w:val="24"/>
              <w:szCs w:val="24"/>
              <w:highlight w:val="yellow"/>
            </w:rPr>
            <w:t xml:space="preserve"> </w:t>
          </w:r>
          <w:r w:rsidR="008C7DC0" w:rsidRPr="00671C37">
            <w:rPr>
              <w:rFonts w:eastAsia="Times New Roman" w:cstheme="minorHAnsi"/>
              <w:noProof/>
              <w:color w:val="374151"/>
              <w:sz w:val="24"/>
              <w:szCs w:val="24"/>
              <w:highlight w:val="yellow"/>
            </w:rPr>
            <w:t>(Johnson, 2005; Abdaal, 2019)</w:t>
          </w:r>
          <w:r w:rsidR="008C7DC0" w:rsidRPr="00C10233">
            <w:rPr>
              <w:rFonts w:eastAsia="Times New Roman" w:cstheme="minorHAnsi"/>
              <w:color w:val="374151"/>
              <w:sz w:val="24"/>
              <w:szCs w:val="24"/>
              <w:highlight w:val="yellow"/>
            </w:rPr>
            <w:fldChar w:fldCharType="end"/>
          </w:r>
        </w:sdtContent>
      </w:sdt>
    </w:p>
    <w:p w14:paraId="16A21886" w14:textId="19AC918F" w:rsidR="007E2978" w:rsidRPr="001C1464" w:rsidRDefault="002F1C90" w:rsidP="001C1464">
      <w:pPr>
        <w:spacing w:after="120" w:line="360" w:lineRule="auto"/>
        <w:contextualSpacing/>
        <w:mirrorIndents/>
        <w:rPr>
          <w:rFonts w:cstheme="minorHAnsi"/>
        </w:rPr>
      </w:pPr>
      <w:r w:rsidRPr="001C1464">
        <w:rPr>
          <w:rFonts w:cstheme="minorHAnsi"/>
        </w:rPr>
        <w:t>C</w:t>
      </w:r>
      <w:r w:rsidR="007E2978" w:rsidRPr="001C1464">
        <w:rPr>
          <w:rFonts w:cstheme="minorHAnsi"/>
        </w:rPr>
        <w:t>urrent learning theories are undergoing a shift towards student-</w:t>
      </w:r>
      <w:r w:rsidR="00E052A2" w:rsidRPr="001C1464">
        <w:rPr>
          <w:rFonts w:cstheme="minorHAnsi"/>
        </w:rPr>
        <w:t>centred</w:t>
      </w:r>
      <w:r w:rsidR="007E2978" w:rsidRPr="001C1464">
        <w:rPr>
          <w:rFonts w:cstheme="minorHAnsi"/>
        </w:rPr>
        <w:t xml:space="preserve"> approaches, emphasi</w:t>
      </w:r>
      <w:r w:rsidR="00780341">
        <w:rPr>
          <w:rFonts w:cstheme="minorHAnsi"/>
        </w:rPr>
        <w:t>s</w:t>
      </w:r>
      <w:r w:rsidR="007E2978" w:rsidRPr="001C1464">
        <w:rPr>
          <w:rFonts w:cstheme="minorHAnsi"/>
        </w:rPr>
        <w:t>ing the active role of learners in the educational process. These approaches promote activities such as active exploration, collaboration, and the application of knowledge in real-world situations, thereby facilitating the development of creativity skills that are relevant to workforce demands.</w:t>
      </w:r>
    </w:p>
    <w:p w14:paraId="24E0AE98" w14:textId="7F6B44CC" w:rsidR="007E2978" w:rsidRPr="001C1464" w:rsidRDefault="007E2978" w:rsidP="003C7C27">
      <w:pPr>
        <w:spacing w:after="120" w:line="360" w:lineRule="auto"/>
        <w:contextualSpacing/>
        <w:mirrorIndents/>
        <w:rPr>
          <w:rFonts w:cstheme="minorHAnsi"/>
        </w:rPr>
      </w:pPr>
      <w:r w:rsidRPr="001C1464">
        <w:rPr>
          <w:rFonts w:cstheme="minorHAnsi"/>
        </w:rPr>
        <w:t xml:space="preserve">Three main epistemological traditions—associative, cognitive, and </w:t>
      </w:r>
      <w:proofErr w:type="spellStart"/>
      <w:r w:rsidRPr="001C1464">
        <w:rPr>
          <w:rFonts w:cstheme="minorHAnsi"/>
        </w:rPr>
        <w:t>situative</w:t>
      </w:r>
      <w:proofErr w:type="spellEnd"/>
      <w:r w:rsidRPr="001C1464">
        <w:rPr>
          <w:rFonts w:cstheme="minorHAnsi"/>
        </w:rPr>
        <w:t xml:space="preserve">—share similarities with traditional theories but have evolved in response to the rise of digital technology. </w:t>
      </w:r>
      <w:sdt>
        <w:sdtPr>
          <w:rPr>
            <w:highlight w:val="yellow"/>
          </w:rPr>
          <w:id w:val="-1755497420"/>
          <w:citation/>
        </w:sdtPr>
        <w:sdtContent>
          <w:r w:rsidR="003C7C27" w:rsidRPr="002566AC">
            <w:rPr>
              <w:highlight w:val="yellow"/>
            </w:rPr>
            <w:fldChar w:fldCharType="begin"/>
          </w:r>
          <w:r w:rsidR="003C7C27" w:rsidRPr="002566AC">
            <w:rPr>
              <w:highlight w:val="yellow"/>
            </w:rPr>
            <w:instrText xml:space="preserve">CITATION Bee19 \p 17 \l 2057 </w:instrText>
          </w:r>
          <w:r w:rsidR="003C7C27" w:rsidRPr="002566AC">
            <w:rPr>
              <w:highlight w:val="yellow"/>
            </w:rPr>
            <w:fldChar w:fldCharType="separate"/>
          </w:r>
          <w:r w:rsidR="003C7C27" w:rsidRPr="002566AC">
            <w:rPr>
              <w:noProof/>
              <w:highlight w:val="yellow"/>
            </w:rPr>
            <w:t>(Beetham &amp; Sharpe, 2019, p. 17)</w:t>
          </w:r>
          <w:r w:rsidR="003C7C27" w:rsidRPr="002566AC">
            <w:rPr>
              <w:highlight w:val="yellow"/>
            </w:rPr>
            <w:fldChar w:fldCharType="end"/>
          </w:r>
        </w:sdtContent>
      </w:sdt>
      <w:r w:rsidR="003C7C27" w:rsidRPr="001C1464">
        <w:rPr>
          <w:rFonts w:cstheme="minorHAnsi"/>
        </w:rPr>
        <w:t xml:space="preserve"> </w:t>
      </w:r>
      <w:r w:rsidRPr="001C1464">
        <w:rPr>
          <w:rFonts w:cstheme="minorHAnsi"/>
        </w:rPr>
        <w:t xml:space="preserve">These traditions build upon the influential works of scholars such as Vygotsky, </w:t>
      </w:r>
      <w:r w:rsidRPr="001C1464">
        <w:rPr>
          <w:rFonts w:cstheme="minorHAnsi"/>
        </w:rPr>
        <w:lastRenderedPageBreak/>
        <w:t xml:space="preserve">Piaget, and </w:t>
      </w:r>
      <w:proofErr w:type="spellStart"/>
      <w:r w:rsidRPr="001C1464">
        <w:rPr>
          <w:rFonts w:cstheme="minorHAnsi"/>
        </w:rPr>
        <w:t>Papert</w:t>
      </w:r>
      <w:proofErr w:type="spellEnd"/>
      <w:r w:rsidRPr="001C1464">
        <w:rPr>
          <w:rFonts w:cstheme="minorHAnsi"/>
        </w:rPr>
        <w:t>.</w:t>
      </w:r>
      <w:r w:rsidR="003C7C27">
        <w:rPr>
          <w:rFonts w:cstheme="minorHAnsi"/>
        </w:rPr>
        <w:t xml:space="preserve"> </w:t>
      </w:r>
      <w:r w:rsidRPr="001C1464">
        <w:rPr>
          <w:rFonts w:cstheme="minorHAnsi"/>
        </w:rPr>
        <w:t>Associative learning theory explains complex learning through neural links, where carefully programmed instruction offers small learning steps with immediate feedback. Cognitive learning, associated with Piaget's cognitive development theory</w:t>
      </w:r>
      <w:r w:rsidR="009E42ED">
        <w:rPr>
          <w:rFonts w:cstheme="minorHAnsi"/>
        </w:rPr>
        <w:t xml:space="preserve"> </w:t>
      </w:r>
      <w:sdt>
        <w:sdtPr>
          <w:rPr>
            <w:rFonts w:cstheme="minorHAnsi"/>
            <w:highlight w:val="yellow"/>
          </w:rPr>
          <w:id w:val="-964117125"/>
          <w:citation/>
        </w:sdtPr>
        <w:sdtContent>
          <w:r w:rsidR="00403FD0" w:rsidRPr="00403FD0">
            <w:rPr>
              <w:rFonts w:cstheme="minorHAnsi"/>
              <w:highlight w:val="yellow"/>
            </w:rPr>
            <w:fldChar w:fldCharType="begin"/>
          </w:r>
          <w:r w:rsidR="00403FD0" w:rsidRPr="00403FD0">
            <w:rPr>
              <w:rFonts w:cstheme="minorHAnsi"/>
              <w:highlight w:val="yellow"/>
            </w:rPr>
            <w:instrText xml:space="preserve">CITATION Bee19 \p 19 \l 2057 </w:instrText>
          </w:r>
          <w:r w:rsidR="00403FD0" w:rsidRPr="00403FD0">
            <w:rPr>
              <w:rFonts w:cstheme="minorHAnsi"/>
              <w:highlight w:val="yellow"/>
            </w:rPr>
            <w:fldChar w:fldCharType="separate"/>
          </w:r>
          <w:r w:rsidR="00403FD0" w:rsidRPr="00403FD0">
            <w:rPr>
              <w:rFonts w:cstheme="minorHAnsi"/>
              <w:noProof/>
              <w:highlight w:val="yellow"/>
            </w:rPr>
            <w:t>(Beetham &amp; Sharpe, 2019, p. 19)</w:t>
          </w:r>
          <w:r w:rsidR="00403FD0" w:rsidRPr="00403FD0">
            <w:rPr>
              <w:rFonts w:cstheme="minorHAnsi"/>
              <w:highlight w:val="yellow"/>
            </w:rPr>
            <w:fldChar w:fldCharType="end"/>
          </w:r>
        </w:sdtContent>
      </w:sdt>
      <w:r w:rsidRPr="001C1464">
        <w:rPr>
          <w:rFonts w:cstheme="minorHAnsi"/>
        </w:rPr>
        <w:t xml:space="preserve"> explores mental processes related to information processing, often likened to computer functions. </w:t>
      </w:r>
      <w:sdt>
        <w:sdtPr>
          <w:rPr>
            <w:rFonts w:ascii="Arial" w:eastAsia="Times New Roman" w:hAnsi="Arial" w:cs="Arial"/>
            <w:color w:val="1F1F1F"/>
            <w:highlight w:val="yellow"/>
          </w:rPr>
          <w:id w:val="-28268311"/>
          <w:citation/>
        </w:sdtPr>
        <w:sdtContent>
          <w:r w:rsidR="009E42ED" w:rsidRPr="00E029C5">
            <w:rPr>
              <w:rFonts w:ascii="Arial" w:eastAsia="Times New Roman" w:hAnsi="Arial" w:cs="Arial"/>
              <w:color w:val="1F1F1F"/>
              <w:highlight w:val="yellow"/>
            </w:rPr>
            <w:fldChar w:fldCharType="begin"/>
          </w:r>
          <w:r w:rsidR="009E42ED" w:rsidRPr="00E029C5">
            <w:rPr>
              <w:rFonts w:ascii="Arial" w:eastAsia="Times New Roman" w:hAnsi="Arial" w:cs="Arial"/>
              <w:color w:val="1F1F1F"/>
              <w:highlight w:val="yellow"/>
            </w:rPr>
            <w:instrText xml:space="preserve"> CITATION Ope23 \l 2057 </w:instrText>
          </w:r>
          <w:r w:rsidR="009E42ED" w:rsidRPr="00E029C5">
            <w:rPr>
              <w:rFonts w:ascii="Arial" w:eastAsia="Times New Roman" w:hAnsi="Arial" w:cs="Arial"/>
              <w:color w:val="1F1F1F"/>
              <w:highlight w:val="yellow"/>
            </w:rPr>
            <w:fldChar w:fldCharType="separate"/>
          </w:r>
          <w:r w:rsidR="009E42ED" w:rsidRPr="00E029C5">
            <w:rPr>
              <w:rFonts w:ascii="Arial" w:eastAsia="Times New Roman" w:hAnsi="Arial" w:cs="Arial"/>
              <w:noProof/>
              <w:color w:val="1F1F1F"/>
              <w:highlight w:val="yellow"/>
            </w:rPr>
            <w:t>(Open, n.d.)</w:t>
          </w:r>
          <w:r w:rsidR="009E42ED" w:rsidRPr="00E029C5">
            <w:rPr>
              <w:rFonts w:ascii="Arial" w:eastAsia="Times New Roman" w:hAnsi="Arial" w:cs="Arial"/>
              <w:color w:val="1F1F1F"/>
              <w:highlight w:val="yellow"/>
            </w:rPr>
            <w:fldChar w:fldCharType="end"/>
          </w:r>
        </w:sdtContent>
      </w:sdt>
      <w:r w:rsidR="009E42ED" w:rsidRPr="001C1464">
        <w:rPr>
          <w:rFonts w:cstheme="minorHAnsi"/>
        </w:rPr>
        <w:t xml:space="preserve"> </w:t>
      </w:r>
      <w:r w:rsidRPr="001C1464">
        <w:rPr>
          <w:rFonts w:cstheme="minorHAnsi"/>
        </w:rPr>
        <w:t>This theory has been shaped by insights from cognitive neuroscience.</w:t>
      </w:r>
      <w:r w:rsidR="000F5B54">
        <w:rPr>
          <w:rFonts w:cstheme="minorHAnsi"/>
        </w:rPr>
        <w:t xml:space="preserve"> </w:t>
      </w:r>
    </w:p>
    <w:p w14:paraId="670D3465" w14:textId="2CBCB82D" w:rsidR="007E2978" w:rsidRPr="001C1464" w:rsidRDefault="007E2978" w:rsidP="001C1464">
      <w:pPr>
        <w:spacing w:after="120" w:line="360" w:lineRule="auto"/>
        <w:contextualSpacing/>
        <w:mirrorIndents/>
        <w:rPr>
          <w:rFonts w:cstheme="minorHAnsi"/>
        </w:rPr>
      </w:pPr>
      <w:r w:rsidRPr="001C1464">
        <w:rPr>
          <w:rFonts w:cstheme="minorHAnsi"/>
        </w:rPr>
        <w:t xml:space="preserve">Constructionist learning theory, proposed by </w:t>
      </w:r>
      <w:proofErr w:type="spellStart"/>
      <w:r w:rsidRPr="001C1464">
        <w:rPr>
          <w:rFonts w:cstheme="minorHAnsi"/>
        </w:rPr>
        <w:t>Papert</w:t>
      </w:r>
      <w:proofErr w:type="spellEnd"/>
      <w:r w:rsidRPr="001C1464">
        <w:rPr>
          <w:rFonts w:cstheme="minorHAnsi"/>
        </w:rPr>
        <w:t>, posits that humans acquire knowledge by constructing and revising mental models iteratively.</w:t>
      </w:r>
      <w:sdt>
        <w:sdtPr>
          <w:rPr>
            <w:rFonts w:cstheme="minorHAnsi"/>
            <w:highlight w:val="yellow"/>
          </w:rPr>
          <w:id w:val="-114760038"/>
          <w:citation/>
        </w:sdtPr>
        <w:sdtContent>
          <w:r w:rsidR="00E3268D" w:rsidRPr="00E3268D">
            <w:rPr>
              <w:rFonts w:cstheme="minorHAnsi"/>
              <w:highlight w:val="yellow"/>
            </w:rPr>
            <w:fldChar w:fldCharType="begin"/>
          </w:r>
          <w:r w:rsidR="00E3268D">
            <w:rPr>
              <w:rFonts w:cstheme="minorHAnsi"/>
              <w:highlight w:val="yellow"/>
            </w:rPr>
            <w:instrText xml:space="preserve">CITATION Dav98 \p 19 \l 2057 </w:instrText>
          </w:r>
          <w:r w:rsidR="00E3268D" w:rsidRPr="00E3268D">
            <w:rPr>
              <w:rFonts w:cstheme="minorHAnsi"/>
              <w:highlight w:val="yellow"/>
            </w:rPr>
            <w:fldChar w:fldCharType="separate"/>
          </w:r>
          <w:r w:rsidR="00E3268D">
            <w:rPr>
              <w:rFonts w:cstheme="minorHAnsi"/>
              <w:noProof/>
              <w:highlight w:val="yellow"/>
            </w:rPr>
            <w:t xml:space="preserve"> </w:t>
          </w:r>
          <w:r w:rsidR="00E3268D" w:rsidRPr="00E3268D">
            <w:rPr>
              <w:rFonts w:cstheme="minorHAnsi"/>
              <w:noProof/>
              <w:highlight w:val="yellow"/>
            </w:rPr>
            <w:t>(Davis, et al., 1998, p. 19)</w:t>
          </w:r>
          <w:r w:rsidR="00E3268D" w:rsidRPr="00E3268D">
            <w:rPr>
              <w:rFonts w:cstheme="minorHAnsi"/>
              <w:highlight w:val="yellow"/>
            </w:rPr>
            <w:fldChar w:fldCharType="end"/>
          </w:r>
        </w:sdtContent>
      </w:sdt>
      <w:r w:rsidR="002E1328">
        <w:rPr>
          <w:rFonts w:cstheme="minorHAnsi"/>
        </w:rPr>
        <w:t xml:space="preserve"> </w:t>
      </w:r>
      <w:sdt>
        <w:sdtPr>
          <w:rPr>
            <w:rFonts w:cstheme="minorHAnsi"/>
            <w:highlight w:val="yellow"/>
          </w:rPr>
          <w:id w:val="-39528261"/>
          <w:citation/>
        </w:sdtPr>
        <w:sdtContent>
          <w:r w:rsidR="009950BD" w:rsidRPr="009950BD">
            <w:rPr>
              <w:rFonts w:cstheme="minorHAnsi"/>
              <w:highlight w:val="yellow"/>
            </w:rPr>
            <w:fldChar w:fldCharType="begin"/>
          </w:r>
          <w:r w:rsidR="009950BD" w:rsidRPr="009950BD">
            <w:rPr>
              <w:rFonts w:cstheme="minorHAnsi"/>
              <w:highlight w:val="yellow"/>
            </w:rPr>
            <w:instrText xml:space="preserve"> CITATION Ren081 \l 2057 </w:instrText>
          </w:r>
          <w:r w:rsidR="009950BD" w:rsidRPr="009950BD">
            <w:rPr>
              <w:rFonts w:cstheme="minorHAnsi"/>
              <w:highlight w:val="yellow"/>
            </w:rPr>
            <w:fldChar w:fldCharType="separate"/>
          </w:r>
          <w:r w:rsidR="009950BD" w:rsidRPr="009950BD">
            <w:rPr>
              <w:rFonts w:cstheme="minorHAnsi"/>
              <w:noProof/>
              <w:highlight w:val="yellow"/>
            </w:rPr>
            <w:t>(Rennie F., 2008)</w:t>
          </w:r>
          <w:r w:rsidR="009950BD" w:rsidRPr="009950BD">
            <w:rPr>
              <w:rFonts w:cstheme="minorHAnsi"/>
              <w:highlight w:val="yellow"/>
            </w:rPr>
            <w:fldChar w:fldCharType="end"/>
          </w:r>
        </w:sdtContent>
      </w:sdt>
      <w:r w:rsidR="009950BD">
        <w:rPr>
          <w:rFonts w:cstheme="minorHAnsi"/>
        </w:rPr>
        <w:t xml:space="preserve"> </w:t>
      </w:r>
      <w:r w:rsidRPr="001C1464">
        <w:rPr>
          <w:rFonts w:cstheme="minorHAnsi"/>
        </w:rPr>
        <w:t>This approach aligns with the wisdom of Sun Tzu, who stated, "Manipulation is the brother of creativity."</w:t>
      </w:r>
      <w:r w:rsidR="002E1328">
        <w:rPr>
          <w:rFonts w:cstheme="minorHAnsi"/>
        </w:rPr>
        <w:t xml:space="preserve"> </w:t>
      </w:r>
      <w:sdt>
        <w:sdtPr>
          <w:rPr>
            <w:highlight w:val="yellow"/>
          </w:rPr>
          <w:id w:val="-373240502"/>
          <w:citation/>
        </w:sdtPr>
        <w:sdtContent>
          <w:r w:rsidR="002E1328" w:rsidRPr="00221A67">
            <w:rPr>
              <w:highlight w:val="yellow"/>
            </w:rPr>
            <w:fldChar w:fldCharType="begin"/>
          </w:r>
          <w:r w:rsidR="002E1328" w:rsidRPr="00221A67">
            <w:rPr>
              <w:highlight w:val="yellow"/>
            </w:rPr>
            <w:instrText xml:space="preserve"> CITATION Mic061 \l 2057 </w:instrText>
          </w:r>
          <w:r w:rsidR="002E1328" w:rsidRPr="00221A67">
            <w:rPr>
              <w:highlight w:val="yellow"/>
            </w:rPr>
            <w:fldChar w:fldCharType="separate"/>
          </w:r>
          <w:r w:rsidR="002E1328" w:rsidRPr="00221A67">
            <w:rPr>
              <w:noProof/>
              <w:highlight w:val="yellow"/>
            </w:rPr>
            <w:t>(Michalko, 2006)</w:t>
          </w:r>
          <w:r w:rsidR="002E1328" w:rsidRPr="00221A67">
            <w:rPr>
              <w:highlight w:val="yellow"/>
            </w:rPr>
            <w:fldChar w:fldCharType="end"/>
          </w:r>
        </w:sdtContent>
      </w:sdt>
    </w:p>
    <w:p w14:paraId="52900805" w14:textId="1AFB75EF" w:rsidR="006F4D6F" w:rsidRPr="0050096F" w:rsidRDefault="007E2978" w:rsidP="0050096F">
      <w:pPr>
        <w:rPr>
          <w:rFonts w:eastAsia="Times New Roman" w:cstheme="minorHAnsi"/>
          <w:color w:val="374151"/>
          <w:sz w:val="24"/>
          <w:szCs w:val="24"/>
        </w:rPr>
      </w:pPr>
      <w:proofErr w:type="spellStart"/>
      <w:r w:rsidRPr="001C1464">
        <w:rPr>
          <w:rFonts w:cstheme="minorHAnsi"/>
        </w:rPr>
        <w:t>Situative</w:t>
      </w:r>
      <w:proofErr w:type="spellEnd"/>
      <w:r w:rsidRPr="001C1464">
        <w:rPr>
          <w:rFonts w:cstheme="minorHAnsi"/>
        </w:rPr>
        <w:t xml:space="preserve"> learning theory, rooted in social constructivism, emphasizes the importance of social interactions in the learning process. It draws from Bandura's social learning theory and Vygotsky's emphasis on learning through interaction in communities of practice.</w:t>
      </w:r>
      <w:r w:rsidR="0050096F">
        <w:rPr>
          <w:rFonts w:cstheme="minorHAnsi"/>
        </w:rPr>
        <w:t xml:space="preserve"> </w:t>
      </w:r>
      <w:r w:rsidR="0050096F">
        <w:rPr>
          <w:rFonts w:eastAsia="Times New Roman" w:cstheme="minorHAnsi"/>
          <w:color w:val="374151"/>
          <w:sz w:val="24"/>
          <w:szCs w:val="24"/>
        </w:rPr>
        <w:t xml:space="preserve">  </w:t>
      </w:r>
      <w:sdt>
        <w:sdtPr>
          <w:rPr>
            <w:rFonts w:ascii="Arial" w:hAnsi="Arial" w:cs="Arial"/>
            <w:color w:val="1F1F1F"/>
            <w:highlight w:val="yellow"/>
          </w:rPr>
          <w:id w:val="-730540652"/>
          <w:citation/>
        </w:sdtPr>
        <w:sdtContent>
          <w:r w:rsidR="0050096F" w:rsidRPr="0088476D">
            <w:rPr>
              <w:rFonts w:ascii="Arial" w:hAnsi="Arial" w:cs="Arial"/>
              <w:color w:val="1F1F1F"/>
              <w:highlight w:val="yellow"/>
            </w:rPr>
            <w:fldChar w:fldCharType="begin"/>
          </w:r>
          <w:r w:rsidR="0050096F" w:rsidRPr="0088476D">
            <w:rPr>
              <w:rFonts w:ascii="Arial" w:hAnsi="Arial" w:cs="Arial"/>
              <w:color w:val="1F1F1F"/>
              <w:highlight w:val="yellow"/>
            </w:rPr>
            <w:instrText xml:space="preserve">CITATION Bee19 \p 20 \l 2057 </w:instrText>
          </w:r>
          <w:r w:rsidR="0050096F" w:rsidRPr="0088476D">
            <w:rPr>
              <w:rFonts w:ascii="Arial" w:hAnsi="Arial" w:cs="Arial"/>
              <w:color w:val="1F1F1F"/>
              <w:highlight w:val="yellow"/>
            </w:rPr>
            <w:fldChar w:fldCharType="separate"/>
          </w:r>
          <w:r w:rsidR="0050096F" w:rsidRPr="0088476D">
            <w:rPr>
              <w:rFonts w:ascii="Arial" w:hAnsi="Arial" w:cs="Arial"/>
              <w:noProof/>
              <w:color w:val="1F1F1F"/>
              <w:highlight w:val="yellow"/>
            </w:rPr>
            <w:t>(Beetham &amp; Sharpe, 2019, p. 20)</w:t>
          </w:r>
          <w:r w:rsidR="0050096F" w:rsidRPr="0088476D">
            <w:rPr>
              <w:rFonts w:ascii="Arial" w:hAnsi="Arial" w:cs="Arial"/>
              <w:color w:val="1F1F1F"/>
              <w:highlight w:val="yellow"/>
            </w:rPr>
            <w:fldChar w:fldCharType="end"/>
          </w:r>
        </w:sdtContent>
      </w:sdt>
      <w:r w:rsidR="0050096F">
        <w:rPr>
          <w:rFonts w:ascii="Arial" w:hAnsi="Arial" w:cs="Arial"/>
          <w:color w:val="1F1F1F"/>
        </w:rPr>
        <w:t xml:space="preserve"> </w:t>
      </w:r>
      <w:sdt>
        <w:sdtPr>
          <w:rPr>
            <w:rFonts w:ascii="Arial" w:hAnsi="Arial" w:cs="Arial"/>
            <w:color w:val="1F1F1F"/>
            <w:highlight w:val="yellow"/>
          </w:rPr>
          <w:id w:val="4720066"/>
          <w:citation/>
        </w:sdtPr>
        <w:sdtContent>
          <w:r w:rsidR="0050096F" w:rsidRPr="00146482">
            <w:rPr>
              <w:rFonts w:ascii="Arial" w:hAnsi="Arial" w:cs="Arial"/>
              <w:color w:val="1F1F1F"/>
              <w:highlight w:val="yellow"/>
            </w:rPr>
            <w:fldChar w:fldCharType="begin"/>
          </w:r>
          <w:r w:rsidR="0050096F" w:rsidRPr="00146482">
            <w:rPr>
              <w:rFonts w:ascii="Arial" w:hAnsi="Arial" w:cs="Arial"/>
              <w:color w:val="1F1F1F"/>
              <w:highlight w:val="yellow"/>
            </w:rPr>
            <w:instrText xml:space="preserve"> CITATION Kim01 \l 2057 </w:instrText>
          </w:r>
          <w:r w:rsidR="0050096F" w:rsidRPr="00146482">
            <w:rPr>
              <w:rFonts w:ascii="Arial" w:hAnsi="Arial" w:cs="Arial"/>
              <w:color w:val="1F1F1F"/>
              <w:highlight w:val="yellow"/>
            </w:rPr>
            <w:fldChar w:fldCharType="separate"/>
          </w:r>
          <w:r w:rsidR="0050096F" w:rsidRPr="00146482">
            <w:rPr>
              <w:rFonts w:ascii="Arial" w:hAnsi="Arial" w:cs="Arial"/>
              <w:noProof/>
              <w:color w:val="1F1F1F"/>
              <w:highlight w:val="yellow"/>
            </w:rPr>
            <w:t>(Kim, 2001)</w:t>
          </w:r>
          <w:r w:rsidR="0050096F" w:rsidRPr="00146482">
            <w:rPr>
              <w:rFonts w:ascii="Arial" w:hAnsi="Arial" w:cs="Arial"/>
              <w:color w:val="1F1F1F"/>
              <w:highlight w:val="yellow"/>
            </w:rPr>
            <w:fldChar w:fldCharType="end"/>
          </w:r>
        </w:sdtContent>
      </w:sdt>
      <w:r w:rsidR="0050096F">
        <w:rPr>
          <w:rFonts w:eastAsia="Times New Roman" w:cstheme="minorHAnsi"/>
          <w:color w:val="374151"/>
          <w:sz w:val="24"/>
          <w:szCs w:val="24"/>
        </w:rPr>
        <w:t xml:space="preserve"> </w:t>
      </w:r>
    </w:p>
    <w:p w14:paraId="7A909C54" w14:textId="33E8A8A2" w:rsidR="006F4D6F" w:rsidRPr="001C1464" w:rsidRDefault="006F4D6F" w:rsidP="001D09AD">
      <w:pPr>
        <w:spacing w:after="120" w:line="360" w:lineRule="auto"/>
        <w:contextualSpacing/>
        <w:mirrorIndents/>
        <w:rPr>
          <w:rFonts w:cstheme="minorHAnsi"/>
        </w:rPr>
      </w:pPr>
      <w:r w:rsidRPr="001C1464">
        <w:rPr>
          <w:rFonts w:cstheme="minorHAnsi"/>
        </w:rPr>
        <w:t>Connectivism, a recent addition to learning theories proposed by Siemens, can be seen as a modern version of constructivism tailored for the digital age.</w:t>
      </w:r>
      <w:r w:rsidR="009A70C0">
        <w:rPr>
          <w:rFonts w:cstheme="minorHAnsi"/>
        </w:rPr>
        <w:t xml:space="preserve"> </w:t>
      </w:r>
      <w:sdt>
        <w:sdtPr>
          <w:rPr>
            <w:rFonts w:ascii="Söhne" w:hAnsi="Söhne"/>
            <w:color w:val="374151"/>
            <w:highlight w:val="yellow"/>
            <w:shd w:val="clear" w:color="auto" w:fill="F7F7F8"/>
          </w:rPr>
          <w:id w:val="-2007736919"/>
          <w:citation/>
        </w:sdtPr>
        <w:sdtContent>
          <w:r w:rsidR="009A70C0" w:rsidRPr="00172039">
            <w:rPr>
              <w:rFonts w:ascii="Söhne" w:hAnsi="Söhne"/>
              <w:color w:val="374151"/>
              <w:highlight w:val="yellow"/>
              <w:shd w:val="clear" w:color="auto" w:fill="F7F7F8"/>
            </w:rPr>
            <w:fldChar w:fldCharType="begin"/>
          </w:r>
          <w:r w:rsidR="009A70C0" w:rsidRPr="00172039">
            <w:rPr>
              <w:rFonts w:ascii="Söhne" w:hAnsi="Söhne"/>
              <w:color w:val="374151"/>
              <w:highlight w:val="yellow"/>
              <w:shd w:val="clear" w:color="auto" w:fill="F7F7F8"/>
            </w:rPr>
            <w:instrText xml:space="preserve"> CITATION Mat18 \l 2057 </w:instrText>
          </w:r>
          <w:r w:rsidR="009A70C0" w:rsidRPr="00172039">
            <w:rPr>
              <w:rFonts w:ascii="Söhne" w:hAnsi="Söhne"/>
              <w:color w:val="374151"/>
              <w:highlight w:val="yellow"/>
              <w:shd w:val="clear" w:color="auto" w:fill="F7F7F8"/>
            </w:rPr>
            <w:fldChar w:fldCharType="separate"/>
          </w:r>
          <w:r w:rsidR="009A70C0" w:rsidRPr="00172039">
            <w:rPr>
              <w:rFonts w:ascii="Söhne" w:hAnsi="Söhne"/>
              <w:noProof/>
              <w:color w:val="374151"/>
              <w:highlight w:val="yellow"/>
              <w:shd w:val="clear" w:color="auto" w:fill="F7F7F8"/>
            </w:rPr>
            <w:t>(Mattar, 2018)</w:t>
          </w:r>
          <w:r w:rsidR="009A70C0" w:rsidRPr="00172039">
            <w:rPr>
              <w:rFonts w:ascii="Söhne" w:hAnsi="Söhne"/>
              <w:color w:val="374151"/>
              <w:highlight w:val="yellow"/>
              <w:shd w:val="clear" w:color="auto" w:fill="F7F7F8"/>
            </w:rPr>
            <w:fldChar w:fldCharType="end"/>
          </w:r>
        </w:sdtContent>
      </w:sdt>
      <w:r w:rsidR="00DB2FE2">
        <w:rPr>
          <w:rFonts w:ascii="Söhne" w:hAnsi="Söhne"/>
          <w:color w:val="374151"/>
          <w:shd w:val="clear" w:color="auto" w:fill="F7F7F8"/>
        </w:rPr>
        <w:t xml:space="preserve"> </w:t>
      </w:r>
      <w:sdt>
        <w:sdtPr>
          <w:rPr>
            <w:rFonts w:ascii="Söhne" w:hAnsi="Söhne"/>
            <w:color w:val="374151"/>
            <w:highlight w:val="yellow"/>
            <w:shd w:val="clear" w:color="auto" w:fill="F7F7F8"/>
          </w:rPr>
          <w:id w:val="1082264882"/>
          <w:citation/>
        </w:sdtPr>
        <w:sdtContent>
          <w:r w:rsidR="00DB2FE2" w:rsidRPr="00FD4C41">
            <w:rPr>
              <w:rFonts w:ascii="Söhne" w:hAnsi="Söhne" w:hint="eastAsia"/>
              <w:color w:val="374151"/>
              <w:highlight w:val="yellow"/>
              <w:shd w:val="clear" w:color="auto" w:fill="F7F7F8"/>
            </w:rPr>
            <w:fldChar w:fldCharType="begin"/>
          </w:r>
          <w:r w:rsidR="00DB2FE2" w:rsidRPr="00FD4C41">
            <w:rPr>
              <w:rFonts w:ascii="Söhne" w:hAnsi="Söhne" w:hint="eastAsia"/>
              <w:color w:val="374151"/>
              <w:highlight w:val="yellow"/>
              <w:shd w:val="clear" w:color="auto" w:fill="F7F7F8"/>
            </w:rPr>
            <w:instrText xml:space="preserve">CITATION Ren081 \p 19 \l 2057 </w:instrText>
          </w:r>
          <w:r w:rsidR="00DB2FE2" w:rsidRPr="00FD4C41">
            <w:rPr>
              <w:rFonts w:ascii="Söhne" w:hAnsi="Söhne" w:hint="eastAsia"/>
              <w:color w:val="374151"/>
              <w:highlight w:val="yellow"/>
              <w:shd w:val="clear" w:color="auto" w:fill="F7F7F8"/>
            </w:rPr>
            <w:fldChar w:fldCharType="separate"/>
          </w:r>
          <w:r w:rsidR="00DB2FE2" w:rsidRPr="00FD4C41">
            <w:rPr>
              <w:rFonts w:ascii="Söhne" w:hAnsi="Söhne"/>
              <w:noProof/>
              <w:color w:val="374151"/>
              <w:highlight w:val="yellow"/>
              <w:shd w:val="clear" w:color="auto" w:fill="F7F7F8"/>
            </w:rPr>
            <w:t>(Rennie F., 2008, p. 19)</w:t>
          </w:r>
          <w:r w:rsidR="00DB2FE2" w:rsidRPr="00FD4C41">
            <w:rPr>
              <w:rFonts w:ascii="Söhne" w:hAnsi="Söhne" w:hint="eastAsia"/>
              <w:color w:val="374151"/>
              <w:highlight w:val="yellow"/>
              <w:shd w:val="clear" w:color="auto" w:fill="F7F7F8"/>
            </w:rPr>
            <w:fldChar w:fldCharType="end"/>
          </w:r>
        </w:sdtContent>
      </w:sdt>
      <w:r w:rsidRPr="001C1464">
        <w:rPr>
          <w:rFonts w:cstheme="minorHAnsi"/>
        </w:rPr>
        <w:t xml:space="preserve"> It emphasises the significance of networks and relationships in the learning process and aligns with student-centred pedagogies that promote active engagement in collaborative and networked activities facilitated by Web 2.0 technologies.</w:t>
      </w:r>
      <w:r w:rsidR="001D09AD">
        <w:rPr>
          <w:rFonts w:cstheme="minorHAnsi"/>
        </w:rPr>
        <w:t xml:space="preserve"> </w:t>
      </w:r>
      <w:sdt>
        <w:sdtPr>
          <w:rPr>
            <w:rFonts w:ascii="Söhne" w:eastAsia="Times New Roman" w:hAnsi="Söhne" w:cs="Times New Roman"/>
            <w:color w:val="374151"/>
            <w:highlight w:val="yellow"/>
          </w:rPr>
          <w:id w:val="1748614438"/>
          <w:citation/>
        </w:sdtPr>
        <w:sdtContent>
          <w:r w:rsidR="001D09AD" w:rsidRPr="005F55CC">
            <w:rPr>
              <w:rFonts w:ascii="Söhne" w:eastAsia="Times New Roman" w:hAnsi="Söhne" w:cs="Times New Roman"/>
              <w:color w:val="374151"/>
              <w:highlight w:val="yellow"/>
            </w:rPr>
            <w:fldChar w:fldCharType="begin"/>
          </w:r>
          <w:r w:rsidR="001D09AD" w:rsidRPr="005F55CC">
            <w:rPr>
              <w:rFonts w:ascii="Söhne" w:eastAsia="Times New Roman" w:hAnsi="Söhne" w:cs="Times New Roman"/>
              <w:color w:val="374151"/>
              <w:highlight w:val="yellow"/>
            </w:rPr>
            <w:instrText xml:space="preserve"> CITATION Gol16 \l 2057 </w:instrText>
          </w:r>
          <w:r w:rsidR="001D09AD" w:rsidRPr="005F55CC">
            <w:rPr>
              <w:rFonts w:ascii="Söhne" w:eastAsia="Times New Roman" w:hAnsi="Söhne" w:cs="Times New Roman"/>
              <w:color w:val="374151"/>
              <w:highlight w:val="yellow"/>
            </w:rPr>
            <w:fldChar w:fldCharType="separate"/>
          </w:r>
          <w:r w:rsidR="001D09AD" w:rsidRPr="005F55CC">
            <w:rPr>
              <w:rFonts w:ascii="Söhne" w:eastAsia="Times New Roman" w:hAnsi="Söhne" w:cs="Times New Roman"/>
              <w:noProof/>
              <w:color w:val="374151"/>
              <w:highlight w:val="yellow"/>
            </w:rPr>
            <w:t>(Goldie, 2016)</w:t>
          </w:r>
          <w:r w:rsidR="001D09AD" w:rsidRPr="005F55CC">
            <w:rPr>
              <w:rFonts w:ascii="Söhne" w:eastAsia="Times New Roman" w:hAnsi="Söhne" w:cs="Times New Roman"/>
              <w:color w:val="374151"/>
              <w:highlight w:val="yellow"/>
            </w:rPr>
            <w:fldChar w:fldCharType="end"/>
          </w:r>
        </w:sdtContent>
      </w:sdt>
    </w:p>
    <w:p w14:paraId="1F46A302" w14:textId="77777777" w:rsidR="006F4D6F" w:rsidRPr="001C1464" w:rsidRDefault="006F4D6F" w:rsidP="001C1464">
      <w:pPr>
        <w:spacing w:after="120" w:line="360" w:lineRule="auto"/>
        <w:contextualSpacing/>
        <w:mirrorIndents/>
        <w:rPr>
          <w:rFonts w:cstheme="minorHAnsi"/>
        </w:rPr>
      </w:pPr>
      <w:r w:rsidRPr="001C1464">
        <w:rPr>
          <w:rFonts w:cstheme="minorHAnsi"/>
        </w:rPr>
        <w:t>Participation, collaboration, and networking are central concepts in connectivism and other student-centred approaches, challenging the traditional model of knowledge transmission from teacher to student. These contemporary learning theories, coupled with digital innovation, enrich student-centred pedagogies by promoting collaboration, peer interaction, and the active construction of knowledge within a social context.</w:t>
      </w:r>
    </w:p>
    <w:p w14:paraId="31B11400" w14:textId="77777777" w:rsidR="006F4D6F" w:rsidRPr="001C1464" w:rsidRDefault="006F4D6F" w:rsidP="001C1464">
      <w:pPr>
        <w:spacing w:after="120" w:line="360" w:lineRule="auto"/>
        <w:contextualSpacing/>
        <w:mirrorIndents/>
        <w:rPr>
          <w:rFonts w:cstheme="minorHAnsi"/>
        </w:rPr>
      </w:pPr>
      <w:r w:rsidRPr="001C1464">
        <w:rPr>
          <w:rFonts w:cstheme="minorHAnsi"/>
        </w:rPr>
        <w:t>Furthermore, integrating creativity into learning theories fosters environments that encourage exploration, experimentation, and risk-taking. Approaches such as project-based learning, inquiry-based learning, and problem-based learning provide opportunities for students to develop and apply creative thinking skills in real-world contexts.</w:t>
      </w:r>
    </w:p>
    <w:p w14:paraId="43DA1EC5" w14:textId="439D4CF5" w:rsidR="00DD7DE6" w:rsidRDefault="00DD7DE6" w:rsidP="00DD7DE6">
      <w:pPr>
        <w:spacing w:after="120" w:line="360" w:lineRule="auto"/>
        <w:ind w:firstLine="720"/>
        <w:contextualSpacing/>
        <w:mirrorIndents/>
        <w:rPr>
          <w:rFonts w:eastAsia="Times New Roman" w:cstheme="minorHAnsi"/>
          <w:color w:val="374151"/>
          <w:sz w:val="24"/>
          <w:szCs w:val="24"/>
        </w:rPr>
      </w:pPr>
      <w:proofErr w:type="spellStart"/>
      <w:r>
        <w:rPr>
          <w:rFonts w:eastAsia="Times New Roman" w:cstheme="minorHAnsi"/>
          <w:color w:val="374151"/>
          <w:sz w:val="24"/>
          <w:szCs w:val="24"/>
        </w:rPr>
        <w:t>Sfard</w:t>
      </w:r>
      <w:proofErr w:type="spellEnd"/>
      <w:r>
        <w:rPr>
          <w:rFonts w:eastAsia="Times New Roman" w:cstheme="minorHAnsi"/>
          <w:color w:val="374151"/>
          <w:sz w:val="24"/>
          <w:szCs w:val="24"/>
        </w:rPr>
        <w:t xml:space="preserve"> (1998) warns against “</w:t>
      </w:r>
      <w:r w:rsidRPr="004F2341">
        <w:rPr>
          <w:rFonts w:eastAsia="Times New Roman" w:cstheme="minorHAnsi"/>
          <w:color w:val="374151"/>
          <w:sz w:val="24"/>
          <w:szCs w:val="24"/>
        </w:rPr>
        <w:t>the danger involved in too great</w:t>
      </w:r>
      <w:r>
        <w:rPr>
          <w:rFonts w:eastAsia="Times New Roman" w:cstheme="minorHAnsi"/>
          <w:color w:val="374151"/>
          <w:sz w:val="24"/>
          <w:szCs w:val="24"/>
        </w:rPr>
        <w:t xml:space="preserve"> </w:t>
      </w:r>
      <w:r w:rsidRPr="004F2341">
        <w:rPr>
          <w:rFonts w:eastAsia="Times New Roman" w:cstheme="minorHAnsi"/>
          <w:color w:val="374151"/>
          <w:sz w:val="24"/>
          <w:szCs w:val="24"/>
        </w:rPr>
        <w:t>a devotion to one particular way of thinking and rejection of all the others</w:t>
      </w:r>
      <w:r>
        <w:rPr>
          <w:rFonts w:eastAsia="Times New Roman" w:cstheme="minorHAnsi"/>
          <w:color w:val="374151"/>
          <w:sz w:val="24"/>
          <w:szCs w:val="24"/>
        </w:rPr>
        <w:t>”</w:t>
      </w:r>
      <w:sdt>
        <w:sdtPr>
          <w:rPr>
            <w:rFonts w:eastAsia="Times New Roman" w:cstheme="minorHAnsi"/>
            <w:color w:val="374151"/>
            <w:sz w:val="24"/>
            <w:szCs w:val="24"/>
            <w:highlight w:val="yellow"/>
          </w:rPr>
          <w:id w:val="203141529"/>
          <w:citation/>
        </w:sdtPr>
        <w:sdtContent>
          <w:r w:rsidRPr="00172039">
            <w:rPr>
              <w:rFonts w:eastAsia="Times New Roman" w:cstheme="minorHAnsi"/>
              <w:color w:val="374151"/>
              <w:sz w:val="24"/>
              <w:szCs w:val="24"/>
              <w:highlight w:val="yellow"/>
            </w:rPr>
            <w:fldChar w:fldCharType="begin"/>
          </w:r>
          <w:r w:rsidRPr="00172039">
            <w:rPr>
              <w:rFonts w:eastAsia="Times New Roman" w:cstheme="minorHAnsi"/>
              <w:color w:val="374151"/>
              <w:sz w:val="24"/>
              <w:szCs w:val="24"/>
              <w:highlight w:val="yellow"/>
            </w:rPr>
            <w:instrText xml:space="preserve">CITATION Bee19 \p 20 \l 2057 </w:instrText>
          </w:r>
          <w:r w:rsidRPr="00172039">
            <w:rPr>
              <w:rFonts w:eastAsia="Times New Roman" w:cstheme="minorHAnsi"/>
              <w:color w:val="374151"/>
              <w:sz w:val="24"/>
              <w:szCs w:val="24"/>
              <w:highlight w:val="yellow"/>
            </w:rPr>
            <w:fldChar w:fldCharType="separate"/>
          </w:r>
          <w:r w:rsidRPr="00172039">
            <w:rPr>
              <w:rFonts w:eastAsia="Times New Roman" w:cstheme="minorHAnsi"/>
              <w:noProof/>
              <w:color w:val="374151"/>
              <w:sz w:val="24"/>
              <w:szCs w:val="24"/>
              <w:highlight w:val="yellow"/>
            </w:rPr>
            <w:t xml:space="preserve"> (Beetham &amp; Sharpe, 2019, p. 20)</w:t>
          </w:r>
          <w:r w:rsidRPr="00172039">
            <w:rPr>
              <w:rFonts w:eastAsia="Times New Roman" w:cstheme="minorHAnsi"/>
              <w:color w:val="374151"/>
              <w:sz w:val="24"/>
              <w:szCs w:val="24"/>
              <w:highlight w:val="yellow"/>
            </w:rPr>
            <w:fldChar w:fldCharType="end"/>
          </w:r>
        </w:sdtContent>
      </w:sdt>
      <w:r>
        <w:rPr>
          <w:rFonts w:eastAsia="Times New Roman" w:cstheme="minorHAnsi"/>
          <w:color w:val="374151"/>
          <w:sz w:val="24"/>
          <w:szCs w:val="24"/>
        </w:rPr>
        <w:t>. She explore</w:t>
      </w:r>
      <w:r w:rsidR="00D6647A">
        <w:rPr>
          <w:rFonts w:eastAsia="Times New Roman" w:cstheme="minorHAnsi"/>
          <w:color w:val="374151"/>
          <w:sz w:val="24"/>
          <w:szCs w:val="24"/>
        </w:rPr>
        <w:t>d</w:t>
      </w:r>
      <w:r>
        <w:rPr>
          <w:rFonts w:eastAsia="Times New Roman" w:cstheme="minorHAnsi"/>
          <w:color w:val="374151"/>
          <w:sz w:val="24"/>
          <w:szCs w:val="24"/>
        </w:rPr>
        <w:t xml:space="preserve"> two </w:t>
      </w:r>
      <w:r w:rsidRPr="00414315">
        <w:rPr>
          <w:rFonts w:eastAsia="Times New Roman" w:cstheme="minorHAnsi"/>
          <w:color w:val="374151"/>
          <w:sz w:val="24"/>
          <w:szCs w:val="24"/>
        </w:rPr>
        <w:t xml:space="preserve"> learning metaphors - acquisition and participation </w:t>
      </w:r>
      <w:r>
        <w:rPr>
          <w:rFonts w:eastAsia="Times New Roman" w:cstheme="minorHAnsi"/>
          <w:color w:val="374151"/>
          <w:sz w:val="24"/>
          <w:szCs w:val="24"/>
        </w:rPr>
        <w:t>–</w:t>
      </w:r>
      <w:r w:rsidRPr="00414315">
        <w:rPr>
          <w:rFonts w:eastAsia="Times New Roman" w:cstheme="minorHAnsi"/>
          <w:color w:val="374151"/>
          <w:sz w:val="24"/>
          <w:szCs w:val="24"/>
        </w:rPr>
        <w:t xml:space="preserve"> </w:t>
      </w:r>
      <w:r>
        <w:rPr>
          <w:rFonts w:eastAsia="Times New Roman" w:cstheme="minorHAnsi"/>
          <w:color w:val="374151"/>
          <w:sz w:val="24"/>
          <w:szCs w:val="24"/>
        </w:rPr>
        <w:t>to demonstrate</w:t>
      </w:r>
      <w:r w:rsidRPr="00414315">
        <w:rPr>
          <w:rFonts w:eastAsia="Times New Roman" w:cstheme="minorHAnsi"/>
          <w:color w:val="374151"/>
          <w:sz w:val="24"/>
          <w:szCs w:val="24"/>
        </w:rPr>
        <w:t xml:space="preserve"> how digital technology intersects with these </w:t>
      </w:r>
      <w:r>
        <w:rPr>
          <w:rFonts w:eastAsia="Times New Roman" w:cstheme="minorHAnsi"/>
          <w:color w:val="374151"/>
          <w:sz w:val="24"/>
          <w:szCs w:val="24"/>
        </w:rPr>
        <w:t>two processes.</w:t>
      </w:r>
      <w:r w:rsidRPr="00414315">
        <w:rPr>
          <w:rFonts w:eastAsia="Times New Roman" w:cstheme="minorHAnsi"/>
          <w:color w:val="374151"/>
          <w:sz w:val="24"/>
          <w:szCs w:val="24"/>
        </w:rPr>
        <w:t xml:space="preserve"> </w:t>
      </w:r>
      <w:r>
        <w:rPr>
          <w:rFonts w:eastAsia="Times New Roman" w:cstheme="minorHAnsi"/>
          <w:color w:val="374151"/>
          <w:sz w:val="24"/>
          <w:szCs w:val="24"/>
        </w:rPr>
        <w:t xml:space="preserve">Acquisition involves gradually accumulating knowledge, while participation emphasises ongoing engagement within a community. Modern teaching theories often incorporate elements of both metaphors, complementing each other to accommodate the complexity of learning process. Digital tools play a dual role </w:t>
      </w:r>
      <w:r>
        <w:rPr>
          <w:rFonts w:eastAsia="Times New Roman" w:cstheme="minorHAnsi"/>
          <w:color w:val="374151"/>
          <w:sz w:val="24"/>
          <w:szCs w:val="24"/>
        </w:rPr>
        <w:lastRenderedPageBreak/>
        <w:t xml:space="preserve">supporting independent knowledge accumulation and participatory learning experiences, aligning with diverse learning preferences and advocating for </w:t>
      </w:r>
      <w:r w:rsidRPr="00414315">
        <w:rPr>
          <w:rFonts w:eastAsia="Times New Roman" w:cstheme="minorHAnsi"/>
          <w:color w:val="374151"/>
          <w:sz w:val="24"/>
          <w:szCs w:val="24"/>
        </w:rPr>
        <w:t>a balanced approach in education.</w:t>
      </w:r>
    </w:p>
    <w:p w14:paraId="58A57952" w14:textId="77777777" w:rsidR="00FE1318" w:rsidRDefault="006F4D6F" w:rsidP="00521897">
      <w:pPr>
        <w:spacing w:after="120" w:line="360" w:lineRule="auto"/>
        <w:ind w:firstLine="720"/>
        <w:contextualSpacing/>
        <w:mirrorIndents/>
        <w:rPr>
          <w:rFonts w:cstheme="minorHAnsi"/>
        </w:rPr>
      </w:pPr>
      <w:r w:rsidRPr="001C1464">
        <w:rPr>
          <w:rFonts w:cstheme="minorHAnsi"/>
        </w:rPr>
        <w:t xml:space="preserve">However, integrating technology into teaching and learning requires more than just placing computers in classrooms; it demands educators' effective harnessing of technology. </w:t>
      </w:r>
      <w:r w:rsidR="003D598A">
        <w:rPr>
          <w:rFonts w:cstheme="minorHAnsi"/>
        </w:rPr>
        <w:t>Bethan and Sharpe</w:t>
      </w:r>
      <w:r w:rsidR="00FE1318">
        <w:rPr>
          <w:rFonts w:cstheme="minorHAnsi"/>
        </w:rPr>
        <w:t xml:space="preserve"> say:</w:t>
      </w:r>
    </w:p>
    <w:p w14:paraId="5F2C35C6" w14:textId="00F05DA0" w:rsidR="00FE1318" w:rsidRPr="00A03A49" w:rsidRDefault="00FE1318" w:rsidP="00FE1318">
      <w:pPr>
        <w:ind w:left="709" w:right="708"/>
        <w:rPr>
          <w:rFonts w:cstheme="minorHAnsi"/>
        </w:rPr>
      </w:pPr>
      <w:r w:rsidRPr="00A03A49">
        <w:rPr>
          <w:rFonts w:cstheme="minorHAnsi"/>
        </w:rPr>
        <w:t>“Researchers now widely consider that educational theories and theory-informed frameworks play a key role, not merely in contributing to ‘good pedagogical design’ (Mayes, Chapter 1), but also in countering tendencies towards ‘technological determinism’, where the use of tools for learning is driven by the technology rather than by sound pedagogic practice</w:t>
      </w:r>
      <w:r>
        <w:rPr>
          <w:rFonts w:cstheme="minorHAnsi"/>
        </w:rPr>
        <w:t>.</w:t>
      </w:r>
      <w:r w:rsidRPr="00A03A49">
        <w:rPr>
          <w:rFonts w:cstheme="minorHAnsi"/>
        </w:rPr>
        <w:t xml:space="preserve">“ </w:t>
      </w:r>
      <w:sdt>
        <w:sdtPr>
          <w:rPr>
            <w:rFonts w:cstheme="minorHAnsi"/>
            <w:highlight w:val="yellow"/>
          </w:rPr>
          <w:id w:val="1170297439"/>
          <w:citation/>
        </w:sdtPr>
        <w:sdtContent>
          <w:r w:rsidRPr="00A03A49">
            <w:rPr>
              <w:rFonts w:cstheme="minorHAnsi"/>
              <w:highlight w:val="yellow"/>
            </w:rPr>
            <w:fldChar w:fldCharType="begin"/>
          </w:r>
          <w:r w:rsidRPr="00A03A49">
            <w:rPr>
              <w:rFonts w:cstheme="minorHAnsi"/>
              <w:highlight w:val="yellow"/>
            </w:rPr>
            <w:instrText xml:space="preserve">CITATION Bee19 \p 125 \l 2057 </w:instrText>
          </w:r>
          <w:r w:rsidRPr="00A03A49">
            <w:rPr>
              <w:rFonts w:cstheme="minorHAnsi"/>
              <w:highlight w:val="yellow"/>
            </w:rPr>
            <w:fldChar w:fldCharType="separate"/>
          </w:r>
          <w:r w:rsidRPr="00A03A49">
            <w:rPr>
              <w:rFonts w:cstheme="minorHAnsi"/>
              <w:noProof/>
              <w:highlight w:val="yellow"/>
            </w:rPr>
            <w:t>(Beetham &amp; Sharpe, 2019, p. 125)</w:t>
          </w:r>
          <w:r w:rsidRPr="00A03A49">
            <w:rPr>
              <w:rFonts w:cstheme="minorHAnsi"/>
              <w:highlight w:val="yellow"/>
            </w:rPr>
            <w:fldChar w:fldCharType="end"/>
          </w:r>
        </w:sdtContent>
      </w:sdt>
    </w:p>
    <w:p w14:paraId="365F6FB2" w14:textId="286F809B" w:rsidR="006F4D6F" w:rsidRPr="001C1464" w:rsidRDefault="006F4D6F" w:rsidP="00FE1318">
      <w:pPr>
        <w:spacing w:after="120" w:line="360" w:lineRule="auto"/>
        <w:contextualSpacing/>
        <w:mirrorIndents/>
        <w:rPr>
          <w:rFonts w:cstheme="minorHAnsi"/>
        </w:rPr>
      </w:pPr>
      <w:r w:rsidRPr="001C1464">
        <w:rPr>
          <w:rFonts w:cstheme="minorHAnsi"/>
        </w:rPr>
        <w:t>This necessitates a good understanding of digital pedagogy, guiding teachers on how to incorporate digital tools effectively throughout the entire learning process, from design to assessment.</w:t>
      </w:r>
    </w:p>
    <w:p w14:paraId="174A8F9D" w14:textId="77777777" w:rsidR="00821801" w:rsidRPr="001C1464" w:rsidRDefault="00821801" w:rsidP="001C1464">
      <w:pPr>
        <w:spacing w:after="120" w:line="360" w:lineRule="auto"/>
        <w:contextualSpacing/>
        <w:mirrorIndents/>
        <w:rPr>
          <w:rFonts w:cstheme="minorHAnsi"/>
        </w:rPr>
      </w:pPr>
      <w:r w:rsidRPr="001C1464">
        <w:rPr>
          <w:rFonts w:cstheme="minorHAnsi"/>
        </w:rPr>
        <w:t>Digital pedagogy is more than just utilising technology; it represents a methodology fostering lifelong learning and adaptability. It places students at the forefront, offering personalised instruction and effective assessment methods that align with the necessity for versatile skills beyond subject-specific knowledge.</w:t>
      </w:r>
    </w:p>
    <w:p w14:paraId="6238BBC3" w14:textId="2D33BF13" w:rsidR="00821801" w:rsidRPr="001C1464" w:rsidRDefault="00821801" w:rsidP="001C1464">
      <w:pPr>
        <w:spacing w:after="120" w:line="360" w:lineRule="auto"/>
        <w:contextualSpacing/>
        <w:mirrorIndents/>
        <w:rPr>
          <w:rFonts w:cstheme="minorHAnsi"/>
        </w:rPr>
      </w:pPr>
      <w:proofErr w:type="spellStart"/>
      <w:r w:rsidRPr="001C1464">
        <w:rPr>
          <w:rFonts w:cstheme="minorHAnsi"/>
        </w:rPr>
        <w:t>Betham</w:t>
      </w:r>
      <w:proofErr w:type="spellEnd"/>
      <w:r w:rsidRPr="001C1464">
        <w:rPr>
          <w:rFonts w:cstheme="minorHAnsi"/>
        </w:rPr>
        <w:t xml:space="preserve"> and Sharpe argue that modern pedagogies respond not only to academic necessities of imparting subject-specific knowledge but also to broader societal and governmental demands for equipping learners with skills for lifelong learning and employability</w:t>
      </w:r>
      <w:r w:rsidRPr="00506E32">
        <w:rPr>
          <w:rFonts w:cstheme="minorHAnsi"/>
          <w:highlight w:val="yellow"/>
        </w:rPr>
        <w:t>.</w:t>
      </w:r>
      <w:sdt>
        <w:sdtPr>
          <w:rPr>
            <w:rFonts w:cstheme="minorHAnsi"/>
            <w:highlight w:val="yellow"/>
          </w:rPr>
          <w:id w:val="684405605"/>
          <w:citation/>
        </w:sdtPr>
        <w:sdtContent>
          <w:r w:rsidR="00506E32" w:rsidRPr="00506E32">
            <w:rPr>
              <w:rFonts w:cstheme="minorHAnsi"/>
              <w:highlight w:val="yellow"/>
            </w:rPr>
            <w:fldChar w:fldCharType="begin"/>
          </w:r>
          <w:r w:rsidR="00506E32">
            <w:rPr>
              <w:rFonts w:cstheme="minorHAnsi"/>
              <w:highlight w:val="yellow"/>
            </w:rPr>
            <w:instrText xml:space="preserve">CITATION Bee19 \p 139 \l 2057 </w:instrText>
          </w:r>
          <w:r w:rsidR="00506E32" w:rsidRPr="00506E32">
            <w:rPr>
              <w:rFonts w:cstheme="minorHAnsi"/>
              <w:highlight w:val="yellow"/>
            </w:rPr>
            <w:fldChar w:fldCharType="separate"/>
          </w:r>
          <w:r w:rsidR="00506E32">
            <w:rPr>
              <w:rFonts w:cstheme="minorHAnsi"/>
              <w:noProof/>
              <w:highlight w:val="yellow"/>
            </w:rPr>
            <w:t xml:space="preserve"> </w:t>
          </w:r>
          <w:r w:rsidR="00506E32" w:rsidRPr="00506E32">
            <w:rPr>
              <w:rFonts w:cstheme="minorHAnsi"/>
              <w:noProof/>
              <w:highlight w:val="yellow"/>
            </w:rPr>
            <w:t>(Beetham &amp; Sharpe, 2019, p. 139)</w:t>
          </w:r>
          <w:r w:rsidR="00506E32" w:rsidRPr="00506E32">
            <w:rPr>
              <w:rFonts w:cstheme="minorHAnsi"/>
              <w:highlight w:val="yellow"/>
            </w:rPr>
            <w:fldChar w:fldCharType="end"/>
          </w:r>
        </w:sdtContent>
      </w:sdt>
    </w:p>
    <w:p w14:paraId="41C2F332" w14:textId="7C36C73A" w:rsidR="00821801" w:rsidRPr="001C1464" w:rsidRDefault="00821801" w:rsidP="001C1464">
      <w:pPr>
        <w:spacing w:after="120" w:line="360" w:lineRule="auto"/>
        <w:contextualSpacing/>
        <w:mirrorIndents/>
        <w:rPr>
          <w:rFonts w:cstheme="minorHAnsi"/>
        </w:rPr>
      </w:pPr>
      <w:r w:rsidRPr="001C1464">
        <w:rPr>
          <w:rFonts w:cstheme="minorHAnsi"/>
        </w:rPr>
        <w:t xml:space="preserve">For instance, the UK Government underscores in "Skills for Jobs: Lifelong learning for opportunity and growth" </w:t>
      </w:r>
      <w:sdt>
        <w:sdtPr>
          <w:rPr>
            <w:rFonts w:cstheme="minorHAnsi"/>
            <w:highlight w:val="yellow"/>
          </w:rPr>
          <w:id w:val="616111814"/>
          <w:citation/>
        </w:sdtPr>
        <w:sdtContent>
          <w:r w:rsidR="00E431DC" w:rsidRPr="004A290B">
            <w:rPr>
              <w:rFonts w:cstheme="minorHAnsi"/>
              <w:highlight w:val="yellow"/>
            </w:rPr>
            <w:fldChar w:fldCharType="begin"/>
          </w:r>
          <w:r w:rsidR="004A290B" w:rsidRPr="004A290B">
            <w:rPr>
              <w:rFonts w:cstheme="minorHAnsi"/>
              <w:highlight w:val="yellow"/>
            </w:rPr>
            <w:instrText xml:space="preserve">CITATION Ski21 \l 2057 </w:instrText>
          </w:r>
          <w:r w:rsidR="00E431DC" w:rsidRPr="004A290B">
            <w:rPr>
              <w:rFonts w:cstheme="minorHAnsi"/>
              <w:highlight w:val="yellow"/>
            </w:rPr>
            <w:fldChar w:fldCharType="separate"/>
          </w:r>
          <w:r w:rsidR="004A290B" w:rsidRPr="004A290B">
            <w:rPr>
              <w:rFonts w:cstheme="minorHAnsi"/>
              <w:noProof/>
              <w:highlight w:val="yellow"/>
            </w:rPr>
            <w:t>(UK Gov., 2021)</w:t>
          </w:r>
          <w:r w:rsidR="00E431DC" w:rsidRPr="004A290B">
            <w:rPr>
              <w:rFonts w:cstheme="minorHAnsi"/>
              <w:highlight w:val="yellow"/>
            </w:rPr>
            <w:fldChar w:fldCharType="end"/>
          </w:r>
        </w:sdtContent>
      </w:sdt>
      <w:r w:rsidR="004A290B">
        <w:rPr>
          <w:rFonts w:cstheme="minorHAnsi"/>
        </w:rPr>
        <w:t xml:space="preserve">  </w:t>
      </w:r>
      <w:r w:rsidRPr="001C1464">
        <w:rPr>
          <w:rFonts w:cstheme="minorHAnsi"/>
        </w:rPr>
        <w:t>the significance of post-16 education in bridging skill gaps, enhancing productivity, and supporting career progression. Initiatives such as the Lifetime Skills Guarantee aim to furnish individuals with the skills essential for success in the job market.</w:t>
      </w:r>
    </w:p>
    <w:p w14:paraId="542C4D32" w14:textId="29DFA778" w:rsidR="00821801" w:rsidRPr="001C1464" w:rsidRDefault="00821801" w:rsidP="001C1464">
      <w:pPr>
        <w:spacing w:after="120" w:line="360" w:lineRule="auto"/>
        <w:contextualSpacing/>
        <w:mirrorIndents/>
        <w:rPr>
          <w:rFonts w:cstheme="minorHAnsi"/>
        </w:rPr>
      </w:pPr>
      <w:r w:rsidRPr="001C1464">
        <w:rPr>
          <w:rFonts w:cstheme="minorHAnsi"/>
        </w:rPr>
        <w:t xml:space="preserve">The Future Generations Report 2020 </w:t>
      </w:r>
      <w:sdt>
        <w:sdtPr>
          <w:rPr>
            <w:rFonts w:cstheme="minorHAnsi"/>
            <w:highlight w:val="yellow"/>
          </w:rPr>
          <w:id w:val="-731768426"/>
          <w:citation/>
        </w:sdtPr>
        <w:sdtContent>
          <w:r w:rsidR="00185F50" w:rsidRPr="00185F50">
            <w:rPr>
              <w:rFonts w:cstheme="minorHAnsi"/>
              <w:highlight w:val="yellow"/>
            </w:rPr>
            <w:fldChar w:fldCharType="begin"/>
          </w:r>
          <w:r w:rsidR="00185F50" w:rsidRPr="00185F50">
            <w:rPr>
              <w:rFonts w:cstheme="minorHAnsi"/>
              <w:highlight w:val="yellow"/>
            </w:rPr>
            <w:instrText xml:space="preserve"> CITATION Fut20 \l 2057 </w:instrText>
          </w:r>
          <w:r w:rsidR="00185F50" w:rsidRPr="00185F50">
            <w:rPr>
              <w:rFonts w:cstheme="minorHAnsi"/>
              <w:highlight w:val="yellow"/>
            </w:rPr>
            <w:fldChar w:fldCharType="separate"/>
          </w:r>
          <w:r w:rsidR="00185F50" w:rsidRPr="00185F50">
            <w:rPr>
              <w:rFonts w:cstheme="minorHAnsi"/>
              <w:noProof/>
              <w:highlight w:val="yellow"/>
            </w:rPr>
            <w:t>(Future Generations, 2020)</w:t>
          </w:r>
          <w:r w:rsidR="00185F50" w:rsidRPr="00185F50">
            <w:rPr>
              <w:rFonts w:cstheme="minorHAnsi"/>
              <w:highlight w:val="yellow"/>
            </w:rPr>
            <w:fldChar w:fldCharType="end"/>
          </w:r>
        </w:sdtContent>
      </w:sdt>
      <w:r w:rsidR="00185F50">
        <w:rPr>
          <w:rFonts w:cstheme="minorHAnsi"/>
        </w:rPr>
        <w:t xml:space="preserve"> </w:t>
      </w:r>
      <w:r w:rsidRPr="001C1464">
        <w:rPr>
          <w:rFonts w:cstheme="minorHAnsi"/>
        </w:rPr>
        <w:t>underscores key aspects related to further and higher education in Wales, accentuating the impact of COVID-19 on education and the necessity for a novel national approach with a focus on online learning. Learners adept in digital-era pedagogies are better equipped to excel in remote work settings and contribute effectively to virtual teams.</w:t>
      </w:r>
    </w:p>
    <w:p w14:paraId="37FC8430" w14:textId="351B5FF3" w:rsidR="00821801" w:rsidRPr="001C1464" w:rsidRDefault="00821801" w:rsidP="001C1464">
      <w:pPr>
        <w:spacing w:after="120" w:line="360" w:lineRule="auto"/>
        <w:contextualSpacing/>
        <w:mirrorIndents/>
        <w:rPr>
          <w:rFonts w:cstheme="minorHAnsi"/>
        </w:rPr>
      </w:pPr>
      <w:r w:rsidRPr="001C1464">
        <w:rPr>
          <w:rFonts w:cstheme="minorHAnsi"/>
        </w:rPr>
        <w:t xml:space="preserve">The new curriculum for Wales from 2022 </w:t>
      </w:r>
      <w:sdt>
        <w:sdtPr>
          <w:rPr>
            <w:rFonts w:cstheme="minorHAnsi"/>
            <w:highlight w:val="yellow"/>
          </w:rPr>
          <w:id w:val="-340474992"/>
          <w:citation/>
        </w:sdtPr>
        <w:sdtContent>
          <w:r w:rsidR="007E69F9" w:rsidRPr="007E69F9">
            <w:rPr>
              <w:rFonts w:cstheme="minorHAnsi"/>
              <w:highlight w:val="yellow"/>
            </w:rPr>
            <w:fldChar w:fldCharType="begin"/>
          </w:r>
          <w:r w:rsidR="007E69F9" w:rsidRPr="007E69F9">
            <w:rPr>
              <w:rFonts w:cstheme="minorHAnsi"/>
              <w:highlight w:val="yellow"/>
            </w:rPr>
            <w:instrText xml:space="preserve"> CITATION Gov20 \l 2057 </w:instrText>
          </w:r>
          <w:r w:rsidR="007E69F9" w:rsidRPr="007E69F9">
            <w:rPr>
              <w:rFonts w:cstheme="minorHAnsi"/>
              <w:highlight w:val="yellow"/>
            </w:rPr>
            <w:fldChar w:fldCharType="separate"/>
          </w:r>
          <w:r w:rsidR="007E69F9" w:rsidRPr="007E69F9">
            <w:rPr>
              <w:rFonts w:cstheme="minorHAnsi"/>
              <w:noProof/>
              <w:highlight w:val="yellow"/>
            </w:rPr>
            <w:t>(Gov Wales, 2020)</w:t>
          </w:r>
          <w:r w:rsidR="007E69F9" w:rsidRPr="007E69F9">
            <w:rPr>
              <w:rFonts w:cstheme="minorHAnsi"/>
              <w:highlight w:val="yellow"/>
            </w:rPr>
            <w:fldChar w:fldCharType="end"/>
          </w:r>
        </w:sdtContent>
      </w:sdt>
      <w:r w:rsidR="007E69F9">
        <w:rPr>
          <w:rFonts w:cstheme="minorHAnsi"/>
        </w:rPr>
        <w:t xml:space="preserve"> </w:t>
      </w:r>
      <w:r w:rsidRPr="001C1464">
        <w:rPr>
          <w:rFonts w:cstheme="minorHAnsi"/>
        </w:rPr>
        <w:t xml:space="preserve">is viewed as a pivotal opportunity to reshape Post-16 education, cultivating 'well-rounded citizens' adept at navigating modern challenges. </w:t>
      </w:r>
      <w:sdt>
        <w:sdtPr>
          <w:rPr>
            <w:rFonts w:cstheme="minorHAnsi"/>
            <w:highlight w:val="yellow"/>
          </w:rPr>
          <w:id w:val="-1503117103"/>
          <w:citation/>
        </w:sdtPr>
        <w:sdtContent>
          <w:r w:rsidR="00D00ACE" w:rsidRPr="00D00ACE">
            <w:rPr>
              <w:rFonts w:cstheme="minorHAnsi"/>
              <w:highlight w:val="yellow"/>
            </w:rPr>
            <w:fldChar w:fldCharType="begin"/>
          </w:r>
          <w:r w:rsidR="00D00ACE" w:rsidRPr="00D00ACE">
            <w:rPr>
              <w:rFonts w:cstheme="minorHAnsi"/>
              <w:highlight w:val="yellow"/>
            </w:rPr>
            <w:instrText xml:space="preserve"> CITATION Bre16 \l 2057 </w:instrText>
          </w:r>
          <w:r w:rsidR="00D00ACE" w:rsidRPr="00D00ACE">
            <w:rPr>
              <w:rFonts w:cstheme="minorHAnsi"/>
              <w:highlight w:val="yellow"/>
            </w:rPr>
            <w:fldChar w:fldCharType="separate"/>
          </w:r>
          <w:r w:rsidR="00D00ACE" w:rsidRPr="00D00ACE">
            <w:rPr>
              <w:rFonts w:cstheme="minorHAnsi"/>
              <w:noProof/>
              <w:highlight w:val="yellow"/>
            </w:rPr>
            <w:t>(Brennan, 2016)</w:t>
          </w:r>
          <w:r w:rsidR="00D00ACE" w:rsidRPr="00D00ACE">
            <w:rPr>
              <w:rFonts w:cstheme="minorHAnsi"/>
              <w:highlight w:val="yellow"/>
            </w:rPr>
            <w:fldChar w:fldCharType="end"/>
          </w:r>
        </w:sdtContent>
      </w:sdt>
      <w:r w:rsidR="00834829">
        <w:rPr>
          <w:rFonts w:cstheme="minorHAnsi"/>
        </w:rPr>
        <w:t xml:space="preserve"> </w:t>
      </w:r>
      <w:r w:rsidR="00827D64">
        <w:rPr>
          <w:rFonts w:cstheme="minorHAnsi"/>
        </w:rPr>
        <w:t xml:space="preserve"> </w:t>
      </w:r>
      <w:r w:rsidRPr="001C1464">
        <w:rPr>
          <w:rFonts w:cstheme="minorHAnsi"/>
        </w:rPr>
        <w:t>The report advocates for a shift towards a more personalised, self-paced post-16 education system, with an emphasis on project- and problem-based content delivery.</w:t>
      </w:r>
    </w:p>
    <w:p w14:paraId="48042C1F" w14:textId="77777777" w:rsidR="00821801" w:rsidRPr="001C1464" w:rsidRDefault="00821801" w:rsidP="001C1464">
      <w:pPr>
        <w:spacing w:after="120" w:line="360" w:lineRule="auto"/>
        <w:contextualSpacing/>
        <w:mirrorIndents/>
        <w:rPr>
          <w:rFonts w:cstheme="minorHAnsi"/>
        </w:rPr>
      </w:pPr>
      <w:r w:rsidRPr="001C1464">
        <w:rPr>
          <w:rFonts w:cstheme="minorHAnsi"/>
        </w:rPr>
        <w:lastRenderedPageBreak/>
        <w:t>Educators are expected to embrace new pedagogies and technologies to better prepare students for forthcoming employment opportunities, with an emphasis on developing graduate attributes crucial for the labour market. While disciplines may vary, there's a shared objective of nurturing transferable skills like logical thinking and effective communication. These approaches prioritise active learning, critical thinking, and problem-solving, all pivotal for success in a rapidly evolving job market.</w:t>
      </w:r>
    </w:p>
    <w:p w14:paraId="7EDFD0E7" w14:textId="77777777" w:rsidR="00821801" w:rsidRPr="001C1464" w:rsidRDefault="00821801" w:rsidP="001C1464">
      <w:pPr>
        <w:spacing w:after="120" w:line="360" w:lineRule="auto"/>
        <w:contextualSpacing/>
        <w:mirrorIndents/>
        <w:rPr>
          <w:rFonts w:cstheme="minorHAnsi"/>
        </w:rPr>
      </w:pPr>
      <w:r w:rsidRPr="001C1464">
        <w:rPr>
          <w:rFonts w:cstheme="minorHAnsi"/>
        </w:rPr>
        <w:t>In this context, teachers should:</w:t>
      </w:r>
    </w:p>
    <w:p w14:paraId="193E5470" w14:textId="0AC060A7" w:rsidR="00821801" w:rsidRPr="001C1464" w:rsidRDefault="00821801" w:rsidP="001C1464">
      <w:pPr>
        <w:pStyle w:val="ListParagraph"/>
        <w:numPr>
          <w:ilvl w:val="0"/>
          <w:numId w:val="1"/>
        </w:numPr>
        <w:spacing w:after="120" w:line="360" w:lineRule="auto"/>
        <w:mirrorIndents/>
        <w:rPr>
          <w:rFonts w:cstheme="minorHAnsi"/>
        </w:rPr>
      </w:pPr>
      <w:r w:rsidRPr="001C1464">
        <w:rPr>
          <w:rFonts w:cstheme="minorHAnsi"/>
        </w:rPr>
        <w:t>Facilitate critical thinking and problem-solving, as employers highly value these skills in individuals capable of driving innovation and adapting to workplace challenges.</w:t>
      </w:r>
    </w:p>
    <w:p w14:paraId="073A1D64" w14:textId="7328D177" w:rsidR="00821801" w:rsidRPr="001C1464" w:rsidRDefault="00821801" w:rsidP="001C1464">
      <w:pPr>
        <w:pStyle w:val="ListParagraph"/>
        <w:numPr>
          <w:ilvl w:val="0"/>
          <w:numId w:val="1"/>
        </w:numPr>
        <w:spacing w:after="120" w:line="360" w:lineRule="auto"/>
        <w:mirrorIndents/>
        <w:rPr>
          <w:rFonts w:cstheme="minorHAnsi"/>
        </w:rPr>
      </w:pPr>
      <w:r w:rsidRPr="001C1464">
        <w:rPr>
          <w:rFonts w:cstheme="minorHAnsi"/>
        </w:rPr>
        <w:t>Provide collaborative experiences to enhance teamwork and effective communication.</w:t>
      </w:r>
    </w:p>
    <w:p w14:paraId="5B862A7E" w14:textId="1072B8BF" w:rsidR="00821801" w:rsidRPr="001C1464" w:rsidRDefault="00821801" w:rsidP="001C1464">
      <w:pPr>
        <w:pStyle w:val="ListParagraph"/>
        <w:numPr>
          <w:ilvl w:val="0"/>
          <w:numId w:val="1"/>
        </w:numPr>
        <w:spacing w:after="120" w:line="360" w:lineRule="auto"/>
        <w:mirrorIndents/>
        <w:rPr>
          <w:rFonts w:cstheme="minorHAnsi"/>
        </w:rPr>
      </w:pPr>
      <w:r w:rsidRPr="001C1464">
        <w:rPr>
          <w:rFonts w:cstheme="minorHAnsi"/>
        </w:rPr>
        <w:t>Foster students’ creative expression through multimedia projects and problem-solving simulations to generate fresh ideas and contribute to innovative solutions in employment settings.</w:t>
      </w:r>
    </w:p>
    <w:p w14:paraId="45190136" w14:textId="07E88DE6" w:rsidR="00821801" w:rsidRPr="001C1464" w:rsidRDefault="00821801" w:rsidP="003A689E">
      <w:pPr>
        <w:spacing w:after="120" w:line="360" w:lineRule="auto"/>
        <w:ind w:firstLine="360"/>
        <w:contextualSpacing/>
        <w:mirrorIndents/>
        <w:rPr>
          <w:rFonts w:cstheme="minorHAnsi"/>
        </w:rPr>
      </w:pPr>
      <w:r w:rsidRPr="001C1464">
        <w:rPr>
          <w:rFonts w:cstheme="minorHAnsi"/>
        </w:rPr>
        <w:t>Quality teaching and educational experiences are pivotal in equipping students with lifelong learning skills, necessitating well-designed pedagogy. Learning design, a concept emerging in the last decade, bridges the gap between the potential and reality of digital technologies. It encompasses a multifaceted process of course development, entailing strategic planning of teaching methods, activities, and assessments to achieve educational objectives effectively. This approach assists practitioners in making informed design decisions aligned with pedagogical goals, optimising the use of digital technologies.</w:t>
      </w:r>
      <w:r w:rsidR="00AF6BB2">
        <w:rPr>
          <w:rFonts w:cstheme="minorHAnsi"/>
        </w:rPr>
        <w:t xml:space="preserve"> </w:t>
      </w:r>
      <w:sdt>
        <w:sdtPr>
          <w:rPr>
            <w:rFonts w:cstheme="minorHAnsi"/>
            <w:highlight w:val="yellow"/>
          </w:rPr>
          <w:id w:val="-1563561387"/>
          <w:citation/>
        </w:sdtPr>
        <w:sdtContent>
          <w:r w:rsidR="00766DDC" w:rsidRPr="00766DDC">
            <w:rPr>
              <w:rFonts w:cstheme="minorHAnsi"/>
              <w:highlight w:val="yellow"/>
            </w:rPr>
            <w:fldChar w:fldCharType="begin"/>
          </w:r>
          <w:r w:rsidR="00766DDC" w:rsidRPr="00766DDC">
            <w:rPr>
              <w:rFonts w:cstheme="minorHAnsi"/>
              <w:highlight w:val="yellow"/>
            </w:rPr>
            <w:instrText xml:space="preserve">CITATION Bee19 \p 49-62 \l 2057 </w:instrText>
          </w:r>
          <w:r w:rsidR="00766DDC" w:rsidRPr="00766DDC">
            <w:rPr>
              <w:rFonts w:cstheme="minorHAnsi"/>
              <w:highlight w:val="yellow"/>
            </w:rPr>
            <w:fldChar w:fldCharType="separate"/>
          </w:r>
          <w:r w:rsidR="00766DDC" w:rsidRPr="00766DDC">
            <w:rPr>
              <w:rFonts w:cstheme="minorHAnsi"/>
              <w:noProof/>
              <w:highlight w:val="yellow"/>
            </w:rPr>
            <w:t>(Beetham &amp; Sharpe, 2019, pp. 49-62)</w:t>
          </w:r>
          <w:r w:rsidR="00766DDC" w:rsidRPr="00766DDC">
            <w:rPr>
              <w:rFonts w:cstheme="minorHAnsi"/>
              <w:highlight w:val="yellow"/>
            </w:rPr>
            <w:fldChar w:fldCharType="end"/>
          </w:r>
        </w:sdtContent>
      </w:sdt>
    </w:p>
    <w:p w14:paraId="000770E6" w14:textId="77777777" w:rsidR="00821801" w:rsidRPr="001C1464" w:rsidRDefault="00821801" w:rsidP="001C1464">
      <w:pPr>
        <w:spacing w:after="120" w:line="360" w:lineRule="auto"/>
        <w:contextualSpacing/>
        <w:mirrorIndents/>
        <w:rPr>
          <w:rFonts w:cstheme="minorHAnsi"/>
        </w:rPr>
      </w:pPr>
      <w:r w:rsidRPr="001C1464">
        <w:rPr>
          <w:rFonts w:cstheme="minorHAnsi"/>
        </w:rPr>
        <w:t>Learning theories and digital pedagogies directly influence pedagogic design, enabling educators to create engaging and impactful learning experiences. To craft learner-centred experiences, instructional designers now incorporate user research, gather feedback, and tailor designs to match the preferences and behaviours of their target audiences.</w:t>
      </w:r>
    </w:p>
    <w:p w14:paraId="1010C876" w14:textId="77777777" w:rsidR="00821801" w:rsidRPr="001C1464" w:rsidRDefault="00821801" w:rsidP="001C1464">
      <w:pPr>
        <w:spacing w:after="120" w:line="360" w:lineRule="auto"/>
        <w:contextualSpacing/>
        <w:mirrorIndents/>
        <w:rPr>
          <w:rFonts w:cstheme="minorHAnsi"/>
        </w:rPr>
      </w:pPr>
      <w:r w:rsidRPr="001C1464">
        <w:rPr>
          <w:rFonts w:cstheme="minorHAnsi"/>
        </w:rPr>
        <w:t>Digital technology offers a plethora of tools to enhance teaching and learning experiences, including applications, software, and programmes accessible via computers, laptops, and mobile phones. This diversity caters to various learning styles, fostering engagement through interactive content such as videos, simulations, and quizzes.</w:t>
      </w:r>
    </w:p>
    <w:p w14:paraId="311FDCA9" w14:textId="084B60D8" w:rsidR="00821801" w:rsidRPr="001C1464" w:rsidRDefault="00821801" w:rsidP="001C1464">
      <w:pPr>
        <w:spacing w:after="120" w:line="360" w:lineRule="auto"/>
        <w:contextualSpacing/>
        <w:mirrorIndents/>
        <w:rPr>
          <w:rFonts w:cstheme="minorHAnsi"/>
        </w:rPr>
      </w:pPr>
      <w:r w:rsidRPr="001C1464">
        <w:rPr>
          <w:rFonts w:cstheme="minorHAnsi"/>
        </w:rPr>
        <w:t xml:space="preserve">Educational institutions increasingly prioritise producing graduates with attributes like networked citizenship and change-making abilities, necessitating a shift towards technology-driven course design. </w:t>
      </w:r>
      <w:sdt>
        <w:sdtPr>
          <w:rPr>
            <w:rFonts w:cstheme="minorHAnsi"/>
            <w:highlight w:val="yellow"/>
          </w:rPr>
          <w:id w:val="-775326112"/>
          <w:citation/>
        </w:sdtPr>
        <w:sdtContent>
          <w:r w:rsidR="00DD4598" w:rsidRPr="00827D64">
            <w:rPr>
              <w:rFonts w:cstheme="minorHAnsi"/>
              <w:highlight w:val="yellow"/>
            </w:rPr>
            <w:fldChar w:fldCharType="begin"/>
          </w:r>
          <w:r w:rsidR="00DD4598" w:rsidRPr="00827D64">
            <w:rPr>
              <w:rFonts w:cstheme="minorHAnsi"/>
              <w:highlight w:val="yellow"/>
            </w:rPr>
            <w:instrText xml:space="preserve">CITATION Bee19 \p 135 \l 2057 </w:instrText>
          </w:r>
          <w:r w:rsidR="00DD4598" w:rsidRPr="00827D64">
            <w:rPr>
              <w:rFonts w:cstheme="minorHAnsi"/>
              <w:highlight w:val="yellow"/>
            </w:rPr>
            <w:fldChar w:fldCharType="separate"/>
          </w:r>
          <w:r w:rsidR="00DD4598" w:rsidRPr="00827D64">
            <w:rPr>
              <w:rFonts w:cstheme="minorHAnsi"/>
              <w:noProof/>
              <w:highlight w:val="yellow"/>
            </w:rPr>
            <w:t>(Beetham &amp; Sharpe, 2019, p. 135)</w:t>
          </w:r>
          <w:r w:rsidR="00DD4598" w:rsidRPr="00827D64">
            <w:rPr>
              <w:rFonts w:cstheme="minorHAnsi"/>
              <w:highlight w:val="yellow"/>
            </w:rPr>
            <w:fldChar w:fldCharType="end"/>
          </w:r>
        </w:sdtContent>
      </w:sdt>
      <w:r w:rsidR="00DD4598" w:rsidRPr="001C1464">
        <w:rPr>
          <w:rFonts w:cstheme="minorHAnsi"/>
        </w:rPr>
        <w:t xml:space="preserve"> </w:t>
      </w:r>
      <w:r w:rsidRPr="001C1464">
        <w:rPr>
          <w:rFonts w:cstheme="minorHAnsi"/>
        </w:rPr>
        <w:t>Achieving a balance between technology and pedagogy is crucial for creating effective learning experiences. Selecting technology aligned with learning objectives and promoting active participation through technology-driven activities foster deeper engagement and higher-order thinking skills.</w:t>
      </w:r>
    </w:p>
    <w:p w14:paraId="59661A44" w14:textId="4FFB50EE" w:rsidR="00821801" w:rsidRPr="001C1464" w:rsidRDefault="00821801" w:rsidP="001C1464">
      <w:pPr>
        <w:spacing w:after="120" w:line="360" w:lineRule="auto"/>
        <w:contextualSpacing/>
        <w:mirrorIndents/>
        <w:rPr>
          <w:rFonts w:cstheme="minorHAnsi"/>
        </w:rPr>
      </w:pPr>
      <w:r w:rsidRPr="001C1464">
        <w:rPr>
          <w:rFonts w:cstheme="minorHAnsi"/>
        </w:rPr>
        <w:lastRenderedPageBreak/>
        <w:t xml:space="preserve">Frameworks such as SAMR and TPACK aid educators in integrating technology systematically. </w:t>
      </w:r>
      <w:sdt>
        <w:sdtPr>
          <w:rPr>
            <w:rFonts w:cstheme="minorHAnsi"/>
            <w:highlight w:val="yellow"/>
          </w:rPr>
          <w:id w:val="1903945655"/>
          <w:citation/>
        </w:sdtPr>
        <w:sdtContent>
          <w:r w:rsidR="00590D91" w:rsidRPr="00590D91">
            <w:rPr>
              <w:rFonts w:cstheme="minorHAnsi"/>
              <w:highlight w:val="yellow"/>
            </w:rPr>
            <w:fldChar w:fldCharType="begin"/>
          </w:r>
          <w:r w:rsidR="00590D91" w:rsidRPr="00590D91">
            <w:rPr>
              <w:rFonts w:cstheme="minorHAnsi"/>
              <w:highlight w:val="yellow"/>
            </w:rPr>
            <w:instrText xml:space="preserve">CITATION Sel16 \p 106-9 \l 2057 </w:instrText>
          </w:r>
          <w:r w:rsidR="00590D91" w:rsidRPr="00590D91">
            <w:rPr>
              <w:rFonts w:cstheme="minorHAnsi"/>
              <w:highlight w:val="yellow"/>
            </w:rPr>
            <w:fldChar w:fldCharType="separate"/>
          </w:r>
          <w:r w:rsidR="00590D91" w:rsidRPr="00590D91">
            <w:rPr>
              <w:rFonts w:cstheme="minorHAnsi"/>
              <w:noProof/>
              <w:highlight w:val="yellow"/>
            </w:rPr>
            <w:t>(Selwyn, 2016, pp. 106-9)</w:t>
          </w:r>
          <w:r w:rsidR="00590D91" w:rsidRPr="00590D91">
            <w:rPr>
              <w:rFonts w:cstheme="minorHAnsi"/>
              <w:highlight w:val="yellow"/>
            </w:rPr>
            <w:fldChar w:fldCharType="end"/>
          </w:r>
        </w:sdtContent>
      </w:sdt>
      <w:r w:rsidR="00590D91">
        <w:rPr>
          <w:rFonts w:cstheme="minorHAnsi"/>
        </w:rPr>
        <w:t xml:space="preserve"> </w:t>
      </w:r>
      <w:r w:rsidRPr="001C1464">
        <w:rPr>
          <w:rFonts w:cstheme="minorHAnsi"/>
        </w:rPr>
        <w:t>SAMR outlines four levels of technology integration, while TPACK emphasises the intersection of technological, pedagogical, and content knowledge for successful integration. SAMR focuses on transformative potential, providing a linear progression, while TPACK underscores interconnected knowledge.</w:t>
      </w:r>
    </w:p>
    <w:p w14:paraId="5A3B456B" w14:textId="77777777" w:rsidR="00821801" w:rsidRPr="001C1464" w:rsidRDefault="00821801" w:rsidP="001C1464">
      <w:pPr>
        <w:spacing w:after="120" w:line="360" w:lineRule="auto"/>
        <w:contextualSpacing/>
        <w:mirrorIndents/>
        <w:rPr>
          <w:rFonts w:cstheme="minorHAnsi"/>
        </w:rPr>
      </w:pPr>
      <w:r w:rsidRPr="001C1464">
        <w:rPr>
          <w:rFonts w:cstheme="minorHAnsi"/>
        </w:rPr>
        <w:t>Instructional design has evolved significantly in the digital era, expanding from traditional classroom materials to encompass diverse mediums and technologies. The rise of online learning platforms has amplified the demand for instructional designers proficient in creating engaging online learning experiences, necessitating a broader skillset encompassing learning technologies, design methodologies, and multimedia production.</w:t>
      </w:r>
    </w:p>
    <w:p w14:paraId="5863A879" w14:textId="7917F6EA" w:rsidR="00821801" w:rsidRPr="001C1464" w:rsidRDefault="00821801" w:rsidP="001C1464">
      <w:pPr>
        <w:spacing w:after="120" w:line="360" w:lineRule="auto"/>
        <w:contextualSpacing/>
        <w:mirrorIndents/>
        <w:rPr>
          <w:rFonts w:cstheme="minorHAnsi"/>
        </w:rPr>
      </w:pPr>
      <w:r w:rsidRPr="001C1464">
        <w:rPr>
          <w:rFonts w:cstheme="minorHAnsi"/>
        </w:rPr>
        <w:t xml:space="preserve">Creativity plays a central role in effective digital teaching and learning, facilitating the offering of new perspectives and solutions to complex problems. By leveraging methods described by Michael </w:t>
      </w:r>
      <w:proofErr w:type="spellStart"/>
      <w:r w:rsidRPr="001C1464">
        <w:rPr>
          <w:rFonts w:cstheme="minorHAnsi"/>
        </w:rPr>
        <w:t>Michalko</w:t>
      </w:r>
      <w:proofErr w:type="spellEnd"/>
      <w:r w:rsidR="002824C9">
        <w:rPr>
          <w:rFonts w:cstheme="minorHAnsi"/>
        </w:rPr>
        <w:t xml:space="preserve"> </w:t>
      </w:r>
      <w:sdt>
        <w:sdtPr>
          <w:rPr>
            <w:rFonts w:cstheme="minorHAnsi"/>
            <w:highlight w:val="yellow"/>
          </w:rPr>
          <w:id w:val="918762797"/>
          <w:citation/>
        </w:sdtPr>
        <w:sdtContent>
          <w:r w:rsidR="002824C9" w:rsidRPr="002824C9">
            <w:rPr>
              <w:rFonts w:cstheme="minorHAnsi"/>
              <w:highlight w:val="yellow"/>
            </w:rPr>
            <w:fldChar w:fldCharType="begin"/>
          </w:r>
          <w:r w:rsidR="002824C9" w:rsidRPr="002824C9">
            <w:rPr>
              <w:rFonts w:cstheme="minorHAnsi"/>
              <w:highlight w:val="yellow"/>
            </w:rPr>
            <w:instrText xml:space="preserve"> CITATION Mic061 \l 2057 </w:instrText>
          </w:r>
          <w:r w:rsidR="002824C9" w:rsidRPr="002824C9">
            <w:rPr>
              <w:rFonts w:cstheme="minorHAnsi"/>
              <w:highlight w:val="yellow"/>
            </w:rPr>
            <w:fldChar w:fldCharType="separate"/>
          </w:r>
          <w:r w:rsidR="002824C9" w:rsidRPr="002824C9">
            <w:rPr>
              <w:rFonts w:cstheme="minorHAnsi"/>
              <w:noProof/>
              <w:highlight w:val="yellow"/>
            </w:rPr>
            <w:t>(Michalko, 2006)</w:t>
          </w:r>
          <w:r w:rsidR="002824C9" w:rsidRPr="002824C9">
            <w:rPr>
              <w:rFonts w:cstheme="minorHAnsi"/>
              <w:highlight w:val="yellow"/>
            </w:rPr>
            <w:fldChar w:fldCharType="end"/>
          </w:r>
        </w:sdtContent>
      </w:sdt>
      <w:r w:rsidRPr="001C1464">
        <w:rPr>
          <w:rFonts w:cstheme="minorHAnsi"/>
        </w:rPr>
        <w:t>, educators can harness digital tools to create engaging content and enhance learner comprehension. Gamification</w:t>
      </w:r>
      <w:r w:rsidR="00AA4BE8">
        <w:rPr>
          <w:rFonts w:cstheme="minorHAnsi"/>
        </w:rPr>
        <w:t xml:space="preserve"> </w:t>
      </w:r>
      <w:sdt>
        <w:sdtPr>
          <w:rPr>
            <w:rFonts w:cstheme="minorHAnsi"/>
            <w:highlight w:val="yellow"/>
          </w:rPr>
          <w:id w:val="2021591246"/>
          <w:citation/>
        </w:sdtPr>
        <w:sdtContent>
          <w:r w:rsidR="00B7128F" w:rsidRPr="00B7128F">
            <w:rPr>
              <w:rFonts w:cstheme="minorHAnsi"/>
              <w:highlight w:val="yellow"/>
            </w:rPr>
            <w:fldChar w:fldCharType="begin"/>
          </w:r>
          <w:r w:rsidR="00B7128F" w:rsidRPr="00B7128F">
            <w:rPr>
              <w:rFonts w:cstheme="minorHAnsi"/>
              <w:highlight w:val="yellow"/>
            </w:rPr>
            <w:instrText xml:space="preserve">CITATION Bee19 \p 203 \l 2057 </w:instrText>
          </w:r>
          <w:r w:rsidR="00B7128F" w:rsidRPr="00B7128F">
            <w:rPr>
              <w:rFonts w:cstheme="minorHAnsi"/>
              <w:highlight w:val="yellow"/>
            </w:rPr>
            <w:fldChar w:fldCharType="separate"/>
          </w:r>
          <w:r w:rsidR="00B7128F" w:rsidRPr="00B7128F">
            <w:rPr>
              <w:rFonts w:cstheme="minorHAnsi"/>
              <w:noProof/>
              <w:highlight w:val="yellow"/>
            </w:rPr>
            <w:t>(Beetham &amp; Sharpe, 2019, p. 203)</w:t>
          </w:r>
          <w:r w:rsidR="00B7128F" w:rsidRPr="00B7128F">
            <w:rPr>
              <w:rFonts w:cstheme="minorHAnsi"/>
              <w:highlight w:val="yellow"/>
            </w:rPr>
            <w:fldChar w:fldCharType="end"/>
          </w:r>
        </w:sdtContent>
      </w:sdt>
      <w:r w:rsidRPr="001C1464">
        <w:rPr>
          <w:rFonts w:cstheme="minorHAnsi"/>
        </w:rPr>
        <w:t>, active student participation, and design thinking principles contribute to breaking away from traditional methods, fostering creativity and innovation.</w:t>
      </w:r>
    </w:p>
    <w:p w14:paraId="5F37C351" w14:textId="7DDB6B12" w:rsidR="00821801" w:rsidRPr="001C1464" w:rsidRDefault="00821801" w:rsidP="001C1464">
      <w:pPr>
        <w:spacing w:after="120" w:line="360" w:lineRule="auto"/>
        <w:contextualSpacing/>
        <w:mirrorIndents/>
        <w:rPr>
          <w:rFonts w:cstheme="minorHAnsi"/>
        </w:rPr>
      </w:pPr>
      <w:r w:rsidRPr="001C1464">
        <w:rPr>
          <w:rFonts w:cstheme="minorHAnsi"/>
        </w:rPr>
        <w:t>Emphasising creativity in digital teaching and learning enhances learner engagement, comprehension, critical thinking, and adaptability—skills vital for success in the 21st century. By leveraging digital tools effectively, educators prepare students to become lifelong learners and creative thinkers capable of navigating the challenges of the digital era.</w:t>
      </w:r>
    </w:p>
    <w:p w14:paraId="2EA2EBA3" w14:textId="6EEA6F32" w:rsidR="00B548EA" w:rsidRPr="001C1464" w:rsidRDefault="00B548EA" w:rsidP="009A7D3B">
      <w:pPr>
        <w:spacing w:after="120" w:line="360" w:lineRule="auto"/>
        <w:ind w:firstLine="720"/>
        <w:contextualSpacing/>
        <w:mirrorIndents/>
        <w:rPr>
          <w:rFonts w:cstheme="minorHAnsi"/>
        </w:rPr>
      </w:pPr>
      <w:r w:rsidRPr="001C1464">
        <w:rPr>
          <w:rFonts w:cstheme="minorHAnsi"/>
        </w:rPr>
        <w:t xml:space="preserve">The use of technology in academia brings about a significant increase in the collection of personal data, leaving a digital footprint that necessitates ethical considerations. Universities now have extensive access to learner data, pedagogical effects, and learning progression through data collection, aiming to refine pedagogy and curriculum design through individual profiling and real-time assessment. However, this process of 'datafication' raises ethical concerns, particularly regarding safeguarding learners' privacy and data security amidst extensive data collection via digital platforms. </w:t>
      </w:r>
      <w:sdt>
        <w:sdtPr>
          <w:rPr>
            <w:rFonts w:cstheme="minorHAnsi"/>
            <w:highlight w:val="yellow"/>
          </w:rPr>
          <w:id w:val="1115016477"/>
          <w:citation/>
        </w:sdtPr>
        <w:sdtContent>
          <w:r w:rsidR="00583954" w:rsidRPr="00583954">
            <w:rPr>
              <w:rFonts w:cstheme="minorHAnsi"/>
              <w:highlight w:val="yellow"/>
            </w:rPr>
            <w:fldChar w:fldCharType="begin"/>
          </w:r>
          <w:r w:rsidR="00583954">
            <w:rPr>
              <w:rFonts w:cstheme="minorHAnsi"/>
              <w:highlight w:val="yellow"/>
            </w:rPr>
            <w:instrText xml:space="preserve">CITATION Bal17 \p 255-8 \l 2057 </w:instrText>
          </w:r>
          <w:r w:rsidR="00583954" w:rsidRPr="00583954">
            <w:rPr>
              <w:rFonts w:cstheme="minorHAnsi"/>
              <w:highlight w:val="yellow"/>
            </w:rPr>
            <w:fldChar w:fldCharType="separate"/>
          </w:r>
          <w:r w:rsidR="00583954" w:rsidRPr="00583954">
            <w:rPr>
              <w:rFonts w:cstheme="minorHAnsi"/>
              <w:noProof/>
              <w:highlight w:val="yellow"/>
            </w:rPr>
            <w:t>(Balsamo, 2017, pp. 255-8)</w:t>
          </w:r>
          <w:r w:rsidR="00583954" w:rsidRPr="00583954">
            <w:rPr>
              <w:rFonts w:cstheme="minorHAnsi"/>
              <w:highlight w:val="yellow"/>
            </w:rPr>
            <w:fldChar w:fldCharType="end"/>
          </w:r>
        </w:sdtContent>
      </w:sdt>
      <w:r w:rsidR="00583954">
        <w:rPr>
          <w:rFonts w:cstheme="minorHAnsi"/>
        </w:rPr>
        <w:t xml:space="preserve"> </w:t>
      </w:r>
      <w:r w:rsidRPr="001C1464">
        <w:rPr>
          <w:rFonts w:cstheme="minorHAnsi"/>
        </w:rPr>
        <w:t xml:space="preserve">Legal frameworks like the UK GDPR </w:t>
      </w:r>
      <w:sdt>
        <w:sdtPr>
          <w:rPr>
            <w:rFonts w:cstheme="minorHAnsi"/>
            <w:highlight w:val="yellow"/>
          </w:rPr>
          <w:id w:val="-1209255722"/>
          <w:citation/>
        </w:sdtPr>
        <w:sdtContent>
          <w:r w:rsidR="002A6DDA" w:rsidRPr="00032546">
            <w:rPr>
              <w:rFonts w:cstheme="minorHAnsi"/>
              <w:highlight w:val="yellow"/>
            </w:rPr>
            <w:fldChar w:fldCharType="begin"/>
          </w:r>
          <w:r w:rsidR="00032546" w:rsidRPr="00032546">
            <w:rPr>
              <w:rFonts w:cstheme="minorHAnsi"/>
              <w:highlight w:val="yellow"/>
            </w:rPr>
            <w:instrText xml:space="preserve">CITATION The \l 2057 </w:instrText>
          </w:r>
          <w:r w:rsidR="002A6DDA" w:rsidRPr="00032546">
            <w:rPr>
              <w:rFonts w:cstheme="minorHAnsi"/>
              <w:highlight w:val="yellow"/>
            </w:rPr>
            <w:fldChar w:fldCharType="separate"/>
          </w:r>
          <w:r w:rsidR="00032546" w:rsidRPr="00032546">
            <w:rPr>
              <w:rFonts w:cstheme="minorHAnsi"/>
              <w:noProof/>
              <w:highlight w:val="yellow"/>
            </w:rPr>
            <w:t>(ICO, 2021)</w:t>
          </w:r>
          <w:r w:rsidR="002A6DDA" w:rsidRPr="00032546">
            <w:rPr>
              <w:rFonts w:cstheme="minorHAnsi"/>
              <w:highlight w:val="yellow"/>
            </w:rPr>
            <w:fldChar w:fldCharType="end"/>
          </w:r>
        </w:sdtContent>
      </w:sdt>
      <w:r w:rsidR="00032546">
        <w:rPr>
          <w:rFonts w:cstheme="minorHAnsi"/>
        </w:rPr>
        <w:t xml:space="preserve"> </w:t>
      </w:r>
      <w:r w:rsidRPr="001C1464">
        <w:rPr>
          <w:rFonts w:cstheme="minorHAnsi"/>
        </w:rPr>
        <w:t>shape data collection practices in education.</w:t>
      </w:r>
    </w:p>
    <w:p w14:paraId="3953E6DB" w14:textId="77777777" w:rsidR="00B548EA" w:rsidRPr="001C1464" w:rsidRDefault="00B548EA" w:rsidP="001C1464">
      <w:pPr>
        <w:spacing w:after="120" w:line="360" w:lineRule="auto"/>
        <w:contextualSpacing/>
        <w:mirrorIndents/>
        <w:rPr>
          <w:rFonts w:cstheme="minorHAnsi"/>
        </w:rPr>
      </w:pPr>
      <w:r w:rsidRPr="001C1464">
        <w:rPr>
          <w:rFonts w:cstheme="minorHAnsi"/>
        </w:rPr>
        <w:t>Other ethical considerations related to personal data include:</w:t>
      </w:r>
    </w:p>
    <w:p w14:paraId="4E0543C6" w14:textId="532BE452" w:rsidR="00B548EA" w:rsidRPr="00032546" w:rsidRDefault="00B548EA" w:rsidP="00032546">
      <w:pPr>
        <w:pStyle w:val="ListParagraph"/>
        <w:numPr>
          <w:ilvl w:val="0"/>
          <w:numId w:val="2"/>
        </w:numPr>
        <w:spacing w:after="120" w:line="360" w:lineRule="auto"/>
        <w:mirrorIndents/>
        <w:rPr>
          <w:rFonts w:cstheme="minorHAnsi"/>
        </w:rPr>
      </w:pPr>
      <w:r w:rsidRPr="00032546">
        <w:rPr>
          <w:rFonts w:cstheme="minorHAnsi"/>
        </w:rPr>
        <w:t>Equity in Access to Educational Technologies: Educators need to be mindful of unequal access to digital tools among students, particularly those from economically disadvantaged backgrounds. Policies such as "Bring Your Own Device" (BYOD) may exacerbate these inequalities.</w:t>
      </w:r>
    </w:p>
    <w:p w14:paraId="3B05CEE8" w14:textId="77777777" w:rsidR="00B548EA" w:rsidRPr="001C1464" w:rsidRDefault="00B548EA" w:rsidP="001C1464">
      <w:pPr>
        <w:spacing w:after="120" w:line="360" w:lineRule="auto"/>
        <w:contextualSpacing/>
        <w:mirrorIndents/>
        <w:rPr>
          <w:rFonts w:cstheme="minorHAnsi"/>
        </w:rPr>
      </w:pPr>
    </w:p>
    <w:p w14:paraId="68DF7B29" w14:textId="6D00F30D" w:rsidR="00B548EA" w:rsidRPr="00032546" w:rsidRDefault="00B548EA" w:rsidP="00032546">
      <w:pPr>
        <w:pStyle w:val="ListParagraph"/>
        <w:numPr>
          <w:ilvl w:val="0"/>
          <w:numId w:val="2"/>
        </w:numPr>
        <w:spacing w:after="120" w:line="360" w:lineRule="auto"/>
        <w:mirrorIndents/>
        <w:rPr>
          <w:rFonts w:cstheme="minorHAnsi"/>
        </w:rPr>
      </w:pPr>
      <w:r w:rsidRPr="00032546">
        <w:rPr>
          <w:rFonts w:cstheme="minorHAnsi"/>
        </w:rPr>
        <w:lastRenderedPageBreak/>
        <w:t>Ethical Dilemmas in Student Online Behaviour: Issues such as plagiarism, cyberbullying, and privacy breaches pose ethical challenges. Students should be guided to develop ethical understanding and sensitivity in navigating digital spaces.</w:t>
      </w:r>
    </w:p>
    <w:p w14:paraId="54D52B44" w14:textId="542D220D" w:rsidR="00B548EA" w:rsidRPr="00345D96" w:rsidRDefault="00B548EA" w:rsidP="00345D96">
      <w:pPr>
        <w:pStyle w:val="ListParagraph"/>
        <w:numPr>
          <w:ilvl w:val="0"/>
          <w:numId w:val="2"/>
        </w:numPr>
        <w:spacing w:after="120" w:line="360" w:lineRule="auto"/>
        <w:mirrorIndents/>
        <w:rPr>
          <w:rFonts w:cstheme="minorHAnsi"/>
        </w:rPr>
      </w:pPr>
      <w:r w:rsidRPr="00032546">
        <w:rPr>
          <w:rFonts w:cstheme="minorHAnsi"/>
        </w:rPr>
        <w:t>Lack of Teacher Training on Ethical Implications: Teachers may lack the knowledge of ethical implications of using digital technologies in education and may be unprepared to address ethical dilemmas arising from their integration into the classroom.</w:t>
      </w:r>
    </w:p>
    <w:p w14:paraId="10E9A9B2" w14:textId="437E6432" w:rsidR="00B548EA" w:rsidRPr="00345D96" w:rsidRDefault="00B548EA" w:rsidP="00345D96">
      <w:pPr>
        <w:pStyle w:val="ListParagraph"/>
        <w:numPr>
          <w:ilvl w:val="0"/>
          <w:numId w:val="2"/>
        </w:numPr>
        <w:spacing w:after="120" w:line="360" w:lineRule="auto"/>
        <w:mirrorIndents/>
        <w:rPr>
          <w:rFonts w:cstheme="minorHAnsi"/>
        </w:rPr>
      </w:pPr>
      <w:r w:rsidRPr="00345D96">
        <w:rPr>
          <w:rFonts w:cstheme="minorHAnsi"/>
        </w:rPr>
        <w:t xml:space="preserve">Potential Consequences of Digital </w:t>
      </w:r>
      <w:proofErr w:type="spellStart"/>
      <w:r w:rsidRPr="00345D96">
        <w:rPr>
          <w:rFonts w:cstheme="minorHAnsi"/>
        </w:rPr>
        <w:t>Technologisation</w:t>
      </w:r>
      <w:proofErr w:type="spellEnd"/>
      <w:r w:rsidRPr="00345D96">
        <w:rPr>
          <w:rFonts w:cstheme="minorHAnsi"/>
        </w:rPr>
        <w:t>: Neglecting ethical principles in the development and use of AI and algorithms for decision-making can perpetuate prejudices, social injustices, and further marginalization of already disadvantaged students, exacerbating inequalities in education.</w:t>
      </w:r>
      <w:r w:rsidR="007872F4">
        <w:rPr>
          <w:rFonts w:cstheme="minorHAnsi"/>
        </w:rPr>
        <w:t xml:space="preserve"> </w:t>
      </w:r>
      <w:sdt>
        <w:sdtPr>
          <w:rPr>
            <w:rFonts w:cstheme="minorHAnsi"/>
            <w:highlight w:val="yellow"/>
          </w:rPr>
          <w:id w:val="-675036164"/>
          <w:citation/>
        </w:sdtPr>
        <w:sdtContent>
          <w:r w:rsidR="00D02493" w:rsidRPr="00D02493">
            <w:rPr>
              <w:rFonts w:cstheme="minorHAnsi"/>
              <w:highlight w:val="yellow"/>
            </w:rPr>
            <w:fldChar w:fldCharType="begin"/>
          </w:r>
          <w:r w:rsidR="00D02493" w:rsidRPr="00D02493">
            <w:rPr>
              <w:rFonts w:cstheme="minorHAnsi"/>
              <w:highlight w:val="yellow"/>
            </w:rPr>
            <w:instrText xml:space="preserve"> CITATION Buc19 \l 2057 </w:instrText>
          </w:r>
          <w:r w:rsidR="00D02493" w:rsidRPr="00D02493">
            <w:rPr>
              <w:rFonts w:cstheme="minorHAnsi"/>
              <w:highlight w:val="yellow"/>
            </w:rPr>
            <w:fldChar w:fldCharType="separate"/>
          </w:r>
          <w:r w:rsidR="00D02493" w:rsidRPr="00D02493">
            <w:rPr>
              <w:rFonts w:cstheme="minorHAnsi"/>
              <w:noProof/>
              <w:highlight w:val="yellow"/>
            </w:rPr>
            <w:t>(Buchanan, 2019)</w:t>
          </w:r>
          <w:r w:rsidR="00D02493" w:rsidRPr="00D02493">
            <w:rPr>
              <w:rFonts w:cstheme="minorHAnsi"/>
              <w:highlight w:val="yellow"/>
            </w:rPr>
            <w:fldChar w:fldCharType="end"/>
          </w:r>
        </w:sdtContent>
      </w:sdt>
    </w:p>
    <w:p w14:paraId="31B81DCB" w14:textId="77777777" w:rsidR="00B548EA" w:rsidRPr="001C1464" w:rsidRDefault="00B548EA" w:rsidP="001C1464">
      <w:pPr>
        <w:spacing w:after="120" w:line="360" w:lineRule="auto"/>
        <w:contextualSpacing/>
        <w:mirrorIndents/>
        <w:rPr>
          <w:rFonts w:cstheme="minorHAnsi"/>
        </w:rPr>
      </w:pPr>
      <w:r w:rsidRPr="001C1464">
        <w:rPr>
          <w:rFonts w:cstheme="minorHAnsi"/>
        </w:rPr>
        <w:t>Ethical decision-making in the digital realm necessitates an educated society, emphasising the integration of ethics into the curriculum to foster responsible technology usage and critical thinking. Moreover, the integration of digital innovations in higher education underscores the need for explicit consideration of ethical issues related to data privacy, security, and responsible technology use, ensuring inclusivity, global perspectives, and collaboration in digital tool integration.</w:t>
      </w:r>
    </w:p>
    <w:p w14:paraId="7E7334C9" w14:textId="53AE6C2E" w:rsidR="00B548EA" w:rsidRPr="001C1464" w:rsidRDefault="00B548EA" w:rsidP="00816319">
      <w:pPr>
        <w:spacing w:after="120" w:line="360" w:lineRule="auto"/>
        <w:ind w:firstLine="720"/>
        <w:contextualSpacing/>
        <w:mirrorIndents/>
        <w:rPr>
          <w:rFonts w:cstheme="minorHAnsi"/>
        </w:rPr>
      </w:pPr>
      <w:r w:rsidRPr="001C1464">
        <w:rPr>
          <w:rFonts w:cstheme="minorHAnsi"/>
        </w:rPr>
        <w:t>The integration of digital technology in higher education brings several advantages, notably enhancing inclusivity and diversity</w:t>
      </w:r>
      <w:r w:rsidR="00816319">
        <w:rPr>
          <w:rFonts w:cstheme="minorHAnsi"/>
        </w:rPr>
        <w:t xml:space="preserve"> </w:t>
      </w:r>
      <w:sdt>
        <w:sdtPr>
          <w:rPr>
            <w:rFonts w:cstheme="minorHAnsi"/>
            <w:highlight w:val="yellow"/>
          </w:rPr>
          <w:id w:val="717709756"/>
          <w:citation/>
        </w:sdtPr>
        <w:sdtContent>
          <w:r w:rsidR="005B395F" w:rsidRPr="005B395F">
            <w:rPr>
              <w:rFonts w:cstheme="minorHAnsi"/>
              <w:highlight w:val="yellow"/>
            </w:rPr>
            <w:fldChar w:fldCharType="begin"/>
          </w:r>
          <w:r w:rsidR="005B395F">
            <w:rPr>
              <w:rFonts w:cstheme="minorHAnsi"/>
              <w:highlight w:val="yellow"/>
            </w:rPr>
            <w:instrText xml:space="preserve">CITATION Ren081 \p 42 \l 2057 </w:instrText>
          </w:r>
          <w:r w:rsidR="005B395F" w:rsidRPr="005B395F">
            <w:rPr>
              <w:rFonts w:cstheme="minorHAnsi"/>
              <w:highlight w:val="yellow"/>
            </w:rPr>
            <w:fldChar w:fldCharType="separate"/>
          </w:r>
          <w:r w:rsidR="005B395F" w:rsidRPr="005B395F">
            <w:rPr>
              <w:rFonts w:cstheme="minorHAnsi"/>
              <w:noProof/>
              <w:highlight w:val="yellow"/>
            </w:rPr>
            <w:t>(Rennie F., 2008, p. 42)</w:t>
          </w:r>
          <w:r w:rsidR="005B395F" w:rsidRPr="005B395F">
            <w:rPr>
              <w:rFonts w:cstheme="minorHAnsi"/>
              <w:highlight w:val="yellow"/>
            </w:rPr>
            <w:fldChar w:fldCharType="end"/>
          </w:r>
        </w:sdtContent>
      </w:sdt>
      <w:r w:rsidRPr="001C1464">
        <w:rPr>
          <w:rFonts w:cstheme="minorHAnsi"/>
        </w:rPr>
        <w:t>, facilitating remote learning, and improving access to resources. Digital pedagogy emerges as a powerful tool in advancing inclusivity and diversity by making education accessible to remote learners and those with disabilities through adaptive online courses. Personalized learning ensures every learner has the opportunity to succeed, breaking down barriers between diverse learners.</w:t>
      </w:r>
    </w:p>
    <w:p w14:paraId="24BCEE8B" w14:textId="77777777" w:rsidR="00B548EA" w:rsidRPr="001C1464" w:rsidRDefault="00B548EA" w:rsidP="001C1464">
      <w:pPr>
        <w:spacing w:after="120" w:line="360" w:lineRule="auto"/>
        <w:contextualSpacing/>
        <w:mirrorIndents/>
        <w:rPr>
          <w:rFonts w:cstheme="minorHAnsi"/>
        </w:rPr>
      </w:pPr>
    </w:p>
    <w:p w14:paraId="7F181725" w14:textId="3C9578C0" w:rsidR="00B548EA" w:rsidRPr="001C1464" w:rsidRDefault="00B548EA" w:rsidP="001C1464">
      <w:pPr>
        <w:spacing w:after="120" w:line="360" w:lineRule="auto"/>
        <w:contextualSpacing/>
        <w:mirrorIndents/>
        <w:rPr>
          <w:rFonts w:cstheme="minorHAnsi"/>
        </w:rPr>
      </w:pPr>
      <w:r w:rsidRPr="001C1464">
        <w:rPr>
          <w:rFonts w:cstheme="minorHAnsi"/>
        </w:rPr>
        <w:t>Inclusive teaching practices and technologies play a crucial role in catering to the diverse needs of all learners, regardless of background, abilities, or learning styles. Employing digital tools effectively enables educators to create accessible, personalized, collaborative, and creative learning experiences, fostering an inclusive and equitable environment. Differentiated instruction and personalized learning, facilitated by inclusive technologies like VR and AR, offer varied levels of support and challenge to meet individual learner needs.</w:t>
      </w:r>
      <w:r w:rsidR="00816319">
        <w:rPr>
          <w:rFonts w:cstheme="minorHAnsi"/>
        </w:rPr>
        <w:t xml:space="preserve"> </w:t>
      </w:r>
      <w:r w:rsidR="00816319" w:rsidRPr="00816319">
        <w:rPr>
          <w:rFonts w:cstheme="minorHAnsi"/>
          <w:highlight w:val="cyan"/>
        </w:rPr>
        <w:t>[REF]</w:t>
      </w:r>
    </w:p>
    <w:p w14:paraId="5A3CDFAD" w14:textId="77777777" w:rsidR="00B548EA" w:rsidRPr="001C1464" w:rsidRDefault="00B548EA" w:rsidP="001C1464">
      <w:pPr>
        <w:spacing w:after="120" w:line="360" w:lineRule="auto"/>
        <w:contextualSpacing/>
        <w:mirrorIndents/>
        <w:rPr>
          <w:rFonts w:cstheme="minorHAnsi"/>
        </w:rPr>
      </w:pPr>
    </w:p>
    <w:p w14:paraId="6C5DC5CA" w14:textId="23D444F4" w:rsidR="00B548EA" w:rsidRPr="001C1464" w:rsidRDefault="00B548EA" w:rsidP="001C1464">
      <w:pPr>
        <w:spacing w:after="120" w:line="360" w:lineRule="auto"/>
        <w:contextualSpacing/>
        <w:mirrorIndents/>
        <w:rPr>
          <w:rFonts w:cstheme="minorHAnsi"/>
        </w:rPr>
      </w:pPr>
      <w:r w:rsidRPr="001C1464">
        <w:rPr>
          <w:rFonts w:cstheme="minorHAnsi"/>
        </w:rPr>
        <w:t xml:space="preserve">Accessible features such as closed captioning and audio descriptions enhance inclusivity, while mobile technologies, particularly mobile phones, contribute significantly by delivering learning designed for diverse contexts. Open education initiatives (OEIs) utilise the affordances of open digital networks to improve educational access, effectiveness, and equality. These initiatives, including open access, MOOCs, open educational resources, and open educational practices, aim to </w:t>
      </w:r>
      <w:r w:rsidRPr="001C1464">
        <w:rPr>
          <w:rFonts w:cstheme="minorHAnsi"/>
        </w:rPr>
        <w:lastRenderedPageBreak/>
        <w:t>enhance learning and empower learners by providing free and unrestricted access to educational materials and resources.</w:t>
      </w:r>
      <w:sdt>
        <w:sdtPr>
          <w:rPr>
            <w:rFonts w:cstheme="minorHAnsi"/>
            <w:highlight w:val="yellow"/>
          </w:rPr>
          <w:id w:val="1417285563"/>
          <w:citation/>
        </w:sdtPr>
        <w:sdtContent>
          <w:r w:rsidR="006730C0" w:rsidRPr="006730C0">
            <w:rPr>
              <w:rFonts w:cstheme="minorHAnsi"/>
              <w:highlight w:val="yellow"/>
            </w:rPr>
            <w:fldChar w:fldCharType="begin"/>
          </w:r>
          <w:r w:rsidR="006730C0">
            <w:rPr>
              <w:rFonts w:cstheme="minorHAnsi"/>
              <w:highlight w:val="yellow"/>
            </w:rPr>
            <w:instrText xml:space="preserve">CITATION Bee19 \p 149-59 \l 2057 </w:instrText>
          </w:r>
          <w:r w:rsidR="006730C0" w:rsidRPr="006730C0">
            <w:rPr>
              <w:rFonts w:cstheme="minorHAnsi"/>
              <w:highlight w:val="yellow"/>
            </w:rPr>
            <w:fldChar w:fldCharType="separate"/>
          </w:r>
          <w:r w:rsidR="006730C0">
            <w:rPr>
              <w:rFonts w:cstheme="minorHAnsi"/>
              <w:noProof/>
              <w:highlight w:val="yellow"/>
            </w:rPr>
            <w:t xml:space="preserve"> </w:t>
          </w:r>
          <w:r w:rsidR="006730C0" w:rsidRPr="006730C0">
            <w:rPr>
              <w:rFonts w:cstheme="minorHAnsi"/>
              <w:noProof/>
              <w:highlight w:val="yellow"/>
            </w:rPr>
            <w:t>(Beetham &amp; Sharpe, 2019, pp. 149-59)</w:t>
          </w:r>
          <w:r w:rsidR="006730C0" w:rsidRPr="006730C0">
            <w:rPr>
              <w:rFonts w:cstheme="minorHAnsi"/>
              <w:highlight w:val="yellow"/>
            </w:rPr>
            <w:fldChar w:fldCharType="end"/>
          </w:r>
        </w:sdtContent>
      </w:sdt>
    </w:p>
    <w:p w14:paraId="6479BD55" w14:textId="77777777" w:rsidR="00B548EA" w:rsidRPr="001C1464" w:rsidRDefault="00B548EA" w:rsidP="001C1464">
      <w:pPr>
        <w:spacing w:after="120" w:line="360" w:lineRule="auto"/>
        <w:contextualSpacing/>
        <w:mirrorIndents/>
        <w:rPr>
          <w:rFonts w:cstheme="minorHAnsi"/>
        </w:rPr>
      </w:pPr>
    </w:p>
    <w:p w14:paraId="2D6155E6" w14:textId="77777777" w:rsidR="00B548EA" w:rsidRPr="001C1464" w:rsidRDefault="00B548EA" w:rsidP="001C1464">
      <w:pPr>
        <w:spacing w:after="120" w:line="360" w:lineRule="auto"/>
        <w:contextualSpacing/>
        <w:mirrorIndents/>
        <w:rPr>
          <w:rFonts w:cstheme="minorHAnsi"/>
        </w:rPr>
      </w:pPr>
      <w:r w:rsidRPr="001C1464">
        <w:rPr>
          <w:rFonts w:cstheme="minorHAnsi"/>
        </w:rPr>
        <w:t>Goldie's article explores the potential applications of connectivism in the development of MOOCs, which are online courses open to anyone. MOOCs facilitate learner interaction and collaboration, exemplifying participative web learning technology. Through MOOCs, learners can engage with each other and instructors, fostering collaborative learning experiences in the digital age.</w:t>
      </w:r>
    </w:p>
    <w:p w14:paraId="2249F792" w14:textId="48718D5A" w:rsidR="00EB0F88" w:rsidRDefault="00821801" w:rsidP="001C1464">
      <w:pPr>
        <w:spacing w:after="120" w:line="360" w:lineRule="auto"/>
        <w:contextualSpacing/>
        <w:mirrorIndents/>
        <w:rPr>
          <w:rFonts w:cstheme="minorHAnsi"/>
        </w:rPr>
      </w:pPr>
      <w:r w:rsidRPr="001C1464">
        <w:rPr>
          <w:rFonts w:cstheme="minorHAnsi"/>
        </w:rPr>
        <w:t>The integration of creativity and contemporary pedagogies in the digital era enriches both the educational experience and students' employability. By equipping learners with essential skills, knowledge, and a forward-thinking mindset, students will be poised to thrive in diverse roles and industries, bolstering their long-term career prospect</w:t>
      </w:r>
    </w:p>
    <w:p w14:paraId="4748A0EB" w14:textId="77777777" w:rsidR="00EB0F88" w:rsidRDefault="00EB0F88">
      <w:pPr>
        <w:rPr>
          <w:rFonts w:cstheme="minorHAnsi"/>
        </w:rPr>
      </w:pPr>
      <w:r>
        <w:rPr>
          <w:rFonts w:cstheme="minorHAnsi"/>
        </w:rPr>
        <w:br w:type="page"/>
      </w:r>
    </w:p>
    <w:p w14:paraId="48522E70" w14:textId="77777777" w:rsidR="00EB0F88" w:rsidRPr="00414315" w:rsidRDefault="00EB0F88" w:rsidP="00EB0F88">
      <w:pPr>
        <w:spacing w:after="120" w:line="360" w:lineRule="auto"/>
        <w:contextualSpacing/>
        <w:mirrorIndents/>
        <w:rPr>
          <w:rFonts w:eastAsia="Times New Roman" w:cstheme="minorHAnsi"/>
          <w:b/>
          <w:bCs/>
          <w:color w:val="FF0000"/>
          <w:sz w:val="24"/>
          <w:szCs w:val="24"/>
        </w:rPr>
      </w:pPr>
      <w:r w:rsidRPr="00414315">
        <w:rPr>
          <w:rFonts w:eastAsia="Times New Roman" w:cstheme="minorHAnsi"/>
          <w:b/>
          <w:bCs/>
          <w:color w:val="FF0000"/>
          <w:sz w:val="24"/>
          <w:szCs w:val="24"/>
        </w:rPr>
        <w:lastRenderedPageBreak/>
        <w:t>ASSESSMENT AND FEEDBACK</w:t>
      </w:r>
    </w:p>
    <w:p w14:paraId="13CC5B14"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sz w:val="24"/>
          <w:szCs w:val="24"/>
        </w:rPr>
        <w:t xml:space="preserve">With the new pedagogies emerging </w:t>
      </w:r>
      <w:r>
        <w:rPr>
          <w:rFonts w:cstheme="minorHAnsi"/>
          <w:sz w:val="24"/>
          <w:szCs w:val="24"/>
        </w:rPr>
        <w:t>in response  to</w:t>
      </w:r>
      <w:r w:rsidRPr="00414315">
        <w:rPr>
          <w:rFonts w:cstheme="minorHAnsi"/>
          <w:sz w:val="24"/>
          <w:szCs w:val="24"/>
        </w:rPr>
        <w:t xml:space="preserve"> the implementation of digital technology in education, assessment and feedback cannot be left out.  Formative assessment</w:t>
      </w:r>
      <w:r w:rsidRPr="00414315">
        <w:rPr>
          <w:rFonts w:cstheme="minorHAnsi"/>
          <w:color w:val="FF0000"/>
          <w:sz w:val="24"/>
          <w:szCs w:val="24"/>
        </w:rPr>
        <w:t xml:space="preserve"> defined by Black and William </w:t>
      </w:r>
      <w:sdt>
        <w:sdtPr>
          <w:rPr>
            <w:rFonts w:cstheme="minorHAnsi"/>
            <w:color w:val="FF0000"/>
            <w:sz w:val="24"/>
            <w:szCs w:val="24"/>
            <w:highlight w:val="yellow"/>
          </w:rPr>
          <w:id w:val="5098520"/>
          <w:citation/>
        </w:sdtPr>
        <w:sdtContent>
          <w:r w:rsidRPr="009942E1">
            <w:rPr>
              <w:rFonts w:cstheme="minorHAnsi"/>
              <w:color w:val="FF0000"/>
              <w:sz w:val="24"/>
              <w:szCs w:val="24"/>
              <w:highlight w:val="yellow"/>
            </w:rPr>
            <w:fldChar w:fldCharType="begin"/>
          </w:r>
          <w:r w:rsidRPr="009942E1">
            <w:rPr>
              <w:rFonts w:cstheme="minorHAnsi"/>
              <w:color w:val="FF0000"/>
              <w:sz w:val="24"/>
              <w:szCs w:val="24"/>
              <w:highlight w:val="yellow"/>
            </w:rPr>
            <w:instrText xml:space="preserve"> CITATION Bla98 \l 2057 </w:instrText>
          </w:r>
          <w:r w:rsidRPr="009942E1">
            <w:rPr>
              <w:rFonts w:cstheme="minorHAnsi"/>
              <w:color w:val="FF0000"/>
              <w:sz w:val="24"/>
              <w:szCs w:val="24"/>
              <w:highlight w:val="yellow"/>
            </w:rPr>
            <w:fldChar w:fldCharType="separate"/>
          </w:r>
          <w:r w:rsidRPr="009942E1">
            <w:rPr>
              <w:rFonts w:cstheme="minorHAnsi"/>
              <w:noProof/>
              <w:color w:val="FF0000"/>
              <w:sz w:val="24"/>
              <w:szCs w:val="24"/>
              <w:highlight w:val="yellow"/>
            </w:rPr>
            <w:t>(Black &amp; William, 1998)</w:t>
          </w:r>
          <w:r w:rsidRPr="009942E1">
            <w:rPr>
              <w:rFonts w:cstheme="minorHAnsi"/>
              <w:color w:val="FF0000"/>
              <w:sz w:val="24"/>
              <w:szCs w:val="24"/>
              <w:highlight w:val="yellow"/>
            </w:rPr>
            <w:fldChar w:fldCharType="end"/>
          </w:r>
        </w:sdtContent>
      </w:sdt>
      <w:r>
        <w:rPr>
          <w:rFonts w:cstheme="minorHAnsi"/>
          <w:color w:val="FF0000"/>
          <w:sz w:val="24"/>
          <w:szCs w:val="24"/>
        </w:rPr>
        <w:t xml:space="preserve"> </w:t>
      </w:r>
      <w:r w:rsidRPr="00414315">
        <w:rPr>
          <w:rFonts w:cstheme="minorHAnsi"/>
          <w:color w:val="FF0000"/>
          <w:sz w:val="24"/>
          <w:szCs w:val="24"/>
        </w:rPr>
        <w:t>as activities that provide information for feedback to modify the process of teaching and improve student learning outcomes</w:t>
      </w:r>
      <w:r w:rsidRPr="00414315">
        <w:rPr>
          <w:rFonts w:cstheme="minorHAnsi"/>
          <w:sz w:val="24"/>
          <w:szCs w:val="24"/>
        </w:rPr>
        <w:t xml:space="preserve"> is at the core of effective pedagogy</w:t>
      </w:r>
      <w:r w:rsidRPr="00414315">
        <w:rPr>
          <w:rFonts w:cstheme="minorHAnsi"/>
          <w:color w:val="FF0000"/>
          <w:sz w:val="24"/>
          <w:szCs w:val="24"/>
        </w:rPr>
        <w:t xml:space="preserve">. </w:t>
      </w:r>
      <w:r w:rsidRPr="00414315">
        <w:rPr>
          <w:rFonts w:cstheme="minorHAnsi"/>
          <w:sz w:val="24"/>
          <w:szCs w:val="24"/>
        </w:rPr>
        <w:t xml:space="preserve">The subsequent evolution of this definition by Black and </w:t>
      </w:r>
      <w:proofErr w:type="spellStart"/>
      <w:r w:rsidRPr="00414315">
        <w:rPr>
          <w:rFonts w:cstheme="minorHAnsi"/>
          <w:sz w:val="24"/>
          <w:szCs w:val="24"/>
        </w:rPr>
        <w:t>Wiliam</w:t>
      </w:r>
      <w:proofErr w:type="spellEnd"/>
      <w:r w:rsidRPr="00414315">
        <w:rPr>
          <w:rFonts w:cstheme="minorHAnsi"/>
          <w:sz w:val="24"/>
          <w:szCs w:val="24"/>
        </w:rPr>
        <w:t xml:space="preserve"> </w:t>
      </w:r>
      <w:sdt>
        <w:sdtPr>
          <w:rPr>
            <w:rFonts w:cstheme="minorHAnsi"/>
            <w:sz w:val="24"/>
            <w:szCs w:val="24"/>
            <w:highlight w:val="yellow"/>
          </w:rPr>
          <w:id w:val="1191952077"/>
          <w:citation/>
        </w:sdtPr>
        <w:sdtContent>
          <w:r w:rsidRPr="009942E1">
            <w:rPr>
              <w:rFonts w:cstheme="minorHAnsi"/>
              <w:sz w:val="24"/>
              <w:szCs w:val="24"/>
              <w:highlight w:val="yellow"/>
            </w:rPr>
            <w:fldChar w:fldCharType="begin"/>
          </w:r>
          <w:r w:rsidRPr="009942E1">
            <w:rPr>
              <w:rFonts w:cstheme="minorHAnsi"/>
              <w:sz w:val="24"/>
              <w:szCs w:val="24"/>
              <w:highlight w:val="yellow"/>
            </w:rPr>
            <w:instrText xml:space="preserve"> CITATION Bla09 \l 2057 </w:instrText>
          </w:r>
          <w:r w:rsidRPr="009942E1">
            <w:rPr>
              <w:rFonts w:cstheme="minorHAnsi"/>
              <w:sz w:val="24"/>
              <w:szCs w:val="24"/>
              <w:highlight w:val="yellow"/>
            </w:rPr>
            <w:fldChar w:fldCharType="separate"/>
          </w:r>
          <w:r w:rsidRPr="009942E1">
            <w:rPr>
              <w:rFonts w:cstheme="minorHAnsi"/>
              <w:noProof/>
              <w:sz w:val="24"/>
              <w:szCs w:val="24"/>
              <w:highlight w:val="yellow"/>
            </w:rPr>
            <w:t>(Black &amp; William, 2009)</w:t>
          </w:r>
          <w:r w:rsidRPr="009942E1">
            <w:rPr>
              <w:rFonts w:cstheme="minorHAnsi"/>
              <w:sz w:val="24"/>
              <w:szCs w:val="24"/>
              <w:highlight w:val="yellow"/>
            </w:rPr>
            <w:fldChar w:fldCharType="end"/>
          </w:r>
        </w:sdtContent>
      </w:sdt>
      <w:r w:rsidRPr="00414315">
        <w:rPr>
          <w:rFonts w:cstheme="minorHAnsi"/>
          <w:sz w:val="24"/>
          <w:szCs w:val="24"/>
        </w:rPr>
        <w:t xml:space="preserve"> </w:t>
      </w:r>
      <w:r w:rsidRPr="00414315">
        <w:rPr>
          <w:rFonts w:cstheme="minorHAnsi"/>
          <w:color w:val="FF0000"/>
          <w:sz w:val="24"/>
          <w:szCs w:val="24"/>
        </w:rPr>
        <w:t xml:space="preserve">emphasizes the actual use of evidence to meet students' needs. </w:t>
      </w:r>
      <w:proofErr w:type="spellStart"/>
      <w:r w:rsidRPr="00414315">
        <w:rPr>
          <w:rFonts w:cstheme="minorHAnsi"/>
          <w:color w:val="FF0000"/>
          <w:sz w:val="24"/>
          <w:szCs w:val="24"/>
        </w:rPr>
        <w:t>Broadfoot</w:t>
      </w:r>
      <w:proofErr w:type="spellEnd"/>
      <w:r w:rsidRPr="00414315">
        <w:rPr>
          <w:rFonts w:cstheme="minorHAnsi"/>
          <w:color w:val="FF0000"/>
          <w:sz w:val="24"/>
          <w:szCs w:val="24"/>
        </w:rPr>
        <w:t xml:space="preserve"> et al. </w:t>
      </w:r>
      <w:sdt>
        <w:sdtPr>
          <w:rPr>
            <w:rFonts w:cstheme="minorHAnsi"/>
            <w:color w:val="FF0000"/>
            <w:sz w:val="24"/>
            <w:szCs w:val="24"/>
          </w:rPr>
          <w:id w:val="-906232188"/>
          <w:citation/>
        </w:sdtPr>
        <w:sdtContent>
          <w:r>
            <w:rPr>
              <w:rFonts w:cstheme="minorHAnsi"/>
              <w:color w:val="FF0000"/>
              <w:sz w:val="24"/>
              <w:szCs w:val="24"/>
            </w:rPr>
            <w:fldChar w:fldCharType="begin"/>
          </w:r>
          <w:r>
            <w:rPr>
              <w:rFonts w:cstheme="minorHAnsi"/>
              <w:color w:val="FF0000"/>
              <w:sz w:val="24"/>
              <w:szCs w:val="24"/>
            </w:rPr>
            <w:instrText xml:space="preserve"> CITATION Bro99 \l 2057 </w:instrText>
          </w:r>
          <w:r>
            <w:rPr>
              <w:rFonts w:cstheme="minorHAnsi"/>
              <w:color w:val="FF0000"/>
              <w:sz w:val="24"/>
              <w:szCs w:val="24"/>
            </w:rPr>
            <w:fldChar w:fldCharType="separate"/>
          </w:r>
          <w:r w:rsidRPr="009942E1">
            <w:rPr>
              <w:rFonts w:cstheme="minorHAnsi"/>
              <w:noProof/>
              <w:color w:val="FF0000"/>
              <w:sz w:val="24"/>
              <w:szCs w:val="24"/>
            </w:rPr>
            <w:t>(Broadfoot, et al., 1999)</w:t>
          </w:r>
          <w:r>
            <w:rPr>
              <w:rFonts w:cstheme="minorHAnsi"/>
              <w:color w:val="FF0000"/>
              <w:sz w:val="24"/>
              <w:szCs w:val="24"/>
            </w:rPr>
            <w:fldChar w:fldCharType="end"/>
          </w:r>
        </w:sdtContent>
      </w:sdt>
      <w:r w:rsidRPr="00414315">
        <w:rPr>
          <w:rFonts w:cstheme="minorHAnsi"/>
          <w:color w:val="FF0000"/>
          <w:sz w:val="24"/>
          <w:szCs w:val="24"/>
        </w:rPr>
        <w:t xml:space="preserve"> identified five factors crucial for improving learning through assessment, including the provision of effective feedback, promoting active student involvement, adjusting teaching methodologies, recognising the impact on motivation and self-esteem, and enabling students to assess themselves. Nicol and Macfarlane </w:t>
      </w:r>
      <w:sdt>
        <w:sdtPr>
          <w:rPr>
            <w:rFonts w:cstheme="minorHAnsi"/>
            <w:color w:val="FF0000"/>
            <w:sz w:val="24"/>
            <w:szCs w:val="24"/>
          </w:rPr>
          <w:id w:val="1865399080"/>
          <w:citation/>
        </w:sdtPr>
        <w:sdtContent>
          <w:r>
            <w:rPr>
              <w:rFonts w:cstheme="minorHAnsi"/>
              <w:color w:val="FF0000"/>
              <w:sz w:val="24"/>
              <w:szCs w:val="24"/>
            </w:rPr>
            <w:fldChar w:fldCharType="begin"/>
          </w:r>
          <w:r>
            <w:rPr>
              <w:rFonts w:cstheme="minorHAnsi"/>
              <w:color w:val="FF0000"/>
              <w:sz w:val="24"/>
              <w:szCs w:val="24"/>
            </w:rPr>
            <w:instrText xml:space="preserve"> CITATION htt9 \l 2057 </w:instrText>
          </w:r>
          <w:r>
            <w:rPr>
              <w:rFonts w:cstheme="minorHAnsi"/>
              <w:color w:val="FF0000"/>
              <w:sz w:val="24"/>
              <w:szCs w:val="24"/>
            </w:rPr>
            <w:fldChar w:fldCharType="separate"/>
          </w:r>
          <w:r w:rsidRPr="009942E1">
            <w:rPr>
              <w:rFonts w:cstheme="minorHAnsi"/>
              <w:noProof/>
              <w:color w:val="FF0000"/>
              <w:sz w:val="24"/>
              <w:szCs w:val="24"/>
            </w:rPr>
            <w:t>(Anon., n.d.)</w:t>
          </w:r>
          <w:r>
            <w:rPr>
              <w:rFonts w:cstheme="minorHAnsi"/>
              <w:color w:val="FF0000"/>
              <w:sz w:val="24"/>
              <w:szCs w:val="24"/>
            </w:rPr>
            <w:fldChar w:fldCharType="end"/>
          </w:r>
        </w:sdtContent>
      </w:sdt>
      <w:r>
        <w:rPr>
          <w:rFonts w:cstheme="minorHAnsi"/>
          <w:color w:val="FF0000"/>
          <w:sz w:val="24"/>
          <w:szCs w:val="24"/>
        </w:rPr>
        <w:t xml:space="preserve"> </w:t>
      </w:r>
      <w:r w:rsidRPr="00414315">
        <w:rPr>
          <w:rFonts w:cstheme="minorHAnsi"/>
          <w:color w:val="FF0000"/>
          <w:sz w:val="24"/>
          <w:szCs w:val="24"/>
        </w:rPr>
        <w:t xml:space="preserve">underscore the significance of good feedback practices in both helping students improve their learning and providing valuable information to teachers. Especially online assessment is a prominent tool to address challenges related to large class sizes, the demand for instant feedback, and the need for a streamlined assessment process. In this part of the assignment, the integration of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quizzes in the context of formative assessment, learning theories, frameworks, and models such as SAMR and TPACK will be explored, while emphasizing the importance of creativity and feedback in higher education.</w:t>
      </w:r>
    </w:p>
    <w:p w14:paraId="21CEC052" w14:textId="77777777" w:rsidR="00EB0F88" w:rsidRPr="00414315" w:rsidRDefault="00EB0F88" w:rsidP="00EB0F88">
      <w:pPr>
        <w:spacing w:after="120" w:line="360" w:lineRule="auto"/>
        <w:contextualSpacing/>
        <w:mirrorIndents/>
        <w:rPr>
          <w:rFonts w:eastAsia="Times New Roman" w:cstheme="minorHAnsi"/>
          <w:sz w:val="24"/>
          <w:szCs w:val="24"/>
        </w:rPr>
      </w:pPr>
      <w:r w:rsidRPr="00414315">
        <w:rPr>
          <w:rFonts w:eastAsia="Times New Roman" w:cstheme="minorHAnsi"/>
          <w:color w:val="374151"/>
          <w:sz w:val="24"/>
          <w:szCs w:val="24"/>
        </w:rPr>
        <w:t>Testing and evaluating digital tools and techniques are crucial aspects of digital pedagogy. Platforms like Learning Management Systems (LMS), multimedia presentations, educational apps, and online assessment tools offer diverse ways to engage learners. As technology advances, educators must stay attuned to emerging learning technologies, considering the psychological foundations and human factors involved.</w:t>
      </w:r>
    </w:p>
    <w:p w14:paraId="13B4CA28" w14:textId="77777777" w:rsidR="00EB0F88" w:rsidRPr="00414315" w:rsidRDefault="00EB0F88" w:rsidP="00EB0F88">
      <w:pPr>
        <w:spacing w:after="120" w:line="360" w:lineRule="auto"/>
        <w:contextualSpacing/>
        <w:mirrorIndents/>
        <w:rPr>
          <w:rFonts w:cstheme="minorHAnsi"/>
          <w:color w:val="FF0000"/>
          <w:sz w:val="24"/>
          <w:szCs w:val="24"/>
        </w:rPr>
      </w:pP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stands out as a live polling and Q&amp;A platform that allows teachers to create, share, and distribute assessments, providing synchronous feedback for students that aligns with the principles of formative assessment. Synchronous formative feedback is crucial for generating measurable performance data and contributing to the process of evaluating students' progress. </w:t>
      </w:r>
    </w:p>
    <w:p w14:paraId="19BC1522"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The integration of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quizzes aligns with the SAMR model, progressing through each level:</w:t>
      </w:r>
    </w:p>
    <w:p w14:paraId="5F838075"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color w:val="FF0000"/>
          <w:sz w:val="24"/>
          <w:szCs w:val="24"/>
        </w:rPr>
        <w:lastRenderedPageBreak/>
        <w:t xml:space="preserve">Substitution: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serves as a direct substitute for traditional quizzes, maintaining the existing assessment structure.</w:t>
      </w:r>
      <w:r w:rsidRPr="00414315">
        <w:rPr>
          <w:rFonts w:cstheme="minorHAnsi"/>
          <w:color w:val="00B050"/>
          <w:sz w:val="24"/>
          <w:szCs w:val="24"/>
        </w:rPr>
        <w:t xml:space="preserve"> There is no significant change in the learning task as the questions and problems are the same as for pen-and-paper tests. </w:t>
      </w:r>
    </w:p>
    <w:p w14:paraId="52E3F0CE"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Augmentation: </w:t>
      </w:r>
      <w:r w:rsidRPr="00414315">
        <w:rPr>
          <w:rFonts w:cstheme="minorHAnsi"/>
          <w:color w:val="00B050"/>
          <w:sz w:val="24"/>
          <w:szCs w:val="24"/>
        </w:rPr>
        <w:t>The inclusion of multimedia, such as video and photo integration, enhances learning by providing a more dynamic and engaging assessment experience. Remote access empowers a distance learning approach, allowing students to access and complete quizzes before or after attending class.</w:t>
      </w:r>
      <w:r w:rsidRPr="00414315">
        <w:rPr>
          <w:rFonts w:cstheme="minorHAnsi"/>
          <w:sz w:val="24"/>
          <w:szCs w:val="24"/>
        </w:rPr>
        <w:t xml:space="preserve"> </w:t>
      </w:r>
    </w:p>
    <w:p w14:paraId="0D99E2AF"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color w:val="FF0000"/>
          <w:sz w:val="24"/>
          <w:szCs w:val="24"/>
        </w:rPr>
        <w:t>Modification:</w:t>
      </w:r>
      <w:r w:rsidRPr="00414315">
        <w:rPr>
          <w:rFonts w:cstheme="minorHAnsi"/>
          <w:color w:val="00B050"/>
          <w:sz w:val="24"/>
          <w:szCs w:val="24"/>
        </w:rPr>
        <w:t xml:space="preserve"> Auto-grading features in </w:t>
      </w:r>
      <w:proofErr w:type="spellStart"/>
      <w:r w:rsidRPr="00414315">
        <w:rPr>
          <w:rFonts w:cstheme="minorHAnsi"/>
          <w:color w:val="00B050"/>
          <w:sz w:val="24"/>
          <w:szCs w:val="24"/>
        </w:rPr>
        <w:t>Vevox</w:t>
      </w:r>
      <w:proofErr w:type="spellEnd"/>
      <w:r w:rsidRPr="00414315">
        <w:rPr>
          <w:rFonts w:cstheme="minorHAnsi"/>
          <w:color w:val="00B050"/>
          <w:sz w:val="24"/>
          <w:szCs w:val="24"/>
        </w:rPr>
        <w:t xml:space="preserve"> quizzes provide immediate feedback, aligning with research emphasizing the importance of feedback being visibly connected to questions for effective learning.</w:t>
      </w:r>
      <w:r w:rsidRPr="00414315">
        <w:rPr>
          <w:rFonts w:cstheme="minorHAnsi"/>
          <w:color w:val="FF0000"/>
          <w:sz w:val="24"/>
          <w:szCs w:val="24"/>
        </w:rPr>
        <w:t xml:space="preserve"> </w:t>
      </w:r>
      <w:r w:rsidRPr="00414315">
        <w:rPr>
          <w:rFonts w:cstheme="minorHAnsi"/>
          <w:sz w:val="24"/>
          <w:szCs w:val="24"/>
        </w:rPr>
        <w:t>Customi</w:t>
      </w:r>
      <w:r>
        <w:rPr>
          <w:rFonts w:cstheme="minorHAnsi"/>
          <w:sz w:val="24"/>
          <w:szCs w:val="24"/>
        </w:rPr>
        <w:t>s</w:t>
      </w:r>
      <w:r w:rsidRPr="00414315">
        <w:rPr>
          <w:rFonts w:cstheme="minorHAnsi"/>
          <w:sz w:val="24"/>
          <w:szCs w:val="24"/>
        </w:rPr>
        <w:t>ation options, such as adjusting question point values and providing written answer feedback, empower educators to share whole-class scoring data, thereby promoting quality feedback and communication.</w:t>
      </w:r>
    </w:p>
    <w:p w14:paraId="639A10DD" w14:textId="77777777" w:rsidR="00EB0F88" w:rsidRPr="00414315" w:rsidRDefault="00EB0F88" w:rsidP="00EB0F88">
      <w:pPr>
        <w:spacing w:after="120" w:line="360" w:lineRule="auto"/>
        <w:contextualSpacing/>
        <w:mirrorIndents/>
        <w:rPr>
          <w:rFonts w:cstheme="minorHAnsi"/>
          <w:color w:val="FF0000"/>
          <w:sz w:val="24"/>
          <w:szCs w:val="24"/>
        </w:rPr>
      </w:pPr>
    </w:p>
    <w:p w14:paraId="2885DE74"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Redefinition: </w:t>
      </w:r>
      <w:r w:rsidRPr="00414315">
        <w:rPr>
          <w:rFonts w:cstheme="minorHAnsi"/>
          <w:color w:val="00B050"/>
          <w:sz w:val="24"/>
          <w:szCs w:val="24"/>
        </w:rPr>
        <w:t xml:space="preserve">The 'share' function in </w:t>
      </w:r>
      <w:proofErr w:type="spellStart"/>
      <w:r w:rsidRPr="00414315">
        <w:rPr>
          <w:rFonts w:cstheme="minorHAnsi"/>
          <w:color w:val="00B050"/>
          <w:sz w:val="24"/>
          <w:szCs w:val="24"/>
        </w:rPr>
        <w:t>Vevox</w:t>
      </w:r>
      <w:proofErr w:type="spellEnd"/>
      <w:r w:rsidRPr="00414315">
        <w:rPr>
          <w:rFonts w:cstheme="minorHAnsi"/>
          <w:color w:val="00B050"/>
          <w:sz w:val="24"/>
          <w:szCs w:val="24"/>
        </w:rPr>
        <w:t xml:space="preserve"> quizzes facilitates collaboration among teachers and students globally, creating shared learning goals and transforming the assessment process.</w:t>
      </w:r>
      <w:r>
        <w:rPr>
          <w:rFonts w:cstheme="minorHAnsi"/>
          <w:color w:val="00B050"/>
          <w:sz w:val="24"/>
          <w:szCs w:val="24"/>
        </w:rPr>
        <w:t xml:space="preserve"> </w:t>
      </w:r>
      <w:r w:rsidRPr="00414315">
        <w:rPr>
          <w:rFonts w:cstheme="minorHAnsi"/>
          <w:color w:val="FF0000"/>
          <w:sz w:val="24"/>
          <w:szCs w:val="24"/>
        </w:rPr>
        <w:t xml:space="preserve">The 'share' function in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facilitates collaboration globally, transforming the assessment process.</w:t>
      </w:r>
    </w:p>
    <w:p w14:paraId="32B3DEC2"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color w:val="FF0000"/>
          <w:sz w:val="24"/>
          <w:szCs w:val="24"/>
        </w:rPr>
        <w:t xml:space="preserve">The use of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aligns with the Technological Pedagogical Content Knowledge (TPACK) framework, demonstrating the effective integration of technology, pedagogy, and content knowledge.</w:t>
      </w:r>
      <w:r w:rsidRPr="00414315">
        <w:rPr>
          <w:rFonts w:cstheme="minorHAnsi"/>
          <w:sz w:val="24"/>
          <w:szCs w:val="24"/>
        </w:rPr>
        <w:t xml:space="preserve"> </w:t>
      </w:r>
    </w:p>
    <w:p w14:paraId="3975916B" w14:textId="77777777" w:rsidR="00EB0F88" w:rsidRPr="00414315" w:rsidRDefault="00EB0F88" w:rsidP="00EB0F88">
      <w:pPr>
        <w:spacing w:after="120" w:line="360" w:lineRule="auto"/>
        <w:contextualSpacing/>
        <w:mirrorIndents/>
        <w:rPr>
          <w:rFonts w:cstheme="minorHAnsi"/>
          <w:color w:val="FF0000"/>
          <w:sz w:val="24"/>
          <w:szCs w:val="24"/>
        </w:rPr>
      </w:pPr>
    </w:p>
    <w:p w14:paraId="6E5880A6" w14:textId="77777777" w:rsidR="00EB0F88" w:rsidRPr="00414315" w:rsidRDefault="00EB0F88" w:rsidP="00EB0F88">
      <w:pPr>
        <w:spacing w:after="120" w:line="360" w:lineRule="auto"/>
        <w:contextualSpacing/>
        <w:mirrorIndents/>
        <w:rPr>
          <w:rFonts w:cstheme="minorHAnsi"/>
          <w:color w:val="FF0000"/>
          <w:sz w:val="24"/>
          <w:szCs w:val="24"/>
        </w:rPr>
      </w:pP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represents a fusion of digital innovation and creativity in education. The incorporation of game elements, such as competition, leader boards, best time, etc. transforms traditional quizzes into engaging competitions, promoting active participation and reinforcing content retention. The tool's versatility allows educators to design quizzes that are informative and enjoyable, fostering a competitive and stimulating learning environment.</w:t>
      </w:r>
    </w:p>
    <w:p w14:paraId="544C44C8"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Advantages of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quizzes include instant feedback, creativity and adaptability. However, effective incorporation requires proper teacher training, and the reliance on internet connectivity may limit accessibility.</w:t>
      </w:r>
      <w:r w:rsidRPr="00414315">
        <w:rPr>
          <w:rFonts w:cstheme="minorHAnsi"/>
          <w:color w:val="555555"/>
          <w:sz w:val="24"/>
          <w:szCs w:val="24"/>
          <w:shd w:val="clear" w:color="auto" w:fill="FFFFFF"/>
        </w:rPr>
        <w:t xml:space="preserve"> </w:t>
      </w:r>
      <w:proofErr w:type="spellStart"/>
      <w:r w:rsidRPr="00414315">
        <w:rPr>
          <w:rFonts w:cstheme="minorHAnsi"/>
          <w:color w:val="555555"/>
          <w:sz w:val="24"/>
          <w:szCs w:val="24"/>
          <w:shd w:val="clear" w:color="auto" w:fill="FFFFFF"/>
        </w:rPr>
        <w:t>Florenthal</w:t>
      </w:r>
      <w:proofErr w:type="spellEnd"/>
      <w:r w:rsidRPr="00414315">
        <w:rPr>
          <w:rFonts w:cstheme="minorHAnsi"/>
          <w:color w:val="555555"/>
          <w:sz w:val="24"/>
          <w:szCs w:val="24"/>
          <w:shd w:val="clear" w:color="auto" w:fill="FFFFFF"/>
        </w:rPr>
        <w:t xml:space="preserve"> </w:t>
      </w:r>
      <w:sdt>
        <w:sdtPr>
          <w:rPr>
            <w:rFonts w:cstheme="minorHAnsi"/>
            <w:color w:val="555555"/>
            <w:sz w:val="24"/>
            <w:szCs w:val="24"/>
            <w:shd w:val="clear" w:color="auto" w:fill="FFFFFF"/>
          </w:rPr>
          <w:id w:val="361871392"/>
          <w:citation/>
        </w:sdtPr>
        <w:sdtContent>
          <w:r>
            <w:rPr>
              <w:rFonts w:cstheme="minorHAnsi"/>
              <w:color w:val="555555"/>
              <w:sz w:val="24"/>
              <w:szCs w:val="24"/>
              <w:shd w:val="clear" w:color="auto" w:fill="FFFFFF"/>
            </w:rPr>
            <w:fldChar w:fldCharType="begin"/>
          </w:r>
          <w:r>
            <w:rPr>
              <w:rFonts w:cstheme="minorHAnsi"/>
              <w:color w:val="555555"/>
              <w:sz w:val="24"/>
              <w:szCs w:val="24"/>
              <w:shd w:val="clear" w:color="auto" w:fill="FFFFFF"/>
            </w:rPr>
            <w:instrText xml:space="preserve"> CITATION Flo18 \l 2057 </w:instrText>
          </w:r>
          <w:r>
            <w:rPr>
              <w:rFonts w:cstheme="minorHAnsi"/>
              <w:color w:val="555555"/>
              <w:sz w:val="24"/>
              <w:szCs w:val="24"/>
              <w:shd w:val="clear" w:color="auto" w:fill="FFFFFF"/>
            </w:rPr>
            <w:fldChar w:fldCharType="separate"/>
          </w:r>
          <w:r w:rsidRPr="009942E1">
            <w:rPr>
              <w:rFonts w:cstheme="minorHAnsi"/>
              <w:noProof/>
              <w:color w:val="555555"/>
              <w:sz w:val="24"/>
              <w:szCs w:val="24"/>
              <w:shd w:val="clear" w:color="auto" w:fill="FFFFFF"/>
            </w:rPr>
            <w:t>(Florenthal, 2018)</w:t>
          </w:r>
          <w:r>
            <w:rPr>
              <w:rFonts w:cstheme="minorHAnsi"/>
              <w:color w:val="555555"/>
              <w:sz w:val="24"/>
              <w:szCs w:val="24"/>
              <w:shd w:val="clear" w:color="auto" w:fill="FFFFFF"/>
            </w:rPr>
            <w:fldChar w:fldCharType="end"/>
          </w:r>
        </w:sdtContent>
      </w:sdt>
      <w:hyperlink w:history="1"/>
      <w:r w:rsidRPr="00414315">
        <w:rPr>
          <w:rFonts w:cstheme="minorHAnsi"/>
          <w:color w:val="555555"/>
          <w:sz w:val="24"/>
          <w:szCs w:val="24"/>
          <w:shd w:val="clear" w:color="auto" w:fill="FFFFFF"/>
        </w:rPr>
        <w:t xml:space="preserve">examined student perception and satisfaction with poling software and found that anonymity emerged as a significant benefit as it reduces anxiety to answer the questions. The provision of immediate </w:t>
      </w:r>
      <w:r w:rsidRPr="00414315">
        <w:rPr>
          <w:rFonts w:cstheme="minorHAnsi"/>
          <w:color w:val="555555"/>
          <w:sz w:val="24"/>
          <w:szCs w:val="24"/>
          <w:shd w:val="clear" w:color="auto" w:fill="FFFFFF"/>
        </w:rPr>
        <w:lastRenderedPageBreak/>
        <w:t>feedback stand out as a major advantage, enabling students to  assess their answers in comparison to peers</w:t>
      </w:r>
    </w:p>
    <w:p w14:paraId="0CF79CD4" w14:textId="77777777" w:rsidR="00EB0F88" w:rsidRPr="00414315" w:rsidRDefault="00EB0F88" w:rsidP="00EB0F88">
      <w:pPr>
        <w:spacing w:after="120" w:line="360" w:lineRule="auto"/>
        <w:contextualSpacing/>
        <w:mirrorIndents/>
        <w:rPr>
          <w:rFonts w:cstheme="minorHAnsi"/>
          <w:color w:val="FF0000"/>
          <w:sz w:val="24"/>
          <w:szCs w:val="24"/>
        </w:rPr>
      </w:pPr>
    </w:p>
    <w:p w14:paraId="12482146"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The incorporation of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quizzes in formative assessment aligns with various learning theories, SAMR and TPACK models, and promotes creativity in education. The platform's versatility, combined with its impact on feedback and collaboration, positions it as a valuable tool in the evolving landscape of higher education. While embracing innovation, it is essential to address considerations such as teacher training and internet accessibility to maximize the benefits of this technology. The collaborative, global, and technology-driven possibilities redefined by </w:t>
      </w:r>
      <w:proofErr w:type="spellStart"/>
      <w:r w:rsidRPr="00414315">
        <w:rPr>
          <w:rFonts w:cstheme="minorHAnsi"/>
          <w:color w:val="FF0000"/>
          <w:sz w:val="24"/>
          <w:szCs w:val="24"/>
        </w:rPr>
        <w:t>Vevox</w:t>
      </w:r>
      <w:proofErr w:type="spellEnd"/>
      <w:r w:rsidRPr="00414315">
        <w:rPr>
          <w:rFonts w:cstheme="minorHAnsi"/>
          <w:color w:val="FF0000"/>
          <w:sz w:val="24"/>
          <w:szCs w:val="24"/>
        </w:rPr>
        <w:t xml:space="preserve"> quizzes indicate a promising direction for the future of education.</w:t>
      </w:r>
    </w:p>
    <w:p w14:paraId="74312D01"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cstheme="minorHAnsi"/>
          <w:color w:val="FF0000"/>
          <w:sz w:val="24"/>
          <w:szCs w:val="24"/>
        </w:rPr>
        <w:t xml:space="preserve">The level of success of implementing new digital tools in the classroom needs to be assessed by collecting satisfaction/usefulness type of feedback from students. Useful app to do so is Microsoft Forms, an online survey creator. It is very simple to use, can be done anonymously and offers real -time charts and automatically generates d reports that can be easily exported to Excel. </w:t>
      </w:r>
    </w:p>
    <w:p w14:paraId="1D987082" w14:textId="77777777" w:rsidR="00EB0F88" w:rsidRPr="00414315" w:rsidRDefault="00EB0F88" w:rsidP="00EB0F88">
      <w:pPr>
        <w:spacing w:after="120" w:line="360" w:lineRule="auto"/>
        <w:contextualSpacing/>
        <w:mirrorIndents/>
        <w:rPr>
          <w:rFonts w:cstheme="minorHAnsi"/>
          <w:color w:val="555555"/>
          <w:sz w:val="24"/>
          <w:szCs w:val="24"/>
          <w:shd w:val="clear" w:color="auto" w:fill="FFFFFF"/>
        </w:rPr>
      </w:pPr>
      <w:r w:rsidRPr="00414315">
        <w:rPr>
          <w:rFonts w:cstheme="minorHAnsi"/>
          <w:color w:val="FF0000"/>
          <w:sz w:val="24"/>
          <w:szCs w:val="24"/>
        </w:rPr>
        <w:t xml:space="preserve">It was used to </w:t>
      </w:r>
      <w:r w:rsidRPr="00414315">
        <w:rPr>
          <w:rFonts w:cstheme="minorHAnsi"/>
          <w:color w:val="555555"/>
          <w:sz w:val="24"/>
          <w:szCs w:val="24"/>
          <w:shd w:val="clear" w:color="auto" w:fill="FFFFFF"/>
        </w:rPr>
        <w:t xml:space="preserve">assess how students perceived benefits, drawbacks, and the level of satisfaction from using </w:t>
      </w:r>
      <w:proofErr w:type="spellStart"/>
      <w:r w:rsidRPr="00414315">
        <w:rPr>
          <w:rFonts w:cstheme="minorHAnsi"/>
          <w:color w:val="555555"/>
          <w:sz w:val="24"/>
          <w:szCs w:val="24"/>
          <w:shd w:val="clear" w:color="auto" w:fill="FFFFFF"/>
        </w:rPr>
        <w:t>Vevox</w:t>
      </w:r>
      <w:proofErr w:type="spellEnd"/>
      <w:r w:rsidRPr="00414315">
        <w:rPr>
          <w:rFonts w:cstheme="minorHAnsi"/>
          <w:color w:val="555555"/>
          <w:sz w:val="24"/>
          <w:szCs w:val="24"/>
          <w:shd w:val="clear" w:color="auto" w:fill="FFFFFF"/>
        </w:rPr>
        <w:t xml:space="preserve"> quiz in the chemistry revision session.</w:t>
      </w:r>
    </w:p>
    <w:p w14:paraId="7C20E97D" w14:textId="77777777" w:rsidR="00EB0F88" w:rsidRPr="00414315" w:rsidRDefault="00EB0F88" w:rsidP="00EB0F88">
      <w:pPr>
        <w:spacing w:after="120" w:line="360" w:lineRule="auto"/>
        <w:contextualSpacing/>
        <w:mirrorIndents/>
        <w:rPr>
          <w:rFonts w:eastAsia="Times New Roman" w:cstheme="minorHAnsi"/>
          <w:i/>
          <w:iCs/>
          <w:color w:val="FF9933"/>
          <w:sz w:val="24"/>
          <w:szCs w:val="24"/>
        </w:rPr>
      </w:pPr>
      <w:r w:rsidRPr="00414315">
        <w:rPr>
          <w:rFonts w:eastAsia="Times New Roman" w:cstheme="minorHAnsi"/>
          <w:i/>
          <w:iCs/>
          <w:color w:val="FF9933"/>
          <w:sz w:val="24"/>
          <w:szCs w:val="24"/>
        </w:rPr>
        <w:t xml:space="preserve">Online anonymous polls can be used to collect </w:t>
      </w:r>
      <w:r w:rsidRPr="00414315">
        <w:rPr>
          <w:rFonts w:eastAsia="Times New Roman" w:cstheme="minorHAnsi"/>
          <w:b/>
          <w:bCs/>
          <w:i/>
          <w:iCs/>
          <w:color w:val="FF9933"/>
          <w:sz w:val="24"/>
          <w:szCs w:val="24"/>
        </w:rPr>
        <w:t>feedback</w:t>
      </w:r>
      <w:r w:rsidRPr="00414315">
        <w:rPr>
          <w:rFonts w:eastAsia="Times New Roman" w:cstheme="minorHAnsi"/>
          <w:i/>
          <w:iCs/>
          <w:color w:val="FF9933"/>
          <w:sz w:val="24"/>
          <w:szCs w:val="24"/>
        </w:rPr>
        <w:t xml:space="preserve"> from learners about their learning experiences. </w:t>
      </w:r>
      <w:r w:rsidRPr="00414315">
        <w:rPr>
          <w:rFonts w:eastAsia="Times New Roman" w:cstheme="minorHAnsi"/>
          <w:b/>
          <w:bCs/>
          <w:i/>
          <w:iCs/>
          <w:color w:val="FF9933"/>
          <w:sz w:val="24"/>
          <w:szCs w:val="24"/>
        </w:rPr>
        <w:t xml:space="preserve">This feedback </w:t>
      </w:r>
      <w:r w:rsidRPr="00414315">
        <w:rPr>
          <w:rFonts w:eastAsia="Times New Roman" w:cstheme="minorHAnsi"/>
          <w:i/>
          <w:iCs/>
          <w:color w:val="FF9933"/>
          <w:sz w:val="24"/>
          <w:szCs w:val="24"/>
        </w:rPr>
        <w:t>can be used to improve the design and delivery of digital learning experiences. For example, if a poll reveals that learners are struggling with a particular concept, the teacher can adjust the lesson plan to provide more support.</w:t>
      </w:r>
    </w:p>
    <w:p w14:paraId="15AA5E71" w14:textId="77777777" w:rsidR="00EB0F88" w:rsidRPr="00414315" w:rsidRDefault="00EB0F88" w:rsidP="00EB0F88">
      <w:pPr>
        <w:spacing w:after="120" w:line="360" w:lineRule="auto"/>
        <w:contextualSpacing/>
        <w:mirrorIndents/>
        <w:rPr>
          <w:rFonts w:eastAsia="Times New Roman" w:cstheme="minorHAnsi"/>
          <w:color w:val="FF9933"/>
          <w:sz w:val="24"/>
          <w:szCs w:val="24"/>
        </w:rPr>
      </w:pPr>
      <w:r w:rsidRPr="00414315">
        <w:rPr>
          <w:rFonts w:eastAsia="Times New Roman" w:cstheme="minorHAnsi"/>
          <w:color w:val="FF9933"/>
          <w:sz w:val="24"/>
          <w:szCs w:val="24"/>
        </w:rPr>
        <w:t xml:space="preserve">Once you have </w:t>
      </w:r>
      <w:r w:rsidRPr="00414315">
        <w:rPr>
          <w:rFonts w:eastAsia="Times New Roman" w:cstheme="minorHAnsi"/>
          <w:b/>
          <w:bCs/>
          <w:color w:val="FF9933"/>
          <w:sz w:val="24"/>
          <w:szCs w:val="24"/>
        </w:rPr>
        <w:t>designed</w:t>
      </w:r>
      <w:r w:rsidRPr="00414315">
        <w:rPr>
          <w:rFonts w:eastAsia="Times New Roman" w:cstheme="minorHAnsi"/>
          <w:color w:val="FF9933"/>
          <w:sz w:val="24"/>
          <w:szCs w:val="24"/>
        </w:rPr>
        <w:t xml:space="preserve"> your digital learning experience, you need to implement it and test it to make sure that it is effective. Here are some tips for implementing and testing digital learning experiences: Get f</w:t>
      </w:r>
      <w:r w:rsidRPr="00414315">
        <w:rPr>
          <w:rFonts w:eastAsia="Times New Roman" w:cstheme="minorHAnsi"/>
          <w:b/>
          <w:bCs/>
          <w:color w:val="FF9933"/>
          <w:sz w:val="24"/>
          <w:szCs w:val="24"/>
        </w:rPr>
        <w:t>eedback</w:t>
      </w:r>
      <w:r w:rsidRPr="00414315">
        <w:rPr>
          <w:rFonts w:eastAsia="Times New Roman" w:cstheme="minorHAnsi"/>
          <w:color w:val="FF9933"/>
          <w:sz w:val="24"/>
          <w:szCs w:val="24"/>
        </w:rPr>
        <w:t xml:space="preserve"> from students: Ask students for f</w:t>
      </w:r>
      <w:r w:rsidRPr="00414315">
        <w:rPr>
          <w:rFonts w:eastAsia="Times New Roman" w:cstheme="minorHAnsi"/>
          <w:b/>
          <w:bCs/>
          <w:color w:val="FF9933"/>
          <w:sz w:val="24"/>
          <w:szCs w:val="24"/>
        </w:rPr>
        <w:t>eedback</w:t>
      </w:r>
      <w:r w:rsidRPr="00414315">
        <w:rPr>
          <w:rFonts w:eastAsia="Times New Roman" w:cstheme="minorHAnsi"/>
          <w:color w:val="FF9933"/>
          <w:sz w:val="24"/>
          <w:szCs w:val="24"/>
        </w:rPr>
        <w:t xml:space="preserve"> on the experience. This will help you to identify what worked well and what could be improved.</w:t>
      </w:r>
    </w:p>
    <w:p w14:paraId="43F5DC9B" w14:textId="77777777" w:rsidR="00EB0F88" w:rsidRPr="00414315" w:rsidRDefault="00EB0F88" w:rsidP="00EB0F88">
      <w:pPr>
        <w:spacing w:after="120" w:line="360" w:lineRule="auto"/>
        <w:contextualSpacing/>
        <w:mirrorIndents/>
        <w:rPr>
          <w:rFonts w:eastAsia="Times New Roman" w:cstheme="minorHAnsi"/>
          <w:color w:val="FF9933"/>
          <w:sz w:val="24"/>
          <w:szCs w:val="24"/>
        </w:rPr>
      </w:pPr>
      <w:r w:rsidRPr="00414315">
        <w:rPr>
          <w:rFonts w:eastAsia="Times New Roman" w:cstheme="minorHAnsi"/>
          <w:color w:val="FF9933"/>
          <w:sz w:val="24"/>
          <w:szCs w:val="24"/>
        </w:rPr>
        <w:t xml:space="preserve">Surveys </w:t>
      </w:r>
      <w:r w:rsidRPr="00414315">
        <w:rPr>
          <w:rFonts w:eastAsia="Times New Roman" w:cstheme="minorHAnsi"/>
          <w:b/>
          <w:bCs/>
          <w:color w:val="FF9933"/>
          <w:sz w:val="24"/>
          <w:szCs w:val="24"/>
        </w:rPr>
        <w:t>and feedback</w:t>
      </w:r>
      <w:r w:rsidRPr="00414315">
        <w:rPr>
          <w:rFonts w:eastAsia="Times New Roman" w:cstheme="minorHAnsi"/>
          <w:color w:val="FF9933"/>
          <w:sz w:val="24"/>
          <w:szCs w:val="24"/>
        </w:rPr>
        <w:t xml:space="preserve"> forms can also be administered to gather student opinions on their learning experiences with the tool. This data will help identify strengths and areas for improvement, refining future implementations. REFLECTION</w:t>
      </w:r>
    </w:p>
    <w:p w14:paraId="4A1D120E" w14:textId="77777777" w:rsidR="00EB0F88" w:rsidRPr="00414315" w:rsidRDefault="00EB0F88" w:rsidP="00EB0F88">
      <w:pPr>
        <w:spacing w:after="120" w:line="360" w:lineRule="auto"/>
        <w:contextualSpacing/>
        <w:mirrorIndents/>
        <w:rPr>
          <w:rFonts w:cstheme="minorHAnsi"/>
          <w:color w:val="FF0000"/>
          <w:sz w:val="24"/>
          <w:szCs w:val="24"/>
        </w:rPr>
      </w:pPr>
      <w:r w:rsidRPr="00414315">
        <w:rPr>
          <w:rFonts w:eastAsia="Times New Roman" w:cstheme="minorHAnsi"/>
          <w:b/>
          <w:bCs/>
          <w:color w:val="FF9933"/>
          <w:sz w:val="24"/>
          <w:szCs w:val="24"/>
        </w:rPr>
        <w:t xml:space="preserve">This feedback </w:t>
      </w:r>
      <w:r w:rsidRPr="00414315">
        <w:rPr>
          <w:rFonts w:eastAsia="Times New Roman" w:cstheme="minorHAnsi"/>
          <w:color w:val="FF9933"/>
          <w:sz w:val="24"/>
          <w:szCs w:val="24"/>
        </w:rPr>
        <w:t>can be used to improve the design and delivery of digital learning experiences. For example, if a poll reveals that learners are struggling with a particular concept, the teacher can adjust the lesson plan to provide more support.</w:t>
      </w:r>
    </w:p>
    <w:p w14:paraId="584A8491" w14:textId="77777777" w:rsidR="00EB0F88" w:rsidRPr="00414315" w:rsidRDefault="00EB0F88" w:rsidP="00EB0F88">
      <w:pPr>
        <w:spacing w:after="120" w:line="360" w:lineRule="auto"/>
        <w:contextualSpacing/>
        <w:mirrorIndents/>
        <w:rPr>
          <w:rFonts w:cstheme="minorHAnsi"/>
          <w:b/>
          <w:bCs/>
          <w:color w:val="FF0000"/>
          <w:sz w:val="24"/>
          <w:szCs w:val="24"/>
        </w:rPr>
      </w:pPr>
      <w:r w:rsidRPr="00414315">
        <w:rPr>
          <w:rFonts w:cstheme="minorHAnsi"/>
          <w:b/>
          <w:bCs/>
          <w:color w:val="FF0000"/>
          <w:sz w:val="24"/>
          <w:szCs w:val="24"/>
        </w:rPr>
        <w:lastRenderedPageBreak/>
        <w:t>REFLECTION:</w:t>
      </w:r>
    </w:p>
    <w:p w14:paraId="3DCC9494"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This section includes my reflection on the implementation of the online </w:t>
      </w:r>
      <w:proofErr w:type="spellStart"/>
      <w:r w:rsidRPr="00414315">
        <w:rPr>
          <w:rFonts w:cstheme="minorHAnsi"/>
          <w:sz w:val="24"/>
          <w:szCs w:val="24"/>
        </w:rPr>
        <w:t>Vevox</w:t>
      </w:r>
      <w:proofErr w:type="spellEnd"/>
      <w:r w:rsidRPr="00414315">
        <w:rPr>
          <w:rFonts w:cstheme="minorHAnsi"/>
          <w:sz w:val="24"/>
          <w:szCs w:val="24"/>
        </w:rPr>
        <w:t xml:space="preserve"> quiz in the revision session based on my thoughts and feedback from the students. </w:t>
      </w:r>
    </w:p>
    <w:p w14:paraId="6C6CCCCD"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The intended outcomes of this session were to help students to identify their strengths and weaknesses in the subject; learn the material more engagingly; practice answering questions in a timed setting; provide instant feedback on their understanding of the material.</w:t>
      </w:r>
    </w:p>
    <w:p w14:paraId="24F9C8E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The revision session with </w:t>
      </w:r>
      <w:proofErr w:type="spellStart"/>
      <w:r w:rsidRPr="00414315">
        <w:rPr>
          <w:rFonts w:cstheme="minorHAnsi"/>
          <w:sz w:val="24"/>
          <w:szCs w:val="24"/>
        </w:rPr>
        <w:t>Vevox</w:t>
      </w:r>
      <w:proofErr w:type="spellEnd"/>
      <w:r w:rsidRPr="00414315">
        <w:rPr>
          <w:rFonts w:cstheme="minorHAnsi"/>
          <w:sz w:val="24"/>
          <w:szCs w:val="24"/>
        </w:rPr>
        <w:t xml:space="preserve"> quiz took place on May 31</w:t>
      </w:r>
      <w:r w:rsidRPr="00414315">
        <w:rPr>
          <w:rFonts w:cstheme="minorHAnsi"/>
          <w:sz w:val="24"/>
          <w:szCs w:val="24"/>
          <w:vertAlign w:val="superscript"/>
        </w:rPr>
        <w:t>st</w:t>
      </w:r>
      <w:r w:rsidRPr="00414315">
        <w:rPr>
          <w:rFonts w:cstheme="minorHAnsi"/>
          <w:sz w:val="24"/>
          <w:szCs w:val="24"/>
        </w:rPr>
        <w:t>, 2023 during 60 min lecture. 6 students in OME HNC apprenticeship programme participated in the quiz. On July 13</w:t>
      </w:r>
      <w:r w:rsidRPr="00414315">
        <w:rPr>
          <w:rFonts w:cstheme="minorHAnsi"/>
          <w:sz w:val="24"/>
          <w:szCs w:val="24"/>
          <w:vertAlign w:val="superscript"/>
        </w:rPr>
        <w:t>th</w:t>
      </w:r>
      <w:r w:rsidRPr="00414315">
        <w:rPr>
          <w:rFonts w:cstheme="minorHAnsi"/>
          <w:sz w:val="24"/>
          <w:szCs w:val="24"/>
        </w:rPr>
        <w:t xml:space="preserve">, 2023 the same group of students was asked to respond to an anonymous survey via Microsoft Forms, regarding their experience with the </w:t>
      </w:r>
      <w:proofErr w:type="spellStart"/>
      <w:r w:rsidRPr="00414315">
        <w:rPr>
          <w:rFonts w:cstheme="minorHAnsi"/>
          <w:sz w:val="24"/>
          <w:szCs w:val="24"/>
        </w:rPr>
        <w:t>Vevox</w:t>
      </w:r>
      <w:proofErr w:type="spellEnd"/>
      <w:r w:rsidRPr="00414315">
        <w:rPr>
          <w:rFonts w:cstheme="minorHAnsi"/>
          <w:sz w:val="24"/>
          <w:szCs w:val="24"/>
        </w:rPr>
        <w:t xml:space="preserve"> quiz.</w:t>
      </w:r>
    </w:p>
    <w:p w14:paraId="1D9D76F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I deliberately selected </w:t>
      </w:r>
      <w:proofErr w:type="spellStart"/>
      <w:r w:rsidRPr="00414315">
        <w:rPr>
          <w:rFonts w:cstheme="minorHAnsi"/>
          <w:sz w:val="24"/>
          <w:szCs w:val="24"/>
        </w:rPr>
        <w:t>Vevox</w:t>
      </w:r>
      <w:proofErr w:type="spellEnd"/>
      <w:r w:rsidRPr="00414315">
        <w:rPr>
          <w:rFonts w:cstheme="minorHAnsi"/>
          <w:sz w:val="24"/>
          <w:szCs w:val="24"/>
        </w:rPr>
        <w:t xml:space="preserve"> as a tool for the online revision in format of quiz due to its UWTSD-wide use, reputation for reliability and user-friendly interface. The purpose of this quiz was to evaluate students' knowledge of essential topics such as atomic structure and the periodic table, identify areas for additional support, motivating more revision before the final summative assessment, and create a fun and engaging experience. The questions fully aligned with learning objectives of the module and I provided immediate feedback on students' progress.</w:t>
      </w:r>
    </w:p>
    <w:p w14:paraId="3CEA109D"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To facilitate easy access, students were provided with both a link and a QR code to join the quiz on their mobile phones or laptops. I used diverse types of question and mixed them up to meet different learning preferences (at least within the short questions) and maintain student engagement and test their comprehension in various ways. The questions were intentionally kept short and straightforward to ensure a quick response time, and the language used was clear and concise to avoid ambiguity. Originally the questions were timed for 1 minute each with the option to proceed quicker if all answers were provided.</w:t>
      </w:r>
    </w:p>
    <w:p w14:paraId="7A8C2EEC"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Feedback and explanations for incorrect answers were provided immediately, reinforcing learning and fixing misconceptions promptly. </w:t>
      </w:r>
    </w:p>
    <w:p w14:paraId="6EF11668"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b/>
          <w:bCs/>
          <w:sz w:val="24"/>
          <w:szCs w:val="24"/>
        </w:rPr>
        <w:t>Feelings:</w:t>
      </w:r>
      <w:r w:rsidRPr="00414315">
        <w:rPr>
          <w:rFonts w:cstheme="minorHAnsi"/>
          <w:sz w:val="24"/>
          <w:szCs w:val="24"/>
        </w:rPr>
        <w:t xml:space="preserve"> Students welcomed the quiz enthusiastically. They were excited to participate and compete. However, the fact that questions were timed created a genuine concern for two students with special needs who felt excessive pressure under such circumstances. This observation prompted me to immediate consideration of how to address this issue and </w:t>
      </w:r>
      <w:r w:rsidRPr="00414315">
        <w:rPr>
          <w:rFonts w:cstheme="minorHAnsi"/>
          <w:sz w:val="24"/>
          <w:szCs w:val="24"/>
        </w:rPr>
        <w:lastRenderedPageBreak/>
        <w:t xml:space="preserve">ensure an inclusive experience for all students. with their approval I decided not to time the questions. </w:t>
      </w:r>
    </w:p>
    <w:p w14:paraId="31F58B98"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With the potential impact on the attention span I had to consider well the length of the quiz and difficulty level of the questions to avoid </w:t>
      </w:r>
      <w:proofErr w:type="spellStart"/>
      <w:r w:rsidRPr="00414315">
        <w:rPr>
          <w:rFonts w:cstheme="minorHAnsi"/>
          <w:sz w:val="24"/>
          <w:szCs w:val="24"/>
        </w:rPr>
        <w:t>stuedents</w:t>
      </w:r>
      <w:proofErr w:type="spellEnd"/>
      <w:r w:rsidRPr="00414315">
        <w:rPr>
          <w:rFonts w:cstheme="minorHAnsi"/>
          <w:sz w:val="24"/>
          <w:szCs w:val="24"/>
        </w:rPr>
        <w:t xml:space="preserve">’ fatigue, </w:t>
      </w:r>
      <w:proofErr w:type="spellStart"/>
      <w:r w:rsidRPr="00414315">
        <w:rPr>
          <w:rFonts w:cstheme="minorHAnsi"/>
          <w:sz w:val="24"/>
          <w:szCs w:val="24"/>
        </w:rPr>
        <w:t>boredome</w:t>
      </w:r>
      <w:proofErr w:type="spellEnd"/>
      <w:r w:rsidRPr="00414315">
        <w:rPr>
          <w:rFonts w:cstheme="minorHAnsi"/>
          <w:sz w:val="24"/>
          <w:szCs w:val="24"/>
        </w:rPr>
        <w:t xml:space="preserve"> and </w:t>
      </w:r>
      <w:proofErr w:type="spellStart"/>
      <w:r w:rsidRPr="00414315">
        <w:rPr>
          <w:rFonts w:cstheme="minorHAnsi"/>
          <w:sz w:val="24"/>
          <w:szCs w:val="24"/>
        </w:rPr>
        <w:t>disangegament</w:t>
      </w:r>
      <w:proofErr w:type="spellEnd"/>
      <w:r w:rsidRPr="00414315">
        <w:rPr>
          <w:rFonts w:cstheme="minorHAnsi"/>
          <w:sz w:val="24"/>
          <w:szCs w:val="24"/>
        </w:rPr>
        <w:t xml:space="preserve">. Actual observation of the students’ behaviour during the quiz laid the groundwork for subsequent actions aimed at refining the quiz implementation. </w:t>
      </w:r>
    </w:p>
    <w:p w14:paraId="33F90AC7"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b/>
          <w:bCs/>
          <w:sz w:val="24"/>
          <w:szCs w:val="24"/>
        </w:rPr>
        <w:t>Evaluation:</w:t>
      </w:r>
      <w:r w:rsidRPr="00414315">
        <w:rPr>
          <w:rFonts w:cstheme="minorHAnsi"/>
          <w:sz w:val="24"/>
          <w:szCs w:val="24"/>
        </w:rPr>
        <w:t xml:space="preserve"> Upon personal reflection, I identified that some questions were too specific and most of them were too conceptual. In the future, I should diversify the type of questions by introducing application questions, problem-solving questions and questions that require critical thinking but always adjust the level of difficulty to the students abilities and learning outcomes. Increasing the complexity and possibly integrating multiple concepts the quiz would be more interesting, assessing wider range of knowledge and skills. In my opinion the </w:t>
      </w:r>
      <w:proofErr w:type="spellStart"/>
      <w:r w:rsidRPr="00414315">
        <w:rPr>
          <w:rFonts w:cstheme="minorHAnsi"/>
          <w:sz w:val="24"/>
          <w:szCs w:val="24"/>
        </w:rPr>
        <w:t>the</w:t>
      </w:r>
      <w:proofErr w:type="spellEnd"/>
      <w:r w:rsidRPr="00414315">
        <w:rPr>
          <w:rFonts w:cstheme="minorHAnsi"/>
          <w:sz w:val="24"/>
          <w:szCs w:val="24"/>
        </w:rPr>
        <w:t xml:space="preserve"> quiz was too long  for a 60 min session especially when there was no time limit on questions.  Adjustments are necessary to fit the attention span of students.</w:t>
      </w:r>
    </w:p>
    <w:p w14:paraId="741F55D9"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A critical evaluation of the anonymous survey regarding the perception of the </w:t>
      </w:r>
      <w:proofErr w:type="spellStart"/>
      <w:r w:rsidRPr="00414315">
        <w:rPr>
          <w:rFonts w:cstheme="minorHAnsi"/>
          <w:sz w:val="24"/>
          <w:szCs w:val="24"/>
        </w:rPr>
        <w:t>Vevox</w:t>
      </w:r>
      <w:proofErr w:type="spellEnd"/>
      <w:r w:rsidRPr="00414315">
        <w:rPr>
          <w:rFonts w:cstheme="minorHAnsi"/>
          <w:sz w:val="24"/>
          <w:szCs w:val="24"/>
        </w:rPr>
        <w:t xml:space="preserve"> quiz and comprehensive understanding of students’ perspectives, brought me to the following observations: </w:t>
      </w:r>
    </w:p>
    <w:p w14:paraId="712D52B3" w14:textId="77777777" w:rsidR="00EB0F88" w:rsidRPr="00414315" w:rsidRDefault="00EB0F88" w:rsidP="00EB0F88">
      <w:pPr>
        <w:pStyle w:val="ListParagraph"/>
        <w:numPr>
          <w:ilvl w:val="0"/>
          <w:numId w:val="3"/>
        </w:numPr>
        <w:spacing w:after="120" w:line="360" w:lineRule="auto"/>
        <w:mirrorIndents/>
        <w:rPr>
          <w:rFonts w:cstheme="minorHAnsi"/>
          <w:sz w:val="24"/>
          <w:szCs w:val="24"/>
        </w:rPr>
      </w:pPr>
      <w:r w:rsidRPr="00414315">
        <w:rPr>
          <w:rFonts w:cstheme="minorHAnsi"/>
          <w:sz w:val="24"/>
          <w:szCs w:val="24"/>
        </w:rPr>
        <w:t>The test was generally positively received</w:t>
      </w:r>
    </w:p>
    <w:p w14:paraId="72CA9A61" w14:textId="77777777" w:rsidR="00EB0F88" w:rsidRPr="00414315" w:rsidRDefault="00EB0F88" w:rsidP="00EB0F88">
      <w:pPr>
        <w:pStyle w:val="ListParagraph"/>
        <w:numPr>
          <w:ilvl w:val="0"/>
          <w:numId w:val="3"/>
        </w:numPr>
        <w:spacing w:after="120" w:line="360" w:lineRule="auto"/>
        <w:mirrorIndents/>
        <w:rPr>
          <w:rFonts w:cstheme="minorHAnsi"/>
          <w:color w:val="00B050"/>
          <w:sz w:val="24"/>
          <w:szCs w:val="24"/>
        </w:rPr>
      </w:pPr>
      <w:r w:rsidRPr="00414315">
        <w:rPr>
          <w:rFonts w:cstheme="minorHAnsi"/>
          <w:color w:val="00B050"/>
          <w:sz w:val="24"/>
          <w:szCs w:val="24"/>
        </w:rPr>
        <w:t>Respondents highlighted benefits such as identifying strengths and weaknesses, learning in a more engaging way, and practicing in a timed setting. This aligns with the intended outcomes, indicating that the quiz was successful in achieving these objectives.</w:t>
      </w:r>
    </w:p>
    <w:p w14:paraId="61917718" w14:textId="77777777" w:rsidR="00EB0F88" w:rsidRPr="00414315" w:rsidRDefault="00EB0F88" w:rsidP="00EB0F88">
      <w:pPr>
        <w:pStyle w:val="ListParagraph"/>
        <w:numPr>
          <w:ilvl w:val="0"/>
          <w:numId w:val="3"/>
        </w:numPr>
        <w:spacing w:after="120" w:line="360" w:lineRule="auto"/>
        <w:mirrorIndents/>
        <w:rPr>
          <w:rFonts w:cstheme="minorHAnsi"/>
          <w:color w:val="00B050"/>
          <w:sz w:val="24"/>
          <w:szCs w:val="24"/>
        </w:rPr>
      </w:pPr>
      <w:r w:rsidRPr="00414315">
        <w:rPr>
          <w:rFonts w:cstheme="minorHAnsi"/>
          <w:color w:val="00B050"/>
          <w:sz w:val="24"/>
          <w:szCs w:val="24"/>
        </w:rPr>
        <w:t>The difficulty varied, with a majority finding it neutral and one respondent finding it somewhat difficult. This suggests that the quiz's complexity might be subjective and dependent on individual understanding. It also suggested the necessity of adjusting the questions to the level of at least ‘slightly challenging’</w:t>
      </w:r>
    </w:p>
    <w:p w14:paraId="2492B74D" w14:textId="77777777" w:rsidR="00EB0F88" w:rsidRPr="00414315" w:rsidRDefault="00EB0F88" w:rsidP="00EB0F88">
      <w:pPr>
        <w:pStyle w:val="ListParagraph"/>
        <w:numPr>
          <w:ilvl w:val="0"/>
          <w:numId w:val="3"/>
        </w:numPr>
        <w:spacing w:after="120" w:line="360" w:lineRule="auto"/>
        <w:mirrorIndents/>
        <w:rPr>
          <w:rFonts w:cstheme="minorHAnsi"/>
          <w:color w:val="00B050"/>
          <w:sz w:val="24"/>
          <w:szCs w:val="24"/>
        </w:rPr>
      </w:pPr>
      <w:r w:rsidRPr="00414315">
        <w:rPr>
          <w:rFonts w:cstheme="minorHAnsi"/>
          <w:color w:val="00B050"/>
          <w:sz w:val="24"/>
          <w:szCs w:val="24"/>
        </w:rPr>
        <w:t>In students opinion there was still time pressure and a perceived lack of engagement emerged as the most common difficulties. This emphasizes the need to strike a balance between excitement and potential stressors, as well as enhancing engagement elements.</w:t>
      </w:r>
    </w:p>
    <w:p w14:paraId="2B8EC7CF" w14:textId="77777777" w:rsidR="00EB0F88" w:rsidRPr="00414315" w:rsidRDefault="00EB0F88" w:rsidP="00EB0F88">
      <w:pPr>
        <w:pStyle w:val="ListParagraph"/>
        <w:numPr>
          <w:ilvl w:val="0"/>
          <w:numId w:val="3"/>
        </w:numPr>
        <w:spacing w:after="120" w:line="360" w:lineRule="auto"/>
        <w:mirrorIndents/>
        <w:rPr>
          <w:rFonts w:cstheme="minorHAnsi"/>
          <w:color w:val="00B050"/>
          <w:sz w:val="24"/>
          <w:szCs w:val="24"/>
        </w:rPr>
      </w:pPr>
      <w:r w:rsidRPr="00414315">
        <w:rPr>
          <w:rFonts w:cstheme="minorHAnsi"/>
          <w:color w:val="00B050"/>
          <w:sz w:val="24"/>
          <w:szCs w:val="24"/>
        </w:rPr>
        <w:lastRenderedPageBreak/>
        <w:t>All respondents found the format appropriate, indicating that the chosen question formats effectively assessed their understanding of the material.</w:t>
      </w:r>
    </w:p>
    <w:p w14:paraId="1F942AF1" w14:textId="77777777" w:rsidR="00EB0F88" w:rsidRPr="00414315" w:rsidRDefault="00EB0F88" w:rsidP="00EB0F88">
      <w:pPr>
        <w:pStyle w:val="ListParagraph"/>
        <w:numPr>
          <w:ilvl w:val="0"/>
          <w:numId w:val="3"/>
        </w:numPr>
        <w:spacing w:after="120" w:line="360" w:lineRule="auto"/>
        <w:mirrorIndents/>
        <w:rPr>
          <w:rFonts w:cstheme="minorHAnsi"/>
          <w:color w:val="00B050"/>
          <w:sz w:val="24"/>
          <w:szCs w:val="24"/>
        </w:rPr>
      </w:pPr>
      <w:r w:rsidRPr="00414315">
        <w:rPr>
          <w:rFonts w:cstheme="minorHAnsi"/>
          <w:color w:val="00B050"/>
          <w:sz w:val="24"/>
          <w:szCs w:val="24"/>
        </w:rPr>
        <w:t>The most common suggestions for future improvements included adding more questions and implementing a compulsory timer. Additionally, one respondent suggested "no text answers," indicating a preference for specific response formats.</w:t>
      </w:r>
    </w:p>
    <w:p w14:paraId="124011C1"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Considering the survey results collectively, the </w:t>
      </w:r>
      <w:proofErr w:type="spellStart"/>
      <w:r w:rsidRPr="00414315">
        <w:rPr>
          <w:rFonts w:cstheme="minorHAnsi"/>
          <w:sz w:val="24"/>
          <w:szCs w:val="24"/>
        </w:rPr>
        <w:t>Vevox</w:t>
      </w:r>
      <w:proofErr w:type="spellEnd"/>
      <w:r w:rsidRPr="00414315">
        <w:rPr>
          <w:rFonts w:cstheme="minorHAnsi"/>
          <w:sz w:val="24"/>
          <w:szCs w:val="24"/>
        </w:rPr>
        <w:t xml:space="preserve"> online revision quiz was generally well-received by students. Most found it extremely or somewhat useful, highlighting the quiz's effectiveness in achieving its intended outcomes. The benefits mentioned, such as identifying strengths and weaknesses, engaging learning, and practicing in a timed setting, align with the specified learning objectives.</w:t>
      </w:r>
    </w:p>
    <w:p w14:paraId="3EF5E76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These insights prompted a </w:t>
      </w:r>
      <w:proofErr w:type="spellStart"/>
      <w:r w:rsidRPr="00414315">
        <w:rPr>
          <w:rFonts w:cstheme="minorHAnsi"/>
          <w:sz w:val="24"/>
          <w:szCs w:val="24"/>
        </w:rPr>
        <w:t>reevaluation</w:t>
      </w:r>
      <w:proofErr w:type="spellEnd"/>
      <w:r w:rsidRPr="00414315">
        <w:rPr>
          <w:rFonts w:cstheme="minorHAnsi"/>
          <w:sz w:val="24"/>
          <w:szCs w:val="24"/>
        </w:rPr>
        <w:t xml:space="preserve"> of the quiz's effectiveness and highlighted areas for improvement.</w:t>
      </w:r>
    </w:p>
    <w:p w14:paraId="7ABBA03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b/>
          <w:bCs/>
          <w:sz w:val="24"/>
          <w:szCs w:val="24"/>
        </w:rPr>
        <w:t>Analysis:</w:t>
      </w:r>
      <w:r w:rsidRPr="00414315">
        <w:rPr>
          <w:rFonts w:cstheme="minorHAnsi"/>
          <w:sz w:val="24"/>
          <w:szCs w:val="24"/>
        </w:rPr>
        <w:t xml:space="preserve"> Amidst the positive aspects, it was evident that there were specific areas that required attention. The positive impact of immediate feedback and explanations on student learning was recognized as positive. On the other hand,  the need for improved quiz difficulty, question variety, and time management became apparent, prompting a deeper analysis of how these elements could be enhanced.</w:t>
      </w:r>
    </w:p>
    <w:p w14:paraId="0AFEBF4B"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The realization that questions should align with Bloom's taxonomy to include higher-order thinking skills such as application, problem-solving, and critical thinking added a layer of complexity to the analysis. Balancing these advanced question types with the students' capabilities and ensuring they remain within an appropriate difficulty range became a key consideration.</w:t>
      </w:r>
    </w:p>
    <w:p w14:paraId="69FD5B36"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b/>
          <w:bCs/>
          <w:sz w:val="24"/>
          <w:szCs w:val="24"/>
        </w:rPr>
        <w:t>Conclusion:</w:t>
      </w:r>
      <w:r w:rsidRPr="00414315">
        <w:rPr>
          <w:rFonts w:cstheme="minorHAnsi"/>
          <w:sz w:val="24"/>
          <w:szCs w:val="24"/>
        </w:rPr>
        <w:t xml:space="preserve"> The survey results collectively suggested that, while the </w:t>
      </w:r>
      <w:proofErr w:type="spellStart"/>
      <w:r w:rsidRPr="00414315">
        <w:rPr>
          <w:rFonts w:cstheme="minorHAnsi"/>
          <w:sz w:val="24"/>
          <w:szCs w:val="24"/>
        </w:rPr>
        <w:t>Vevox</w:t>
      </w:r>
      <w:proofErr w:type="spellEnd"/>
      <w:r w:rsidRPr="00414315">
        <w:rPr>
          <w:rFonts w:cstheme="minorHAnsi"/>
          <w:sz w:val="24"/>
          <w:szCs w:val="24"/>
        </w:rPr>
        <w:t xml:space="preserve"> online revision quiz served its intended purpose for many respondents, there were specific areas where enhancements could lead to increased effectiveness. The positive impact on student motivation was notable, showcasing the potential of the quiz as a valuable tool for learning and exam preparation.</w:t>
      </w:r>
    </w:p>
    <w:p w14:paraId="37A124F2"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Acknowledging that improvements were necessary, the conclusion drawn from the analysis was that the </w:t>
      </w:r>
      <w:proofErr w:type="spellStart"/>
      <w:r w:rsidRPr="00414315">
        <w:rPr>
          <w:rFonts w:cstheme="minorHAnsi"/>
          <w:sz w:val="24"/>
          <w:szCs w:val="24"/>
        </w:rPr>
        <w:t>Vevox</w:t>
      </w:r>
      <w:proofErr w:type="spellEnd"/>
      <w:r w:rsidRPr="00414315">
        <w:rPr>
          <w:rFonts w:cstheme="minorHAnsi"/>
          <w:sz w:val="24"/>
          <w:szCs w:val="24"/>
        </w:rPr>
        <w:t xml:space="preserve"> revision quiz could be further refined to maximize its effectiveness as a learning tool. The acknowledgment of both strengths and areas for improvement set the stage for the subsequent action plan.</w:t>
      </w:r>
    </w:p>
    <w:p w14:paraId="3C133B32"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b/>
          <w:bCs/>
          <w:sz w:val="24"/>
          <w:szCs w:val="24"/>
        </w:rPr>
        <w:lastRenderedPageBreak/>
        <w:t>Action Plan:</w:t>
      </w:r>
      <w:r w:rsidRPr="00414315">
        <w:rPr>
          <w:rFonts w:cstheme="minorHAnsi"/>
          <w:sz w:val="24"/>
          <w:szCs w:val="24"/>
        </w:rPr>
        <w:t xml:space="preserve"> The survey results and reflective analysis lay the foundation for a continuous improvement approach. The action plan outlines specific steps to address the identified areas for enhancement, ensuring that future iterations of the </w:t>
      </w:r>
      <w:proofErr w:type="spellStart"/>
      <w:r w:rsidRPr="00414315">
        <w:rPr>
          <w:rFonts w:cstheme="minorHAnsi"/>
          <w:sz w:val="24"/>
          <w:szCs w:val="24"/>
        </w:rPr>
        <w:t>Vevox</w:t>
      </w:r>
      <w:proofErr w:type="spellEnd"/>
      <w:r w:rsidRPr="00414315">
        <w:rPr>
          <w:rFonts w:cstheme="minorHAnsi"/>
          <w:sz w:val="24"/>
          <w:szCs w:val="24"/>
        </w:rPr>
        <w:t xml:space="preserve"> revision quiz are even more effective in meeting the diverse needs of students.</w:t>
      </w:r>
    </w:p>
    <w:p w14:paraId="48D2BA7D"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 Several concrete steps were outlined in the action plan to address the identified areas for improvement: Implement a compulsory timer with carefully considered limits to maintain excitement while accommodating the needs of students, particularly those with special requirements.</w:t>
      </w:r>
    </w:p>
    <w:p w14:paraId="574938A2"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u w:val="single"/>
        </w:rPr>
        <w:t xml:space="preserve">Adjust question difficulty </w:t>
      </w:r>
      <w:r w:rsidRPr="00414315">
        <w:rPr>
          <w:rFonts w:cstheme="minorHAnsi"/>
          <w:sz w:val="24"/>
          <w:szCs w:val="24"/>
        </w:rPr>
        <w:t>to align with Bloom's taxonomy, introducing more sophisticated questions that go beyond conceptual understanding. Attempt to incorporate application, problem-solving, and critical thinking elements, while carefully considering students' capabilities.</w:t>
      </w:r>
    </w:p>
    <w:p w14:paraId="2F0E75EB"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I can integrate interactive short videos or images and other multimedia content to enhance engagement. Invest more in gamification features provided by </w:t>
      </w:r>
      <w:proofErr w:type="spellStart"/>
      <w:r w:rsidRPr="00414315">
        <w:rPr>
          <w:rFonts w:cstheme="minorHAnsi"/>
          <w:sz w:val="24"/>
          <w:szCs w:val="24"/>
        </w:rPr>
        <w:t>Vevox</w:t>
      </w:r>
      <w:proofErr w:type="spellEnd"/>
      <w:r w:rsidRPr="00414315">
        <w:rPr>
          <w:rFonts w:cstheme="minorHAnsi"/>
          <w:sz w:val="24"/>
          <w:szCs w:val="24"/>
        </w:rPr>
        <w:t xml:space="preserve"> to create a more competitive environment experience. Emphasize the positive feedback regarding student motivation and explore ways to enhance this aspect further. Consider incorporating additional motivational elements into the quiz to encourage active participation and learning.</w:t>
      </w:r>
    </w:p>
    <w:p w14:paraId="58CE94C2" w14:textId="77777777" w:rsidR="00EB0F88" w:rsidRPr="00414315" w:rsidRDefault="00EB0F88" w:rsidP="00EB0F88">
      <w:pPr>
        <w:spacing w:after="120" w:line="360" w:lineRule="auto"/>
        <w:contextualSpacing/>
        <w:mirrorIndents/>
        <w:rPr>
          <w:rFonts w:cstheme="minorHAnsi"/>
          <w:sz w:val="24"/>
          <w:szCs w:val="24"/>
        </w:rPr>
      </w:pPr>
    </w:p>
    <w:p w14:paraId="082DAEE5"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Responding to the suggestion to </w:t>
      </w:r>
      <w:r w:rsidRPr="00414315">
        <w:rPr>
          <w:rFonts w:cstheme="minorHAnsi"/>
          <w:sz w:val="24"/>
          <w:szCs w:val="24"/>
          <w:u w:val="single"/>
        </w:rPr>
        <w:t>include more questions</w:t>
      </w:r>
      <w:r w:rsidRPr="00414315">
        <w:rPr>
          <w:rFonts w:cstheme="minorHAnsi"/>
          <w:sz w:val="24"/>
          <w:szCs w:val="24"/>
        </w:rPr>
        <w:t>, expand the quiz's number of questions to offer a more comprehensive review of the subject matter. This expansion provides additional practice opportunities for students.</w:t>
      </w:r>
    </w:p>
    <w:p w14:paraId="5B9B478E"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Another area for </w:t>
      </w:r>
      <w:r w:rsidRPr="00414315">
        <w:rPr>
          <w:rFonts w:cstheme="minorHAnsi"/>
          <w:sz w:val="24"/>
          <w:szCs w:val="24"/>
          <w:u w:val="single"/>
        </w:rPr>
        <w:t>adjustment is time</w:t>
      </w:r>
      <w:r w:rsidRPr="00414315">
        <w:rPr>
          <w:rFonts w:cstheme="minorHAnsi"/>
          <w:sz w:val="24"/>
          <w:szCs w:val="24"/>
        </w:rPr>
        <w:t xml:space="preserve">. If again the same quiz were given, I should increase the time limit for the quiz to address concerns about duration. This adjustment aims to provide students with sufficient time to read and answer questions adequately, mitigating potential stressors but in practice, if I change the questions to ones that check analytical and critical thinking I will be able to shorten time. </w:t>
      </w:r>
    </w:p>
    <w:p w14:paraId="6F14ED8C"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Clarify expectations regarding </w:t>
      </w:r>
      <w:r w:rsidRPr="00414315">
        <w:rPr>
          <w:rFonts w:cstheme="minorHAnsi"/>
          <w:sz w:val="24"/>
          <w:szCs w:val="24"/>
          <w:u w:val="single"/>
        </w:rPr>
        <w:t>text answers</w:t>
      </w:r>
      <w:r w:rsidRPr="00414315">
        <w:rPr>
          <w:rFonts w:cstheme="minorHAnsi"/>
          <w:sz w:val="24"/>
          <w:szCs w:val="24"/>
        </w:rPr>
        <w:t xml:space="preserve"> based on the feedback received. If text answers are allowed, provide clear instructions on formatting. If not, consider limiting response options to multiple-choice or other specified formats.</w:t>
      </w:r>
    </w:p>
    <w:p w14:paraId="10EA0155"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lastRenderedPageBreak/>
        <w:t>After implementing improvements, seek additional feedback from students to gauge the effectiveness of changes. Utilize post-quiz surveys or open discussions to understand how the adjustments are perceived and identify any further areas for improvement.</w:t>
      </w:r>
    </w:p>
    <w:p w14:paraId="7C41DBE3"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Embrace a mindset of continuous improvement, utilizing feedback obtained from each quiz administration to refine and enhance the quiz for future iterations. Regularly assess the effectiveness of the quiz and make necessary adjustments based on student feedback and learning outcomes.</w:t>
      </w:r>
    </w:p>
    <w:p w14:paraId="059D94A5" w14:textId="77777777" w:rsidR="00EB0F88" w:rsidRPr="00414315" w:rsidRDefault="00EB0F88" w:rsidP="00EB0F88">
      <w:pPr>
        <w:spacing w:after="120" w:line="360" w:lineRule="auto"/>
        <w:contextualSpacing/>
        <w:mirrorIndents/>
        <w:rPr>
          <w:rFonts w:cstheme="minorHAnsi"/>
          <w:sz w:val="24"/>
          <w:szCs w:val="24"/>
        </w:rPr>
      </w:pPr>
    </w:p>
    <w:p w14:paraId="095C371E"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However, critical aspects requiring attention were identified. Some respondents found the quiz not engaging, and others felt the time was too short. Additionally, the suggestion to add more questions and implement a compulsory timer indicates areas where adjustments can lead to a more comprehensive and dynamic quiz experience.</w:t>
      </w:r>
    </w:p>
    <w:p w14:paraId="31BB1DB7" w14:textId="77777777" w:rsidR="00EB0F88" w:rsidRPr="00414315" w:rsidRDefault="00EB0F88" w:rsidP="00EB0F88">
      <w:pPr>
        <w:spacing w:after="120" w:line="360" w:lineRule="auto"/>
        <w:contextualSpacing/>
        <w:mirrorIndents/>
        <w:rPr>
          <w:rFonts w:cstheme="minorHAnsi"/>
          <w:sz w:val="24"/>
          <w:szCs w:val="24"/>
        </w:rPr>
      </w:pPr>
    </w:p>
    <w:p w14:paraId="726FC893"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The analysis of each question highlighted the nuanced perspectives of students, ranging from positive perceptions of utility to concerns about engagement and timing and provided valuable guidance for refining the quiz implementation and aligning it more closely with student needs.</w:t>
      </w:r>
    </w:p>
    <w:p w14:paraId="456E9A1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The survey results indicated success in achieving some of these outcomes. The majority of respondents found the quiz extremely or somewhat useful, emphasizing its effectiveness in helping them identify strengths and weaknesses. Learning more engagingly and practising in a timed setting were also highlighted as benefits by some respondents.</w:t>
      </w:r>
    </w:p>
    <w:p w14:paraId="3F1AA419"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Identified areas for improvement include engagement and the time allotted. </w:t>
      </w:r>
    </w:p>
    <w:p w14:paraId="7C1625F3"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Considering the critical feedback provided by respondents, future considerations include:</w:t>
      </w:r>
    </w:p>
    <w:p w14:paraId="78BAD76E" w14:textId="77777777" w:rsidR="00EB0F88" w:rsidRPr="00414315" w:rsidRDefault="00EB0F88" w:rsidP="00EB0F88">
      <w:pPr>
        <w:spacing w:after="120" w:line="360" w:lineRule="auto"/>
        <w:contextualSpacing/>
        <w:mirrorIndents/>
        <w:rPr>
          <w:rFonts w:cstheme="minorHAnsi"/>
          <w:sz w:val="24"/>
          <w:szCs w:val="24"/>
        </w:rPr>
      </w:pPr>
    </w:p>
    <w:p w14:paraId="32E7966A"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Engagement Strategies: Explore and implement additional engagement strategies, such as multimedia content, to make the quiz more visually appealing and captivating for students.</w:t>
      </w:r>
    </w:p>
    <w:p w14:paraId="7982394B"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Time Management Strategies: While increasing the time limit, also consider strategies to manage time effectively within the quiz. This could involve optimizing the balance between question complexity and the allocated time.</w:t>
      </w:r>
    </w:p>
    <w:p w14:paraId="13DCFBD1"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Inclusive Approaches: Ensure that improvements made, such as implementing a compulsory timer, consider the inclusivity of all students, including those with special needs. Strive for an environment where every student can participate comfortably.</w:t>
      </w:r>
    </w:p>
    <w:p w14:paraId="1FB54749"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lastRenderedPageBreak/>
        <w:t>Text Answer Considerations: Address the feedback regarding text answers by providing clear instructions or, if feasible, considering their inclusion. This ensures that the quiz format accommodates diverse preferences and learning styles.</w:t>
      </w:r>
    </w:p>
    <w:p w14:paraId="087C8481"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Motivational Elements: Emphasize and explore additional motivational elements to further enhance students' active participation and enthusiasm for revision.</w:t>
      </w:r>
    </w:p>
    <w:p w14:paraId="2BF3F932"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Alignment with Learning Objectives: Continuously review and refine quiz questions to closely align with the learning objectives of the course. Ensure that the content covered in the quiz is directly relevant to key concepts and topics students are expected to know.</w:t>
      </w:r>
    </w:p>
    <w:p w14:paraId="49ABACB5"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Feedback Loop: Establish a feedback loop by consistently gathering input from students after each quiz iteration. This ongoing process ensures that the quiz remains a dynamic and adaptive tool that evolves based on real-time student experiences.</w:t>
      </w:r>
    </w:p>
    <w:p w14:paraId="5A0D88C6" w14:textId="77777777" w:rsidR="00EB0F88" w:rsidRPr="00414315" w:rsidRDefault="00EB0F88" w:rsidP="00EB0F88">
      <w:pPr>
        <w:spacing w:after="120" w:line="360" w:lineRule="auto"/>
        <w:contextualSpacing/>
        <w:mirrorIndents/>
        <w:rPr>
          <w:rFonts w:cstheme="minorHAnsi"/>
          <w:sz w:val="24"/>
          <w:szCs w:val="24"/>
        </w:rPr>
      </w:pPr>
      <w:r w:rsidRPr="00414315">
        <w:rPr>
          <w:rFonts w:cstheme="minorHAnsi"/>
          <w:sz w:val="24"/>
          <w:szCs w:val="24"/>
        </w:rPr>
        <w:t xml:space="preserve">In summary, the </w:t>
      </w:r>
      <w:proofErr w:type="spellStart"/>
      <w:r w:rsidRPr="00414315">
        <w:rPr>
          <w:rFonts w:cstheme="minorHAnsi"/>
          <w:sz w:val="24"/>
          <w:szCs w:val="24"/>
        </w:rPr>
        <w:t>Vevox</w:t>
      </w:r>
      <w:proofErr w:type="spellEnd"/>
      <w:r w:rsidRPr="00414315">
        <w:rPr>
          <w:rFonts w:cstheme="minorHAnsi"/>
          <w:sz w:val="24"/>
          <w:szCs w:val="24"/>
        </w:rPr>
        <w:t xml:space="preserve"> online revision quiz has demonstrated its potential as a valuable tool for students, with positive feedback indicating its utility in achieving intended outcomes. The reflective analysis, coupled with the action plan and future considerations, sets the stage for continuous improvement and a commitment to refining the quiz for an even more impactful learning experience. This iterative approach aligns with the principles of effective pedagogy, ensuring that educational tools evolve to meet the dynamic needs of students and contribute meaningfully to their learning journey.</w:t>
      </w:r>
    </w:p>
    <w:p w14:paraId="5444F8C8" w14:textId="77777777" w:rsidR="00EB0F88" w:rsidRPr="00414315" w:rsidRDefault="00EB0F88" w:rsidP="00EB0F88">
      <w:pPr>
        <w:spacing w:after="120" w:line="360" w:lineRule="auto"/>
        <w:contextualSpacing/>
        <w:mirrorIndents/>
        <w:rPr>
          <w:rFonts w:cstheme="minorHAnsi"/>
          <w:sz w:val="24"/>
          <w:szCs w:val="24"/>
        </w:rPr>
      </w:pPr>
    </w:p>
    <w:p w14:paraId="7658D1B2" w14:textId="77777777" w:rsidR="00946B91" w:rsidRPr="001C1464" w:rsidRDefault="00946B91" w:rsidP="001C1464">
      <w:pPr>
        <w:spacing w:after="120" w:line="360" w:lineRule="auto"/>
        <w:contextualSpacing/>
        <w:mirrorIndents/>
        <w:rPr>
          <w:rFonts w:cstheme="minorHAnsi"/>
        </w:rPr>
      </w:pPr>
    </w:p>
    <w:sectPr w:rsidR="00946B91" w:rsidRPr="001C14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öhne">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053BA"/>
    <w:multiLevelType w:val="hybridMultilevel"/>
    <w:tmpl w:val="8DBCCAF8"/>
    <w:lvl w:ilvl="0" w:tplc="B960506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8270F"/>
    <w:multiLevelType w:val="hybridMultilevel"/>
    <w:tmpl w:val="282C9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E201EB"/>
    <w:multiLevelType w:val="hybridMultilevel"/>
    <w:tmpl w:val="1F9291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D0"/>
    <w:rsid w:val="00032546"/>
    <w:rsid w:val="00054533"/>
    <w:rsid w:val="000F5B54"/>
    <w:rsid w:val="00185F50"/>
    <w:rsid w:val="001C1464"/>
    <w:rsid w:val="001D09AD"/>
    <w:rsid w:val="001D67B4"/>
    <w:rsid w:val="002414C9"/>
    <w:rsid w:val="002824C9"/>
    <w:rsid w:val="002A0AB9"/>
    <w:rsid w:val="002A6DDA"/>
    <w:rsid w:val="002C5BED"/>
    <w:rsid w:val="002E1328"/>
    <w:rsid w:val="002F1C90"/>
    <w:rsid w:val="00345D96"/>
    <w:rsid w:val="003A689E"/>
    <w:rsid w:val="003B544D"/>
    <w:rsid w:val="003C7C27"/>
    <w:rsid w:val="003D598A"/>
    <w:rsid w:val="00403FD0"/>
    <w:rsid w:val="00457A42"/>
    <w:rsid w:val="004A290B"/>
    <w:rsid w:val="004C34EA"/>
    <w:rsid w:val="004D695A"/>
    <w:rsid w:val="0050096F"/>
    <w:rsid w:val="00506E32"/>
    <w:rsid w:val="00521897"/>
    <w:rsid w:val="00522C50"/>
    <w:rsid w:val="00583954"/>
    <w:rsid w:val="00590D91"/>
    <w:rsid w:val="005B395F"/>
    <w:rsid w:val="006730C0"/>
    <w:rsid w:val="00674097"/>
    <w:rsid w:val="006F4D6F"/>
    <w:rsid w:val="00766DDC"/>
    <w:rsid w:val="00774841"/>
    <w:rsid w:val="00780341"/>
    <w:rsid w:val="007872F4"/>
    <w:rsid w:val="007A67D1"/>
    <w:rsid w:val="007C28AD"/>
    <w:rsid w:val="007D138D"/>
    <w:rsid w:val="007E2978"/>
    <w:rsid w:val="007E69F9"/>
    <w:rsid w:val="00816319"/>
    <w:rsid w:val="00821801"/>
    <w:rsid w:val="00827D64"/>
    <w:rsid w:val="00834829"/>
    <w:rsid w:val="00865F80"/>
    <w:rsid w:val="008C7DC0"/>
    <w:rsid w:val="009170D0"/>
    <w:rsid w:val="00946B91"/>
    <w:rsid w:val="00994143"/>
    <w:rsid w:val="009950BD"/>
    <w:rsid w:val="009A70C0"/>
    <w:rsid w:val="009A7D3B"/>
    <w:rsid w:val="009E42ED"/>
    <w:rsid w:val="00A60A7C"/>
    <w:rsid w:val="00AA4BE8"/>
    <w:rsid w:val="00AF6BB2"/>
    <w:rsid w:val="00B548EA"/>
    <w:rsid w:val="00B7128F"/>
    <w:rsid w:val="00C16164"/>
    <w:rsid w:val="00C27DDA"/>
    <w:rsid w:val="00D00ACE"/>
    <w:rsid w:val="00D02493"/>
    <w:rsid w:val="00D6647A"/>
    <w:rsid w:val="00DA5BD8"/>
    <w:rsid w:val="00DB2FE2"/>
    <w:rsid w:val="00DD4598"/>
    <w:rsid w:val="00DD7DE6"/>
    <w:rsid w:val="00E052A2"/>
    <w:rsid w:val="00E3268D"/>
    <w:rsid w:val="00E431DC"/>
    <w:rsid w:val="00E7179F"/>
    <w:rsid w:val="00E7604F"/>
    <w:rsid w:val="00E85850"/>
    <w:rsid w:val="00EB0F88"/>
    <w:rsid w:val="00F97FBF"/>
    <w:rsid w:val="00FD1098"/>
    <w:rsid w:val="00FD4C41"/>
    <w:rsid w:val="00FE13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4890"/>
  <w15:chartTrackingRefBased/>
  <w15:docId w15:val="{3093EC7F-B0AB-4F3A-A801-A950A95CD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801"/>
    <w:pPr>
      <w:ind w:left="720"/>
      <w:contextualSpacing/>
    </w:pPr>
  </w:style>
  <w:style w:type="paragraph" w:styleId="NormalWeb">
    <w:name w:val="Normal (Web)"/>
    <w:basedOn w:val="Normal"/>
    <w:uiPriority w:val="99"/>
    <w:semiHidden/>
    <w:unhideWhenUsed/>
    <w:rsid w:val="001C14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614">
      <w:bodyDiv w:val="1"/>
      <w:marLeft w:val="0"/>
      <w:marRight w:val="0"/>
      <w:marTop w:val="0"/>
      <w:marBottom w:val="0"/>
      <w:divBdr>
        <w:top w:val="none" w:sz="0" w:space="0" w:color="auto"/>
        <w:left w:val="none" w:sz="0" w:space="0" w:color="auto"/>
        <w:bottom w:val="none" w:sz="0" w:space="0" w:color="auto"/>
        <w:right w:val="none" w:sz="0" w:space="0" w:color="auto"/>
      </w:divBdr>
    </w:div>
    <w:div w:id="26957865">
      <w:bodyDiv w:val="1"/>
      <w:marLeft w:val="0"/>
      <w:marRight w:val="0"/>
      <w:marTop w:val="0"/>
      <w:marBottom w:val="0"/>
      <w:divBdr>
        <w:top w:val="none" w:sz="0" w:space="0" w:color="auto"/>
        <w:left w:val="none" w:sz="0" w:space="0" w:color="auto"/>
        <w:bottom w:val="none" w:sz="0" w:space="0" w:color="auto"/>
        <w:right w:val="none" w:sz="0" w:space="0" w:color="auto"/>
      </w:divBdr>
    </w:div>
    <w:div w:id="27461768">
      <w:bodyDiv w:val="1"/>
      <w:marLeft w:val="0"/>
      <w:marRight w:val="0"/>
      <w:marTop w:val="0"/>
      <w:marBottom w:val="0"/>
      <w:divBdr>
        <w:top w:val="none" w:sz="0" w:space="0" w:color="auto"/>
        <w:left w:val="none" w:sz="0" w:space="0" w:color="auto"/>
        <w:bottom w:val="none" w:sz="0" w:space="0" w:color="auto"/>
        <w:right w:val="none" w:sz="0" w:space="0" w:color="auto"/>
      </w:divBdr>
    </w:div>
    <w:div w:id="87430310">
      <w:bodyDiv w:val="1"/>
      <w:marLeft w:val="0"/>
      <w:marRight w:val="0"/>
      <w:marTop w:val="0"/>
      <w:marBottom w:val="0"/>
      <w:divBdr>
        <w:top w:val="none" w:sz="0" w:space="0" w:color="auto"/>
        <w:left w:val="none" w:sz="0" w:space="0" w:color="auto"/>
        <w:bottom w:val="none" w:sz="0" w:space="0" w:color="auto"/>
        <w:right w:val="none" w:sz="0" w:space="0" w:color="auto"/>
      </w:divBdr>
    </w:div>
    <w:div w:id="96171733">
      <w:bodyDiv w:val="1"/>
      <w:marLeft w:val="0"/>
      <w:marRight w:val="0"/>
      <w:marTop w:val="0"/>
      <w:marBottom w:val="0"/>
      <w:divBdr>
        <w:top w:val="none" w:sz="0" w:space="0" w:color="auto"/>
        <w:left w:val="none" w:sz="0" w:space="0" w:color="auto"/>
        <w:bottom w:val="none" w:sz="0" w:space="0" w:color="auto"/>
        <w:right w:val="none" w:sz="0" w:space="0" w:color="auto"/>
      </w:divBdr>
    </w:div>
    <w:div w:id="190730430">
      <w:bodyDiv w:val="1"/>
      <w:marLeft w:val="0"/>
      <w:marRight w:val="0"/>
      <w:marTop w:val="0"/>
      <w:marBottom w:val="0"/>
      <w:divBdr>
        <w:top w:val="none" w:sz="0" w:space="0" w:color="auto"/>
        <w:left w:val="none" w:sz="0" w:space="0" w:color="auto"/>
        <w:bottom w:val="none" w:sz="0" w:space="0" w:color="auto"/>
        <w:right w:val="none" w:sz="0" w:space="0" w:color="auto"/>
      </w:divBdr>
    </w:div>
    <w:div w:id="335496650">
      <w:bodyDiv w:val="1"/>
      <w:marLeft w:val="0"/>
      <w:marRight w:val="0"/>
      <w:marTop w:val="0"/>
      <w:marBottom w:val="0"/>
      <w:divBdr>
        <w:top w:val="none" w:sz="0" w:space="0" w:color="auto"/>
        <w:left w:val="none" w:sz="0" w:space="0" w:color="auto"/>
        <w:bottom w:val="none" w:sz="0" w:space="0" w:color="auto"/>
        <w:right w:val="none" w:sz="0" w:space="0" w:color="auto"/>
      </w:divBdr>
    </w:div>
    <w:div w:id="339239875">
      <w:bodyDiv w:val="1"/>
      <w:marLeft w:val="0"/>
      <w:marRight w:val="0"/>
      <w:marTop w:val="0"/>
      <w:marBottom w:val="0"/>
      <w:divBdr>
        <w:top w:val="none" w:sz="0" w:space="0" w:color="auto"/>
        <w:left w:val="none" w:sz="0" w:space="0" w:color="auto"/>
        <w:bottom w:val="none" w:sz="0" w:space="0" w:color="auto"/>
        <w:right w:val="none" w:sz="0" w:space="0" w:color="auto"/>
      </w:divBdr>
    </w:div>
    <w:div w:id="377821401">
      <w:bodyDiv w:val="1"/>
      <w:marLeft w:val="0"/>
      <w:marRight w:val="0"/>
      <w:marTop w:val="0"/>
      <w:marBottom w:val="0"/>
      <w:divBdr>
        <w:top w:val="none" w:sz="0" w:space="0" w:color="auto"/>
        <w:left w:val="none" w:sz="0" w:space="0" w:color="auto"/>
        <w:bottom w:val="none" w:sz="0" w:space="0" w:color="auto"/>
        <w:right w:val="none" w:sz="0" w:space="0" w:color="auto"/>
      </w:divBdr>
    </w:div>
    <w:div w:id="387386419">
      <w:bodyDiv w:val="1"/>
      <w:marLeft w:val="0"/>
      <w:marRight w:val="0"/>
      <w:marTop w:val="0"/>
      <w:marBottom w:val="0"/>
      <w:divBdr>
        <w:top w:val="none" w:sz="0" w:space="0" w:color="auto"/>
        <w:left w:val="none" w:sz="0" w:space="0" w:color="auto"/>
        <w:bottom w:val="none" w:sz="0" w:space="0" w:color="auto"/>
        <w:right w:val="none" w:sz="0" w:space="0" w:color="auto"/>
      </w:divBdr>
    </w:div>
    <w:div w:id="430321942">
      <w:bodyDiv w:val="1"/>
      <w:marLeft w:val="0"/>
      <w:marRight w:val="0"/>
      <w:marTop w:val="0"/>
      <w:marBottom w:val="0"/>
      <w:divBdr>
        <w:top w:val="none" w:sz="0" w:space="0" w:color="auto"/>
        <w:left w:val="none" w:sz="0" w:space="0" w:color="auto"/>
        <w:bottom w:val="none" w:sz="0" w:space="0" w:color="auto"/>
        <w:right w:val="none" w:sz="0" w:space="0" w:color="auto"/>
      </w:divBdr>
    </w:div>
    <w:div w:id="525827722">
      <w:bodyDiv w:val="1"/>
      <w:marLeft w:val="0"/>
      <w:marRight w:val="0"/>
      <w:marTop w:val="0"/>
      <w:marBottom w:val="0"/>
      <w:divBdr>
        <w:top w:val="none" w:sz="0" w:space="0" w:color="auto"/>
        <w:left w:val="none" w:sz="0" w:space="0" w:color="auto"/>
        <w:bottom w:val="none" w:sz="0" w:space="0" w:color="auto"/>
        <w:right w:val="none" w:sz="0" w:space="0" w:color="auto"/>
      </w:divBdr>
    </w:div>
    <w:div w:id="595330480">
      <w:bodyDiv w:val="1"/>
      <w:marLeft w:val="0"/>
      <w:marRight w:val="0"/>
      <w:marTop w:val="0"/>
      <w:marBottom w:val="0"/>
      <w:divBdr>
        <w:top w:val="none" w:sz="0" w:space="0" w:color="auto"/>
        <w:left w:val="none" w:sz="0" w:space="0" w:color="auto"/>
        <w:bottom w:val="none" w:sz="0" w:space="0" w:color="auto"/>
        <w:right w:val="none" w:sz="0" w:space="0" w:color="auto"/>
      </w:divBdr>
    </w:div>
    <w:div w:id="596712137">
      <w:bodyDiv w:val="1"/>
      <w:marLeft w:val="0"/>
      <w:marRight w:val="0"/>
      <w:marTop w:val="0"/>
      <w:marBottom w:val="0"/>
      <w:divBdr>
        <w:top w:val="none" w:sz="0" w:space="0" w:color="auto"/>
        <w:left w:val="none" w:sz="0" w:space="0" w:color="auto"/>
        <w:bottom w:val="none" w:sz="0" w:space="0" w:color="auto"/>
        <w:right w:val="none" w:sz="0" w:space="0" w:color="auto"/>
      </w:divBdr>
    </w:div>
    <w:div w:id="739180595">
      <w:bodyDiv w:val="1"/>
      <w:marLeft w:val="0"/>
      <w:marRight w:val="0"/>
      <w:marTop w:val="0"/>
      <w:marBottom w:val="0"/>
      <w:divBdr>
        <w:top w:val="none" w:sz="0" w:space="0" w:color="auto"/>
        <w:left w:val="none" w:sz="0" w:space="0" w:color="auto"/>
        <w:bottom w:val="none" w:sz="0" w:space="0" w:color="auto"/>
        <w:right w:val="none" w:sz="0" w:space="0" w:color="auto"/>
      </w:divBdr>
    </w:div>
    <w:div w:id="788932723">
      <w:bodyDiv w:val="1"/>
      <w:marLeft w:val="0"/>
      <w:marRight w:val="0"/>
      <w:marTop w:val="0"/>
      <w:marBottom w:val="0"/>
      <w:divBdr>
        <w:top w:val="none" w:sz="0" w:space="0" w:color="auto"/>
        <w:left w:val="none" w:sz="0" w:space="0" w:color="auto"/>
        <w:bottom w:val="none" w:sz="0" w:space="0" w:color="auto"/>
        <w:right w:val="none" w:sz="0" w:space="0" w:color="auto"/>
      </w:divBdr>
    </w:div>
    <w:div w:id="872495677">
      <w:bodyDiv w:val="1"/>
      <w:marLeft w:val="0"/>
      <w:marRight w:val="0"/>
      <w:marTop w:val="0"/>
      <w:marBottom w:val="0"/>
      <w:divBdr>
        <w:top w:val="none" w:sz="0" w:space="0" w:color="auto"/>
        <w:left w:val="none" w:sz="0" w:space="0" w:color="auto"/>
        <w:bottom w:val="none" w:sz="0" w:space="0" w:color="auto"/>
        <w:right w:val="none" w:sz="0" w:space="0" w:color="auto"/>
      </w:divBdr>
    </w:div>
    <w:div w:id="912786079">
      <w:bodyDiv w:val="1"/>
      <w:marLeft w:val="0"/>
      <w:marRight w:val="0"/>
      <w:marTop w:val="0"/>
      <w:marBottom w:val="0"/>
      <w:divBdr>
        <w:top w:val="none" w:sz="0" w:space="0" w:color="auto"/>
        <w:left w:val="none" w:sz="0" w:space="0" w:color="auto"/>
        <w:bottom w:val="none" w:sz="0" w:space="0" w:color="auto"/>
        <w:right w:val="none" w:sz="0" w:space="0" w:color="auto"/>
      </w:divBdr>
    </w:div>
    <w:div w:id="913852306">
      <w:bodyDiv w:val="1"/>
      <w:marLeft w:val="0"/>
      <w:marRight w:val="0"/>
      <w:marTop w:val="0"/>
      <w:marBottom w:val="0"/>
      <w:divBdr>
        <w:top w:val="none" w:sz="0" w:space="0" w:color="auto"/>
        <w:left w:val="none" w:sz="0" w:space="0" w:color="auto"/>
        <w:bottom w:val="none" w:sz="0" w:space="0" w:color="auto"/>
        <w:right w:val="none" w:sz="0" w:space="0" w:color="auto"/>
      </w:divBdr>
    </w:div>
    <w:div w:id="939676828">
      <w:bodyDiv w:val="1"/>
      <w:marLeft w:val="0"/>
      <w:marRight w:val="0"/>
      <w:marTop w:val="0"/>
      <w:marBottom w:val="0"/>
      <w:divBdr>
        <w:top w:val="none" w:sz="0" w:space="0" w:color="auto"/>
        <w:left w:val="none" w:sz="0" w:space="0" w:color="auto"/>
        <w:bottom w:val="none" w:sz="0" w:space="0" w:color="auto"/>
        <w:right w:val="none" w:sz="0" w:space="0" w:color="auto"/>
      </w:divBdr>
    </w:div>
    <w:div w:id="983853290">
      <w:bodyDiv w:val="1"/>
      <w:marLeft w:val="0"/>
      <w:marRight w:val="0"/>
      <w:marTop w:val="0"/>
      <w:marBottom w:val="0"/>
      <w:divBdr>
        <w:top w:val="none" w:sz="0" w:space="0" w:color="auto"/>
        <w:left w:val="none" w:sz="0" w:space="0" w:color="auto"/>
        <w:bottom w:val="none" w:sz="0" w:space="0" w:color="auto"/>
        <w:right w:val="none" w:sz="0" w:space="0" w:color="auto"/>
      </w:divBdr>
    </w:div>
    <w:div w:id="1011105736">
      <w:bodyDiv w:val="1"/>
      <w:marLeft w:val="0"/>
      <w:marRight w:val="0"/>
      <w:marTop w:val="0"/>
      <w:marBottom w:val="0"/>
      <w:divBdr>
        <w:top w:val="none" w:sz="0" w:space="0" w:color="auto"/>
        <w:left w:val="none" w:sz="0" w:space="0" w:color="auto"/>
        <w:bottom w:val="none" w:sz="0" w:space="0" w:color="auto"/>
        <w:right w:val="none" w:sz="0" w:space="0" w:color="auto"/>
      </w:divBdr>
    </w:div>
    <w:div w:id="1101291344">
      <w:bodyDiv w:val="1"/>
      <w:marLeft w:val="0"/>
      <w:marRight w:val="0"/>
      <w:marTop w:val="0"/>
      <w:marBottom w:val="0"/>
      <w:divBdr>
        <w:top w:val="none" w:sz="0" w:space="0" w:color="auto"/>
        <w:left w:val="none" w:sz="0" w:space="0" w:color="auto"/>
        <w:bottom w:val="none" w:sz="0" w:space="0" w:color="auto"/>
        <w:right w:val="none" w:sz="0" w:space="0" w:color="auto"/>
      </w:divBdr>
    </w:div>
    <w:div w:id="1140540769">
      <w:bodyDiv w:val="1"/>
      <w:marLeft w:val="0"/>
      <w:marRight w:val="0"/>
      <w:marTop w:val="0"/>
      <w:marBottom w:val="0"/>
      <w:divBdr>
        <w:top w:val="none" w:sz="0" w:space="0" w:color="auto"/>
        <w:left w:val="none" w:sz="0" w:space="0" w:color="auto"/>
        <w:bottom w:val="none" w:sz="0" w:space="0" w:color="auto"/>
        <w:right w:val="none" w:sz="0" w:space="0" w:color="auto"/>
      </w:divBdr>
    </w:div>
    <w:div w:id="1149785496">
      <w:bodyDiv w:val="1"/>
      <w:marLeft w:val="0"/>
      <w:marRight w:val="0"/>
      <w:marTop w:val="0"/>
      <w:marBottom w:val="0"/>
      <w:divBdr>
        <w:top w:val="none" w:sz="0" w:space="0" w:color="auto"/>
        <w:left w:val="none" w:sz="0" w:space="0" w:color="auto"/>
        <w:bottom w:val="none" w:sz="0" w:space="0" w:color="auto"/>
        <w:right w:val="none" w:sz="0" w:space="0" w:color="auto"/>
      </w:divBdr>
    </w:div>
    <w:div w:id="1165323516">
      <w:bodyDiv w:val="1"/>
      <w:marLeft w:val="0"/>
      <w:marRight w:val="0"/>
      <w:marTop w:val="0"/>
      <w:marBottom w:val="0"/>
      <w:divBdr>
        <w:top w:val="none" w:sz="0" w:space="0" w:color="auto"/>
        <w:left w:val="none" w:sz="0" w:space="0" w:color="auto"/>
        <w:bottom w:val="none" w:sz="0" w:space="0" w:color="auto"/>
        <w:right w:val="none" w:sz="0" w:space="0" w:color="auto"/>
      </w:divBdr>
    </w:div>
    <w:div w:id="1172602458">
      <w:bodyDiv w:val="1"/>
      <w:marLeft w:val="0"/>
      <w:marRight w:val="0"/>
      <w:marTop w:val="0"/>
      <w:marBottom w:val="0"/>
      <w:divBdr>
        <w:top w:val="none" w:sz="0" w:space="0" w:color="auto"/>
        <w:left w:val="none" w:sz="0" w:space="0" w:color="auto"/>
        <w:bottom w:val="none" w:sz="0" w:space="0" w:color="auto"/>
        <w:right w:val="none" w:sz="0" w:space="0" w:color="auto"/>
      </w:divBdr>
    </w:div>
    <w:div w:id="1190725936">
      <w:bodyDiv w:val="1"/>
      <w:marLeft w:val="0"/>
      <w:marRight w:val="0"/>
      <w:marTop w:val="0"/>
      <w:marBottom w:val="0"/>
      <w:divBdr>
        <w:top w:val="none" w:sz="0" w:space="0" w:color="auto"/>
        <w:left w:val="none" w:sz="0" w:space="0" w:color="auto"/>
        <w:bottom w:val="none" w:sz="0" w:space="0" w:color="auto"/>
        <w:right w:val="none" w:sz="0" w:space="0" w:color="auto"/>
      </w:divBdr>
    </w:div>
    <w:div w:id="1211455082">
      <w:bodyDiv w:val="1"/>
      <w:marLeft w:val="0"/>
      <w:marRight w:val="0"/>
      <w:marTop w:val="0"/>
      <w:marBottom w:val="0"/>
      <w:divBdr>
        <w:top w:val="none" w:sz="0" w:space="0" w:color="auto"/>
        <w:left w:val="none" w:sz="0" w:space="0" w:color="auto"/>
        <w:bottom w:val="none" w:sz="0" w:space="0" w:color="auto"/>
        <w:right w:val="none" w:sz="0" w:space="0" w:color="auto"/>
      </w:divBdr>
    </w:div>
    <w:div w:id="1293827963">
      <w:bodyDiv w:val="1"/>
      <w:marLeft w:val="0"/>
      <w:marRight w:val="0"/>
      <w:marTop w:val="0"/>
      <w:marBottom w:val="0"/>
      <w:divBdr>
        <w:top w:val="none" w:sz="0" w:space="0" w:color="auto"/>
        <w:left w:val="none" w:sz="0" w:space="0" w:color="auto"/>
        <w:bottom w:val="none" w:sz="0" w:space="0" w:color="auto"/>
        <w:right w:val="none" w:sz="0" w:space="0" w:color="auto"/>
      </w:divBdr>
    </w:div>
    <w:div w:id="1319843117">
      <w:bodyDiv w:val="1"/>
      <w:marLeft w:val="0"/>
      <w:marRight w:val="0"/>
      <w:marTop w:val="0"/>
      <w:marBottom w:val="0"/>
      <w:divBdr>
        <w:top w:val="none" w:sz="0" w:space="0" w:color="auto"/>
        <w:left w:val="none" w:sz="0" w:space="0" w:color="auto"/>
        <w:bottom w:val="none" w:sz="0" w:space="0" w:color="auto"/>
        <w:right w:val="none" w:sz="0" w:space="0" w:color="auto"/>
      </w:divBdr>
    </w:div>
    <w:div w:id="1329946409">
      <w:bodyDiv w:val="1"/>
      <w:marLeft w:val="0"/>
      <w:marRight w:val="0"/>
      <w:marTop w:val="0"/>
      <w:marBottom w:val="0"/>
      <w:divBdr>
        <w:top w:val="none" w:sz="0" w:space="0" w:color="auto"/>
        <w:left w:val="none" w:sz="0" w:space="0" w:color="auto"/>
        <w:bottom w:val="none" w:sz="0" w:space="0" w:color="auto"/>
        <w:right w:val="none" w:sz="0" w:space="0" w:color="auto"/>
      </w:divBdr>
    </w:div>
    <w:div w:id="1338192037">
      <w:bodyDiv w:val="1"/>
      <w:marLeft w:val="0"/>
      <w:marRight w:val="0"/>
      <w:marTop w:val="0"/>
      <w:marBottom w:val="0"/>
      <w:divBdr>
        <w:top w:val="none" w:sz="0" w:space="0" w:color="auto"/>
        <w:left w:val="none" w:sz="0" w:space="0" w:color="auto"/>
        <w:bottom w:val="none" w:sz="0" w:space="0" w:color="auto"/>
        <w:right w:val="none" w:sz="0" w:space="0" w:color="auto"/>
      </w:divBdr>
    </w:div>
    <w:div w:id="1342778199">
      <w:bodyDiv w:val="1"/>
      <w:marLeft w:val="0"/>
      <w:marRight w:val="0"/>
      <w:marTop w:val="0"/>
      <w:marBottom w:val="0"/>
      <w:divBdr>
        <w:top w:val="none" w:sz="0" w:space="0" w:color="auto"/>
        <w:left w:val="none" w:sz="0" w:space="0" w:color="auto"/>
        <w:bottom w:val="none" w:sz="0" w:space="0" w:color="auto"/>
        <w:right w:val="none" w:sz="0" w:space="0" w:color="auto"/>
      </w:divBdr>
    </w:div>
    <w:div w:id="1438057145">
      <w:bodyDiv w:val="1"/>
      <w:marLeft w:val="0"/>
      <w:marRight w:val="0"/>
      <w:marTop w:val="0"/>
      <w:marBottom w:val="0"/>
      <w:divBdr>
        <w:top w:val="none" w:sz="0" w:space="0" w:color="auto"/>
        <w:left w:val="none" w:sz="0" w:space="0" w:color="auto"/>
        <w:bottom w:val="none" w:sz="0" w:space="0" w:color="auto"/>
        <w:right w:val="none" w:sz="0" w:space="0" w:color="auto"/>
      </w:divBdr>
    </w:div>
    <w:div w:id="1471707786">
      <w:bodyDiv w:val="1"/>
      <w:marLeft w:val="0"/>
      <w:marRight w:val="0"/>
      <w:marTop w:val="0"/>
      <w:marBottom w:val="0"/>
      <w:divBdr>
        <w:top w:val="none" w:sz="0" w:space="0" w:color="auto"/>
        <w:left w:val="none" w:sz="0" w:space="0" w:color="auto"/>
        <w:bottom w:val="none" w:sz="0" w:space="0" w:color="auto"/>
        <w:right w:val="none" w:sz="0" w:space="0" w:color="auto"/>
      </w:divBdr>
    </w:div>
    <w:div w:id="1480802604">
      <w:bodyDiv w:val="1"/>
      <w:marLeft w:val="0"/>
      <w:marRight w:val="0"/>
      <w:marTop w:val="0"/>
      <w:marBottom w:val="0"/>
      <w:divBdr>
        <w:top w:val="none" w:sz="0" w:space="0" w:color="auto"/>
        <w:left w:val="none" w:sz="0" w:space="0" w:color="auto"/>
        <w:bottom w:val="none" w:sz="0" w:space="0" w:color="auto"/>
        <w:right w:val="none" w:sz="0" w:space="0" w:color="auto"/>
      </w:divBdr>
    </w:div>
    <w:div w:id="1613324970">
      <w:bodyDiv w:val="1"/>
      <w:marLeft w:val="0"/>
      <w:marRight w:val="0"/>
      <w:marTop w:val="0"/>
      <w:marBottom w:val="0"/>
      <w:divBdr>
        <w:top w:val="none" w:sz="0" w:space="0" w:color="auto"/>
        <w:left w:val="none" w:sz="0" w:space="0" w:color="auto"/>
        <w:bottom w:val="none" w:sz="0" w:space="0" w:color="auto"/>
        <w:right w:val="none" w:sz="0" w:space="0" w:color="auto"/>
      </w:divBdr>
    </w:div>
    <w:div w:id="1640065627">
      <w:bodyDiv w:val="1"/>
      <w:marLeft w:val="0"/>
      <w:marRight w:val="0"/>
      <w:marTop w:val="0"/>
      <w:marBottom w:val="0"/>
      <w:divBdr>
        <w:top w:val="none" w:sz="0" w:space="0" w:color="auto"/>
        <w:left w:val="none" w:sz="0" w:space="0" w:color="auto"/>
        <w:bottom w:val="none" w:sz="0" w:space="0" w:color="auto"/>
        <w:right w:val="none" w:sz="0" w:space="0" w:color="auto"/>
      </w:divBdr>
    </w:div>
    <w:div w:id="1701663428">
      <w:bodyDiv w:val="1"/>
      <w:marLeft w:val="0"/>
      <w:marRight w:val="0"/>
      <w:marTop w:val="0"/>
      <w:marBottom w:val="0"/>
      <w:divBdr>
        <w:top w:val="none" w:sz="0" w:space="0" w:color="auto"/>
        <w:left w:val="none" w:sz="0" w:space="0" w:color="auto"/>
        <w:bottom w:val="none" w:sz="0" w:space="0" w:color="auto"/>
        <w:right w:val="none" w:sz="0" w:space="0" w:color="auto"/>
      </w:divBdr>
    </w:div>
    <w:div w:id="1754279562">
      <w:bodyDiv w:val="1"/>
      <w:marLeft w:val="0"/>
      <w:marRight w:val="0"/>
      <w:marTop w:val="0"/>
      <w:marBottom w:val="0"/>
      <w:divBdr>
        <w:top w:val="none" w:sz="0" w:space="0" w:color="auto"/>
        <w:left w:val="none" w:sz="0" w:space="0" w:color="auto"/>
        <w:bottom w:val="none" w:sz="0" w:space="0" w:color="auto"/>
        <w:right w:val="none" w:sz="0" w:space="0" w:color="auto"/>
      </w:divBdr>
    </w:div>
    <w:div w:id="1791123109">
      <w:bodyDiv w:val="1"/>
      <w:marLeft w:val="0"/>
      <w:marRight w:val="0"/>
      <w:marTop w:val="0"/>
      <w:marBottom w:val="0"/>
      <w:divBdr>
        <w:top w:val="none" w:sz="0" w:space="0" w:color="auto"/>
        <w:left w:val="none" w:sz="0" w:space="0" w:color="auto"/>
        <w:bottom w:val="none" w:sz="0" w:space="0" w:color="auto"/>
        <w:right w:val="none" w:sz="0" w:space="0" w:color="auto"/>
      </w:divBdr>
    </w:div>
    <w:div w:id="1812820627">
      <w:bodyDiv w:val="1"/>
      <w:marLeft w:val="0"/>
      <w:marRight w:val="0"/>
      <w:marTop w:val="0"/>
      <w:marBottom w:val="0"/>
      <w:divBdr>
        <w:top w:val="none" w:sz="0" w:space="0" w:color="auto"/>
        <w:left w:val="none" w:sz="0" w:space="0" w:color="auto"/>
        <w:bottom w:val="none" w:sz="0" w:space="0" w:color="auto"/>
        <w:right w:val="none" w:sz="0" w:space="0" w:color="auto"/>
      </w:divBdr>
    </w:div>
    <w:div w:id="209882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Joh05</b:Tag>
    <b:SourceType>Report</b:SourceType>
    <b:Guid>{01D48025-70A9-40DA-97E4-4350C98DF5CB}</b:Guid>
    <b:Title>Instructionism and Constructivism: Reconciling Two Very Good Ideas</b:Title>
    <b:Year>2005</b:Year>
    <b:URL>https://eric.ed.gov/?id=ED490726</b:URL>
    <b:Author>
      <b:Author>
        <b:NameList>
          <b:Person>
            <b:Last>Johnson</b:Last>
            <b:Middle>M.</b:Middle>
            <b:First>G.</b:First>
          </b:Person>
        </b:NameList>
      </b:Author>
    </b:Author>
    <b:Publisher>ERIC, Online Submission</b:Publisher>
    <b:RefOrder>2</b:RefOrder>
  </b:Source>
  <b:Source>
    <b:Tag>Abd19</b:Tag>
    <b:SourceType>InternetSite</b:SourceType>
    <b:Guid>{0CEB4EAA-86DD-4654-98B1-E8102DD7E10E}</b:Guid>
    <b:Title>https://taimur.me/posts/constructionism-and-the-future-of-learning/</b:Title>
    <b:Year>2019</b:Year>
    <b:YearAccessed>2023</b:YearAccessed>
    <b:MonthAccessed>December</b:MonthAccessed>
    <b:DayAccessed>01</b:DayAccessed>
    <b:URL>https://taimur.me/posts/constructionism-and-the-future-of-learning/</b:URL>
    <b:Author>
      <b:Author>
        <b:NameList>
          <b:Person>
            <b:Last>Abdaal</b:Last>
            <b:First>T.</b:First>
          </b:Person>
        </b:NameList>
      </b:Author>
    </b:Author>
    <b:InternetSiteTitle>Constructionism and the Future of Learning</b:InternetSiteTitle>
    <b:RefOrder>3</b:RefOrder>
  </b:Source>
  <b:Source>
    <b:Tag>Ren08</b:Tag>
    <b:SourceType>Book</b:SourceType>
    <b:Guid>{E03E529F-7B52-458E-9087-0AB69FD30E3A}</b:Guid>
    <b:Title>E-Learning and Social Networking Handbook : Resources for Higher Education</b:Title>
    <b:Year>2008</b:Year>
    <b:URL>https://search-ebscohost-com.ezproxy.uwtsd.ac.uk/login.aspx?direct=true&amp;db=nlebk&amp;AN=222296&amp;site=ehost-live </b:URL>
    <b:City>New York</b:City>
    <b:Publisher>Routledge</b:Publisher>
    <b:Author>
      <b:Author>
        <b:NameList>
          <b:Person>
            <b:Last>Rennie</b:Last>
            <b:First>F.</b:First>
          </b:Person>
          <b:Person>
            <b:Last>Mason</b:Last>
            <b:First>R.</b:First>
          </b:Person>
        </b:NameList>
      </b:Author>
    </b:Author>
    <b:RefOrder>1</b:RefOrder>
  </b:Source>
  <b:Source>
    <b:Tag>Bee19</b:Tag>
    <b:SourceType>Book</b:SourceType>
    <b:Guid>{B40B0ECD-6114-477D-9ECE-8A163B34903A}</b:Guid>
    <b:Title>Rethinking Pedagogy for a Digital Age : Principles and Practices of Design</b:Title>
    <b:Year>2019</b:Year>
    <b:City>New York</b:City>
    <b:Publisher>Routledge</b:Publisher>
    <b:Author>
      <b:Author>
        <b:NameList>
          <b:Person>
            <b:Last>Beetham</b:Last>
            <b:First>H.</b:First>
          </b:Person>
          <b:Person>
            <b:Last>Sharpe</b:Last>
            <b:First>R.</b:First>
          </b:Person>
        </b:NameList>
      </b:Author>
    </b:Author>
    <b:RefOrder>4</b:RefOrder>
  </b:Source>
  <b:Source>
    <b:Tag>Ope23</b:Tag>
    <b:SourceType>InternetSite</b:SourceType>
    <b:Guid>{77B44254-9D80-40D3-9203-75504B8226D1}</b:Guid>
    <b:Title>Cognitivism</b:Title>
    <b:YearAccessed>2023</b:YearAccessed>
    <b:MonthAccessed>July</b:MonthAccessed>
    <b:DayAccessed>1</b:DayAccessed>
    <b:URL>https://www.open.edu/openlearncreate/mod/page/view.php?id=147079</b:URL>
    <b:Author>
      <b:Author>
        <b:Corporate>Open</b:Corporate>
      </b:Author>
    </b:Author>
    <b:InternetSiteTitle>Open Learn Create</b:InternetSiteTitle>
    <b:RefOrder>5</b:RefOrder>
  </b:Source>
  <b:Source>
    <b:Tag>Mic061</b:Tag>
    <b:SourceType>Book</b:SourceType>
    <b:Guid>{4BD56D18-3223-466D-B910-91DE61F75625}</b:Guid>
    <b:Title>Thinkertoys : A Handbook of Creative-Thinking Techniques</b:Title>
    <b:Year>2006</b:Year>
    <b:City>Berkeley, Calif:</b:City>
    <b:Publisher>Ten Speed Press</b:Publisher>
    <b:Edition>2nd</b:Edition>
    <b:Author>
      <b:Author>
        <b:NameList>
          <b:Person>
            <b:Last>Michalko</b:Last>
            <b:First>M.</b:First>
          </b:Person>
        </b:NameList>
      </b:Author>
    </b:Author>
    <b:RefOrder>8</b:RefOrder>
  </b:Source>
  <b:Source>
    <b:Tag>Kim01</b:Tag>
    <b:SourceType>JournalArticle</b:SourceType>
    <b:Guid>{9AC4174F-ED90-4690-8A5C-C0898EBD851A}</b:Guid>
    <b:Title>Social Constructivism</b:Title>
    <b:JournalName>Emerging perspectives on learning, teaching, and technology,</b:JournalName>
    <b:Year>2001</b:Year>
    <b:Pages>16</b:Pages>
    <b:Volume>1</b:Volume>
    <b:Issue>1</b:Issue>
    <b:Author>
      <b:Author>
        <b:NameList>
          <b:Person>
            <b:Last>Kim</b:Last>
            <b:First>B.</b:First>
          </b:Person>
        </b:NameList>
      </b:Author>
    </b:Author>
    <b:URL>https://cmapspublic2.ihmc.us/rid=1N5PWL1K5-24DX4GM-380D/Kim%20Social%20constructivism.pdf</b:URL>
    <b:RefOrder>9</b:RefOrder>
  </b:Source>
  <b:Source>
    <b:Tag>Mat18</b:Tag>
    <b:SourceType>JournalArticle</b:SourceType>
    <b:Guid>{6562FCCF-A9F1-4D42-9861-04E708A68205}</b:Guid>
    <b:Title>Constructivism and connectivism in education technology : active, situated, authentic, experiential, and anchored learning</b:Title>
    <b:Year>2018</b:Year>
    <b:URL>http://hdl.handle.net/11162/166929</b:URL>
    <b:JournalName>RIED. Revista iberoamericana de educación a distancia</b:JournalName>
    <b:Pages>201-217</b:Pages>
    <b:Volume>21</b:Volume>
    <b:Issue>2</b:Issue>
    <b:Author>
      <b:Author>
        <b:NameList>
          <b:Person>
            <b:Last>Mattar</b:Last>
            <b:First>J.</b:First>
          </b:Person>
        </b:NameList>
      </b:Author>
    </b:Author>
    <b:RefOrder>10</b:RefOrder>
  </b:Source>
  <b:Source>
    <b:Tag>Ren081</b:Tag>
    <b:SourceType>Book</b:SourceType>
    <b:Guid>{C9F58629-F522-40DB-B032-6B62D0267A33}</b:Guid>
    <b:Title>E-Learning and Social Networking Handbook : Resources for Higher Education</b:Title>
    <b:Year>2008</b:Year>
    <b:Author>
      <b:Author>
        <b:NameList>
          <b:Person>
            <b:Last>Rennie F.</b:Last>
            <b:First>Mason</b:First>
            <b:Middle>R.</b:Middle>
          </b:Person>
        </b:NameList>
      </b:Author>
    </b:Author>
    <b:City>New York</b:City>
    <b:Publisher>Routledge,</b:Publisher>
    <b:RefOrder>7</b:RefOrder>
  </b:Source>
  <b:Source>
    <b:Tag>Gol16</b:Tag>
    <b:SourceType>JournalArticle</b:SourceType>
    <b:Guid>{2D1757C7-249B-44C6-BB12-96C9EC65ABDF}</b:Guid>
    <b:Title>Connectivism: A knowledge learning theory for the digital age?</b:Title>
    <b:JournalName>Medical Teacher</b:JournalName>
    <b:Year>2016</b:Year>
    <b:Pages>1064-1069</b:Pages>
    <b:Volume>38</b:Volume>
    <b:Issue>10</b:Issue>
    <b:Author>
      <b:Author>
        <b:NameList>
          <b:Person>
            <b:Last>Goldie</b:Last>
            <b:Middle>G. S.</b:Middle>
            <b:First>J.</b:First>
          </b:Person>
        </b:NameList>
      </b:Author>
    </b:Author>
    <b:DOI>https://doi.org/10.3109/0142159X.2016.1173661</b:DOI>
    <b:RefOrder>11</b:RefOrder>
  </b:Source>
  <b:Source>
    <b:Tag>Ski21</b:Tag>
    <b:SourceType>Report</b:SourceType>
    <b:Guid>{AD115C01-FA1A-4234-85E7-24D7D0CE907B}</b:Guid>
    <b:Title>Skills for Jobs: Lifelong learning for opportunity and growth</b:Title>
    <b:Year>2021</b:Year>
    <b:Publisher>assets.publishing.service.gov.uk</b:Publisher>
    <b:URL>https://assets.publishing.service.gov.uk/media/601980f2e90e07128a353aa3/Skills_for_jobs_lifelong_learning_for_opportunity_and_growth__web_version_.pdf</b:URL>
    <b:Author>
      <b:Author>
        <b:Corporate>UK Gov.</b:Corporate>
      </b:Author>
    </b:Author>
    <b:RefOrder>12</b:RefOrder>
  </b:Source>
  <b:Source>
    <b:Tag>Fut20</b:Tag>
    <b:SourceType>Report</b:SourceType>
    <b:Guid>{162806EE-D679-4577-AD8C-8554F4175BBD}</b:Guid>
    <b:Author>
      <b:Author>
        <b:Corporate>Future Generations</b:Corporate>
      </b:Author>
    </b:Author>
    <b:Title>Future Generations Report</b:Title>
    <b:Year>2020</b:Year>
    <b:URL>https://futuregenerations2020.wales/</b:URL>
    <b:RefOrder>13</b:RefOrder>
  </b:Source>
  <b:Source>
    <b:Tag>Gov20</b:Tag>
    <b:SourceType>Report</b:SourceType>
    <b:Guid>{01A7EF2D-F6ED-4156-A573-043B46050D06}</b:Guid>
    <b:Author>
      <b:Author>
        <b:Corporate>Gov Wales</b:Corporate>
      </b:Author>
    </b:Author>
    <b:Title>Curriculum for Wales</b:Title>
    <b:Year>2020</b:Year>
    <b:Publisher>Welsh Government</b:Publisher>
    <b:URL>https://www.gov.wales/curriculum-wales-overview#:~:text=All%20primary%20schools%20and%20funded,of%20their%20Year%207%20learners.</b:URL>
    <b:RefOrder>14</b:RefOrder>
  </b:Source>
  <b:Source>
    <b:Tag>Bre16</b:Tag>
    <b:SourceType>DocumentFromInternetSite</b:SourceType>
    <b:Guid>{9F8120E7-78EC-461C-AB07-3595C5ABAC52}</b:Guid>
    <b:Title>A Well-Rounded Citizen</b:Title>
    <b:Year>2016</b:Year>
    <b:Author>
      <b:Author>
        <b:NameList>
          <b:Person>
            <b:Last>Brennan</b:Last>
            <b:First>Jan</b:First>
          </b:Person>
        </b:NameList>
      </b:Author>
    </b:Author>
    <b:YearAccessed>2023</b:YearAccessed>
    <b:MonthAccessed>December</b:MonthAccessed>
    <b:DayAccessed>01</b:DayAccessed>
    <b:URL>https://www.ecs.org/a-well-rounded-citizen/</b:URL>
    <b:InternetSiteTitle>Education Commission of the States</b:InternetSiteTitle>
    <b:RefOrder>15</b:RefOrder>
  </b:Source>
  <b:Source>
    <b:Tag>Sel16</b:Tag>
    <b:SourceType>Book</b:SourceType>
    <b:Guid>{21690E38-1212-49C0-8148-6884F7855F8A}</b:Guid>
    <b:Title>Education and technology  Key Issues and debates</b:Title>
    <b:Year>2016</b:Year>
    <b:Author>
      <b:Author>
        <b:NameList>
          <b:Person>
            <b:Last>Selwyn</b:Last>
            <b:First>N.</b:First>
          </b:Person>
        </b:NameList>
      </b:Author>
    </b:Author>
    <b:City>London</b:City>
    <b:Publisher>BloomsberryAcademic</b:Publisher>
    <b:RefOrder>16</b:RefOrder>
  </b:Source>
  <b:Source>
    <b:Tag>Dav98</b:Tag>
    <b:SourceType>BookSection</b:SourceType>
    <b:Guid>{F6C146F1-5F76-4934-A3BB-300EDACBDAB3}</b:Guid>
    <b:Title>Can quality in learning be enhanced through the use of IT?</b:Title>
    <b:Year>1998</b:Year>
    <b:City>London</b:City>
    <b:Publisher>Routledge</b:Publisher>
    <b:Author>
      <b:Author>
        <b:NameList>
          <b:Person>
            <b:Last>Davis</b:Last>
            <b:First>N.</b:First>
          </b:Person>
          <b:Person>
            <b:Last>Desforges</b:Last>
            <b:First>C.</b:First>
          </b:Person>
          <b:Person>
            <b:Last>Jessel</b:Last>
            <b:First>J.</b:First>
          </b:Person>
          <b:Person>
            <b:Last>Somekh</b:Last>
            <b:First>B.</b:First>
          </b:Person>
          <b:Person>
            <b:Last>Taylor</b:Last>
            <b:First>C.</b:First>
          </b:Person>
          <b:Person>
            <b:Last>Vaughan</b:Last>
            <b:First>G.</b:First>
          </b:Person>
        </b:NameList>
      </b:Author>
      <b:Editor>
        <b:NameList>
          <b:Person>
            <b:Last>Somekh B.</b:Last>
            <b:First>Davis</b:First>
            <b:Middle>N.</b:Middle>
          </b:Person>
        </b:NameList>
      </b:Editor>
    </b:Author>
    <b:BookTitle>Using Information Technology Effectively in Teaching and Learning. Studies in pre-service and in service teacher education</b:BookTitle>
    <b:RefOrder>6</b:RefOrder>
  </b:Source>
  <b:Source>
    <b:Tag>The</b:Tag>
    <b:SourceType>InternetSite</b:SourceType>
    <b:Guid>{0D61098E-840C-422D-9623-21D39083C0D6}</b:Guid>
    <b:Title>The UK GDPR</b:Title>
    <b:InternetSiteTitle>Information Commissioner's Office</b:InternetSiteTitle>
    <b:DOI>https://ico.org.uk/for-organisations/data-protection-and-the-eu/data-protection-and-the-eu-in-detail/the-uk-gdpr/</b:DOI>
    <b:Author>
      <b:Author>
        <b:Corporate>ICO</b:Corporate>
      </b:Author>
    </b:Author>
    <b:URL>https://ico.org.uk/for-organisations/data-protection-and-the-eu/data-protection-and-the-eu-in-detail/the-uk-gdpr/</b:URL>
    <b:Year>2021</b:Year>
    <b:RefOrder>18</b:RefOrder>
  </b:Source>
  <b:Source>
    <b:Tag>Bal17</b:Tag>
    <b:SourceType>BookSection</b:SourceType>
    <b:Guid>{AA1E1251-6F06-431B-9B02-F6C34E44D4AE}</b:Guid>
    <b:Title>An Ethics of Interdisciplinary Research', 2nd edn, Oxford Handbooks (2017; online edn,</b:Title>
    <b:Year>2017</b:Year>
    <b:BookTitle>The Oxford Handbook of Interdisciplinarity, 2nd edn; Oxford Handbooks; online edn,</b:BookTitle>
    <b:Pages>255–258</b:Pages>
    <b:Publisher>Oxford Academic</b:Publisher>
    <b:Author>
      <b:Author>
        <b:NameList>
          <b:Person>
            <b:Last>Balsamo</b:Last>
            <b:First>A.</b:First>
          </b:Person>
        </b:NameList>
      </b:Author>
      <b:Editor>
        <b:NameList>
          <b:Person>
            <b:Last>Frodeman</b:Last>
            <b:First>Robert</b:First>
          </b:Person>
        </b:NameList>
      </b:Editor>
    </b:Author>
    <b:RefOrder>17</b:RefOrder>
  </b:Source>
  <b:Source>
    <b:Tag>Buc19</b:Tag>
    <b:SourceType>BookSection</b:SourceType>
    <b:Guid>{6A52546E-DF5B-450B-9DD8-C4DE58DE7CC4}</b:Guid>
    <b:Title>Digital Ethical Dilemmas in Teaching</b:Title>
    <b:BookTitle>Encyclopedia of Teacher Education</b:BookTitle>
    <b:Year>2019</b:Year>
    <b:Pages>1-6</b:Pages>
    <b:City>Singapore.</b:City>
    <b:Publisher>Springer</b:Publisher>
    <b:JournalName>Encyclopedia of Teacher Education</b:JournalName>
    <b:Author>
      <b:Author>
        <b:NameList>
          <b:Person>
            <b:Last>Buchanan</b:Last>
            <b:First>R.</b:First>
          </b:Person>
        </b:NameList>
      </b:Author>
      <b:Editor>
        <b:NameList>
          <b:Person>
            <b:Last>Peters</b:Last>
            <b:First>M.</b:First>
          </b:Person>
        </b:NameList>
      </b:Editor>
    </b:Author>
    <b:RefOrder>19</b:RefOrder>
  </b:Source>
  <b:Source>
    <b:Tag>Bla98</b:Tag>
    <b:SourceType>JournalArticle</b:SourceType>
    <b:Guid>{77C0B67F-1EE5-4A15-BA0A-58553672A646}</b:Guid>
    <b:Title>Assessment and classroom learning</b:Title>
    <b:Year>1998</b:Year>
    <b:Pages>7-74</b:Pages>
    <b:Author>
      <b:Author>
        <b:NameList>
          <b:Person>
            <b:Last>Black</b:Last>
            <b:First>P.</b:First>
          </b:Person>
          <b:Person>
            <b:Last>William</b:Last>
            <b:First>D.</b:First>
          </b:Person>
        </b:NameList>
      </b:Author>
    </b:Author>
    <b:Volume>5</b:Volume>
    <b:DOI> 10.1080/0969595980050102</b:DOI>
    <b:JournalName> Assessment in Education: Principles, Policy &amp; Practice</b:JournalName>
    <b:Issue>1</b:Issue>
    <b:RefOrder>9</b:RefOrder>
  </b:Source>
  <b:Source>
    <b:Tag>Bla09</b:Tag>
    <b:SourceType>JournalArticle</b:SourceType>
    <b:Guid>{8CBD9160-8162-4527-8434-A46D6ECABA6E}</b:Guid>
    <b:Author>
      <b:Author>
        <b:NameList>
          <b:Person>
            <b:Last>Black</b:Last>
            <b:First>P.</b:First>
          </b:Person>
          <b:Person>
            <b:Last>William</b:Last>
            <b:First>D&gt;</b:First>
          </b:Person>
        </b:NameList>
      </b:Author>
    </b:Author>
    <b:Title>Developing the theory of formative assessment</b:Title>
    <b:JournalName> Educational Assessment, Evaluation and Accountability</b:JournalName>
    <b:Year>2009</b:Year>
    <b:Pages>5-31</b:Pages>
    <b:Volume>21</b:Volume>
    <b:DOI>https://doi.org/10.1007/s11092-008-9068-5</b:DOI>
    <b:RefOrder>10</b:RefOrder>
  </b:Source>
  <b:Source>
    <b:Tag>Bro99</b:Tag>
    <b:SourceType>Book</b:SourceType>
    <b:Guid>{EF87B52E-BCA5-46C3-9F57-E1814B5CD3F1}</b:Guid>
    <b:Title>Assessment for learning: Beyond the black box.</b:Title>
    <b:Year>1999</b:Year>
    <b:Publisher>University of Cambridge School of</b:Publisher>
    <b:Author>
      <b:Author>
        <b:NameList>
          <b:Person>
            <b:Last>Broadfoot</b:Last>
            <b:Middle>M.</b:Middle>
            <b:First>P.</b:First>
          </b:Person>
          <b:Person>
            <b:Last>Daugherty</b:Last>
            <b:First>R.</b:First>
          </b:Person>
          <b:Person>
            <b:Last>Gardner</b:Last>
            <b:First>J.</b:First>
          </b:Person>
          <b:Person>
            <b:Last>Gipps</b:Last>
            <b:First>C.</b:First>
          </b:Person>
          <b:Person>
            <b:Last>Harlen</b:Last>
            <b:First>W.</b:First>
          </b:Person>
          <b:Person>
            <b:Last>James</b:Last>
            <b:First>M</b:First>
          </b:Person>
          <b:Person>
            <b:Last>Stobart</b:Last>
            <b:First>G</b:First>
          </b:Person>
        </b:NameList>
      </b:Author>
    </b:Author>
    <b:RefOrder>11</b:RefOrder>
  </b:Source>
  <b:Source>
    <b:Tag>htt9</b:Tag>
    <b:SourceType>Book</b:SourceType>
    <b:Guid>{E20DFEB3-2C08-4130-B631-25475E8D5FDB}</b:Guid>
    <b:DOI>https://doi.org/10.1080/03075070600572090</b:DOI>
    <b:RefOrder>12</b:RefOrder>
  </b:Source>
  <b:Source>
    <b:Tag>Flo18</b:Tag>
    <b:SourceType>JournalArticle</b:SourceType>
    <b:Guid>{3D9C2D42-F365-481A-A747-C861076848CD}</b:Guid>
    <b:Title>Student Perceptions of and Satisfaction with Mobile Polling Technology: An Exploratory Study</b:Title>
    <b:Year>2018</b:Year>
    <b:Author>
      <b:Author>
        <b:NameList>
          <b:Person>
            <b:Last>Florenthal</b:Last>
            <b:First>B.</b:First>
          </b:Person>
        </b:NameList>
      </b:Author>
    </b:Author>
    <b:JournalName>Journal for Advancement of Marketing Education</b:JournalName>
    <b:Pages>44-57</b:Pages>
    <b:Volume>26</b:Volume>
    <b:Issue>2</b:Issue>
    <b:RefOrder>13</b:RefOrder>
  </b:Source>
</b:Sources>
</file>

<file path=customXml/itemProps1.xml><?xml version="1.0" encoding="utf-8"?>
<ds:datastoreItem xmlns:ds="http://schemas.openxmlformats.org/officeDocument/2006/customXml" ds:itemID="{47BD2F11-B191-4C3E-BD06-3E9EB39CC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5773</Words>
  <Characters>33720</Characters>
  <Application>Microsoft Office Word</Application>
  <DocSecurity>0</DocSecurity>
  <Lines>481</Lines>
  <Paragraphs>153</Paragraphs>
  <ScaleCrop>false</ScaleCrop>
  <Company>University of Wales Trinity Saint David</Company>
  <LinksUpToDate>false</LinksUpToDate>
  <CharactersWithSpaces>39340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80</cp:revision>
  <dcterms:created xsi:type="dcterms:W3CDTF">2024-02-07T19:20:00Z</dcterms:created>
  <dcterms:modified xsi:type="dcterms:W3CDTF">2024-02-07T22:26:00Z</dcterms:modified>
</cp:coreProperties>
</file>