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6F9B" w14:textId="77777777" w:rsidR="00BC3533" w:rsidRDefault="00BC3533" w:rsidP="00BC3533">
      <w:pPr>
        <w:jc w:val="center"/>
        <w:rPr>
          <w:sz w:val="34"/>
          <w:szCs w:val="34"/>
        </w:rPr>
      </w:pPr>
      <w:r>
        <w:rPr>
          <w:noProof/>
        </w:rPr>
        <w:drawing>
          <wp:inline distT="0" distB="0" distL="0" distR="0" wp14:anchorId="767DA309" wp14:editId="4CE497D0">
            <wp:extent cx="2816225" cy="673100"/>
            <wp:effectExtent l="0" t="0" r="0" b="0"/>
            <wp:docPr id="55523478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34785" name="Picture 1" descr="A black background with white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0B2C6953" w14:textId="77777777" w:rsidR="00BC3533" w:rsidRPr="009C063A" w:rsidRDefault="00BC3533" w:rsidP="00BC3533">
      <w:pPr>
        <w:spacing w:line="240" w:lineRule="auto"/>
        <w:jc w:val="center"/>
        <w:rPr>
          <w:sz w:val="38"/>
          <w:szCs w:val="38"/>
        </w:rPr>
      </w:pPr>
      <w:r w:rsidRPr="009C063A">
        <w:rPr>
          <w:sz w:val="38"/>
          <w:szCs w:val="38"/>
        </w:rPr>
        <w:t>Master of Business Administration</w:t>
      </w:r>
    </w:p>
    <w:p w14:paraId="41D14ABA" w14:textId="77777777" w:rsidR="00BC3533" w:rsidRPr="009C063A" w:rsidRDefault="00BC3533" w:rsidP="00BC3533">
      <w:pPr>
        <w:spacing w:line="240" w:lineRule="auto"/>
        <w:jc w:val="center"/>
        <w:rPr>
          <w:sz w:val="32"/>
          <w:szCs w:val="32"/>
        </w:rPr>
      </w:pPr>
      <w:r w:rsidRPr="009C063A">
        <w:rPr>
          <w:sz w:val="32"/>
          <w:szCs w:val="32"/>
        </w:rPr>
        <w:t>International Business pathway</w:t>
      </w:r>
    </w:p>
    <w:p w14:paraId="152C968B" w14:textId="77777777" w:rsidR="00BC3533" w:rsidRDefault="00BC3533" w:rsidP="00BC3533">
      <w:pPr>
        <w:jc w:val="center"/>
        <w:rPr>
          <w:sz w:val="28"/>
          <w:szCs w:val="28"/>
        </w:rPr>
      </w:pPr>
    </w:p>
    <w:p w14:paraId="6A980538" w14:textId="77777777" w:rsidR="00BC3533" w:rsidRDefault="00BC3533" w:rsidP="00BC3533">
      <w:pPr>
        <w:jc w:val="center"/>
        <w:rPr>
          <w:sz w:val="28"/>
          <w:szCs w:val="28"/>
        </w:rPr>
      </w:pPr>
      <w:r>
        <w:rPr>
          <w:noProof/>
          <w:sz w:val="28"/>
          <w:szCs w:val="28"/>
        </w:rPr>
        <w:drawing>
          <wp:inline distT="0" distB="0" distL="0" distR="0" wp14:anchorId="78A0F707" wp14:editId="5231BA08">
            <wp:extent cx="2257425" cy="2257425"/>
            <wp:effectExtent l="0" t="0" r="9525" b="9525"/>
            <wp:docPr id="73204094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0943" name="Picture 3" descr="A screenshot of a compu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650D346C" w14:textId="77777777" w:rsidR="00BC3533" w:rsidRDefault="00BC3533" w:rsidP="00BC3533">
      <w:pPr>
        <w:jc w:val="center"/>
        <w:rPr>
          <w:sz w:val="28"/>
          <w:szCs w:val="28"/>
        </w:rPr>
      </w:pPr>
    </w:p>
    <w:p w14:paraId="46A0EF79" w14:textId="77777777" w:rsidR="00BC3533" w:rsidRPr="00DC6DD7" w:rsidRDefault="00BC3533" w:rsidP="00BC3533">
      <w:pPr>
        <w:jc w:val="center"/>
        <w:rPr>
          <w:color w:val="EE0000"/>
          <w:sz w:val="32"/>
          <w:szCs w:val="32"/>
        </w:rPr>
      </w:pPr>
      <w:r w:rsidRPr="00DC6DD7">
        <w:rPr>
          <w:b/>
          <w:bCs/>
          <w:color w:val="EE0000"/>
          <w:sz w:val="48"/>
          <w:szCs w:val="48"/>
        </w:rPr>
        <w:t>Contemporary employability skills</w:t>
      </w:r>
    </w:p>
    <w:p w14:paraId="270FBF70" w14:textId="252B402C" w:rsidR="00BC3533" w:rsidRDefault="00BC3533" w:rsidP="00BC3533">
      <w:pPr>
        <w:jc w:val="center"/>
        <w:rPr>
          <w:color w:val="EE0000"/>
          <w:sz w:val="28"/>
          <w:szCs w:val="28"/>
        </w:rPr>
      </w:pPr>
      <w:r w:rsidRPr="00DC6DD7">
        <w:rPr>
          <w:sz w:val="28"/>
          <w:szCs w:val="28"/>
        </w:rPr>
        <w:t xml:space="preserve">Assessment </w:t>
      </w:r>
      <w:r w:rsidRPr="00DC6DD7">
        <w:rPr>
          <w:color w:val="EE0000"/>
          <w:sz w:val="28"/>
          <w:szCs w:val="28"/>
        </w:rPr>
        <w:t>1: Individual report</w:t>
      </w:r>
      <w:r w:rsidRPr="00DC6DD7">
        <w:rPr>
          <w:sz w:val="28"/>
          <w:szCs w:val="28"/>
        </w:rPr>
        <w:t xml:space="preserve">. Weight: </w:t>
      </w:r>
      <w:r>
        <w:rPr>
          <w:color w:val="EE0000"/>
          <w:sz w:val="28"/>
          <w:szCs w:val="28"/>
        </w:rPr>
        <w:t>100</w:t>
      </w:r>
      <w:r w:rsidRPr="00DC6DD7">
        <w:rPr>
          <w:color w:val="EE0000"/>
          <w:sz w:val="28"/>
          <w:szCs w:val="28"/>
        </w:rPr>
        <w:t>%</w:t>
      </w:r>
    </w:p>
    <w:p w14:paraId="222FF44C" w14:textId="77777777" w:rsidR="00BC3533" w:rsidRPr="00DC6DD7" w:rsidRDefault="00BC3533" w:rsidP="00BC3533">
      <w:pPr>
        <w:jc w:val="center"/>
        <w:rPr>
          <w:sz w:val="28"/>
          <w:szCs w:val="28"/>
        </w:rPr>
      </w:pPr>
    </w:p>
    <w:p w14:paraId="24BBBB76" w14:textId="77777777" w:rsidR="00BC3533" w:rsidRDefault="00BC3533" w:rsidP="00BC3533">
      <w:pPr>
        <w:rPr>
          <w:b/>
          <w:bCs/>
          <w:sz w:val="32"/>
          <w:szCs w:val="32"/>
        </w:rPr>
      </w:pPr>
      <w:r w:rsidRPr="00D617B9">
        <w:rPr>
          <w:b/>
          <w:bCs/>
          <w:sz w:val="32"/>
          <w:szCs w:val="32"/>
        </w:rPr>
        <w:t>Module name: Strategic Management</w:t>
      </w:r>
    </w:p>
    <w:p w14:paraId="503CCA0C" w14:textId="77777777" w:rsidR="00BC3533" w:rsidRPr="00D617B9" w:rsidRDefault="00BC3533" w:rsidP="00BC3533">
      <w:pPr>
        <w:rPr>
          <w:sz w:val="32"/>
          <w:szCs w:val="32"/>
        </w:rPr>
      </w:pPr>
    </w:p>
    <w:p w14:paraId="51136C04" w14:textId="77777777" w:rsidR="00BC3533" w:rsidRDefault="00BC3533" w:rsidP="00BC3533">
      <w:pPr>
        <w:rPr>
          <w:b/>
          <w:bCs/>
          <w:sz w:val="32"/>
          <w:szCs w:val="32"/>
        </w:rPr>
      </w:pPr>
      <w:r w:rsidRPr="00D617B9">
        <w:rPr>
          <w:b/>
          <w:bCs/>
          <w:sz w:val="32"/>
          <w:szCs w:val="32"/>
        </w:rPr>
        <w:t>Module code</w:t>
      </w:r>
      <w:r w:rsidRPr="00D617B9">
        <w:rPr>
          <w:sz w:val="32"/>
          <w:szCs w:val="32"/>
        </w:rPr>
        <w:t xml:space="preserve">: </w:t>
      </w:r>
      <w:r w:rsidRPr="00D617B9">
        <w:rPr>
          <w:b/>
          <w:bCs/>
          <w:sz w:val="32"/>
          <w:szCs w:val="32"/>
        </w:rPr>
        <w:t>LCMB7003</w:t>
      </w:r>
    </w:p>
    <w:p w14:paraId="04A0C108" w14:textId="77777777" w:rsidR="00BC3533" w:rsidRPr="00D617B9" w:rsidRDefault="00BC3533" w:rsidP="00BC3533">
      <w:pPr>
        <w:rPr>
          <w:b/>
          <w:bCs/>
          <w:sz w:val="32"/>
          <w:szCs w:val="32"/>
        </w:rPr>
      </w:pPr>
    </w:p>
    <w:p w14:paraId="03A0A40C" w14:textId="3A9C09D4" w:rsidR="00BC3533" w:rsidRPr="00BC3533" w:rsidRDefault="00BC3533" w:rsidP="00BC3533">
      <w:pPr>
        <w:pStyle w:val="p1"/>
        <w:rPr>
          <w:sz w:val="32"/>
          <w:szCs w:val="32"/>
        </w:rPr>
      </w:pPr>
      <w:r w:rsidRPr="00D617B9">
        <w:rPr>
          <w:b/>
          <w:bCs/>
          <w:sz w:val="32"/>
          <w:szCs w:val="32"/>
        </w:rPr>
        <w:t>Lecturer name: Dr. Hoang</w:t>
      </w:r>
      <w:r>
        <w:rPr>
          <w:b/>
          <w:bCs/>
          <w:sz w:val="32"/>
          <w:szCs w:val="32"/>
        </w:rPr>
        <w:t xml:space="preserve"> Dang</w:t>
      </w:r>
      <w:r w:rsidRPr="00D617B9">
        <w:rPr>
          <w:b/>
          <w:bCs/>
          <w:sz w:val="32"/>
          <w:szCs w:val="32"/>
        </w:rPr>
        <w:t xml:space="preserve"> Nguyen</w:t>
      </w:r>
    </w:p>
    <w:p w14:paraId="44C21A94" w14:textId="77777777" w:rsidR="00BC3533" w:rsidRPr="00D617B9" w:rsidRDefault="00BC3533" w:rsidP="00BC3533">
      <w:pPr>
        <w:rPr>
          <w:b/>
          <w:bCs/>
          <w:sz w:val="32"/>
          <w:szCs w:val="32"/>
        </w:rPr>
      </w:pPr>
    </w:p>
    <w:p w14:paraId="65827EC6" w14:textId="29AFB6CE" w:rsidR="00BC3533" w:rsidRDefault="00BC3533" w:rsidP="00BC3533">
      <w:pPr>
        <w:rPr>
          <w:b/>
          <w:bCs/>
          <w:sz w:val="32"/>
          <w:szCs w:val="32"/>
        </w:rPr>
      </w:pPr>
      <w:r w:rsidRPr="00D617B9">
        <w:rPr>
          <w:b/>
          <w:bCs/>
          <w:sz w:val="32"/>
          <w:szCs w:val="32"/>
        </w:rPr>
        <w:t xml:space="preserve">Student name: </w:t>
      </w:r>
      <w:proofErr w:type="spellStart"/>
      <w:r w:rsidRPr="00D617B9">
        <w:rPr>
          <w:b/>
          <w:bCs/>
          <w:sz w:val="32"/>
          <w:szCs w:val="32"/>
        </w:rPr>
        <w:t>Ya</w:t>
      </w:r>
      <w:r>
        <w:rPr>
          <w:b/>
          <w:bCs/>
          <w:sz w:val="32"/>
          <w:szCs w:val="32"/>
        </w:rPr>
        <w:t>xesh</w:t>
      </w:r>
      <w:proofErr w:type="spellEnd"/>
      <w:r w:rsidRPr="00D617B9">
        <w:rPr>
          <w:b/>
          <w:bCs/>
          <w:sz w:val="32"/>
          <w:szCs w:val="32"/>
        </w:rPr>
        <w:t xml:space="preserve"> </w:t>
      </w:r>
      <w:proofErr w:type="spellStart"/>
      <w:r>
        <w:rPr>
          <w:b/>
          <w:bCs/>
          <w:sz w:val="32"/>
          <w:szCs w:val="32"/>
        </w:rPr>
        <w:t>Ghoghari</w:t>
      </w:r>
      <w:proofErr w:type="spellEnd"/>
    </w:p>
    <w:p w14:paraId="488893D4" w14:textId="77777777" w:rsidR="00BC3533" w:rsidRPr="00D617B9" w:rsidRDefault="00BC3533" w:rsidP="00BC3533">
      <w:pPr>
        <w:rPr>
          <w:b/>
          <w:bCs/>
          <w:sz w:val="32"/>
          <w:szCs w:val="32"/>
        </w:rPr>
      </w:pPr>
    </w:p>
    <w:p w14:paraId="5A46580E" w14:textId="62B730CE" w:rsidR="00BC3533" w:rsidRPr="00D617B9" w:rsidRDefault="00BC3533" w:rsidP="00BC3533">
      <w:pPr>
        <w:rPr>
          <w:b/>
          <w:bCs/>
          <w:sz w:val="32"/>
          <w:szCs w:val="32"/>
        </w:rPr>
      </w:pPr>
      <w:r w:rsidRPr="00D617B9">
        <w:rPr>
          <w:b/>
          <w:bCs/>
          <w:sz w:val="32"/>
          <w:szCs w:val="32"/>
        </w:rPr>
        <w:t>Student ID: 2532</w:t>
      </w:r>
      <w:r>
        <w:rPr>
          <w:b/>
          <w:bCs/>
          <w:sz w:val="32"/>
          <w:szCs w:val="32"/>
        </w:rPr>
        <w:t>567</w:t>
      </w:r>
    </w:p>
    <w:p w14:paraId="57AD0107" w14:textId="77777777" w:rsidR="00BC3533" w:rsidRPr="00D617B9" w:rsidRDefault="00BC3533" w:rsidP="00BC3533">
      <w:pPr>
        <w:rPr>
          <w:b/>
          <w:bCs/>
          <w:sz w:val="32"/>
          <w:szCs w:val="32"/>
        </w:rPr>
      </w:pPr>
    </w:p>
    <w:p w14:paraId="230D519F" w14:textId="0BBC370F" w:rsidR="00BC3533" w:rsidRDefault="00BC3533" w:rsidP="00BC3533">
      <w:pPr>
        <w:rPr>
          <w:b/>
          <w:bCs/>
          <w:sz w:val="32"/>
          <w:szCs w:val="32"/>
        </w:rPr>
      </w:pPr>
      <w:r w:rsidRPr="00D617B9">
        <w:rPr>
          <w:b/>
          <w:bCs/>
          <w:sz w:val="32"/>
          <w:szCs w:val="32"/>
        </w:rPr>
        <w:t>Word count: 5</w:t>
      </w:r>
      <w:r>
        <w:rPr>
          <w:b/>
          <w:bCs/>
          <w:sz w:val="32"/>
          <w:szCs w:val="32"/>
        </w:rPr>
        <w:t>3</w:t>
      </w:r>
      <w:r w:rsidRPr="00D617B9">
        <w:rPr>
          <w:b/>
          <w:bCs/>
          <w:sz w:val="32"/>
          <w:szCs w:val="32"/>
        </w:rPr>
        <w:t>00 Approx.</w:t>
      </w:r>
    </w:p>
    <w:p w14:paraId="5F2B2965" w14:textId="77777777" w:rsidR="00BC3533" w:rsidRPr="00D617B9" w:rsidRDefault="00BC3533" w:rsidP="00BC3533">
      <w:pPr>
        <w:rPr>
          <w:b/>
          <w:bCs/>
          <w:sz w:val="32"/>
          <w:szCs w:val="32"/>
        </w:rPr>
      </w:pPr>
    </w:p>
    <w:p w14:paraId="5100FFB3" w14:textId="77777777" w:rsidR="00BC3533" w:rsidRPr="00D617B9" w:rsidRDefault="00BC3533" w:rsidP="00BC3533">
      <w:pPr>
        <w:rPr>
          <w:b/>
          <w:bCs/>
          <w:sz w:val="32"/>
          <w:szCs w:val="32"/>
        </w:rPr>
      </w:pPr>
      <w:r w:rsidRPr="00D617B9">
        <w:rPr>
          <w:b/>
          <w:bCs/>
          <w:sz w:val="32"/>
          <w:szCs w:val="32"/>
        </w:rPr>
        <w:t>Submission date: 12</w:t>
      </w:r>
      <w:r w:rsidRPr="00D617B9">
        <w:rPr>
          <w:b/>
          <w:bCs/>
          <w:sz w:val="32"/>
          <w:szCs w:val="32"/>
          <w:vertAlign w:val="superscript"/>
        </w:rPr>
        <w:t>th</w:t>
      </w:r>
      <w:r w:rsidRPr="00D617B9">
        <w:rPr>
          <w:b/>
          <w:bCs/>
          <w:sz w:val="32"/>
          <w:szCs w:val="32"/>
        </w:rPr>
        <w:t xml:space="preserve"> Aug 2026</w:t>
      </w:r>
    </w:p>
    <w:p w14:paraId="2E5E660C" w14:textId="77777777" w:rsidR="00BC3533" w:rsidRPr="00D617B9" w:rsidRDefault="00BC3533" w:rsidP="00BC3533">
      <w:pPr>
        <w:rPr>
          <w:sz w:val="32"/>
          <w:szCs w:val="32"/>
        </w:rPr>
      </w:pPr>
    </w:p>
    <w:p w14:paraId="48ED8A20" w14:textId="77777777" w:rsidR="00C436C2" w:rsidRDefault="00C436C2">
      <w:pPr>
        <w:spacing w:line="360" w:lineRule="auto"/>
        <w:jc w:val="center"/>
        <w:rPr>
          <w:rFonts w:eastAsia="Times"/>
          <w:b/>
          <w:bCs/>
          <w:sz w:val="32"/>
          <w:szCs w:val="32"/>
        </w:rPr>
      </w:pPr>
    </w:p>
    <w:p w14:paraId="6BDBE75D" w14:textId="77777777" w:rsidR="00BC3533" w:rsidRDefault="00BC3533">
      <w:pPr>
        <w:spacing w:line="360" w:lineRule="auto"/>
        <w:jc w:val="center"/>
        <w:rPr>
          <w:rFonts w:eastAsia="Times"/>
          <w:b/>
          <w:bCs/>
          <w:sz w:val="32"/>
          <w:szCs w:val="32"/>
        </w:rPr>
      </w:pPr>
    </w:p>
    <w:p w14:paraId="56300781" w14:textId="77777777" w:rsidR="00BC3533" w:rsidRDefault="00BC3533">
      <w:pPr>
        <w:spacing w:line="360" w:lineRule="auto"/>
        <w:jc w:val="center"/>
        <w:rPr>
          <w:rFonts w:eastAsia="Times"/>
          <w:b/>
          <w:bCs/>
          <w:sz w:val="32"/>
          <w:szCs w:val="32"/>
        </w:rPr>
      </w:pPr>
    </w:p>
    <w:p w14:paraId="376DB250" w14:textId="77777777" w:rsidR="00BC3533" w:rsidRPr="00DC6DD7" w:rsidRDefault="00BC3533" w:rsidP="00BC3533">
      <w:pPr>
        <w:pStyle w:val="Heading1"/>
        <w:rPr>
          <w:rFonts w:cs="Arial"/>
        </w:rPr>
      </w:pPr>
      <w:bookmarkStart w:id="0" w:name="_Toc237433525"/>
      <w:r w:rsidRPr="00DC6DD7">
        <w:rPr>
          <w:rFonts w:cs="Arial"/>
        </w:rPr>
        <w:t>AI use acknowledgement</w:t>
      </w:r>
      <w:bookmarkEnd w:id="0"/>
    </w:p>
    <w:p w14:paraId="7C2EE3B5" w14:textId="5218939E" w:rsidR="00BC3533" w:rsidRPr="00F60DDE" w:rsidRDefault="00BC3533" w:rsidP="00BC3533">
      <w:pPr>
        <w:pStyle w:val="Heading3"/>
        <w:rPr>
          <w:rFonts w:ascii="Arial" w:hAnsi="Arial" w:cs="Arial"/>
        </w:rPr>
      </w:pPr>
      <w:bookmarkStart w:id="1" w:name="_Toc237433527"/>
      <w:proofErr w:type="gramStart"/>
      <w:r w:rsidRPr="00F60DDE">
        <w:rPr>
          <w:rFonts w:ascii="Arial" w:hAnsi="Arial" w:cs="Arial"/>
        </w:rPr>
        <w:t>Acknowledgement</w:t>
      </w:r>
      <w:r>
        <w:rPr>
          <w:rFonts w:ascii="Arial" w:hAnsi="Arial" w:cs="Arial"/>
        </w:rPr>
        <w:t xml:space="preserve"> :</w:t>
      </w:r>
      <w:proofErr w:type="gramEnd"/>
      <w:r w:rsidRPr="00F60DDE">
        <w:rPr>
          <w:rFonts w:ascii="Arial" w:hAnsi="Arial" w:cs="Arial"/>
        </w:rPr>
        <w:t xml:space="preserve"> ChatGPT (OpenAI)</w:t>
      </w:r>
      <w:bookmarkEnd w:id="1"/>
    </w:p>
    <w:p w14:paraId="2DE293D0" w14:textId="2AFC8779" w:rsidR="00BC3533" w:rsidRPr="00F60DDE" w:rsidRDefault="00BC3533" w:rsidP="00BC3533">
      <w:r w:rsidRPr="00F60DDE">
        <w:t>I acknowledge the use of ChatGPT (</w:t>
      </w:r>
      <w:hyperlink r:id="rId9" w:history="1">
        <w:r w:rsidRPr="00F60DDE">
          <w:rPr>
            <w:rStyle w:val="Hyperlink"/>
            <w:sz w:val="24"/>
            <w:szCs w:val="24"/>
          </w:rPr>
          <w:t>https://chatgpt.com/</w:t>
        </w:r>
      </w:hyperlink>
      <w:r w:rsidRPr="00F60DDE">
        <w:t>) on 11 August 2026 to generate the illustrative diagrams (</w:t>
      </w:r>
      <w:r>
        <w:t xml:space="preserve">All </w:t>
      </w:r>
      <w:r w:rsidRPr="00F60DDE">
        <w:t>Figures) used throughout this report, based on my own analysis and content for each framework. I used the prompt(s):</w:t>
      </w:r>
    </w:p>
    <w:p w14:paraId="684D4C2E" w14:textId="7737DC22" w:rsidR="00BC3533" w:rsidRPr="00F60DDE" w:rsidRDefault="00BC3533" w:rsidP="00BC3533">
      <w:pPr>
        <w:pStyle w:val="ListParagraph"/>
        <w:numPr>
          <w:ilvl w:val="0"/>
          <w:numId w:val="9"/>
        </w:numPr>
        <w:spacing w:after="160" w:line="278" w:lineRule="auto"/>
      </w:pPr>
      <w:r w:rsidRPr="00F60DDE">
        <w:t xml:space="preserve">Generate a 3D-style infographic of the PESTEL framework applied to </w:t>
      </w:r>
      <w:r>
        <w:t>TATA India</w:t>
      </w:r>
      <w:r w:rsidRPr="00F60DDE">
        <w:t>, showing the six factors I've identified: Political, Economic, Social, Technological, Environmental, and Legal.</w:t>
      </w:r>
    </w:p>
    <w:p w14:paraId="787074B2" w14:textId="00B82941" w:rsidR="00BC3533" w:rsidRPr="00F60DDE" w:rsidRDefault="00BC3533" w:rsidP="00BC3533">
      <w:pPr>
        <w:pStyle w:val="ListParagraph"/>
        <w:numPr>
          <w:ilvl w:val="0"/>
          <w:numId w:val="9"/>
        </w:numPr>
        <w:spacing w:after="160" w:line="278" w:lineRule="auto"/>
      </w:pPr>
      <w:r w:rsidRPr="00F60DDE">
        <w:t>Generate a professional 3D diagram of Porter's Five Forces, Ansoff's Matrix, and Porter's Generic Strategies, styled consistently, to visually summarise the strategic analysis in my report.</w:t>
      </w:r>
    </w:p>
    <w:p w14:paraId="7F171A7E" w14:textId="77777777" w:rsidR="00BC3533" w:rsidRPr="00F60DDE" w:rsidRDefault="00BC3533" w:rsidP="00BC3533">
      <w:pPr>
        <w:rPr>
          <w:rFonts w:eastAsia="Times New Roman"/>
        </w:rPr>
      </w:pPr>
      <w:r w:rsidRPr="00F60DDE">
        <w:t>I confirm that I have not presented any AI generated text as my own work. I confirm I have copies of my drafts, notes, and other resources I used before, and after the use of AI tools which I may be asked to provide in evidence.</w:t>
      </w:r>
    </w:p>
    <w:p w14:paraId="1DBC1609" w14:textId="77777777" w:rsidR="00BC3533" w:rsidRPr="007319A6" w:rsidRDefault="00BC3533">
      <w:pPr>
        <w:spacing w:line="360" w:lineRule="auto"/>
        <w:jc w:val="center"/>
        <w:rPr>
          <w:rFonts w:eastAsia="Times"/>
          <w:b/>
          <w:bCs/>
          <w:sz w:val="32"/>
          <w:szCs w:val="32"/>
        </w:rPr>
      </w:pPr>
    </w:p>
    <w:p w14:paraId="0C584132" w14:textId="77777777" w:rsidR="00BC3533" w:rsidRDefault="00BC3533">
      <w:pPr>
        <w:spacing w:before="200" w:after="200" w:line="360" w:lineRule="auto"/>
        <w:jc w:val="center"/>
        <w:rPr>
          <w:rFonts w:eastAsia="Times"/>
          <w:b/>
          <w:bCs/>
          <w:sz w:val="32"/>
          <w:szCs w:val="32"/>
        </w:rPr>
      </w:pPr>
    </w:p>
    <w:p w14:paraId="472930D9" w14:textId="77777777" w:rsidR="00BC3533" w:rsidRDefault="00BC3533">
      <w:pPr>
        <w:spacing w:before="200" w:after="200" w:line="360" w:lineRule="auto"/>
        <w:jc w:val="center"/>
        <w:rPr>
          <w:rFonts w:eastAsia="Times"/>
          <w:b/>
          <w:bCs/>
          <w:sz w:val="32"/>
          <w:szCs w:val="32"/>
        </w:rPr>
      </w:pPr>
    </w:p>
    <w:p w14:paraId="6A59E80D" w14:textId="77777777" w:rsidR="00BC3533" w:rsidRDefault="00BC3533" w:rsidP="00BC3533">
      <w:pPr>
        <w:spacing w:before="200" w:after="200" w:line="360" w:lineRule="auto"/>
        <w:rPr>
          <w:rFonts w:eastAsia="Times"/>
          <w:b/>
          <w:bCs/>
          <w:sz w:val="32"/>
          <w:szCs w:val="32"/>
        </w:rPr>
      </w:pPr>
    </w:p>
    <w:p w14:paraId="6854EBBB" w14:textId="77777777" w:rsidR="00BC3533" w:rsidRDefault="00BC3533" w:rsidP="00BC3533">
      <w:pPr>
        <w:spacing w:before="200" w:after="200" w:line="360" w:lineRule="auto"/>
        <w:rPr>
          <w:rFonts w:eastAsia="Times"/>
          <w:b/>
          <w:bCs/>
          <w:sz w:val="32"/>
          <w:szCs w:val="32"/>
        </w:rPr>
      </w:pPr>
    </w:p>
    <w:p w14:paraId="2D2889F3" w14:textId="77777777" w:rsidR="00BC3533" w:rsidRDefault="00BC3533" w:rsidP="00BC3533">
      <w:pPr>
        <w:spacing w:before="200" w:after="200" w:line="360" w:lineRule="auto"/>
        <w:rPr>
          <w:rFonts w:eastAsia="Times"/>
          <w:b/>
          <w:bCs/>
          <w:sz w:val="32"/>
          <w:szCs w:val="32"/>
        </w:rPr>
      </w:pPr>
    </w:p>
    <w:p w14:paraId="64219FEA" w14:textId="77777777" w:rsidR="00BC3533" w:rsidRDefault="00BC3533" w:rsidP="00BC3533">
      <w:pPr>
        <w:spacing w:before="200" w:after="200" w:line="360" w:lineRule="auto"/>
        <w:rPr>
          <w:rFonts w:eastAsia="Times"/>
          <w:b/>
          <w:bCs/>
          <w:sz w:val="32"/>
          <w:szCs w:val="32"/>
        </w:rPr>
      </w:pPr>
    </w:p>
    <w:p w14:paraId="2D72C8F7" w14:textId="77777777" w:rsidR="00BC3533" w:rsidRDefault="00BC3533" w:rsidP="00BC3533">
      <w:pPr>
        <w:spacing w:before="200" w:after="200" w:line="360" w:lineRule="auto"/>
        <w:rPr>
          <w:rFonts w:eastAsia="Times"/>
          <w:b/>
          <w:bCs/>
          <w:sz w:val="32"/>
          <w:szCs w:val="32"/>
        </w:rPr>
      </w:pPr>
    </w:p>
    <w:p w14:paraId="07B28544" w14:textId="77777777" w:rsidR="00BC3533" w:rsidRDefault="00BC3533" w:rsidP="00BC3533">
      <w:pPr>
        <w:spacing w:before="200" w:after="200" w:line="360" w:lineRule="auto"/>
        <w:rPr>
          <w:rFonts w:eastAsia="Times"/>
          <w:b/>
          <w:bCs/>
          <w:sz w:val="32"/>
          <w:szCs w:val="32"/>
        </w:rPr>
      </w:pPr>
    </w:p>
    <w:p w14:paraId="6C302504" w14:textId="77777777" w:rsidR="00BC3533" w:rsidRDefault="00BC3533" w:rsidP="00BC3533">
      <w:pPr>
        <w:spacing w:before="200" w:after="200" w:line="360" w:lineRule="auto"/>
        <w:rPr>
          <w:rFonts w:eastAsia="Times"/>
          <w:b/>
          <w:bCs/>
          <w:sz w:val="32"/>
          <w:szCs w:val="32"/>
        </w:rPr>
      </w:pPr>
    </w:p>
    <w:p w14:paraId="0A63B25F" w14:textId="77777777" w:rsidR="00BC3533" w:rsidRDefault="00BC3533" w:rsidP="00BC3533">
      <w:pPr>
        <w:spacing w:before="200" w:after="200" w:line="360" w:lineRule="auto"/>
        <w:rPr>
          <w:rFonts w:eastAsia="Times"/>
          <w:b/>
          <w:bCs/>
          <w:sz w:val="32"/>
          <w:szCs w:val="32"/>
        </w:rPr>
      </w:pPr>
    </w:p>
    <w:p w14:paraId="02E17F33" w14:textId="77777777" w:rsidR="00BC3533" w:rsidRDefault="00BC3533" w:rsidP="00BC3533">
      <w:pPr>
        <w:spacing w:before="200" w:after="200" w:line="360" w:lineRule="auto"/>
        <w:rPr>
          <w:rFonts w:eastAsia="Times"/>
          <w:b/>
          <w:bCs/>
          <w:sz w:val="32"/>
          <w:szCs w:val="32"/>
        </w:rPr>
      </w:pPr>
    </w:p>
    <w:p w14:paraId="6AE8103A" w14:textId="0C5D1777" w:rsidR="00C436C2" w:rsidRPr="007319A6" w:rsidRDefault="00E047E1">
      <w:pPr>
        <w:spacing w:before="200" w:after="200" w:line="360" w:lineRule="auto"/>
        <w:jc w:val="center"/>
        <w:rPr>
          <w:rFonts w:eastAsia="Times"/>
          <w:b/>
          <w:bCs/>
          <w:sz w:val="28"/>
          <w:szCs w:val="28"/>
        </w:rPr>
      </w:pPr>
      <w:r w:rsidRPr="007319A6">
        <w:rPr>
          <w:rFonts w:eastAsia="Times"/>
          <w:b/>
          <w:bCs/>
          <w:sz w:val="28"/>
          <w:szCs w:val="28"/>
        </w:rPr>
        <w:t>Table of Contents</w:t>
      </w:r>
    </w:p>
    <w:sdt>
      <w:sdtPr>
        <w:id w:val="1006436816"/>
        <w:docPartObj>
          <w:docPartGallery w:val="Table of Contents"/>
          <w:docPartUnique/>
        </w:docPartObj>
      </w:sdtPr>
      <w:sdtEndPr/>
      <w:sdtContent>
        <w:p w14:paraId="6CFAE320" w14:textId="36E3CAAC" w:rsidR="00AD4D98" w:rsidRPr="00AD4D98" w:rsidRDefault="00C436C2"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r w:rsidRPr="00AD4D98">
            <w:rPr>
              <w:sz w:val="24"/>
              <w:szCs w:val="24"/>
            </w:rPr>
            <w:fldChar w:fldCharType="begin"/>
          </w:r>
          <w:r w:rsidRPr="00AD4D98">
            <w:rPr>
              <w:sz w:val="24"/>
              <w:szCs w:val="24"/>
            </w:rPr>
            <w:instrText xml:space="preserve"> TOC \h \u \z \t "Heading 1,1,Heading 2,2,Heading 3,3,Heading 4,4,Heading 5,5,Heading 6,6,"</w:instrText>
          </w:r>
          <w:r w:rsidRPr="00AD4D98">
            <w:rPr>
              <w:sz w:val="24"/>
              <w:szCs w:val="24"/>
            </w:rPr>
            <w:fldChar w:fldCharType="separate"/>
          </w:r>
          <w:hyperlink w:anchor="_Toc237437408" w:history="1">
            <w:r w:rsidR="00AD4D98" w:rsidRPr="00AD4D98">
              <w:rPr>
                <w:rStyle w:val="Hyperlink"/>
                <w:noProof/>
                <w:sz w:val="24"/>
                <w:szCs w:val="24"/>
              </w:rPr>
              <w:t>1. Organisational C</w:t>
            </w:r>
            <w:r w:rsidR="00AD4D98" w:rsidRPr="00AD4D98">
              <w:rPr>
                <w:rStyle w:val="Hyperlink"/>
                <w:noProof/>
                <w:sz w:val="24"/>
                <w:szCs w:val="24"/>
              </w:rPr>
              <w:t>o</w:t>
            </w:r>
            <w:r w:rsidR="00AD4D98" w:rsidRPr="00AD4D98">
              <w:rPr>
                <w:rStyle w:val="Hyperlink"/>
                <w:noProof/>
                <w:sz w:val="24"/>
                <w:szCs w:val="24"/>
              </w:rPr>
              <w:t>ntext and Overview</w:t>
            </w:r>
            <w:r w:rsidR="00AD4D98" w:rsidRPr="00AD4D98">
              <w:rPr>
                <w:noProof/>
                <w:webHidden/>
                <w:sz w:val="24"/>
                <w:szCs w:val="24"/>
              </w:rPr>
              <w:tab/>
            </w:r>
            <w:r w:rsidR="00AD4D98" w:rsidRPr="00AD4D98">
              <w:rPr>
                <w:noProof/>
                <w:webHidden/>
                <w:sz w:val="24"/>
                <w:szCs w:val="24"/>
              </w:rPr>
              <w:fldChar w:fldCharType="begin"/>
            </w:r>
            <w:r w:rsidR="00AD4D98" w:rsidRPr="00AD4D98">
              <w:rPr>
                <w:noProof/>
                <w:webHidden/>
                <w:sz w:val="24"/>
                <w:szCs w:val="24"/>
              </w:rPr>
              <w:instrText xml:space="preserve"> PAGEREF _Toc237437408 \h </w:instrText>
            </w:r>
            <w:r w:rsidR="00AD4D98" w:rsidRPr="00AD4D98">
              <w:rPr>
                <w:noProof/>
                <w:webHidden/>
                <w:sz w:val="24"/>
                <w:szCs w:val="24"/>
              </w:rPr>
            </w:r>
            <w:r w:rsidR="00AD4D98" w:rsidRPr="00AD4D98">
              <w:rPr>
                <w:noProof/>
                <w:webHidden/>
                <w:sz w:val="24"/>
                <w:szCs w:val="24"/>
              </w:rPr>
              <w:fldChar w:fldCharType="separate"/>
            </w:r>
            <w:r w:rsidR="00AD4D98" w:rsidRPr="00AD4D98">
              <w:rPr>
                <w:noProof/>
                <w:webHidden/>
                <w:sz w:val="24"/>
                <w:szCs w:val="24"/>
              </w:rPr>
              <w:t>4</w:t>
            </w:r>
            <w:r w:rsidR="00AD4D98" w:rsidRPr="00AD4D98">
              <w:rPr>
                <w:noProof/>
                <w:webHidden/>
                <w:sz w:val="24"/>
                <w:szCs w:val="24"/>
              </w:rPr>
              <w:fldChar w:fldCharType="end"/>
            </w:r>
          </w:hyperlink>
        </w:p>
        <w:p w14:paraId="6FE830EB" w14:textId="2CB514A8"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09" w:history="1">
            <w:r w:rsidRPr="00AD4D98">
              <w:rPr>
                <w:rStyle w:val="Hyperlink"/>
                <w:noProof/>
                <w:sz w:val="24"/>
                <w:szCs w:val="24"/>
              </w:rPr>
              <w:t>1.1 Background of Tata Motors Limited</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_Toc237437409 \h </w:instrText>
            </w:r>
            <w:r w:rsidRPr="00AD4D98">
              <w:rPr>
                <w:noProof/>
                <w:webHidden/>
                <w:sz w:val="24"/>
                <w:szCs w:val="24"/>
              </w:rPr>
            </w:r>
            <w:r w:rsidRPr="00AD4D98">
              <w:rPr>
                <w:noProof/>
                <w:webHidden/>
                <w:sz w:val="24"/>
                <w:szCs w:val="24"/>
              </w:rPr>
              <w:fldChar w:fldCharType="separate"/>
            </w:r>
            <w:r w:rsidRPr="00AD4D98">
              <w:rPr>
                <w:noProof/>
                <w:webHidden/>
                <w:sz w:val="24"/>
                <w:szCs w:val="24"/>
              </w:rPr>
              <w:t>4</w:t>
            </w:r>
            <w:r w:rsidRPr="00AD4D98">
              <w:rPr>
                <w:noProof/>
                <w:webHidden/>
                <w:sz w:val="24"/>
                <w:szCs w:val="24"/>
              </w:rPr>
              <w:fldChar w:fldCharType="end"/>
            </w:r>
          </w:hyperlink>
        </w:p>
        <w:p w14:paraId="39A98F99" w14:textId="5099F84A"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0" w:history="1">
            <w:r w:rsidRPr="00AD4D98">
              <w:rPr>
                <w:rStyle w:val="Hyperlink"/>
                <w:noProof/>
                <w:sz w:val="24"/>
                <w:szCs w:val="24"/>
              </w:rPr>
              <w:t>1.2 Mission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_Toc237437410 \h </w:instrText>
            </w:r>
            <w:r w:rsidRPr="00AD4D98">
              <w:rPr>
                <w:noProof/>
                <w:webHidden/>
                <w:sz w:val="24"/>
                <w:szCs w:val="24"/>
              </w:rPr>
            </w:r>
            <w:r w:rsidRPr="00AD4D98">
              <w:rPr>
                <w:noProof/>
                <w:webHidden/>
                <w:sz w:val="24"/>
                <w:szCs w:val="24"/>
              </w:rPr>
              <w:fldChar w:fldCharType="separate"/>
            </w:r>
            <w:r w:rsidRPr="00AD4D98">
              <w:rPr>
                <w:noProof/>
                <w:webHidden/>
                <w:sz w:val="24"/>
                <w:szCs w:val="24"/>
              </w:rPr>
              <w:t>4</w:t>
            </w:r>
            <w:r w:rsidRPr="00AD4D98">
              <w:rPr>
                <w:noProof/>
                <w:webHidden/>
                <w:sz w:val="24"/>
                <w:szCs w:val="24"/>
              </w:rPr>
              <w:fldChar w:fldCharType="end"/>
            </w:r>
          </w:hyperlink>
        </w:p>
        <w:p w14:paraId="38F6AD89" w14:textId="7EF1E1CE"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1" w:history="1">
            <w:r w:rsidRPr="00AD4D98">
              <w:rPr>
                <w:rStyle w:val="Hyperlink"/>
                <w:noProof/>
                <w:sz w:val="24"/>
                <w:szCs w:val="24"/>
              </w:rPr>
              <w:t>1.3 Vision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_Toc237437411 \h </w:instrText>
            </w:r>
            <w:r w:rsidRPr="00AD4D98">
              <w:rPr>
                <w:noProof/>
                <w:webHidden/>
                <w:sz w:val="24"/>
                <w:szCs w:val="24"/>
              </w:rPr>
            </w:r>
            <w:r w:rsidRPr="00AD4D98">
              <w:rPr>
                <w:noProof/>
                <w:webHidden/>
                <w:sz w:val="24"/>
                <w:szCs w:val="24"/>
              </w:rPr>
              <w:fldChar w:fldCharType="separate"/>
            </w:r>
            <w:r w:rsidRPr="00AD4D98">
              <w:rPr>
                <w:noProof/>
                <w:webHidden/>
                <w:sz w:val="24"/>
                <w:szCs w:val="24"/>
              </w:rPr>
              <w:t>5</w:t>
            </w:r>
            <w:r w:rsidRPr="00AD4D98">
              <w:rPr>
                <w:noProof/>
                <w:webHidden/>
                <w:sz w:val="24"/>
                <w:szCs w:val="24"/>
              </w:rPr>
              <w:fldChar w:fldCharType="end"/>
            </w:r>
          </w:hyperlink>
        </w:p>
        <w:p w14:paraId="6A6C2926" w14:textId="1A054A0E"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2" w:history="1">
            <w:r w:rsidRPr="00AD4D98">
              <w:rPr>
                <w:rStyle w:val="Hyperlink"/>
                <w:noProof/>
                <w:sz w:val="24"/>
                <w:szCs w:val="24"/>
              </w:rPr>
              <w:t>1.4 Business Model</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_Toc237437412 \h </w:instrText>
            </w:r>
            <w:r w:rsidRPr="00AD4D98">
              <w:rPr>
                <w:noProof/>
                <w:webHidden/>
                <w:sz w:val="24"/>
                <w:szCs w:val="24"/>
              </w:rPr>
            </w:r>
            <w:r w:rsidRPr="00AD4D98">
              <w:rPr>
                <w:noProof/>
                <w:webHidden/>
                <w:sz w:val="24"/>
                <w:szCs w:val="24"/>
              </w:rPr>
              <w:fldChar w:fldCharType="separate"/>
            </w:r>
            <w:r w:rsidRPr="00AD4D98">
              <w:rPr>
                <w:noProof/>
                <w:webHidden/>
                <w:sz w:val="24"/>
                <w:szCs w:val="24"/>
              </w:rPr>
              <w:t>5</w:t>
            </w:r>
            <w:r w:rsidRPr="00AD4D98">
              <w:rPr>
                <w:noProof/>
                <w:webHidden/>
                <w:sz w:val="24"/>
                <w:szCs w:val="24"/>
              </w:rPr>
              <w:fldChar w:fldCharType="end"/>
            </w:r>
          </w:hyperlink>
        </w:p>
        <w:p w14:paraId="5273827A" w14:textId="3195CDD1"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3" w:history="1">
            <w:r w:rsidRPr="00AD4D98">
              <w:rPr>
                <w:rStyle w:val="Hyperlink"/>
                <w:noProof/>
                <w:sz w:val="24"/>
                <w:szCs w:val="24"/>
              </w:rPr>
              <w:t>1.5 Industry Overview</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_Toc237437413 \h </w:instrText>
            </w:r>
            <w:r w:rsidRPr="00AD4D98">
              <w:rPr>
                <w:noProof/>
                <w:webHidden/>
                <w:sz w:val="24"/>
                <w:szCs w:val="24"/>
              </w:rPr>
            </w:r>
            <w:r w:rsidRPr="00AD4D98">
              <w:rPr>
                <w:noProof/>
                <w:webHidden/>
                <w:sz w:val="24"/>
                <w:szCs w:val="24"/>
              </w:rPr>
              <w:fldChar w:fldCharType="separate"/>
            </w:r>
            <w:r w:rsidRPr="00AD4D98">
              <w:rPr>
                <w:noProof/>
                <w:webHidden/>
                <w:sz w:val="24"/>
                <w:szCs w:val="24"/>
              </w:rPr>
              <w:t>5</w:t>
            </w:r>
            <w:r w:rsidRPr="00AD4D98">
              <w:rPr>
                <w:noProof/>
                <w:webHidden/>
                <w:sz w:val="24"/>
                <w:szCs w:val="24"/>
              </w:rPr>
              <w:fldChar w:fldCharType="end"/>
            </w:r>
          </w:hyperlink>
        </w:p>
        <w:p w14:paraId="34615CD6" w14:textId="007AFCCE"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4" w:history="1">
            <w:r w:rsidRPr="00AD4D98">
              <w:rPr>
                <w:rStyle w:val="Hyperlink"/>
                <w:noProof/>
                <w:sz w:val="24"/>
                <w:szCs w:val="24"/>
              </w:rPr>
              <w:t>1.6 Market Position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_Toc237437414 \h </w:instrText>
            </w:r>
            <w:r w:rsidRPr="00AD4D98">
              <w:rPr>
                <w:noProof/>
                <w:webHidden/>
                <w:sz w:val="24"/>
                <w:szCs w:val="24"/>
              </w:rPr>
            </w:r>
            <w:r w:rsidRPr="00AD4D98">
              <w:rPr>
                <w:noProof/>
                <w:webHidden/>
                <w:sz w:val="24"/>
                <w:szCs w:val="24"/>
              </w:rPr>
              <w:fldChar w:fldCharType="separate"/>
            </w:r>
            <w:r w:rsidRPr="00AD4D98">
              <w:rPr>
                <w:noProof/>
                <w:webHidden/>
                <w:sz w:val="24"/>
                <w:szCs w:val="24"/>
              </w:rPr>
              <w:t>5</w:t>
            </w:r>
            <w:r w:rsidRPr="00AD4D98">
              <w:rPr>
                <w:noProof/>
                <w:webHidden/>
                <w:sz w:val="24"/>
                <w:szCs w:val="24"/>
              </w:rPr>
              <w:fldChar w:fldCharType="end"/>
            </w:r>
          </w:hyperlink>
        </w:p>
        <w:p w14:paraId="16334168" w14:textId="21689DEB" w:rsidR="00AD4D98" w:rsidRPr="00AD4D98" w:rsidRDefault="00AD4D98"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5" w:history="1">
            <w:r w:rsidRPr="00AD4D98">
              <w:rPr>
                <w:rStyle w:val="Hyperlink"/>
                <w:noProof/>
                <w:sz w:val="24"/>
                <w:szCs w:val="24"/>
              </w:rPr>
              <w:t>2. External and Internal Strategic Analysis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_Toc237437415 \h </w:instrText>
            </w:r>
            <w:r w:rsidRPr="00AD4D98">
              <w:rPr>
                <w:noProof/>
                <w:webHidden/>
                <w:sz w:val="24"/>
                <w:szCs w:val="24"/>
              </w:rPr>
            </w:r>
            <w:r w:rsidRPr="00AD4D98">
              <w:rPr>
                <w:noProof/>
                <w:webHidden/>
                <w:sz w:val="24"/>
                <w:szCs w:val="24"/>
              </w:rPr>
              <w:fldChar w:fldCharType="separate"/>
            </w:r>
            <w:r w:rsidRPr="00AD4D98">
              <w:rPr>
                <w:noProof/>
                <w:webHidden/>
                <w:sz w:val="24"/>
                <w:szCs w:val="24"/>
              </w:rPr>
              <w:t>6</w:t>
            </w:r>
            <w:r w:rsidRPr="00AD4D98">
              <w:rPr>
                <w:noProof/>
                <w:webHidden/>
                <w:sz w:val="24"/>
                <w:szCs w:val="24"/>
              </w:rPr>
              <w:fldChar w:fldCharType="end"/>
            </w:r>
          </w:hyperlink>
        </w:p>
        <w:p w14:paraId="4760E715" w14:textId="37A050EA"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6" w:history="1">
            <w:r w:rsidRPr="00AD4D98">
              <w:rPr>
                <w:rStyle w:val="Hyperlink"/>
                <w:noProof/>
                <w:sz w:val="24"/>
                <w:szCs w:val="24"/>
              </w:rPr>
              <w:t>2.1 PESTEL Analysis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_Toc237437416 \h </w:instrText>
            </w:r>
            <w:r w:rsidRPr="00AD4D98">
              <w:rPr>
                <w:noProof/>
                <w:webHidden/>
                <w:sz w:val="24"/>
                <w:szCs w:val="24"/>
              </w:rPr>
            </w:r>
            <w:r w:rsidRPr="00AD4D98">
              <w:rPr>
                <w:noProof/>
                <w:webHidden/>
                <w:sz w:val="24"/>
                <w:szCs w:val="24"/>
              </w:rPr>
              <w:fldChar w:fldCharType="separate"/>
            </w:r>
            <w:r w:rsidRPr="00AD4D98">
              <w:rPr>
                <w:noProof/>
                <w:webHidden/>
                <w:sz w:val="24"/>
                <w:szCs w:val="24"/>
              </w:rPr>
              <w:t>6</w:t>
            </w:r>
            <w:r w:rsidRPr="00AD4D98">
              <w:rPr>
                <w:noProof/>
                <w:webHidden/>
                <w:sz w:val="24"/>
                <w:szCs w:val="24"/>
              </w:rPr>
              <w:fldChar w:fldCharType="end"/>
            </w:r>
          </w:hyperlink>
        </w:p>
        <w:p w14:paraId="6B8DE239" w14:textId="512EBDC5"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7" w:history="1">
            <w:r w:rsidRPr="00AD4D98">
              <w:rPr>
                <w:rStyle w:val="Hyperlink"/>
                <w:noProof/>
                <w:sz w:val="24"/>
                <w:szCs w:val="24"/>
              </w:rPr>
              <w:t>Political and policy environment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_Toc237437417 \h </w:instrText>
            </w:r>
            <w:r w:rsidRPr="00AD4D98">
              <w:rPr>
                <w:noProof/>
                <w:webHidden/>
                <w:sz w:val="24"/>
                <w:szCs w:val="24"/>
              </w:rPr>
            </w:r>
            <w:r w:rsidRPr="00AD4D98">
              <w:rPr>
                <w:noProof/>
                <w:webHidden/>
                <w:sz w:val="24"/>
                <w:szCs w:val="24"/>
              </w:rPr>
              <w:fldChar w:fldCharType="separate"/>
            </w:r>
            <w:r w:rsidRPr="00AD4D98">
              <w:rPr>
                <w:noProof/>
                <w:webHidden/>
                <w:sz w:val="24"/>
                <w:szCs w:val="24"/>
              </w:rPr>
              <w:t>6</w:t>
            </w:r>
            <w:r w:rsidRPr="00AD4D98">
              <w:rPr>
                <w:noProof/>
                <w:webHidden/>
                <w:sz w:val="24"/>
                <w:szCs w:val="24"/>
              </w:rPr>
              <w:fldChar w:fldCharType="end"/>
            </w:r>
          </w:hyperlink>
        </w:p>
        <w:p w14:paraId="3D2C9D7E" w14:textId="0640AAAC"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8" w:history="1">
            <w:r w:rsidRPr="00AD4D98">
              <w:rPr>
                <w:rStyle w:val="Hyperlink"/>
                <w:noProof/>
                <w:sz w:val="24"/>
                <w:szCs w:val="24"/>
              </w:rPr>
              <w:t>Economic environment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_Toc237437418 \h </w:instrText>
            </w:r>
            <w:r w:rsidRPr="00AD4D98">
              <w:rPr>
                <w:noProof/>
                <w:webHidden/>
                <w:sz w:val="24"/>
                <w:szCs w:val="24"/>
              </w:rPr>
            </w:r>
            <w:r w:rsidRPr="00AD4D98">
              <w:rPr>
                <w:noProof/>
                <w:webHidden/>
                <w:sz w:val="24"/>
                <w:szCs w:val="24"/>
              </w:rPr>
              <w:fldChar w:fldCharType="separate"/>
            </w:r>
            <w:r w:rsidRPr="00AD4D98">
              <w:rPr>
                <w:noProof/>
                <w:webHidden/>
                <w:sz w:val="24"/>
                <w:szCs w:val="24"/>
              </w:rPr>
              <w:t>7</w:t>
            </w:r>
            <w:r w:rsidRPr="00AD4D98">
              <w:rPr>
                <w:noProof/>
                <w:webHidden/>
                <w:sz w:val="24"/>
                <w:szCs w:val="24"/>
              </w:rPr>
              <w:fldChar w:fldCharType="end"/>
            </w:r>
          </w:hyperlink>
        </w:p>
        <w:p w14:paraId="73A2BD1E" w14:textId="2A7D3D23"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19" w:history="1">
            <w:r w:rsidRPr="00AD4D98">
              <w:rPr>
                <w:rStyle w:val="Hyperlink"/>
                <w:noProof/>
                <w:sz w:val="24"/>
                <w:szCs w:val="24"/>
              </w:rPr>
              <w:t>Social environment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_Toc237437419 \h </w:instrText>
            </w:r>
            <w:r w:rsidRPr="00AD4D98">
              <w:rPr>
                <w:noProof/>
                <w:webHidden/>
                <w:sz w:val="24"/>
                <w:szCs w:val="24"/>
              </w:rPr>
            </w:r>
            <w:r w:rsidRPr="00AD4D98">
              <w:rPr>
                <w:noProof/>
                <w:webHidden/>
                <w:sz w:val="24"/>
                <w:szCs w:val="24"/>
              </w:rPr>
              <w:fldChar w:fldCharType="separate"/>
            </w:r>
            <w:r w:rsidRPr="00AD4D98">
              <w:rPr>
                <w:noProof/>
                <w:webHidden/>
                <w:sz w:val="24"/>
                <w:szCs w:val="24"/>
              </w:rPr>
              <w:t>7</w:t>
            </w:r>
            <w:r w:rsidRPr="00AD4D98">
              <w:rPr>
                <w:noProof/>
                <w:webHidden/>
                <w:sz w:val="24"/>
                <w:szCs w:val="24"/>
              </w:rPr>
              <w:fldChar w:fldCharType="end"/>
            </w:r>
          </w:hyperlink>
        </w:p>
        <w:p w14:paraId="453E19A4" w14:textId="7141A8B1"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0" w:history="1">
            <w:r w:rsidRPr="00AD4D98">
              <w:rPr>
                <w:rStyle w:val="Hyperlink"/>
                <w:noProof/>
                <w:sz w:val="24"/>
                <w:szCs w:val="24"/>
              </w:rPr>
              <w:t>Technological environment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_Toc237437420 \h </w:instrText>
            </w:r>
            <w:r w:rsidRPr="00AD4D98">
              <w:rPr>
                <w:noProof/>
                <w:webHidden/>
                <w:sz w:val="24"/>
                <w:szCs w:val="24"/>
              </w:rPr>
            </w:r>
            <w:r w:rsidRPr="00AD4D98">
              <w:rPr>
                <w:noProof/>
                <w:webHidden/>
                <w:sz w:val="24"/>
                <w:szCs w:val="24"/>
              </w:rPr>
              <w:fldChar w:fldCharType="separate"/>
            </w:r>
            <w:r w:rsidRPr="00AD4D98">
              <w:rPr>
                <w:noProof/>
                <w:webHidden/>
                <w:sz w:val="24"/>
                <w:szCs w:val="24"/>
              </w:rPr>
              <w:t>8</w:t>
            </w:r>
            <w:r w:rsidRPr="00AD4D98">
              <w:rPr>
                <w:noProof/>
                <w:webHidden/>
                <w:sz w:val="24"/>
                <w:szCs w:val="24"/>
              </w:rPr>
              <w:fldChar w:fldCharType="end"/>
            </w:r>
          </w:hyperlink>
        </w:p>
        <w:p w14:paraId="7A6A7839" w14:textId="1348445F"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1" w:history="1">
            <w:r w:rsidRPr="00AD4D98">
              <w:rPr>
                <w:rStyle w:val="Hyperlink"/>
                <w:noProof/>
                <w:sz w:val="24"/>
                <w:szCs w:val="24"/>
              </w:rPr>
              <w:t>Environmental and legal environment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_Toc237437421 \h </w:instrText>
            </w:r>
            <w:r w:rsidRPr="00AD4D98">
              <w:rPr>
                <w:noProof/>
                <w:webHidden/>
                <w:sz w:val="24"/>
                <w:szCs w:val="24"/>
              </w:rPr>
            </w:r>
            <w:r w:rsidRPr="00AD4D98">
              <w:rPr>
                <w:noProof/>
                <w:webHidden/>
                <w:sz w:val="24"/>
                <w:szCs w:val="24"/>
              </w:rPr>
              <w:fldChar w:fldCharType="separate"/>
            </w:r>
            <w:r w:rsidRPr="00AD4D98">
              <w:rPr>
                <w:noProof/>
                <w:webHidden/>
                <w:sz w:val="24"/>
                <w:szCs w:val="24"/>
              </w:rPr>
              <w:t>9</w:t>
            </w:r>
            <w:r w:rsidRPr="00AD4D98">
              <w:rPr>
                <w:noProof/>
                <w:webHidden/>
                <w:sz w:val="24"/>
                <w:szCs w:val="24"/>
              </w:rPr>
              <w:fldChar w:fldCharType="end"/>
            </w:r>
          </w:hyperlink>
        </w:p>
        <w:p w14:paraId="61932621" w14:textId="30F349B7"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2" w:history="1">
            <w:r w:rsidRPr="00AD4D98">
              <w:rPr>
                <w:rStyle w:val="Hyperlink"/>
                <w:noProof/>
                <w:sz w:val="24"/>
                <w:szCs w:val="24"/>
              </w:rPr>
              <w:t>2.2 Porter's Five Forces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_Toc237437422 \h </w:instrText>
            </w:r>
            <w:r w:rsidRPr="00AD4D98">
              <w:rPr>
                <w:noProof/>
                <w:webHidden/>
                <w:sz w:val="24"/>
                <w:szCs w:val="24"/>
              </w:rPr>
            </w:r>
            <w:r w:rsidRPr="00AD4D98">
              <w:rPr>
                <w:noProof/>
                <w:webHidden/>
                <w:sz w:val="24"/>
                <w:szCs w:val="24"/>
              </w:rPr>
              <w:fldChar w:fldCharType="separate"/>
            </w:r>
            <w:r w:rsidRPr="00AD4D98">
              <w:rPr>
                <w:noProof/>
                <w:webHidden/>
                <w:sz w:val="24"/>
                <w:szCs w:val="24"/>
              </w:rPr>
              <w:t>9</w:t>
            </w:r>
            <w:r w:rsidRPr="00AD4D98">
              <w:rPr>
                <w:noProof/>
                <w:webHidden/>
                <w:sz w:val="24"/>
                <w:szCs w:val="24"/>
              </w:rPr>
              <w:fldChar w:fldCharType="end"/>
            </w:r>
          </w:hyperlink>
        </w:p>
        <w:p w14:paraId="652AB0E7" w14:textId="7647179D"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3" w:history="1">
            <w:r w:rsidRPr="00AD4D98">
              <w:rPr>
                <w:rStyle w:val="Hyperlink"/>
                <w:noProof/>
                <w:sz w:val="24"/>
                <w:szCs w:val="24"/>
              </w:rPr>
              <w:t>Competitive rivalry – High</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_Toc237437423 \h </w:instrText>
            </w:r>
            <w:r w:rsidRPr="00AD4D98">
              <w:rPr>
                <w:noProof/>
                <w:webHidden/>
                <w:sz w:val="24"/>
                <w:szCs w:val="24"/>
              </w:rPr>
            </w:r>
            <w:r w:rsidRPr="00AD4D98">
              <w:rPr>
                <w:noProof/>
                <w:webHidden/>
                <w:sz w:val="24"/>
                <w:szCs w:val="24"/>
              </w:rPr>
              <w:fldChar w:fldCharType="separate"/>
            </w:r>
            <w:r w:rsidRPr="00AD4D98">
              <w:rPr>
                <w:noProof/>
                <w:webHidden/>
                <w:sz w:val="24"/>
                <w:szCs w:val="24"/>
              </w:rPr>
              <w:t>9</w:t>
            </w:r>
            <w:r w:rsidRPr="00AD4D98">
              <w:rPr>
                <w:noProof/>
                <w:webHidden/>
                <w:sz w:val="24"/>
                <w:szCs w:val="24"/>
              </w:rPr>
              <w:fldChar w:fldCharType="end"/>
            </w:r>
          </w:hyperlink>
        </w:p>
        <w:p w14:paraId="31D183DB" w14:textId="6409371F"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4" w:history="1">
            <w:r w:rsidRPr="00AD4D98">
              <w:rPr>
                <w:rStyle w:val="Hyperlink"/>
                <w:noProof/>
                <w:sz w:val="24"/>
                <w:szCs w:val="24"/>
              </w:rPr>
              <w:t>Threat of entrants – Moderate to high</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_Toc237437424 \h </w:instrText>
            </w:r>
            <w:r w:rsidRPr="00AD4D98">
              <w:rPr>
                <w:noProof/>
                <w:webHidden/>
                <w:sz w:val="24"/>
                <w:szCs w:val="24"/>
              </w:rPr>
            </w:r>
            <w:r w:rsidRPr="00AD4D98">
              <w:rPr>
                <w:noProof/>
                <w:webHidden/>
                <w:sz w:val="24"/>
                <w:szCs w:val="24"/>
              </w:rPr>
              <w:fldChar w:fldCharType="separate"/>
            </w:r>
            <w:r w:rsidRPr="00AD4D98">
              <w:rPr>
                <w:noProof/>
                <w:webHidden/>
                <w:sz w:val="24"/>
                <w:szCs w:val="24"/>
              </w:rPr>
              <w:t>9</w:t>
            </w:r>
            <w:r w:rsidRPr="00AD4D98">
              <w:rPr>
                <w:noProof/>
                <w:webHidden/>
                <w:sz w:val="24"/>
                <w:szCs w:val="24"/>
              </w:rPr>
              <w:fldChar w:fldCharType="end"/>
            </w:r>
          </w:hyperlink>
        </w:p>
        <w:p w14:paraId="4DBC3EA7" w14:textId="6EF6FCC1"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5" w:history="1">
            <w:r w:rsidRPr="00AD4D98">
              <w:rPr>
                <w:rStyle w:val="Hyperlink"/>
                <w:noProof/>
                <w:sz w:val="24"/>
                <w:szCs w:val="24"/>
              </w:rPr>
              <w:t>Supplier power – Moderate to high</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_Toc237437425 \h </w:instrText>
            </w:r>
            <w:r w:rsidRPr="00AD4D98">
              <w:rPr>
                <w:noProof/>
                <w:webHidden/>
                <w:sz w:val="24"/>
                <w:szCs w:val="24"/>
              </w:rPr>
            </w:r>
            <w:r w:rsidRPr="00AD4D98">
              <w:rPr>
                <w:noProof/>
                <w:webHidden/>
                <w:sz w:val="24"/>
                <w:szCs w:val="24"/>
              </w:rPr>
              <w:fldChar w:fldCharType="separate"/>
            </w:r>
            <w:r w:rsidRPr="00AD4D98">
              <w:rPr>
                <w:noProof/>
                <w:webHidden/>
                <w:sz w:val="24"/>
                <w:szCs w:val="24"/>
              </w:rPr>
              <w:t>10</w:t>
            </w:r>
            <w:r w:rsidRPr="00AD4D98">
              <w:rPr>
                <w:noProof/>
                <w:webHidden/>
                <w:sz w:val="24"/>
                <w:szCs w:val="24"/>
              </w:rPr>
              <w:fldChar w:fldCharType="end"/>
            </w:r>
          </w:hyperlink>
        </w:p>
        <w:p w14:paraId="49BC5B31" w14:textId="2F2563A8"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6" w:history="1">
            <w:r w:rsidRPr="00AD4D98">
              <w:rPr>
                <w:rStyle w:val="Hyperlink"/>
                <w:noProof/>
                <w:sz w:val="24"/>
                <w:szCs w:val="24"/>
              </w:rPr>
              <w:t>Buyer power – High and rising.</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_Toc237437426 \h </w:instrText>
            </w:r>
            <w:r w:rsidRPr="00AD4D98">
              <w:rPr>
                <w:noProof/>
                <w:webHidden/>
                <w:sz w:val="24"/>
                <w:szCs w:val="24"/>
              </w:rPr>
            </w:r>
            <w:r w:rsidRPr="00AD4D98">
              <w:rPr>
                <w:noProof/>
                <w:webHidden/>
                <w:sz w:val="24"/>
                <w:szCs w:val="24"/>
              </w:rPr>
              <w:fldChar w:fldCharType="separate"/>
            </w:r>
            <w:r w:rsidRPr="00AD4D98">
              <w:rPr>
                <w:noProof/>
                <w:webHidden/>
                <w:sz w:val="24"/>
                <w:szCs w:val="24"/>
              </w:rPr>
              <w:t>10</w:t>
            </w:r>
            <w:r w:rsidRPr="00AD4D98">
              <w:rPr>
                <w:noProof/>
                <w:webHidden/>
                <w:sz w:val="24"/>
                <w:szCs w:val="24"/>
              </w:rPr>
              <w:fldChar w:fldCharType="end"/>
            </w:r>
          </w:hyperlink>
        </w:p>
        <w:p w14:paraId="5A034E6D" w14:textId="192BBBFD"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7" w:history="1">
            <w:r w:rsidRPr="00AD4D98">
              <w:rPr>
                <w:rStyle w:val="Hyperlink"/>
                <w:noProof/>
                <w:sz w:val="24"/>
                <w:szCs w:val="24"/>
              </w:rPr>
              <w:t>Threat of substitutes – High</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_Toc237437427 \h </w:instrText>
            </w:r>
            <w:r w:rsidRPr="00AD4D98">
              <w:rPr>
                <w:noProof/>
                <w:webHidden/>
                <w:sz w:val="24"/>
                <w:szCs w:val="24"/>
              </w:rPr>
            </w:r>
            <w:r w:rsidRPr="00AD4D98">
              <w:rPr>
                <w:noProof/>
                <w:webHidden/>
                <w:sz w:val="24"/>
                <w:szCs w:val="24"/>
              </w:rPr>
              <w:fldChar w:fldCharType="separate"/>
            </w:r>
            <w:r w:rsidRPr="00AD4D98">
              <w:rPr>
                <w:noProof/>
                <w:webHidden/>
                <w:sz w:val="24"/>
                <w:szCs w:val="24"/>
              </w:rPr>
              <w:t>10</w:t>
            </w:r>
            <w:r w:rsidRPr="00AD4D98">
              <w:rPr>
                <w:noProof/>
                <w:webHidden/>
                <w:sz w:val="24"/>
                <w:szCs w:val="24"/>
              </w:rPr>
              <w:fldChar w:fldCharType="end"/>
            </w:r>
          </w:hyperlink>
        </w:p>
        <w:p w14:paraId="4BE48D74" w14:textId="10CCE82B"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8" w:history="1">
            <w:r w:rsidRPr="00AD4D98">
              <w:rPr>
                <w:rStyle w:val="Hyperlink"/>
                <w:noProof/>
                <w:sz w:val="24"/>
                <w:szCs w:val="24"/>
              </w:rPr>
              <w:t>2.3 VRIO Analysis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_Toc237437428 \h </w:instrText>
            </w:r>
            <w:r w:rsidRPr="00AD4D98">
              <w:rPr>
                <w:noProof/>
                <w:webHidden/>
                <w:sz w:val="24"/>
                <w:szCs w:val="24"/>
              </w:rPr>
            </w:r>
            <w:r w:rsidRPr="00AD4D98">
              <w:rPr>
                <w:noProof/>
                <w:webHidden/>
                <w:sz w:val="24"/>
                <w:szCs w:val="24"/>
              </w:rPr>
              <w:fldChar w:fldCharType="separate"/>
            </w:r>
            <w:r w:rsidRPr="00AD4D98">
              <w:rPr>
                <w:noProof/>
                <w:webHidden/>
                <w:sz w:val="24"/>
                <w:szCs w:val="24"/>
              </w:rPr>
              <w:t>10</w:t>
            </w:r>
            <w:r w:rsidRPr="00AD4D98">
              <w:rPr>
                <w:noProof/>
                <w:webHidden/>
                <w:sz w:val="24"/>
                <w:szCs w:val="24"/>
              </w:rPr>
              <w:fldChar w:fldCharType="end"/>
            </w:r>
          </w:hyperlink>
        </w:p>
        <w:p w14:paraId="1A137D86" w14:textId="573A5A70"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29" w:history="1">
            <w:r w:rsidRPr="00AD4D98">
              <w:rPr>
                <w:rStyle w:val="Hyperlink"/>
                <w:noProof/>
                <w:sz w:val="24"/>
                <w:szCs w:val="24"/>
              </w:rPr>
              <w:t>2.4 SWOT Analysis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_Toc237437429 \h </w:instrText>
            </w:r>
            <w:r w:rsidRPr="00AD4D98">
              <w:rPr>
                <w:noProof/>
                <w:webHidden/>
                <w:sz w:val="24"/>
                <w:szCs w:val="24"/>
              </w:rPr>
            </w:r>
            <w:r w:rsidRPr="00AD4D98">
              <w:rPr>
                <w:noProof/>
                <w:webHidden/>
                <w:sz w:val="24"/>
                <w:szCs w:val="24"/>
              </w:rPr>
              <w:fldChar w:fldCharType="separate"/>
            </w:r>
            <w:r w:rsidRPr="00AD4D98">
              <w:rPr>
                <w:noProof/>
                <w:webHidden/>
                <w:sz w:val="24"/>
                <w:szCs w:val="24"/>
              </w:rPr>
              <w:t>12</w:t>
            </w:r>
            <w:r w:rsidRPr="00AD4D98">
              <w:rPr>
                <w:noProof/>
                <w:webHidden/>
                <w:sz w:val="24"/>
                <w:szCs w:val="24"/>
              </w:rPr>
              <w:fldChar w:fldCharType="end"/>
            </w:r>
          </w:hyperlink>
        </w:p>
        <w:p w14:paraId="78C3441C" w14:textId="11507AEF" w:rsidR="00AD4D98" w:rsidRPr="00AD4D98" w:rsidRDefault="00AD4D98"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0" w:history="1">
            <w:r w:rsidRPr="00AD4D98">
              <w:rPr>
                <w:rStyle w:val="Hyperlink"/>
                <w:noProof/>
                <w:sz w:val="24"/>
                <w:szCs w:val="24"/>
              </w:rPr>
              <w:t>3. Comprehensive and Holistic View of Tata EV</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_Toc237437430 \h </w:instrText>
            </w:r>
            <w:r w:rsidRPr="00AD4D98">
              <w:rPr>
                <w:noProof/>
                <w:webHidden/>
                <w:sz w:val="24"/>
                <w:szCs w:val="24"/>
              </w:rPr>
            </w:r>
            <w:r w:rsidRPr="00AD4D98">
              <w:rPr>
                <w:noProof/>
                <w:webHidden/>
                <w:sz w:val="24"/>
                <w:szCs w:val="24"/>
              </w:rPr>
              <w:fldChar w:fldCharType="separate"/>
            </w:r>
            <w:r w:rsidRPr="00AD4D98">
              <w:rPr>
                <w:noProof/>
                <w:webHidden/>
                <w:sz w:val="24"/>
                <w:szCs w:val="24"/>
              </w:rPr>
              <w:t>13</w:t>
            </w:r>
            <w:r w:rsidRPr="00AD4D98">
              <w:rPr>
                <w:noProof/>
                <w:webHidden/>
                <w:sz w:val="24"/>
                <w:szCs w:val="24"/>
              </w:rPr>
              <w:fldChar w:fldCharType="end"/>
            </w:r>
          </w:hyperlink>
        </w:p>
        <w:p w14:paraId="7618DC7B" w14:textId="3A4F7A17"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1" w:history="1">
            <w:r w:rsidRPr="00AD4D98">
              <w:rPr>
                <w:rStyle w:val="Hyperlink"/>
                <w:noProof/>
                <w:sz w:val="24"/>
                <w:szCs w:val="24"/>
              </w:rPr>
              <w:t>3.1 CSR and Sustainability Strategy</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_Toc237437431 \h </w:instrText>
            </w:r>
            <w:r w:rsidRPr="00AD4D98">
              <w:rPr>
                <w:noProof/>
                <w:webHidden/>
                <w:sz w:val="24"/>
                <w:szCs w:val="24"/>
              </w:rPr>
            </w:r>
            <w:r w:rsidRPr="00AD4D98">
              <w:rPr>
                <w:noProof/>
                <w:webHidden/>
                <w:sz w:val="24"/>
                <w:szCs w:val="24"/>
              </w:rPr>
              <w:fldChar w:fldCharType="separate"/>
            </w:r>
            <w:r w:rsidRPr="00AD4D98">
              <w:rPr>
                <w:noProof/>
                <w:webHidden/>
                <w:sz w:val="24"/>
                <w:szCs w:val="24"/>
              </w:rPr>
              <w:t>13</w:t>
            </w:r>
            <w:r w:rsidRPr="00AD4D98">
              <w:rPr>
                <w:noProof/>
                <w:webHidden/>
                <w:sz w:val="24"/>
                <w:szCs w:val="24"/>
              </w:rPr>
              <w:fldChar w:fldCharType="end"/>
            </w:r>
          </w:hyperlink>
        </w:p>
        <w:p w14:paraId="32CF53B2" w14:textId="55790494"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2" w:history="1">
            <w:r w:rsidRPr="00AD4D98">
              <w:rPr>
                <w:rStyle w:val="Hyperlink"/>
                <w:noProof/>
                <w:sz w:val="24"/>
                <w:szCs w:val="24"/>
              </w:rPr>
              <w:t>3.2 Proposed Balanced Scorecard</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_Toc237437432 \h </w:instrText>
            </w:r>
            <w:r w:rsidRPr="00AD4D98">
              <w:rPr>
                <w:noProof/>
                <w:webHidden/>
                <w:sz w:val="24"/>
                <w:szCs w:val="24"/>
              </w:rPr>
            </w:r>
            <w:r w:rsidRPr="00AD4D98">
              <w:rPr>
                <w:noProof/>
                <w:webHidden/>
                <w:sz w:val="24"/>
                <w:szCs w:val="24"/>
              </w:rPr>
              <w:fldChar w:fldCharType="separate"/>
            </w:r>
            <w:r w:rsidRPr="00AD4D98">
              <w:rPr>
                <w:noProof/>
                <w:webHidden/>
                <w:sz w:val="24"/>
                <w:szCs w:val="24"/>
              </w:rPr>
              <w:t>15</w:t>
            </w:r>
            <w:r w:rsidRPr="00AD4D98">
              <w:rPr>
                <w:noProof/>
                <w:webHidden/>
                <w:sz w:val="24"/>
                <w:szCs w:val="24"/>
              </w:rPr>
              <w:fldChar w:fldCharType="end"/>
            </w:r>
          </w:hyperlink>
        </w:p>
        <w:p w14:paraId="56CA94A0" w14:textId="1B38AB77" w:rsidR="00AD4D98" w:rsidRPr="00AD4D98" w:rsidRDefault="00AD4D98"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3" w:history="1">
            <w:r w:rsidRPr="00AD4D98">
              <w:rPr>
                <w:rStyle w:val="Hyperlink"/>
                <w:noProof/>
                <w:sz w:val="24"/>
                <w:szCs w:val="24"/>
              </w:rPr>
              <w:t>4. Strategic Choices and Implementation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_Toc237437433 \h </w:instrText>
            </w:r>
            <w:r w:rsidRPr="00AD4D98">
              <w:rPr>
                <w:noProof/>
                <w:webHidden/>
                <w:sz w:val="24"/>
                <w:szCs w:val="24"/>
              </w:rPr>
            </w:r>
            <w:r w:rsidRPr="00AD4D98">
              <w:rPr>
                <w:noProof/>
                <w:webHidden/>
                <w:sz w:val="24"/>
                <w:szCs w:val="24"/>
              </w:rPr>
              <w:fldChar w:fldCharType="separate"/>
            </w:r>
            <w:r w:rsidRPr="00AD4D98">
              <w:rPr>
                <w:noProof/>
                <w:webHidden/>
                <w:sz w:val="24"/>
                <w:szCs w:val="24"/>
              </w:rPr>
              <w:t>17</w:t>
            </w:r>
            <w:r w:rsidRPr="00AD4D98">
              <w:rPr>
                <w:noProof/>
                <w:webHidden/>
                <w:sz w:val="24"/>
                <w:szCs w:val="24"/>
              </w:rPr>
              <w:fldChar w:fldCharType="end"/>
            </w:r>
          </w:hyperlink>
        </w:p>
        <w:p w14:paraId="34B4AA79" w14:textId="48BC55F6"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4" w:history="1">
            <w:r w:rsidRPr="00AD4D98">
              <w:rPr>
                <w:rStyle w:val="Hyperlink"/>
                <w:noProof/>
                <w:sz w:val="24"/>
                <w:szCs w:val="24"/>
              </w:rPr>
              <w:t>4.1 Strategic Alternatives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_Toc237437434 \h </w:instrText>
            </w:r>
            <w:r w:rsidRPr="00AD4D98">
              <w:rPr>
                <w:noProof/>
                <w:webHidden/>
                <w:sz w:val="24"/>
                <w:szCs w:val="24"/>
              </w:rPr>
            </w:r>
            <w:r w:rsidRPr="00AD4D98">
              <w:rPr>
                <w:noProof/>
                <w:webHidden/>
                <w:sz w:val="24"/>
                <w:szCs w:val="24"/>
              </w:rPr>
              <w:fldChar w:fldCharType="separate"/>
            </w:r>
            <w:r w:rsidRPr="00AD4D98">
              <w:rPr>
                <w:noProof/>
                <w:webHidden/>
                <w:sz w:val="24"/>
                <w:szCs w:val="24"/>
              </w:rPr>
              <w:t>17</w:t>
            </w:r>
            <w:r w:rsidRPr="00AD4D98">
              <w:rPr>
                <w:noProof/>
                <w:webHidden/>
                <w:sz w:val="24"/>
                <w:szCs w:val="24"/>
              </w:rPr>
              <w:fldChar w:fldCharType="end"/>
            </w:r>
          </w:hyperlink>
        </w:p>
        <w:p w14:paraId="11FCB076" w14:textId="6CBA9445"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5" w:history="1">
            <w:r w:rsidRPr="00AD4D98">
              <w:rPr>
                <w:rStyle w:val="Hyperlink"/>
                <w:noProof/>
                <w:sz w:val="24"/>
                <w:szCs w:val="24"/>
              </w:rPr>
              <w:t>Ansoff assessment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_Toc237437435 \h </w:instrText>
            </w:r>
            <w:r w:rsidRPr="00AD4D98">
              <w:rPr>
                <w:noProof/>
                <w:webHidden/>
                <w:sz w:val="24"/>
                <w:szCs w:val="24"/>
              </w:rPr>
            </w:r>
            <w:r w:rsidRPr="00AD4D98">
              <w:rPr>
                <w:noProof/>
                <w:webHidden/>
                <w:sz w:val="24"/>
                <w:szCs w:val="24"/>
              </w:rPr>
              <w:fldChar w:fldCharType="separate"/>
            </w:r>
            <w:r w:rsidRPr="00AD4D98">
              <w:rPr>
                <w:noProof/>
                <w:webHidden/>
                <w:sz w:val="24"/>
                <w:szCs w:val="24"/>
              </w:rPr>
              <w:t>18</w:t>
            </w:r>
            <w:r w:rsidRPr="00AD4D98">
              <w:rPr>
                <w:noProof/>
                <w:webHidden/>
                <w:sz w:val="24"/>
                <w:szCs w:val="24"/>
              </w:rPr>
              <w:fldChar w:fldCharType="end"/>
            </w:r>
          </w:hyperlink>
        </w:p>
        <w:p w14:paraId="260A63CE" w14:textId="7382F4B5"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6" w:history="1">
            <w:r w:rsidRPr="00AD4D98">
              <w:rPr>
                <w:rStyle w:val="Hyperlink"/>
                <w:noProof/>
                <w:sz w:val="24"/>
                <w:szCs w:val="24"/>
              </w:rPr>
              <w:t>4.2 SAFe Evaluation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_Toc237437436 \h </w:instrText>
            </w:r>
            <w:r w:rsidRPr="00AD4D98">
              <w:rPr>
                <w:noProof/>
                <w:webHidden/>
                <w:sz w:val="24"/>
                <w:szCs w:val="24"/>
              </w:rPr>
            </w:r>
            <w:r w:rsidRPr="00AD4D98">
              <w:rPr>
                <w:noProof/>
                <w:webHidden/>
                <w:sz w:val="24"/>
                <w:szCs w:val="24"/>
              </w:rPr>
              <w:fldChar w:fldCharType="separate"/>
            </w:r>
            <w:r w:rsidRPr="00AD4D98">
              <w:rPr>
                <w:noProof/>
                <w:webHidden/>
                <w:sz w:val="24"/>
                <w:szCs w:val="24"/>
              </w:rPr>
              <w:t>19</w:t>
            </w:r>
            <w:r w:rsidRPr="00AD4D98">
              <w:rPr>
                <w:noProof/>
                <w:webHidden/>
                <w:sz w:val="24"/>
                <w:szCs w:val="24"/>
              </w:rPr>
              <w:fldChar w:fldCharType="end"/>
            </w:r>
          </w:hyperlink>
        </w:p>
        <w:p w14:paraId="77A38D81" w14:textId="56FB9ADB"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7" w:history="1">
            <w:r w:rsidRPr="00AD4D98">
              <w:rPr>
                <w:rStyle w:val="Hyperlink"/>
                <w:noProof/>
                <w:sz w:val="24"/>
                <w:szCs w:val="24"/>
              </w:rPr>
              <w:t>Suitability</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_Toc237437437 \h </w:instrText>
            </w:r>
            <w:r w:rsidRPr="00AD4D98">
              <w:rPr>
                <w:noProof/>
                <w:webHidden/>
                <w:sz w:val="24"/>
                <w:szCs w:val="24"/>
              </w:rPr>
            </w:r>
            <w:r w:rsidRPr="00AD4D98">
              <w:rPr>
                <w:noProof/>
                <w:webHidden/>
                <w:sz w:val="24"/>
                <w:szCs w:val="24"/>
              </w:rPr>
              <w:fldChar w:fldCharType="separate"/>
            </w:r>
            <w:r w:rsidRPr="00AD4D98">
              <w:rPr>
                <w:noProof/>
                <w:webHidden/>
                <w:sz w:val="24"/>
                <w:szCs w:val="24"/>
              </w:rPr>
              <w:t>19</w:t>
            </w:r>
            <w:r w:rsidRPr="00AD4D98">
              <w:rPr>
                <w:noProof/>
                <w:webHidden/>
                <w:sz w:val="24"/>
                <w:szCs w:val="24"/>
              </w:rPr>
              <w:fldChar w:fldCharType="end"/>
            </w:r>
          </w:hyperlink>
        </w:p>
        <w:p w14:paraId="58788C7E" w14:textId="3330E7CB"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8" w:history="1">
            <w:r w:rsidRPr="00AD4D98">
              <w:rPr>
                <w:rStyle w:val="Hyperlink"/>
                <w:noProof/>
                <w:sz w:val="24"/>
                <w:szCs w:val="24"/>
              </w:rPr>
              <w:t>Acceptability</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_Toc237437438 \h </w:instrText>
            </w:r>
            <w:r w:rsidRPr="00AD4D98">
              <w:rPr>
                <w:noProof/>
                <w:webHidden/>
                <w:sz w:val="24"/>
                <w:szCs w:val="24"/>
              </w:rPr>
            </w:r>
            <w:r w:rsidRPr="00AD4D98">
              <w:rPr>
                <w:noProof/>
                <w:webHidden/>
                <w:sz w:val="24"/>
                <w:szCs w:val="24"/>
              </w:rPr>
              <w:fldChar w:fldCharType="separate"/>
            </w:r>
            <w:r w:rsidRPr="00AD4D98">
              <w:rPr>
                <w:noProof/>
                <w:webHidden/>
                <w:sz w:val="24"/>
                <w:szCs w:val="24"/>
              </w:rPr>
              <w:t>19</w:t>
            </w:r>
            <w:r w:rsidRPr="00AD4D98">
              <w:rPr>
                <w:noProof/>
                <w:webHidden/>
                <w:sz w:val="24"/>
                <w:szCs w:val="24"/>
              </w:rPr>
              <w:fldChar w:fldCharType="end"/>
            </w:r>
          </w:hyperlink>
        </w:p>
        <w:p w14:paraId="23B296B7" w14:textId="08BF568D" w:rsidR="00AD4D98" w:rsidRPr="00AD4D98" w:rsidRDefault="00AD4D98" w:rsidP="00AD4D98">
          <w:pPr>
            <w:pStyle w:val="TOC3"/>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39" w:history="1">
            <w:r w:rsidRPr="00AD4D98">
              <w:rPr>
                <w:rStyle w:val="Hyperlink"/>
                <w:noProof/>
                <w:sz w:val="24"/>
                <w:szCs w:val="24"/>
              </w:rPr>
              <w:t>Feasibility</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_Toc237437439 \h </w:instrText>
            </w:r>
            <w:r w:rsidRPr="00AD4D98">
              <w:rPr>
                <w:noProof/>
                <w:webHidden/>
                <w:sz w:val="24"/>
                <w:szCs w:val="24"/>
              </w:rPr>
            </w:r>
            <w:r w:rsidRPr="00AD4D98">
              <w:rPr>
                <w:noProof/>
                <w:webHidden/>
                <w:sz w:val="24"/>
                <w:szCs w:val="24"/>
              </w:rPr>
              <w:fldChar w:fldCharType="separate"/>
            </w:r>
            <w:r w:rsidRPr="00AD4D98">
              <w:rPr>
                <w:noProof/>
                <w:webHidden/>
                <w:sz w:val="24"/>
                <w:szCs w:val="24"/>
              </w:rPr>
              <w:t>20</w:t>
            </w:r>
            <w:r w:rsidRPr="00AD4D98">
              <w:rPr>
                <w:noProof/>
                <w:webHidden/>
                <w:sz w:val="24"/>
                <w:szCs w:val="24"/>
              </w:rPr>
              <w:fldChar w:fldCharType="end"/>
            </w:r>
          </w:hyperlink>
        </w:p>
        <w:p w14:paraId="154CB543" w14:textId="461834E8"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0" w:history="1">
            <w:r w:rsidRPr="00AD4D98">
              <w:rPr>
                <w:rStyle w:val="Hyperlink"/>
                <w:noProof/>
                <w:sz w:val="24"/>
                <w:szCs w:val="24"/>
              </w:rPr>
              <w:t>4.3 Recommended Strategy</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_Toc237437440 \h </w:instrText>
            </w:r>
            <w:r w:rsidRPr="00AD4D98">
              <w:rPr>
                <w:noProof/>
                <w:webHidden/>
                <w:sz w:val="24"/>
                <w:szCs w:val="24"/>
              </w:rPr>
            </w:r>
            <w:r w:rsidRPr="00AD4D98">
              <w:rPr>
                <w:noProof/>
                <w:webHidden/>
                <w:sz w:val="24"/>
                <w:szCs w:val="24"/>
              </w:rPr>
              <w:fldChar w:fldCharType="separate"/>
            </w:r>
            <w:r w:rsidRPr="00AD4D98">
              <w:rPr>
                <w:noProof/>
                <w:webHidden/>
                <w:sz w:val="24"/>
                <w:szCs w:val="24"/>
              </w:rPr>
              <w:t>20</w:t>
            </w:r>
            <w:r w:rsidRPr="00AD4D98">
              <w:rPr>
                <w:noProof/>
                <w:webHidden/>
                <w:sz w:val="24"/>
                <w:szCs w:val="24"/>
              </w:rPr>
              <w:fldChar w:fldCharType="end"/>
            </w:r>
          </w:hyperlink>
        </w:p>
        <w:p w14:paraId="3AD28975" w14:textId="410B675D"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1" w:history="1">
            <w:r w:rsidRPr="00AD4D98">
              <w:rPr>
                <w:rStyle w:val="Hyperlink"/>
                <w:noProof/>
                <w:sz w:val="24"/>
                <w:szCs w:val="24"/>
              </w:rPr>
              <w:t>4.4 Implementation Challenges and Mitigation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_Toc237437441 \h </w:instrText>
            </w:r>
            <w:r w:rsidRPr="00AD4D98">
              <w:rPr>
                <w:noProof/>
                <w:webHidden/>
                <w:sz w:val="24"/>
                <w:szCs w:val="24"/>
              </w:rPr>
            </w:r>
            <w:r w:rsidRPr="00AD4D98">
              <w:rPr>
                <w:noProof/>
                <w:webHidden/>
                <w:sz w:val="24"/>
                <w:szCs w:val="24"/>
              </w:rPr>
              <w:fldChar w:fldCharType="separate"/>
            </w:r>
            <w:r w:rsidRPr="00AD4D98">
              <w:rPr>
                <w:noProof/>
                <w:webHidden/>
                <w:sz w:val="24"/>
                <w:szCs w:val="24"/>
              </w:rPr>
              <w:t>20</w:t>
            </w:r>
            <w:r w:rsidRPr="00AD4D98">
              <w:rPr>
                <w:noProof/>
                <w:webHidden/>
                <w:sz w:val="24"/>
                <w:szCs w:val="24"/>
              </w:rPr>
              <w:fldChar w:fldCharType="end"/>
            </w:r>
          </w:hyperlink>
        </w:p>
        <w:p w14:paraId="39F0173C" w14:textId="43EE2D36" w:rsidR="00AD4D98" w:rsidRPr="00AD4D98" w:rsidRDefault="00AD4D98"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2" w:history="1">
            <w:r w:rsidRPr="00AD4D98">
              <w:rPr>
                <w:rStyle w:val="Hyperlink"/>
                <w:noProof/>
                <w:sz w:val="24"/>
                <w:szCs w:val="24"/>
              </w:rPr>
              <w:t>5. Reflective Account Using Gibbs' Reflective Cycle</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_Toc237437442 \h </w:instrText>
            </w:r>
            <w:r w:rsidRPr="00AD4D98">
              <w:rPr>
                <w:noProof/>
                <w:webHidden/>
                <w:sz w:val="24"/>
                <w:szCs w:val="24"/>
              </w:rPr>
            </w:r>
            <w:r w:rsidRPr="00AD4D98">
              <w:rPr>
                <w:noProof/>
                <w:webHidden/>
                <w:sz w:val="24"/>
                <w:szCs w:val="24"/>
              </w:rPr>
              <w:fldChar w:fldCharType="separate"/>
            </w:r>
            <w:r w:rsidRPr="00AD4D98">
              <w:rPr>
                <w:noProof/>
                <w:webHidden/>
                <w:sz w:val="24"/>
                <w:szCs w:val="24"/>
              </w:rPr>
              <w:t>22</w:t>
            </w:r>
            <w:r w:rsidRPr="00AD4D98">
              <w:rPr>
                <w:noProof/>
                <w:webHidden/>
                <w:sz w:val="24"/>
                <w:szCs w:val="24"/>
              </w:rPr>
              <w:fldChar w:fldCharType="end"/>
            </w:r>
          </w:hyperlink>
        </w:p>
        <w:p w14:paraId="4AB82872" w14:textId="4CD44685"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3" w:history="1">
            <w:r w:rsidRPr="00AD4D98">
              <w:rPr>
                <w:rStyle w:val="Hyperlink"/>
                <w:noProof/>
                <w:sz w:val="24"/>
                <w:szCs w:val="24"/>
              </w:rPr>
              <w:t>5.1 Description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_Toc237437443 \h </w:instrText>
            </w:r>
            <w:r w:rsidRPr="00AD4D98">
              <w:rPr>
                <w:noProof/>
                <w:webHidden/>
                <w:sz w:val="24"/>
                <w:szCs w:val="24"/>
              </w:rPr>
            </w:r>
            <w:r w:rsidRPr="00AD4D98">
              <w:rPr>
                <w:noProof/>
                <w:webHidden/>
                <w:sz w:val="24"/>
                <w:szCs w:val="24"/>
              </w:rPr>
              <w:fldChar w:fldCharType="separate"/>
            </w:r>
            <w:r w:rsidRPr="00AD4D98">
              <w:rPr>
                <w:noProof/>
                <w:webHidden/>
                <w:sz w:val="24"/>
                <w:szCs w:val="24"/>
              </w:rPr>
              <w:t>22</w:t>
            </w:r>
            <w:r w:rsidRPr="00AD4D98">
              <w:rPr>
                <w:noProof/>
                <w:webHidden/>
                <w:sz w:val="24"/>
                <w:szCs w:val="24"/>
              </w:rPr>
              <w:fldChar w:fldCharType="end"/>
            </w:r>
          </w:hyperlink>
        </w:p>
        <w:p w14:paraId="15F47A7A" w14:textId="1B5D07AB"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4" w:history="1">
            <w:r w:rsidRPr="00AD4D98">
              <w:rPr>
                <w:rStyle w:val="Hyperlink"/>
                <w:noProof/>
                <w:sz w:val="24"/>
                <w:szCs w:val="24"/>
              </w:rPr>
              <w:t>5.2 Feelings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_Toc237437444 \h </w:instrText>
            </w:r>
            <w:r w:rsidRPr="00AD4D98">
              <w:rPr>
                <w:noProof/>
                <w:webHidden/>
                <w:sz w:val="24"/>
                <w:szCs w:val="24"/>
              </w:rPr>
            </w:r>
            <w:r w:rsidRPr="00AD4D98">
              <w:rPr>
                <w:noProof/>
                <w:webHidden/>
                <w:sz w:val="24"/>
                <w:szCs w:val="24"/>
              </w:rPr>
              <w:fldChar w:fldCharType="separate"/>
            </w:r>
            <w:r w:rsidRPr="00AD4D98">
              <w:rPr>
                <w:noProof/>
                <w:webHidden/>
                <w:sz w:val="24"/>
                <w:szCs w:val="24"/>
              </w:rPr>
              <w:t>22</w:t>
            </w:r>
            <w:r w:rsidRPr="00AD4D98">
              <w:rPr>
                <w:noProof/>
                <w:webHidden/>
                <w:sz w:val="24"/>
                <w:szCs w:val="24"/>
              </w:rPr>
              <w:fldChar w:fldCharType="end"/>
            </w:r>
          </w:hyperlink>
        </w:p>
        <w:p w14:paraId="5F0B64B9" w14:textId="0B74E6CF"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5" w:history="1">
            <w:r w:rsidRPr="00AD4D98">
              <w:rPr>
                <w:rStyle w:val="Hyperlink"/>
                <w:noProof/>
                <w:sz w:val="24"/>
                <w:szCs w:val="24"/>
              </w:rPr>
              <w:t>5.3 Evaluation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_Toc237437445 \h </w:instrText>
            </w:r>
            <w:r w:rsidRPr="00AD4D98">
              <w:rPr>
                <w:noProof/>
                <w:webHidden/>
                <w:sz w:val="24"/>
                <w:szCs w:val="24"/>
              </w:rPr>
            </w:r>
            <w:r w:rsidRPr="00AD4D98">
              <w:rPr>
                <w:noProof/>
                <w:webHidden/>
                <w:sz w:val="24"/>
                <w:szCs w:val="24"/>
              </w:rPr>
              <w:fldChar w:fldCharType="separate"/>
            </w:r>
            <w:r w:rsidRPr="00AD4D98">
              <w:rPr>
                <w:noProof/>
                <w:webHidden/>
                <w:sz w:val="24"/>
                <w:szCs w:val="24"/>
              </w:rPr>
              <w:t>23</w:t>
            </w:r>
            <w:r w:rsidRPr="00AD4D98">
              <w:rPr>
                <w:noProof/>
                <w:webHidden/>
                <w:sz w:val="24"/>
                <w:szCs w:val="24"/>
              </w:rPr>
              <w:fldChar w:fldCharType="end"/>
            </w:r>
          </w:hyperlink>
        </w:p>
        <w:p w14:paraId="5323F535" w14:textId="5F875A27"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6" w:history="1">
            <w:r w:rsidRPr="00AD4D98">
              <w:rPr>
                <w:rStyle w:val="Hyperlink"/>
                <w:noProof/>
                <w:sz w:val="24"/>
                <w:szCs w:val="24"/>
              </w:rPr>
              <w:t>5.4 Analysis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_Toc237437446 \h </w:instrText>
            </w:r>
            <w:r w:rsidRPr="00AD4D98">
              <w:rPr>
                <w:noProof/>
                <w:webHidden/>
                <w:sz w:val="24"/>
                <w:szCs w:val="24"/>
              </w:rPr>
            </w:r>
            <w:r w:rsidRPr="00AD4D98">
              <w:rPr>
                <w:noProof/>
                <w:webHidden/>
                <w:sz w:val="24"/>
                <w:szCs w:val="24"/>
              </w:rPr>
              <w:fldChar w:fldCharType="separate"/>
            </w:r>
            <w:r w:rsidRPr="00AD4D98">
              <w:rPr>
                <w:noProof/>
                <w:webHidden/>
                <w:sz w:val="24"/>
                <w:szCs w:val="24"/>
              </w:rPr>
              <w:t>24</w:t>
            </w:r>
            <w:r w:rsidRPr="00AD4D98">
              <w:rPr>
                <w:noProof/>
                <w:webHidden/>
                <w:sz w:val="24"/>
                <w:szCs w:val="24"/>
              </w:rPr>
              <w:fldChar w:fldCharType="end"/>
            </w:r>
          </w:hyperlink>
        </w:p>
        <w:p w14:paraId="2582D097" w14:textId="503441C5"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7" w:history="1">
            <w:r w:rsidRPr="00AD4D98">
              <w:rPr>
                <w:rStyle w:val="Hyperlink"/>
                <w:noProof/>
                <w:sz w:val="24"/>
                <w:szCs w:val="24"/>
              </w:rPr>
              <w:t>5.5 Conclusion and Action Plan</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_Toc237437447 \h </w:instrText>
            </w:r>
            <w:r w:rsidRPr="00AD4D98">
              <w:rPr>
                <w:noProof/>
                <w:webHidden/>
                <w:sz w:val="24"/>
                <w:szCs w:val="24"/>
              </w:rPr>
            </w:r>
            <w:r w:rsidRPr="00AD4D98">
              <w:rPr>
                <w:noProof/>
                <w:webHidden/>
                <w:sz w:val="24"/>
                <w:szCs w:val="24"/>
              </w:rPr>
              <w:fldChar w:fldCharType="separate"/>
            </w:r>
            <w:r w:rsidRPr="00AD4D98">
              <w:rPr>
                <w:noProof/>
                <w:webHidden/>
                <w:sz w:val="24"/>
                <w:szCs w:val="24"/>
              </w:rPr>
              <w:t>24</w:t>
            </w:r>
            <w:r w:rsidRPr="00AD4D98">
              <w:rPr>
                <w:noProof/>
                <w:webHidden/>
                <w:sz w:val="24"/>
                <w:szCs w:val="24"/>
              </w:rPr>
              <w:fldChar w:fldCharType="end"/>
            </w:r>
          </w:hyperlink>
        </w:p>
        <w:p w14:paraId="2688FEA2" w14:textId="530E8BE1" w:rsidR="00AD4D98" w:rsidRPr="00AD4D98" w:rsidRDefault="00AD4D98"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8" w:history="1">
            <w:r w:rsidRPr="00AD4D98">
              <w:rPr>
                <w:rStyle w:val="Hyperlink"/>
                <w:noProof/>
                <w:sz w:val="24"/>
                <w:szCs w:val="24"/>
              </w:rPr>
              <w:t>References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_Toc237437448 \h </w:instrText>
            </w:r>
            <w:r w:rsidRPr="00AD4D98">
              <w:rPr>
                <w:noProof/>
                <w:webHidden/>
                <w:sz w:val="24"/>
                <w:szCs w:val="24"/>
              </w:rPr>
            </w:r>
            <w:r w:rsidRPr="00AD4D98">
              <w:rPr>
                <w:noProof/>
                <w:webHidden/>
                <w:sz w:val="24"/>
                <w:szCs w:val="24"/>
              </w:rPr>
              <w:fldChar w:fldCharType="separate"/>
            </w:r>
            <w:r w:rsidRPr="00AD4D98">
              <w:rPr>
                <w:noProof/>
                <w:webHidden/>
                <w:sz w:val="24"/>
                <w:szCs w:val="24"/>
              </w:rPr>
              <w:t>26</w:t>
            </w:r>
            <w:r w:rsidRPr="00AD4D98">
              <w:rPr>
                <w:noProof/>
                <w:webHidden/>
                <w:sz w:val="24"/>
                <w:szCs w:val="24"/>
              </w:rPr>
              <w:fldChar w:fldCharType="end"/>
            </w:r>
          </w:hyperlink>
        </w:p>
        <w:p w14:paraId="709D5528" w14:textId="0D4A47AE" w:rsidR="00AD4D98" w:rsidRPr="00AD4D98" w:rsidRDefault="00AD4D98" w:rsidP="00AD4D98">
          <w:pPr>
            <w:pStyle w:val="TOC1"/>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49" w:history="1">
            <w:r w:rsidRPr="00AD4D98">
              <w:rPr>
                <w:rStyle w:val="Hyperlink"/>
                <w:noProof/>
                <w:sz w:val="24"/>
                <w:szCs w:val="24"/>
              </w:rPr>
              <w:t>Appendices</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_Toc237437449 \h </w:instrText>
            </w:r>
            <w:r w:rsidRPr="00AD4D98">
              <w:rPr>
                <w:noProof/>
                <w:webHidden/>
                <w:sz w:val="24"/>
                <w:szCs w:val="24"/>
              </w:rPr>
            </w:r>
            <w:r w:rsidRPr="00AD4D98">
              <w:rPr>
                <w:noProof/>
                <w:webHidden/>
                <w:sz w:val="24"/>
                <w:szCs w:val="24"/>
              </w:rPr>
              <w:fldChar w:fldCharType="separate"/>
            </w:r>
            <w:r w:rsidRPr="00AD4D98">
              <w:rPr>
                <w:noProof/>
                <w:webHidden/>
                <w:sz w:val="24"/>
                <w:szCs w:val="24"/>
              </w:rPr>
              <w:t>30</w:t>
            </w:r>
            <w:r w:rsidRPr="00AD4D98">
              <w:rPr>
                <w:noProof/>
                <w:webHidden/>
                <w:sz w:val="24"/>
                <w:szCs w:val="24"/>
              </w:rPr>
              <w:fldChar w:fldCharType="end"/>
            </w:r>
          </w:hyperlink>
        </w:p>
        <w:p w14:paraId="5ED8C43C" w14:textId="7B82BA65"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50" w:history="1">
            <w:r w:rsidRPr="00AD4D98">
              <w:rPr>
                <w:rStyle w:val="Hyperlink"/>
                <w:noProof/>
                <w:sz w:val="24"/>
                <w:szCs w:val="24"/>
              </w:rPr>
              <w:t>Appendix 1: Business Model Canvas of Tata Motors Limited</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_Toc237437450 \h </w:instrText>
            </w:r>
            <w:r w:rsidRPr="00AD4D98">
              <w:rPr>
                <w:noProof/>
                <w:webHidden/>
                <w:sz w:val="24"/>
                <w:szCs w:val="24"/>
              </w:rPr>
            </w:r>
            <w:r w:rsidRPr="00AD4D98">
              <w:rPr>
                <w:noProof/>
                <w:webHidden/>
                <w:sz w:val="24"/>
                <w:szCs w:val="24"/>
              </w:rPr>
              <w:fldChar w:fldCharType="separate"/>
            </w:r>
            <w:r w:rsidRPr="00AD4D98">
              <w:rPr>
                <w:noProof/>
                <w:webHidden/>
                <w:sz w:val="24"/>
                <w:szCs w:val="24"/>
              </w:rPr>
              <w:t>30</w:t>
            </w:r>
            <w:r w:rsidRPr="00AD4D98">
              <w:rPr>
                <w:noProof/>
                <w:webHidden/>
                <w:sz w:val="24"/>
                <w:szCs w:val="24"/>
              </w:rPr>
              <w:fldChar w:fldCharType="end"/>
            </w:r>
          </w:hyperlink>
        </w:p>
        <w:p w14:paraId="3CED106F" w14:textId="63EB0CA0"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51" w:history="1">
            <w:r w:rsidRPr="00AD4D98">
              <w:rPr>
                <w:rStyle w:val="Hyperlink"/>
                <w:noProof/>
                <w:sz w:val="24"/>
                <w:szCs w:val="24"/>
              </w:rPr>
              <w:t>Appendix 2: Key Tata Motors and EV Supporting</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_Toc237437451 \h </w:instrText>
            </w:r>
            <w:r w:rsidRPr="00AD4D98">
              <w:rPr>
                <w:noProof/>
                <w:webHidden/>
                <w:sz w:val="24"/>
                <w:szCs w:val="24"/>
              </w:rPr>
            </w:r>
            <w:r w:rsidRPr="00AD4D98">
              <w:rPr>
                <w:noProof/>
                <w:webHidden/>
                <w:sz w:val="24"/>
                <w:szCs w:val="24"/>
              </w:rPr>
              <w:fldChar w:fldCharType="separate"/>
            </w:r>
            <w:r w:rsidRPr="00AD4D98">
              <w:rPr>
                <w:noProof/>
                <w:webHidden/>
                <w:sz w:val="24"/>
                <w:szCs w:val="24"/>
              </w:rPr>
              <w:t>31</w:t>
            </w:r>
            <w:r w:rsidRPr="00AD4D98">
              <w:rPr>
                <w:noProof/>
                <w:webHidden/>
                <w:sz w:val="24"/>
                <w:szCs w:val="24"/>
              </w:rPr>
              <w:fldChar w:fldCharType="end"/>
            </w:r>
          </w:hyperlink>
        </w:p>
        <w:p w14:paraId="6D9C359B" w14:textId="63744D0A" w:rsidR="00AD4D98" w:rsidRPr="00AD4D98" w:rsidRDefault="00AD4D98" w:rsidP="00AD4D98">
          <w:pPr>
            <w:pStyle w:val="TOC2"/>
            <w:tabs>
              <w:tab w:val="right" w:leader="dot" w:pos="9019"/>
            </w:tabs>
            <w:spacing w:before="240" w:line="360" w:lineRule="auto"/>
            <w:jc w:val="both"/>
            <w:rPr>
              <w:rFonts w:asciiTheme="minorHAnsi" w:eastAsiaTheme="minorEastAsia" w:hAnsiTheme="minorHAnsi" w:cstheme="minorBidi"/>
              <w:noProof/>
              <w:kern w:val="2"/>
              <w:sz w:val="24"/>
              <w:szCs w:val="24"/>
              <w:lang w:val="en-IN" w:eastAsia="en-IN"/>
              <w14:ligatures w14:val="standardContextual"/>
            </w:rPr>
          </w:pPr>
          <w:hyperlink w:anchor="_Toc237437452" w:history="1">
            <w:r w:rsidRPr="00AD4D98">
              <w:rPr>
                <w:rStyle w:val="Hyperlink"/>
                <w:noProof/>
                <w:sz w:val="24"/>
                <w:szCs w:val="24"/>
              </w:rPr>
              <w:t>Appendix 3: AI use acknowledgement</w:t>
            </w:r>
            <w:r w:rsidRPr="00AD4D98">
              <w:rPr>
                <w:noProof/>
                <w:webHidden/>
                <w:sz w:val="24"/>
                <w:szCs w:val="24"/>
              </w:rPr>
              <w:tab/>
            </w:r>
            <w:r w:rsidRPr="00AD4D98">
              <w:rPr>
                <w:noProof/>
                <w:webHidden/>
                <w:sz w:val="24"/>
                <w:szCs w:val="24"/>
              </w:rPr>
              <w:fldChar w:fldCharType="begin"/>
            </w:r>
            <w:r w:rsidRPr="00AD4D98">
              <w:rPr>
                <w:noProof/>
                <w:webHidden/>
                <w:sz w:val="24"/>
                <w:szCs w:val="24"/>
              </w:rPr>
              <w:instrText xml:space="preserve"> PAGEREF _Toc237437452 \h </w:instrText>
            </w:r>
            <w:r w:rsidRPr="00AD4D98">
              <w:rPr>
                <w:noProof/>
                <w:webHidden/>
                <w:sz w:val="24"/>
                <w:szCs w:val="24"/>
              </w:rPr>
            </w:r>
            <w:r w:rsidRPr="00AD4D98">
              <w:rPr>
                <w:noProof/>
                <w:webHidden/>
                <w:sz w:val="24"/>
                <w:szCs w:val="24"/>
              </w:rPr>
              <w:fldChar w:fldCharType="separate"/>
            </w:r>
            <w:r w:rsidRPr="00AD4D98">
              <w:rPr>
                <w:noProof/>
                <w:webHidden/>
                <w:sz w:val="24"/>
                <w:szCs w:val="24"/>
              </w:rPr>
              <w:t>32</w:t>
            </w:r>
            <w:r w:rsidRPr="00AD4D98">
              <w:rPr>
                <w:noProof/>
                <w:webHidden/>
                <w:sz w:val="24"/>
                <w:szCs w:val="24"/>
              </w:rPr>
              <w:fldChar w:fldCharType="end"/>
            </w:r>
          </w:hyperlink>
        </w:p>
        <w:p w14:paraId="67CC5A69" w14:textId="1CC17FDC" w:rsidR="00C436C2" w:rsidRPr="007319A6" w:rsidRDefault="00C436C2" w:rsidP="00AD4D98">
          <w:pPr>
            <w:widowControl w:val="0"/>
            <w:tabs>
              <w:tab w:val="right" w:leader="dot" w:pos="12000"/>
            </w:tabs>
            <w:spacing w:before="240" w:after="200" w:line="360" w:lineRule="auto"/>
            <w:jc w:val="both"/>
            <w:rPr>
              <w:rFonts w:eastAsia="Times"/>
              <w:color w:val="000000"/>
              <w:sz w:val="24"/>
              <w:szCs w:val="24"/>
            </w:rPr>
          </w:pPr>
          <w:r w:rsidRPr="00AD4D98">
            <w:rPr>
              <w:sz w:val="24"/>
              <w:szCs w:val="24"/>
            </w:rPr>
            <w:fldChar w:fldCharType="end"/>
          </w:r>
        </w:p>
      </w:sdtContent>
    </w:sdt>
    <w:p w14:paraId="25B56249" w14:textId="77777777" w:rsidR="00C436C2" w:rsidRPr="007319A6" w:rsidRDefault="00C436C2">
      <w:pPr>
        <w:spacing w:before="200" w:after="200" w:line="360" w:lineRule="auto"/>
        <w:jc w:val="both"/>
        <w:rPr>
          <w:rFonts w:eastAsia="Times"/>
          <w:sz w:val="24"/>
          <w:szCs w:val="24"/>
        </w:rPr>
      </w:pPr>
    </w:p>
    <w:p w14:paraId="3A8852D3" w14:textId="77777777" w:rsidR="00C436C2" w:rsidRPr="007319A6" w:rsidRDefault="00E047E1">
      <w:pPr>
        <w:pStyle w:val="Heading2"/>
        <w:keepNext w:val="0"/>
        <w:keepLines w:val="0"/>
        <w:rPr>
          <w:rFonts w:cs="Arial"/>
          <w:sz w:val="24"/>
          <w:szCs w:val="24"/>
        </w:rPr>
      </w:pPr>
      <w:bookmarkStart w:id="2" w:name="_j1934vmx34el" w:colFirst="0" w:colLast="0"/>
      <w:bookmarkEnd w:id="2"/>
      <w:r w:rsidRPr="007319A6">
        <w:rPr>
          <w:rFonts w:cs="Arial"/>
        </w:rPr>
        <w:br w:type="page"/>
      </w:r>
    </w:p>
    <w:p w14:paraId="1ADE4D5C" w14:textId="77777777" w:rsidR="00C436C2" w:rsidRPr="007319A6" w:rsidRDefault="00E047E1" w:rsidP="008516BA">
      <w:pPr>
        <w:pStyle w:val="Heading1"/>
        <w:keepNext w:val="0"/>
        <w:keepLines w:val="0"/>
        <w:rPr>
          <w:rFonts w:cs="Arial"/>
        </w:rPr>
      </w:pPr>
      <w:bookmarkStart w:id="3" w:name="_Toc237437408"/>
      <w:r w:rsidRPr="007319A6">
        <w:rPr>
          <w:rFonts w:cs="Arial"/>
        </w:rPr>
        <w:t>1. Organisational Context and Overview</w:t>
      </w:r>
      <w:bookmarkEnd w:id="3"/>
    </w:p>
    <w:p w14:paraId="42BC7DC3" w14:textId="77777777" w:rsidR="002D0FB8" w:rsidRDefault="002D0FB8" w:rsidP="008516BA">
      <w:pPr>
        <w:pStyle w:val="Heading2"/>
      </w:pPr>
      <w:bookmarkStart w:id="4" w:name="_Toc237437409"/>
      <w:r w:rsidRPr="008C51F4">
        <w:t>1.1 Background of Tata Motors Limited</w:t>
      </w:r>
      <w:bookmarkEnd w:id="4"/>
      <w:r w:rsidRPr="008C51F4">
        <w:t xml:space="preserve"> </w:t>
      </w:r>
    </w:p>
    <w:p w14:paraId="3FD68866" w14:textId="243B7D42" w:rsidR="0066780F" w:rsidRDefault="0066780F" w:rsidP="0066780F">
      <w:r>
        <w:rPr>
          <w:rFonts w:eastAsia="Times New Roman"/>
          <w:noProof/>
          <w:sz w:val="24"/>
          <w:szCs w:val="24"/>
        </w:rPr>
        <w:drawing>
          <wp:inline distT="0" distB="0" distL="0" distR="0" wp14:anchorId="19411C67" wp14:editId="67768341">
            <wp:extent cx="5617110" cy="3428860"/>
            <wp:effectExtent l="0" t="0" r="0" b="635"/>
            <wp:docPr id="1871751647" name="Picture 8" descr="A poster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51647" name="Picture 8" descr="A poster of a car&#10;&#10;AI-generated content may be incorrect."/>
                    <pic:cNvPicPr/>
                  </pic:nvPicPr>
                  <pic:blipFill rotWithShape="1">
                    <a:blip r:embed="rId10" cstate="print">
                      <a:extLst>
                        <a:ext uri="{28A0092B-C50C-407E-A947-70E740481C1C}">
                          <a14:useLocalDpi xmlns:a14="http://schemas.microsoft.com/office/drawing/2010/main" val="0"/>
                        </a:ext>
                      </a:extLst>
                    </a:blip>
                    <a:srcRect l="1081" t="7022" r="917" b="3238"/>
                    <a:stretch>
                      <a:fillRect/>
                    </a:stretch>
                  </pic:blipFill>
                  <pic:spPr bwMode="auto">
                    <a:xfrm>
                      <a:off x="0" y="0"/>
                      <a:ext cx="5618839" cy="3429916"/>
                    </a:xfrm>
                    <a:prstGeom prst="rect">
                      <a:avLst/>
                    </a:prstGeom>
                    <a:ln>
                      <a:noFill/>
                    </a:ln>
                    <a:extLst>
                      <a:ext uri="{53640926-AAD7-44D8-BBD7-CCE9431645EC}">
                        <a14:shadowObscured xmlns:a14="http://schemas.microsoft.com/office/drawing/2010/main"/>
                      </a:ext>
                    </a:extLst>
                  </pic:spPr>
                </pic:pic>
              </a:graphicData>
            </a:graphic>
          </wp:inline>
        </w:drawing>
      </w:r>
    </w:p>
    <w:p w14:paraId="5E7216B7" w14:textId="77777777" w:rsidR="0066780F" w:rsidRDefault="0066780F" w:rsidP="0066780F"/>
    <w:p w14:paraId="644A844D" w14:textId="685298DC" w:rsidR="0066780F" w:rsidRDefault="0066780F" w:rsidP="0066780F">
      <w:pPr>
        <w:jc w:val="center"/>
        <w:rPr>
          <w:b/>
          <w:bCs/>
          <w:sz w:val="24"/>
          <w:szCs w:val="24"/>
        </w:rPr>
      </w:pPr>
      <w:r w:rsidRPr="0066780F">
        <w:rPr>
          <w:b/>
          <w:bCs/>
          <w:sz w:val="24"/>
          <w:szCs w:val="24"/>
        </w:rPr>
        <w:t>Figure 1.1: Tata Motors Passenger EV Portfolio</w:t>
      </w:r>
    </w:p>
    <w:p w14:paraId="3951AD91" w14:textId="77777777" w:rsidR="0066780F" w:rsidRPr="0066780F" w:rsidRDefault="0066780F" w:rsidP="0066780F">
      <w:pPr>
        <w:jc w:val="center"/>
        <w:rPr>
          <w:b/>
          <w:bCs/>
          <w:sz w:val="24"/>
          <w:szCs w:val="24"/>
        </w:rPr>
      </w:pPr>
    </w:p>
    <w:p w14:paraId="3E8B33FD" w14:textId="6F83BF86" w:rsidR="0066780F" w:rsidRPr="0066780F" w:rsidRDefault="0066780F" w:rsidP="0066780F">
      <w:pPr>
        <w:jc w:val="center"/>
      </w:pPr>
      <w:r>
        <w:t>(</w:t>
      </w:r>
      <w:r>
        <w:t>Source: Tata Motors</w:t>
      </w:r>
      <w:r>
        <w:t xml:space="preserve">, </w:t>
      </w:r>
      <w:r>
        <w:t>2026)</w:t>
      </w:r>
    </w:p>
    <w:p w14:paraId="7EDF0F2F" w14:textId="77777777" w:rsidR="0066780F" w:rsidRPr="0066780F" w:rsidRDefault="0066780F" w:rsidP="0066780F"/>
    <w:p w14:paraId="6740DF20" w14:textId="11EB7EDE" w:rsidR="0066780F" w:rsidRPr="002D0FB8" w:rsidRDefault="002D0FB8" w:rsidP="008516BA">
      <w:pPr>
        <w:spacing w:after="160" w:line="360" w:lineRule="auto"/>
        <w:jc w:val="both"/>
        <w:rPr>
          <w:sz w:val="24"/>
          <w:szCs w:val="24"/>
        </w:rPr>
      </w:pPr>
      <w:r w:rsidRPr="002D0FB8">
        <w:rPr>
          <w:sz w:val="24"/>
          <w:szCs w:val="24"/>
        </w:rPr>
        <w:t>Tata motors limited is a top Indian commercial vehicle manufacturer and a subsidiary of Tata Group. The company is a commercial mobility enterprise after the demerger that was completed by October 2025 and the following public listing in November 2025. It integrates engineering capacity, scale of manufacturing, digital solutions and a comprehensive service ecosystem to deliver cargo and passenger-mobility customers. Tata Motors sold 435,227 vehicles in FY26, generated 83,855 crore revenue and invested 1,767 crores in research and development reflecting significant scale of operations, innovation and penetration in both the domestic and global markets (Tata Motors, 2026).</w:t>
      </w:r>
    </w:p>
    <w:p w14:paraId="0D51C1F4" w14:textId="77777777" w:rsidR="00C436C2" w:rsidRPr="007319A6" w:rsidRDefault="00E047E1" w:rsidP="008516BA">
      <w:pPr>
        <w:spacing w:before="200" w:after="200" w:line="360" w:lineRule="auto"/>
        <w:jc w:val="center"/>
        <w:rPr>
          <w:rFonts w:eastAsia="Times New Roman"/>
          <w:sz w:val="24"/>
          <w:szCs w:val="24"/>
        </w:rPr>
      </w:pPr>
      <w:r w:rsidRPr="007319A6">
        <w:rPr>
          <w:rFonts w:eastAsia="Times New Roman"/>
          <w:noProof/>
          <w:sz w:val="24"/>
          <w:szCs w:val="24"/>
        </w:rPr>
        <w:drawing>
          <wp:inline distT="114300" distB="114300" distL="114300" distR="114300" wp14:anchorId="62B86BAB" wp14:editId="5807792E">
            <wp:extent cx="4316250" cy="151024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316250" cy="1510241"/>
                    </a:xfrm>
                    <a:prstGeom prst="rect">
                      <a:avLst/>
                    </a:prstGeom>
                    <a:ln/>
                  </pic:spPr>
                </pic:pic>
              </a:graphicData>
            </a:graphic>
          </wp:inline>
        </w:drawing>
      </w:r>
      <w:r w:rsidRPr="007319A6">
        <w:rPr>
          <w:rFonts w:eastAsia="Times New Roman"/>
          <w:noProof/>
          <w:sz w:val="24"/>
          <w:szCs w:val="24"/>
        </w:rPr>
        <w:drawing>
          <wp:inline distT="114300" distB="114300" distL="114300" distR="114300" wp14:anchorId="31C0AF6E" wp14:editId="4816E102">
            <wp:extent cx="4284951" cy="15445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284951" cy="1544575"/>
                    </a:xfrm>
                    <a:prstGeom prst="rect">
                      <a:avLst/>
                    </a:prstGeom>
                    <a:ln/>
                  </pic:spPr>
                </pic:pic>
              </a:graphicData>
            </a:graphic>
          </wp:inline>
        </w:drawing>
      </w:r>
    </w:p>
    <w:p w14:paraId="30090CB4" w14:textId="77777777" w:rsidR="0066780F" w:rsidRDefault="00E047E1" w:rsidP="0066780F">
      <w:pPr>
        <w:spacing w:before="200" w:after="200" w:line="360" w:lineRule="auto"/>
        <w:jc w:val="center"/>
        <w:rPr>
          <w:rFonts w:eastAsia="Times New Roman"/>
          <w:b/>
          <w:bCs/>
          <w:sz w:val="24"/>
          <w:szCs w:val="24"/>
        </w:rPr>
      </w:pPr>
      <w:r w:rsidRPr="007319A6">
        <w:rPr>
          <w:rFonts w:eastAsia="Times New Roman"/>
          <w:b/>
          <w:bCs/>
          <w:sz w:val="24"/>
          <w:szCs w:val="24"/>
        </w:rPr>
        <w:t xml:space="preserve">Figure </w:t>
      </w:r>
      <w:proofErr w:type="gramStart"/>
      <w:r w:rsidRPr="007319A6">
        <w:rPr>
          <w:rFonts w:eastAsia="Times New Roman"/>
          <w:b/>
          <w:bCs/>
          <w:sz w:val="24"/>
          <w:szCs w:val="24"/>
        </w:rPr>
        <w:t>1</w:t>
      </w:r>
      <w:r w:rsidR="00AD4D98">
        <w:rPr>
          <w:rFonts w:eastAsia="Times New Roman"/>
          <w:b/>
          <w:bCs/>
          <w:sz w:val="24"/>
          <w:szCs w:val="24"/>
        </w:rPr>
        <w:t>.</w:t>
      </w:r>
      <w:r w:rsidR="0066780F">
        <w:rPr>
          <w:rFonts w:eastAsia="Times New Roman"/>
          <w:b/>
          <w:bCs/>
          <w:sz w:val="24"/>
          <w:szCs w:val="24"/>
        </w:rPr>
        <w:t xml:space="preserve">2 </w:t>
      </w:r>
      <w:r w:rsidRPr="007319A6">
        <w:rPr>
          <w:rFonts w:eastAsia="Times New Roman"/>
          <w:b/>
          <w:bCs/>
          <w:sz w:val="24"/>
          <w:szCs w:val="24"/>
        </w:rPr>
        <w:t>:</w:t>
      </w:r>
      <w:proofErr w:type="gramEnd"/>
      <w:r w:rsidRPr="007319A6">
        <w:rPr>
          <w:rFonts w:eastAsia="Times New Roman"/>
          <w:b/>
          <w:bCs/>
          <w:sz w:val="24"/>
          <w:szCs w:val="24"/>
        </w:rPr>
        <w:t xml:space="preserve"> Financial </w:t>
      </w:r>
      <w:r w:rsidR="008516BA">
        <w:rPr>
          <w:rFonts w:eastAsia="Times New Roman"/>
          <w:b/>
          <w:bCs/>
          <w:sz w:val="24"/>
          <w:szCs w:val="24"/>
        </w:rPr>
        <w:t>Data</w:t>
      </w:r>
    </w:p>
    <w:p w14:paraId="1C634612" w14:textId="163FFE3C" w:rsidR="00C436C2" w:rsidRPr="0066780F" w:rsidRDefault="00E047E1" w:rsidP="0066780F">
      <w:pPr>
        <w:spacing w:before="200" w:after="200" w:line="360" w:lineRule="auto"/>
        <w:jc w:val="center"/>
        <w:rPr>
          <w:rFonts w:eastAsia="Times New Roman"/>
          <w:b/>
          <w:bCs/>
          <w:sz w:val="24"/>
          <w:szCs w:val="24"/>
        </w:rPr>
      </w:pPr>
      <w:r w:rsidRPr="007319A6">
        <w:rPr>
          <w:rFonts w:eastAsia="Times New Roman"/>
          <w:sz w:val="24"/>
          <w:szCs w:val="24"/>
        </w:rPr>
        <w:t>(Source: Tata Motors, 2026)</w:t>
      </w:r>
    </w:p>
    <w:p w14:paraId="17BE4293" w14:textId="77777777" w:rsidR="002D0FB8" w:rsidRPr="008C51F4" w:rsidRDefault="002D0FB8" w:rsidP="008516BA">
      <w:pPr>
        <w:pStyle w:val="Heading2"/>
      </w:pPr>
      <w:bookmarkStart w:id="5" w:name="_Toc237437410"/>
      <w:r w:rsidRPr="008C51F4">
        <w:t>1.2 Mission</w:t>
      </w:r>
      <w:bookmarkEnd w:id="5"/>
    </w:p>
    <w:p w14:paraId="790CAEE1" w14:textId="77777777" w:rsidR="002D0FB8" w:rsidRPr="002D0FB8" w:rsidRDefault="002D0FB8" w:rsidP="008516BA">
      <w:pPr>
        <w:spacing w:after="160" w:line="360" w:lineRule="auto"/>
        <w:jc w:val="both"/>
        <w:rPr>
          <w:sz w:val="24"/>
          <w:szCs w:val="24"/>
        </w:rPr>
      </w:pPr>
      <w:r w:rsidRPr="002D0FB8">
        <w:rPr>
          <w:sz w:val="24"/>
          <w:szCs w:val="24"/>
        </w:rPr>
        <w:t>The mission of Tata Motors is to pursue mobility solutions with passion to improve quality of life with a focus on customer value, technological advancement, responsible mobility and continuous improvement in all business operations today (Tata Motors, 2026).</w:t>
      </w:r>
    </w:p>
    <w:p w14:paraId="769DF7C1" w14:textId="77777777" w:rsidR="002D0FB8" w:rsidRPr="008C51F4" w:rsidRDefault="002D0FB8" w:rsidP="008516BA">
      <w:pPr>
        <w:pStyle w:val="Heading2"/>
      </w:pPr>
      <w:bookmarkStart w:id="6" w:name="_Toc237437411"/>
      <w:r w:rsidRPr="008C51F4">
        <w:t>1.3 Vision</w:t>
      </w:r>
      <w:bookmarkEnd w:id="6"/>
      <w:r w:rsidRPr="008C51F4">
        <w:t xml:space="preserve"> </w:t>
      </w:r>
    </w:p>
    <w:p w14:paraId="2536976F" w14:textId="77777777" w:rsidR="002D0FB8" w:rsidRPr="002D0FB8" w:rsidRDefault="002D0FB8" w:rsidP="008516BA">
      <w:pPr>
        <w:spacing w:line="360" w:lineRule="auto"/>
        <w:jc w:val="both"/>
        <w:rPr>
          <w:sz w:val="24"/>
          <w:szCs w:val="24"/>
        </w:rPr>
      </w:pPr>
      <w:r w:rsidRPr="002D0FB8">
        <w:rPr>
          <w:sz w:val="24"/>
          <w:szCs w:val="24"/>
        </w:rPr>
        <w:t>The FY30 vision of Tata Motors is to be a respected, global recognised leader in the field of mobility solutions with sustainability at its heart, surpassing stakeholder expectations, generating high returns and building diverse innovation ecosystems (Tata Motors, 2026).</w:t>
      </w:r>
    </w:p>
    <w:p w14:paraId="3A5C3B97" w14:textId="77777777" w:rsidR="002D0FB8" w:rsidRDefault="002D0FB8" w:rsidP="008516BA">
      <w:pPr>
        <w:pStyle w:val="Heading2"/>
      </w:pPr>
      <w:bookmarkStart w:id="7" w:name="_Toc237437412"/>
      <w:r w:rsidRPr="008C51F4">
        <w:t>1.4 Business Model</w:t>
      </w:r>
      <w:bookmarkEnd w:id="7"/>
      <w:r w:rsidRPr="008C51F4">
        <w:t xml:space="preserve"> </w:t>
      </w:r>
    </w:p>
    <w:p w14:paraId="5D826DF1" w14:textId="35D156F3" w:rsidR="002A5C40" w:rsidRPr="002A5C40" w:rsidRDefault="00591A5D" w:rsidP="002A5C40">
      <w:pPr>
        <w:spacing w:line="360" w:lineRule="auto"/>
        <w:jc w:val="both"/>
        <w:rPr>
          <w:sz w:val="24"/>
          <w:szCs w:val="24"/>
        </w:rPr>
      </w:pPr>
      <w:r w:rsidRPr="00591A5D">
        <w:rPr>
          <w:sz w:val="24"/>
          <w:szCs w:val="24"/>
        </w:rPr>
        <w:t xml:space="preserve">The business model shows how Tata Motors has integrated its strategy, which brings together the scale of manufacturing, engineering capacity, dealer networks and Tata Group networks to provide reliable and sustainable mobility. Its 11 manufacturing plants and 3 research and development centres enhance operational and innovation capacity (Tata Motors, 2026). Customer relationships, competitiveness and long-term value creation are also supported by revenue diversification with the help of vehicle sales, services and digital solutions (Tata Motors, 2026). </w:t>
      </w:r>
      <w:r w:rsidRPr="00591A5D">
        <w:rPr>
          <w:b/>
          <w:bCs/>
          <w:i/>
          <w:iCs/>
          <w:sz w:val="24"/>
          <w:szCs w:val="24"/>
        </w:rPr>
        <w:t>[Referred to Appendix 1]</w:t>
      </w:r>
    </w:p>
    <w:p w14:paraId="133E33AE" w14:textId="77777777" w:rsidR="002D0FB8" w:rsidRDefault="002D0FB8" w:rsidP="008516BA">
      <w:pPr>
        <w:pStyle w:val="Heading2"/>
      </w:pPr>
      <w:bookmarkStart w:id="8" w:name="_Toc237437413"/>
      <w:r w:rsidRPr="008C51F4">
        <w:t>1.5 Industry Overview</w:t>
      </w:r>
      <w:bookmarkEnd w:id="8"/>
      <w:r w:rsidRPr="008C51F4">
        <w:t xml:space="preserve"> </w:t>
      </w:r>
    </w:p>
    <w:p w14:paraId="0264DC17" w14:textId="725C21DD" w:rsidR="007E5E9C" w:rsidRDefault="007E5E9C" w:rsidP="007E5E9C">
      <w:r>
        <w:rPr>
          <w:rFonts w:eastAsia="Times New Roman"/>
          <w:noProof/>
          <w:sz w:val="24"/>
          <w:szCs w:val="24"/>
        </w:rPr>
        <w:drawing>
          <wp:inline distT="0" distB="0" distL="0" distR="0" wp14:anchorId="538C0E60" wp14:editId="3F1069A4">
            <wp:extent cx="5620422" cy="3345815"/>
            <wp:effectExtent l="0" t="0" r="5715" b="0"/>
            <wp:docPr id="1670815992" name="Picture 6" descr="A graph of a passenger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15992" name="Picture 6" descr="A graph of a passenger market&#10;&#10;AI-generated content may be incorrect."/>
                    <pic:cNvPicPr/>
                  </pic:nvPicPr>
                  <pic:blipFill rotWithShape="1">
                    <a:blip r:embed="rId13" cstate="print">
                      <a:extLst>
                        <a:ext uri="{28A0092B-C50C-407E-A947-70E740481C1C}">
                          <a14:useLocalDpi xmlns:a14="http://schemas.microsoft.com/office/drawing/2010/main" val="0"/>
                        </a:ext>
                      </a:extLst>
                    </a:blip>
                    <a:srcRect l="922" t="7309" r="992" b="5100"/>
                    <a:stretch>
                      <a:fillRect/>
                    </a:stretch>
                  </pic:blipFill>
                  <pic:spPr bwMode="auto">
                    <a:xfrm>
                      <a:off x="0" y="0"/>
                      <a:ext cx="5623699" cy="3347766"/>
                    </a:xfrm>
                    <a:prstGeom prst="rect">
                      <a:avLst/>
                    </a:prstGeom>
                    <a:ln>
                      <a:noFill/>
                    </a:ln>
                    <a:extLst>
                      <a:ext uri="{53640926-AAD7-44D8-BBD7-CCE9431645EC}">
                        <a14:shadowObscured xmlns:a14="http://schemas.microsoft.com/office/drawing/2010/main"/>
                      </a:ext>
                    </a:extLst>
                  </pic:spPr>
                </pic:pic>
              </a:graphicData>
            </a:graphic>
          </wp:inline>
        </w:drawing>
      </w:r>
    </w:p>
    <w:p w14:paraId="33D3BF98" w14:textId="77777777" w:rsidR="007E5E9C" w:rsidRDefault="007E5E9C" w:rsidP="007E5E9C"/>
    <w:p w14:paraId="15F6D631" w14:textId="3983C216" w:rsidR="007E5E9C" w:rsidRDefault="007E5E9C" w:rsidP="007E5E9C">
      <w:pPr>
        <w:jc w:val="center"/>
        <w:rPr>
          <w:b/>
          <w:bCs/>
          <w:sz w:val="24"/>
          <w:szCs w:val="24"/>
        </w:rPr>
      </w:pPr>
      <w:r w:rsidRPr="007E5E9C">
        <w:rPr>
          <w:b/>
          <w:bCs/>
          <w:sz w:val="24"/>
          <w:szCs w:val="24"/>
        </w:rPr>
        <w:t>Figure 1.</w:t>
      </w:r>
      <w:r>
        <w:rPr>
          <w:b/>
          <w:bCs/>
          <w:sz w:val="24"/>
          <w:szCs w:val="24"/>
        </w:rPr>
        <w:t>3</w:t>
      </w:r>
      <w:r w:rsidRPr="007E5E9C">
        <w:rPr>
          <w:b/>
          <w:bCs/>
          <w:sz w:val="24"/>
          <w:szCs w:val="24"/>
        </w:rPr>
        <w:t>: Indian Passenger EV Market Growth (2021–2026)</w:t>
      </w:r>
    </w:p>
    <w:p w14:paraId="753D5AD9" w14:textId="77777777" w:rsidR="0063556B" w:rsidRPr="007E5E9C" w:rsidRDefault="0063556B" w:rsidP="007E5E9C">
      <w:pPr>
        <w:jc w:val="center"/>
        <w:rPr>
          <w:b/>
          <w:bCs/>
          <w:sz w:val="24"/>
          <w:szCs w:val="24"/>
        </w:rPr>
      </w:pPr>
    </w:p>
    <w:p w14:paraId="12AF2825" w14:textId="7C55EABD" w:rsidR="007E5E9C" w:rsidRPr="007E5E9C" w:rsidRDefault="007E5E9C" w:rsidP="007E5E9C">
      <w:pPr>
        <w:jc w:val="center"/>
        <w:rPr>
          <w:sz w:val="24"/>
          <w:szCs w:val="24"/>
        </w:rPr>
      </w:pPr>
      <w:r w:rsidRPr="007E5E9C">
        <w:rPr>
          <w:sz w:val="24"/>
          <w:szCs w:val="24"/>
        </w:rPr>
        <w:t>(</w:t>
      </w:r>
      <w:r w:rsidRPr="007E5E9C">
        <w:rPr>
          <w:sz w:val="24"/>
          <w:szCs w:val="24"/>
        </w:rPr>
        <w:t>Source: SIAM/JMK Research</w:t>
      </w:r>
      <w:r w:rsidRPr="007E5E9C">
        <w:rPr>
          <w:sz w:val="24"/>
          <w:szCs w:val="24"/>
        </w:rPr>
        <w:t xml:space="preserve">, </w:t>
      </w:r>
      <w:r w:rsidRPr="007E5E9C">
        <w:rPr>
          <w:sz w:val="24"/>
          <w:szCs w:val="24"/>
        </w:rPr>
        <w:t>2026)</w:t>
      </w:r>
    </w:p>
    <w:p w14:paraId="3D90BFAC" w14:textId="77777777" w:rsidR="007E5E9C" w:rsidRPr="007E5E9C" w:rsidRDefault="007E5E9C" w:rsidP="007E5E9C">
      <w:pPr>
        <w:jc w:val="center"/>
      </w:pPr>
    </w:p>
    <w:p w14:paraId="54515BC6" w14:textId="1204B536" w:rsidR="002D0FB8" w:rsidRPr="002D0FB8" w:rsidRDefault="002D0FB8" w:rsidP="008516BA">
      <w:pPr>
        <w:spacing w:line="360" w:lineRule="auto"/>
        <w:jc w:val="both"/>
        <w:rPr>
          <w:sz w:val="24"/>
          <w:szCs w:val="24"/>
        </w:rPr>
      </w:pPr>
      <w:r w:rsidRPr="002D0FB8">
        <w:rPr>
          <w:sz w:val="24"/>
          <w:szCs w:val="24"/>
        </w:rPr>
        <w:t xml:space="preserve">Infrastructure investment, modernisation of logistics, digitalisation, cleaner energy and increased safety expectations are redefining the commercial vehicle industry in India. The market FY26 demand started out lumpy due to the disruption, but in the second half, the market has rebounded with stronger demand fundamentals and consumer confidence. One-way manufacturers can balance cost, innovation, resilience and sustainability is to find equilibrium in a fast-evolving landscape of national and global mobility sector (Tata Motors, 2026). </w:t>
      </w:r>
    </w:p>
    <w:p w14:paraId="503A924C" w14:textId="77777777" w:rsidR="002D0FB8" w:rsidRDefault="002D0FB8" w:rsidP="008516BA">
      <w:pPr>
        <w:pStyle w:val="Heading2"/>
      </w:pPr>
      <w:bookmarkStart w:id="9" w:name="_Toc237437414"/>
      <w:r w:rsidRPr="008C51F4">
        <w:t>1.6 Market Position</w:t>
      </w:r>
      <w:bookmarkEnd w:id="9"/>
      <w:r w:rsidRPr="008C51F4">
        <w:t xml:space="preserve"> </w:t>
      </w:r>
    </w:p>
    <w:p w14:paraId="37FC4829" w14:textId="72A9E499" w:rsidR="0063556B" w:rsidRDefault="0063556B" w:rsidP="0063556B">
      <w:r>
        <w:rPr>
          <w:rFonts w:eastAsia="Times New Roman"/>
          <w:noProof/>
          <w:sz w:val="24"/>
          <w:szCs w:val="24"/>
        </w:rPr>
        <w:drawing>
          <wp:inline distT="0" distB="0" distL="0" distR="0" wp14:anchorId="7AB3AB61" wp14:editId="59C29FE6">
            <wp:extent cx="5632401" cy="3222956"/>
            <wp:effectExtent l="0" t="0" r="0" b="3175"/>
            <wp:docPr id="2118616733" name="Picture 1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16733" name="Picture 12" descr="A screenshot of a graph&#10;&#10;AI-generated content may be incorrect."/>
                    <pic:cNvPicPr/>
                  </pic:nvPicPr>
                  <pic:blipFill rotWithShape="1">
                    <a:blip r:embed="rId14" cstate="print">
                      <a:extLst>
                        <a:ext uri="{28A0092B-C50C-407E-A947-70E740481C1C}">
                          <a14:useLocalDpi xmlns:a14="http://schemas.microsoft.com/office/drawing/2010/main" val="0"/>
                        </a:ext>
                      </a:extLst>
                    </a:blip>
                    <a:srcRect l="920" t="8435" r="810" b="7212"/>
                    <a:stretch>
                      <a:fillRect/>
                    </a:stretch>
                  </pic:blipFill>
                  <pic:spPr bwMode="auto">
                    <a:xfrm>
                      <a:off x="0" y="0"/>
                      <a:ext cx="5634273" cy="3224027"/>
                    </a:xfrm>
                    <a:prstGeom prst="rect">
                      <a:avLst/>
                    </a:prstGeom>
                    <a:ln>
                      <a:noFill/>
                    </a:ln>
                    <a:extLst>
                      <a:ext uri="{53640926-AAD7-44D8-BBD7-CCE9431645EC}">
                        <a14:shadowObscured xmlns:a14="http://schemas.microsoft.com/office/drawing/2010/main"/>
                      </a:ext>
                    </a:extLst>
                  </pic:spPr>
                </pic:pic>
              </a:graphicData>
            </a:graphic>
          </wp:inline>
        </w:drawing>
      </w:r>
    </w:p>
    <w:p w14:paraId="053AFFBA" w14:textId="77777777" w:rsidR="0063556B" w:rsidRDefault="0063556B" w:rsidP="0063556B"/>
    <w:p w14:paraId="766F4CB2" w14:textId="409F90AA" w:rsidR="0063556B" w:rsidRDefault="0063556B" w:rsidP="0063556B">
      <w:pPr>
        <w:jc w:val="center"/>
        <w:rPr>
          <w:b/>
          <w:bCs/>
          <w:sz w:val="24"/>
          <w:szCs w:val="24"/>
        </w:rPr>
      </w:pPr>
      <w:r w:rsidRPr="0063556B">
        <w:rPr>
          <w:b/>
          <w:bCs/>
          <w:sz w:val="24"/>
          <w:szCs w:val="24"/>
        </w:rPr>
        <w:t>Figure</w:t>
      </w:r>
      <w:r w:rsidRPr="0063556B">
        <w:rPr>
          <w:b/>
          <w:bCs/>
          <w:sz w:val="24"/>
          <w:szCs w:val="24"/>
        </w:rPr>
        <w:t xml:space="preserve"> </w:t>
      </w:r>
      <w:proofErr w:type="gramStart"/>
      <w:r w:rsidRPr="0063556B">
        <w:rPr>
          <w:b/>
          <w:bCs/>
          <w:sz w:val="24"/>
          <w:szCs w:val="24"/>
        </w:rPr>
        <w:t>1.</w:t>
      </w:r>
      <w:r w:rsidRPr="0063556B">
        <w:rPr>
          <w:b/>
          <w:bCs/>
          <w:sz w:val="24"/>
          <w:szCs w:val="24"/>
        </w:rPr>
        <w:t xml:space="preserve">4 </w:t>
      </w:r>
      <w:r w:rsidRPr="0063556B">
        <w:rPr>
          <w:b/>
          <w:bCs/>
          <w:sz w:val="24"/>
          <w:szCs w:val="24"/>
        </w:rPr>
        <w:t>:</w:t>
      </w:r>
      <w:proofErr w:type="gramEnd"/>
      <w:r w:rsidRPr="0063556B">
        <w:rPr>
          <w:b/>
          <w:bCs/>
          <w:sz w:val="24"/>
          <w:szCs w:val="24"/>
        </w:rPr>
        <w:t xml:space="preserve"> Passenger EV Market Share in India (FY25)</w:t>
      </w:r>
    </w:p>
    <w:p w14:paraId="14402FD9" w14:textId="77777777" w:rsidR="0063556B" w:rsidRDefault="0063556B" w:rsidP="0063556B">
      <w:pPr>
        <w:jc w:val="center"/>
        <w:rPr>
          <w:b/>
          <w:bCs/>
          <w:sz w:val="24"/>
          <w:szCs w:val="24"/>
        </w:rPr>
      </w:pPr>
    </w:p>
    <w:p w14:paraId="20FDD48A" w14:textId="3A6CB945" w:rsidR="0063556B" w:rsidRDefault="0063556B" w:rsidP="0063556B">
      <w:pPr>
        <w:jc w:val="center"/>
        <w:rPr>
          <w:sz w:val="24"/>
          <w:szCs w:val="24"/>
        </w:rPr>
      </w:pPr>
      <w:r>
        <w:rPr>
          <w:sz w:val="24"/>
          <w:szCs w:val="24"/>
        </w:rPr>
        <w:t>(</w:t>
      </w:r>
      <w:r w:rsidRPr="0063556B">
        <w:rPr>
          <w:sz w:val="24"/>
          <w:szCs w:val="24"/>
        </w:rPr>
        <w:t>Source: Vahan Dashboard; Tata Motors</w:t>
      </w:r>
      <w:r>
        <w:rPr>
          <w:sz w:val="24"/>
          <w:szCs w:val="24"/>
        </w:rPr>
        <w:t xml:space="preserve">, </w:t>
      </w:r>
      <w:r w:rsidRPr="0063556B">
        <w:rPr>
          <w:sz w:val="24"/>
          <w:szCs w:val="24"/>
        </w:rPr>
        <w:t>2025)</w:t>
      </w:r>
    </w:p>
    <w:p w14:paraId="1A2EC9FD" w14:textId="77777777" w:rsidR="0063556B" w:rsidRPr="0063556B" w:rsidRDefault="0063556B" w:rsidP="0063556B">
      <w:pPr>
        <w:jc w:val="center"/>
        <w:rPr>
          <w:sz w:val="24"/>
          <w:szCs w:val="24"/>
        </w:rPr>
      </w:pPr>
    </w:p>
    <w:p w14:paraId="720B3F81" w14:textId="77777777" w:rsidR="002D0FB8" w:rsidRPr="002D0FB8" w:rsidRDefault="002D0FB8" w:rsidP="008516BA">
      <w:pPr>
        <w:spacing w:line="360" w:lineRule="auto"/>
        <w:jc w:val="both"/>
        <w:rPr>
          <w:sz w:val="24"/>
          <w:szCs w:val="24"/>
        </w:rPr>
      </w:pPr>
      <w:r w:rsidRPr="002D0FB8">
        <w:rPr>
          <w:sz w:val="24"/>
          <w:szCs w:val="24"/>
        </w:rPr>
        <w:t>Tata Motors is a prominent player in the commercial vehicle industry in India and identifies itself as the largest commercial vehicle manufacturer in the country. It sold 435,227 vehicles in FY26; the heavy commercial vehicle business had a market share of 55 percent, the highest in a decade. Its competitive advantage is enhanced by brand trust, engineering capacity, scale of manufacture, dealer coverage, customer relations and growing digital and low-emission mobility solutions in India (Tata Motors, 2026).</w:t>
      </w:r>
    </w:p>
    <w:p w14:paraId="0BC4BCF3" w14:textId="77777777" w:rsidR="00C436C2" w:rsidRPr="007319A6" w:rsidRDefault="00E047E1" w:rsidP="008516BA">
      <w:pPr>
        <w:pStyle w:val="Heading1"/>
        <w:rPr>
          <w:rFonts w:cs="Arial"/>
        </w:rPr>
      </w:pPr>
      <w:bookmarkStart w:id="10" w:name="_Toc237437415"/>
      <w:r w:rsidRPr="007319A6">
        <w:rPr>
          <w:rFonts w:cs="Arial"/>
        </w:rPr>
        <w:t>2. External and Internal Strategic Analysis</w:t>
      </w:r>
      <w:bookmarkEnd w:id="10"/>
    </w:p>
    <w:p w14:paraId="5275D850" w14:textId="4E0159D5" w:rsidR="008816A2" w:rsidRDefault="00E047E1" w:rsidP="0063556B">
      <w:pPr>
        <w:pStyle w:val="Heading2"/>
        <w:keepNext w:val="0"/>
        <w:keepLines w:val="0"/>
        <w:rPr>
          <w:rFonts w:cs="Arial"/>
        </w:rPr>
      </w:pPr>
      <w:bookmarkStart w:id="11" w:name="_Toc237437416"/>
      <w:r w:rsidRPr="007319A6">
        <w:rPr>
          <w:rFonts w:cs="Arial"/>
        </w:rPr>
        <w:t>2.1 PESTEL Analysis</w:t>
      </w:r>
      <w:bookmarkEnd w:id="11"/>
    </w:p>
    <w:p w14:paraId="638B4D75" w14:textId="72277378" w:rsidR="0063556B" w:rsidRDefault="0063556B" w:rsidP="0063556B">
      <w:r>
        <w:rPr>
          <w:rFonts w:eastAsia="Times New Roman"/>
          <w:noProof/>
          <w:sz w:val="24"/>
          <w:szCs w:val="24"/>
        </w:rPr>
        <w:drawing>
          <wp:inline distT="0" distB="0" distL="0" distR="0" wp14:anchorId="6E85A6FF" wp14:editId="18646DC4">
            <wp:extent cx="5650230" cy="4073769"/>
            <wp:effectExtent l="0" t="0" r="1270" b="3175"/>
            <wp:docPr id="4424205" name="Picture 9" descr="A chart of the driver's electric fu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205" name="Picture 9" descr="A chart of the driver's electric future&#10;&#10;AI-generated content may be incorrect."/>
                    <pic:cNvPicPr/>
                  </pic:nvPicPr>
                  <pic:blipFill rotWithShape="1">
                    <a:blip r:embed="rId15" cstate="print">
                      <a:extLst>
                        <a:ext uri="{28A0092B-C50C-407E-A947-70E740481C1C}">
                          <a14:useLocalDpi xmlns:a14="http://schemas.microsoft.com/office/drawing/2010/main" val="0"/>
                        </a:ext>
                      </a:extLst>
                    </a:blip>
                    <a:srcRect l="715" t="6388" r="709" b="4807"/>
                    <a:stretch>
                      <a:fillRect/>
                    </a:stretch>
                  </pic:blipFill>
                  <pic:spPr bwMode="auto">
                    <a:xfrm>
                      <a:off x="0" y="0"/>
                      <a:ext cx="5651741" cy="4074858"/>
                    </a:xfrm>
                    <a:prstGeom prst="rect">
                      <a:avLst/>
                    </a:prstGeom>
                    <a:ln>
                      <a:noFill/>
                    </a:ln>
                    <a:extLst>
                      <a:ext uri="{53640926-AAD7-44D8-BBD7-CCE9431645EC}">
                        <a14:shadowObscured xmlns:a14="http://schemas.microsoft.com/office/drawing/2010/main"/>
                      </a:ext>
                    </a:extLst>
                  </pic:spPr>
                </pic:pic>
              </a:graphicData>
            </a:graphic>
          </wp:inline>
        </w:drawing>
      </w:r>
    </w:p>
    <w:p w14:paraId="55880E3A" w14:textId="77777777" w:rsidR="0063556B" w:rsidRDefault="0063556B" w:rsidP="0063556B"/>
    <w:p w14:paraId="340075C7" w14:textId="4861EAD5" w:rsidR="0063556B" w:rsidRDefault="0063556B" w:rsidP="0063556B">
      <w:pPr>
        <w:jc w:val="center"/>
        <w:rPr>
          <w:b/>
          <w:bCs/>
          <w:sz w:val="24"/>
          <w:szCs w:val="24"/>
        </w:rPr>
      </w:pPr>
      <w:r w:rsidRPr="0063556B">
        <w:rPr>
          <w:b/>
          <w:bCs/>
          <w:sz w:val="24"/>
          <w:szCs w:val="24"/>
        </w:rPr>
        <w:t>Figure 2.1: PESTEL Analysis – Tata Passenger EV Business</w:t>
      </w:r>
    </w:p>
    <w:p w14:paraId="7E0B23CF" w14:textId="2480B81A" w:rsidR="0063556B" w:rsidRPr="0063556B" w:rsidRDefault="0063556B" w:rsidP="0063556B">
      <w:pPr>
        <w:jc w:val="center"/>
        <w:rPr>
          <w:sz w:val="24"/>
          <w:szCs w:val="24"/>
        </w:rPr>
      </w:pPr>
      <w:r w:rsidRPr="0063556B">
        <w:rPr>
          <w:sz w:val="24"/>
          <w:szCs w:val="24"/>
        </w:rPr>
        <w:t>(</w:t>
      </w:r>
      <w:r w:rsidRPr="0063556B">
        <w:rPr>
          <w:sz w:val="24"/>
          <w:szCs w:val="24"/>
        </w:rPr>
        <w:t>Source: Self-created, based on Tata Motors and Government of India sources.</w:t>
      </w:r>
      <w:r w:rsidRPr="0063556B">
        <w:rPr>
          <w:sz w:val="24"/>
          <w:szCs w:val="24"/>
        </w:rPr>
        <w:t>)</w:t>
      </w:r>
    </w:p>
    <w:p w14:paraId="39877491" w14:textId="77777777" w:rsidR="0063556B" w:rsidRPr="0063556B" w:rsidRDefault="0063556B" w:rsidP="0063556B"/>
    <w:tbl>
      <w:tblPr>
        <w:tblStyle w:val="a"/>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3615"/>
        <w:gridCol w:w="3570"/>
      </w:tblGrid>
      <w:tr w:rsidR="00C436C2" w:rsidRPr="007319A6" w14:paraId="2FEFE3E6" w14:textId="77777777">
        <w:trPr>
          <w:trHeight w:val="5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86D22"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F</w:t>
            </w:r>
            <w:r w:rsidRPr="007319A6">
              <w:rPr>
                <w:rFonts w:eastAsia="Times New Roman"/>
                <w:b/>
                <w:bCs/>
                <w:sz w:val="24"/>
                <w:szCs w:val="24"/>
              </w:rPr>
              <w:t>actor</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F9469"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Major issue for Tata EV</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D3892"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Strategic implication</w:t>
            </w:r>
          </w:p>
        </w:tc>
      </w:tr>
      <w:tr w:rsidR="00C436C2" w:rsidRPr="007319A6" w14:paraId="039CC308"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6C480"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Political</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D231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manufacturing, localisation and infrastructure policy</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7F2D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Opportunity, but stronger international entry</w:t>
            </w:r>
          </w:p>
        </w:tc>
      </w:tr>
      <w:tr w:rsidR="00C436C2" w:rsidRPr="007319A6" w14:paraId="47A6A8B1"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2CCF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Economic</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E0F60"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Purchase price, battery cost and price-sensitive consumers</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0A21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Requires scale and cost efficiency</w:t>
            </w:r>
          </w:p>
        </w:tc>
      </w:tr>
      <w:tr w:rsidR="00C436C2" w:rsidRPr="007319A6" w14:paraId="791CBDDE"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2567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Social</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BA8B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Sustainability interest versus range and technology anxiety</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5132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Trust and ownership experience become differentiators</w:t>
            </w:r>
          </w:p>
        </w:tc>
      </w:tr>
      <w:tr w:rsidR="00C436C2" w:rsidRPr="007319A6" w14:paraId="6D27C4A8"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CF3C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Technological</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10ABCD"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Batteries, software, charging and rapid model innovation</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9BAC2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High continuing R&amp;D requirement</w:t>
            </w:r>
          </w:p>
        </w:tc>
      </w:tr>
      <w:tr w:rsidR="00C436C2" w:rsidRPr="007319A6" w14:paraId="7285D3AB"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04A3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Environmental</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C942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Decarbonisation versus battery lifecycle impacts</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D348D"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Sustainability must cover the whole value chain</w:t>
            </w:r>
          </w:p>
        </w:tc>
      </w:tr>
      <w:tr w:rsidR="00C436C2" w:rsidRPr="007319A6" w14:paraId="536BCE74"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64E2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Legal</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0A13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Battery waste, safety and localisation requirements</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537D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Compliance creates cost but also entry barriers</w:t>
            </w:r>
          </w:p>
        </w:tc>
      </w:tr>
    </w:tbl>
    <w:p w14:paraId="021A787E" w14:textId="77777777" w:rsidR="0063556B" w:rsidRDefault="0063556B" w:rsidP="008816A2">
      <w:pPr>
        <w:jc w:val="center"/>
      </w:pPr>
    </w:p>
    <w:p w14:paraId="72C7E659" w14:textId="77777777" w:rsidR="0063556B" w:rsidRDefault="0063556B" w:rsidP="008816A2">
      <w:pPr>
        <w:jc w:val="center"/>
      </w:pPr>
      <w:r w:rsidRPr="008816A2">
        <w:rPr>
          <w:rFonts w:eastAsia="Times New Roman"/>
          <w:b/>
          <w:bCs/>
          <w:sz w:val="24"/>
          <w:szCs w:val="24"/>
        </w:rPr>
        <w:t>Table 2.1: PESTEL Analysis of Tata EV’s Strategic Environment</w:t>
      </w:r>
      <w:r>
        <w:t xml:space="preserve"> </w:t>
      </w:r>
    </w:p>
    <w:p w14:paraId="50C5B003" w14:textId="1367EBCD" w:rsidR="008816A2" w:rsidRDefault="008816A2" w:rsidP="008816A2">
      <w:pPr>
        <w:jc w:val="center"/>
      </w:pPr>
      <w:r>
        <w:t>(</w:t>
      </w:r>
      <w:r w:rsidRPr="008816A2">
        <w:t>Source: Self-</w:t>
      </w:r>
      <w:r w:rsidR="0063556B">
        <w:t>Developed</w:t>
      </w:r>
      <w:r>
        <w:t>)</w:t>
      </w:r>
    </w:p>
    <w:p w14:paraId="69DC1D71" w14:textId="7DFC3D39" w:rsidR="00C436C2" w:rsidRPr="007319A6" w:rsidRDefault="00E047E1">
      <w:pPr>
        <w:pStyle w:val="Heading3"/>
        <w:keepNext w:val="0"/>
        <w:keepLines w:val="0"/>
        <w:rPr>
          <w:rFonts w:ascii="Arial" w:hAnsi="Arial" w:cs="Arial"/>
          <w:color w:val="000000"/>
        </w:rPr>
      </w:pPr>
      <w:bookmarkStart w:id="12" w:name="_Toc237437417"/>
      <w:r w:rsidRPr="007319A6">
        <w:rPr>
          <w:rFonts w:ascii="Arial" w:hAnsi="Arial" w:cs="Arial"/>
          <w:color w:val="000000"/>
        </w:rPr>
        <w:t>Political and policy environment</w:t>
      </w:r>
      <w:bookmarkEnd w:id="12"/>
    </w:p>
    <w:p w14:paraId="3C626812" w14:textId="1900D340"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policy environment in India tends to be biased towards electrification, manufacturing within the country and infrastructure. The total policy outlay of the PM E-DRIVE programme amounts to ₹10,900 crore, which includes a large amount of reimbursement on the costs of public charging infrastructure (Ministry of Heavy Industries, 2024a). Nonetheless, its immediate demand benefits are focused primarily on other brands except for privately owned electric passenger cars. In the case of Tata, however, the value</w:t>
      </w:r>
      <w:r w:rsidRPr="007319A6">
        <w:rPr>
          <w:rFonts w:eastAsia="Times New Roman"/>
          <w:sz w:val="24"/>
          <w:szCs w:val="24"/>
        </w:rPr>
        <w:t xml:space="preserve"> of public policies lies in developing ecosystems or other products produced domestically more than a consumer purchase subsidy that would last permanently. PM E-DRIVE has allocated ₹2,000 crore of funds to be distributed by the government as public EV charging infrastructure to boost the operating environment for private EVs. The scheme of SPMEPCI produces a more multifaceted impact. A reduced import-duty route is available to approved international EV manufacturers who must make a minimum of 4,150 crore (</w:t>
      </w:r>
      <w:r w:rsidRPr="007319A6">
        <w:rPr>
          <w:rFonts w:eastAsia="Times New Roman"/>
          <w:sz w:val="24"/>
          <w:szCs w:val="24"/>
        </w:rPr>
        <w:t xml:space="preserve">US $500 million) investment in Indian production, which must result in 25 percent domestic value addition in three years and 50 percent in five years as well (Ministry of Heavy Industries, 2024b). This helps the Indian industrial </w:t>
      </w:r>
      <w:r w:rsidR="007319A6" w:rsidRPr="007319A6">
        <w:rPr>
          <w:rFonts w:eastAsia="Times New Roman"/>
          <w:sz w:val="24"/>
          <w:szCs w:val="24"/>
        </w:rPr>
        <w:t>strategy but</w:t>
      </w:r>
      <w:r w:rsidRPr="007319A6">
        <w:rPr>
          <w:rFonts w:eastAsia="Times New Roman"/>
          <w:sz w:val="24"/>
          <w:szCs w:val="24"/>
        </w:rPr>
        <w:t xml:space="preserve"> could undermine the historic Indian home-market protection by increasing India's appeal to global scaled competition. </w:t>
      </w:r>
    </w:p>
    <w:p w14:paraId="263F4339" w14:textId="77777777" w:rsidR="00C436C2" w:rsidRPr="007319A6" w:rsidRDefault="00E047E1">
      <w:pPr>
        <w:pStyle w:val="Heading3"/>
        <w:rPr>
          <w:rFonts w:ascii="Arial" w:hAnsi="Arial" w:cs="Arial"/>
        </w:rPr>
      </w:pPr>
      <w:bookmarkStart w:id="13" w:name="_Toc237437418"/>
      <w:r w:rsidRPr="007319A6">
        <w:rPr>
          <w:rFonts w:ascii="Arial" w:hAnsi="Arial" w:cs="Arial"/>
        </w:rPr>
        <w:t>Economic environment</w:t>
      </w:r>
      <w:bookmarkEnd w:id="13"/>
    </w:p>
    <w:p w14:paraId="64029C86" w14:textId="2052868F"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acquisition-cost premium between internal-combustion vehicles and Indian consumers is strategically significant as Indian consumers continue to be price-sensitive. Among those that Yadav and Yadav (2024) list as the key setbacks to EV adoption are high initial cost, poor infrastructure, range anxiety, and trust concerns. On the same note, Patel et al. (2024), using 507 responses during their phases, determine charging availability and charging costs to be primary obstacles. This reinforces the strategic</w:t>
      </w:r>
      <w:r w:rsidRPr="007319A6">
        <w:rPr>
          <w:rFonts w:eastAsia="Times New Roman"/>
          <w:sz w:val="24"/>
          <w:szCs w:val="24"/>
        </w:rPr>
        <w:t xml:space="preserve"> nature of Tata's efforts to lessen the difference in price between EV and ICE products. It further indicates that the traditional differentiation by premium technology would not be sufficient for the Indian mass market. Bhat and Verma (2025), </w:t>
      </w:r>
      <w:proofErr w:type="spellStart"/>
      <w:r w:rsidRPr="007319A6">
        <w:rPr>
          <w:rFonts w:eastAsia="Times New Roman"/>
          <w:sz w:val="24"/>
          <w:szCs w:val="24"/>
        </w:rPr>
        <w:t>analyzing</w:t>
      </w:r>
      <w:proofErr w:type="spellEnd"/>
      <w:r w:rsidRPr="007319A6">
        <w:rPr>
          <w:rFonts w:eastAsia="Times New Roman"/>
          <w:sz w:val="24"/>
          <w:szCs w:val="24"/>
        </w:rPr>
        <w:t xml:space="preserve"> data on 1,243 likely users of electric cars in Bengaluru, conclude that monetary advantage has a </w:t>
      </w:r>
      <w:proofErr w:type="spellStart"/>
      <w:r w:rsidRPr="007319A6">
        <w:rPr>
          <w:rFonts w:eastAsia="Times New Roman"/>
          <w:sz w:val="24"/>
          <w:szCs w:val="24"/>
        </w:rPr>
        <w:t>favorable</w:t>
      </w:r>
      <w:proofErr w:type="spellEnd"/>
      <w:r w:rsidRPr="007319A6">
        <w:rPr>
          <w:rFonts w:eastAsia="Times New Roman"/>
          <w:sz w:val="24"/>
          <w:szCs w:val="24"/>
        </w:rPr>
        <w:t xml:space="preserve"> effect on EV intentions and that the perceived cost and risk, and insufficient infrastructure are deterrents. </w:t>
      </w:r>
    </w:p>
    <w:p w14:paraId="533BB112" w14:textId="77777777" w:rsidR="00C436C2" w:rsidRPr="007319A6" w:rsidRDefault="00E047E1">
      <w:pPr>
        <w:pStyle w:val="Heading3"/>
        <w:keepNext w:val="0"/>
        <w:keepLines w:val="0"/>
        <w:rPr>
          <w:rFonts w:ascii="Arial" w:hAnsi="Arial" w:cs="Arial"/>
        </w:rPr>
      </w:pPr>
      <w:bookmarkStart w:id="14" w:name="_Toc237437419"/>
      <w:r w:rsidRPr="007319A6">
        <w:rPr>
          <w:rFonts w:ascii="Arial" w:hAnsi="Arial" w:cs="Arial"/>
        </w:rPr>
        <w:t>Social environment</w:t>
      </w:r>
      <w:bookmarkEnd w:id="14"/>
    </w:p>
    <w:p w14:paraId="3404EB10" w14:textId="4DD5DB7F"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Consumer attitudes towards sustainable transport are becoming more positive and yet diverse. Jain and Singh (2024) discover that attitudes play a significant role in behavioural intentions toward EVs, whereas environmental concern and green nudges influence adopting EVs. Here, Sharma, Das and Maitra (2024) show that the geography significantly differs; consumers in Delhi and Kolkata have dissimilar values related to battery range, warranty, recharging time, technology and emission cuts. A standardized natio</w:t>
      </w:r>
      <w:r w:rsidRPr="007319A6">
        <w:rPr>
          <w:rFonts w:eastAsia="Times New Roman"/>
          <w:sz w:val="24"/>
          <w:szCs w:val="24"/>
        </w:rPr>
        <w:t xml:space="preserve">nal marketing proposal can thus be </w:t>
      </w:r>
      <w:r w:rsidR="007319A6" w:rsidRPr="007319A6">
        <w:rPr>
          <w:rFonts w:eastAsia="Times New Roman"/>
          <w:sz w:val="24"/>
          <w:szCs w:val="24"/>
        </w:rPr>
        <w:t>strategically</w:t>
      </w:r>
      <w:r w:rsidRPr="007319A6">
        <w:rPr>
          <w:rFonts w:eastAsia="Times New Roman"/>
          <w:sz w:val="24"/>
          <w:szCs w:val="24"/>
        </w:rPr>
        <w:t xml:space="preserve"> effective. Srivatsa (2025) also highlights the changing needs of Indian EV buyers, which suggests that the market is not only transitioning out of the early adopters but also out of the immediate needs of buyers who expect tangible utility and security. Singh and Paul (2025) coordinate EV adoption based on four interrelated conditions (awareness, affordability, accessibility and acceptability) and highlight the roadblocks to charging as the persisting boundar</w:t>
      </w:r>
      <w:r w:rsidRPr="007319A6">
        <w:rPr>
          <w:rFonts w:eastAsia="Times New Roman"/>
          <w:sz w:val="24"/>
          <w:szCs w:val="24"/>
        </w:rPr>
        <w:t xml:space="preserve">ies. Jain et al. (2025) include poor infrastructure, battery-replacement cost, range anxiety and charging time, as well as resale value. </w:t>
      </w:r>
    </w:p>
    <w:p w14:paraId="3BBA9164" w14:textId="77777777" w:rsidR="00C436C2" w:rsidRPr="007319A6" w:rsidRDefault="00E047E1">
      <w:pPr>
        <w:pStyle w:val="Heading3"/>
        <w:keepNext w:val="0"/>
        <w:keepLines w:val="0"/>
        <w:rPr>
          <w:rFonts w:ascii="Arial" w:hAnsi="Arial" w:cs="Arial"/>
        </w:rPr>
      </w:pPr>
      <w:bookmarkStart w:id="15" w:name="_Toc237437420"/>
      <w:r w:rsidRPr="007319A6">
        <w:rPr>
          <w:rFonts w:ascii="Arial" w:hAnsi="Arial" w:cs="Arial"/>
        </w:rPr>
        <w:t>Technological environment</w:t>
      </w:r>
      <w:bookmarkEnd w:id="15"/>
    </w:p>
    <w:p w14:paraId="7F68753A" w14:textId="72554F73"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Technology is a source of differentiation and the most threatening factor to current privileges. The chemistry used in batteries, range, charging rates, software of the vehicle, the services, and manufacturing technologies are constantly developing. Chinese companies like BYD introduce considerable EV specialisation, and new dedicated EV platforms of Mahindra raise technological competition in the country. According to IEA (2026), 33 models of electric car models in India increased to 45 in 2024-25, and </w:t>
      </w:r>
      <w:r w:rsidR="007319A6" w:rsidRPr="007319A6">
        <w:rPr>
          <w:rFonts w:eastAsia="Times New Roman"/>
          <w:sz w:val="24"/>
          <w:szCs w:val="24"/>
        </w:rPr>
        <w:t>consumer</w:t>
      </w:r>
      <w:r w:rsidRPr="007319A6">
        <w:rPr>
          <w:rFonts w:eastAsia="Times New Roman"/>
          <w:sz w:val="24"/>
          <w:szCs w:val="24"/>
        </w:rPr>
        <w:t xml:space="preserve"> alternatives are increasing at an unprecedented rate. Other technological variables are infrastructure. Murugan and </w:t>
      </w:r>
      <w:proofErr w:type="spellStart"/>
      <w:r w:rsidRPr="007319A6">
        <w:rPr>
          <w:rFonts w:eastAsia="Times New Roman"/>
          <w:sz w:val="24"/>
          <w:szCs w:val="24"/>
        </w:rPr>
        <w:t>Marisamynathan</w:t>
      </w:r>
      <w:proofErr w:type="spellEnd"/>
      <w:r w:rsidRPr="007319A6">
        <w:rPr>
          <w:rFonts w:eastAsia="Times New Roman"/>
          <w:sz w:val="24"/>
          <w:szCs w:val="24"/>
        </w:rPr>
        <w:t xml:space="preserve"> (2024) discover that convenience, lower cost of charging, and decreased waiting and range anxiety are features that make home charging attractive; integrated rooftop-solar and home-charging incentives are also attractive. As it is illustrated by Barman and Dutta (2024), the development of charging means that it takes coordinated technical standards, location planning, r</w:t>
      </w:r>
      <w:r w:rsidRPr="007319A6">
        <w:rPr>
          <w:rFonts w:eastAsia="Times New Roman"/>
          <w:sz w:val="24"/>
          <w:szCs w:val="24"/>
        </w:rPr>
        <w:t>egulation, and viable business models to charge. Sandhiya and Gajanand (2024) also observe that in Indian states in terms of socio-economic status, the level of comprehensiveness of EV policy shows a positive adoption performance. There were 52,718 public charging stations (16561 fast public car charging) in July 2026 in India (Press Information Bureau, 2026). This doesn't remove a historical barrier, but it does not remove regional inconsistency. Sandhiya and Gajanand (2026) thereby endorse the use of diff</w:t>
      </w:r>
      <w:r w:rsidRPr="007319A6">
        <w:rPr>
          <w:rFonts w:eastAsia="Times New Roman"/>
          <w:sz w:val="24"/>
          <w:szCs w:val="24"/>
        </w:rPr>
        <w:t xml:space="preserve">erentiated interventions amidst relatively developed and weaker EV ecosystems. </w:t>
      </w:r>
    </w:p>
    <w:p w14:paraId="65663258" w14:textId="77777777" w:rsidR="00C436C2" w:rsidRPr="007319A6" w:rsidRDefault="00E047E1">
      <w:pPr>
        <w:pStyle w:val="Heading3"/>
        <w:rPr>
          <w:rFonts w:ascii="Arial" w:hAnsi="Arial" w:cs="Arial"/>
        </w:rPr>
      </w:pPr>
      <w:bookmarkStart w:id="16" w:name="_Toc237437421"/>
      <w:r w:rsidRPr="007319A6">
        <w:rPr>
          <w:rFonts w:ascii="Arial" w:hAnsi="Arial" w:cs="Arial"/>
        </w:rPr>
        <w:t>Environmental and legal environment</w:t>
      </w:r>
      <w:bookmarkEnd w:id="16"/>
    </w:p>
    <w:p w14:paraId="1CA658F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EVs contribute to a reduction of tailpipe emissions, though sustainability cannot be reduced to the level of vehicle electrification. Battery manufacturing, power sources, mining and refining of minerals, battery demolition and recycling impact the greater environmental performance. Giri, Paul and Debnath (2024) demonstrate that the lithium-ion battery supply chain in India has some distinct operational, technical, economic, environmental and social issues that are interdependent. The same is reported in </w:t>
      </w:r>
      <w:proofErr w:type="spellStart"/>
      <w:r w:rsidRPr="007319A6">
        <w:rPr>
          <w:rFonts w:eastAsia="Times New Roman"/>
          <w:sz w:val="24"/>
          <w:szCs w:val="24"/>
        </w:rPr>
        <w:t>Dhairiyasamy</w:t>
      </w:r>
      <w:proofErr w:type="spellEnd"/>
      <w:r w:rsidRPr="007319A6">
        <w:rPr>
          <w:rFonts w:eastAsia="Times New Roman"/>
          <w:sz w:val="24"/>
          <w:szCs w:val="24"/>
        </w:rPr>
        <w:t xml:space="preserve"> and </w:t>
      </w:r>
      <w:proofErr w:type="spellStart"/>
      <w:r w:rsidRPr="007319A6">
        <w:rPr>
          <w:rFonts w:eastAsia="Times New Roman"/>
          <w:sz w:val="24"/>
          <w:szCs w:val="24"/>
        </w:rPr>
        <w:t>Gabiriel</w:t>
      </w:r>
      <w:proofErr w:type="spellEnd"/>
      <w:r w:rsidRPr="007319A6">
        <w:rPr>
          <w:rFonts w:eastAsia="Times New Roman"/>
          <w:sz w:val="24"/>
          <w:szCs w:val="24"/>
        </w:rPr>
        <w:t xml:space="preserve"> (2025), with reliance on imported raw materials, limited domestic production and charging deficiencies; in fact, their analysis estimates domestic production only about 20% of demand, and that more robust mining and recycling approaches may alleviate high reliance on raw materials. With the Battery Waste Management Amendment Rules 2025, it is now more important that responsible battery management and circularity are regulatory issues (Ministry of Environment, Forest and Climate Cha</w:t>
      </w:r>
      <w:r w:rsidRPr="007319A6">
        <w:rPr>
          <w:rFonts w:eastAsia="Times New Roman"/>
          <w:sz w:val="24"/>
          <w:szCs w:val="24"/>
        </w:rPr>
        <w:t>nge, 2025). Tata can transform this legal requirement into strategic differentiation in making battery traceability, reuse and recycling an evident part of its customer proposition, instead of it merely being a compliance cost.</w:t>
      </w:r>
    </w:p>
    <w:p w14:paraId="34B01DBA" w14:textId="77777777" w:rsidR="00C436C2" w:rsidRDefault="00E047E1">
      <w:pPr>
        <w:pStyle w:val="Heading2"/>
        <w:rPr>
          <w:rFonts w:cs="Arial"/>
        </w:rPr>
      </w:pPr>
      <w:bookmarkStart w:id="17" w:name="_Toc237437422"/>
      <w:r w:rsidRPr="007319A6">
        <w:rPr>
          <w:rFonts w:cs="Arial"/>
        </w:rPr>
        <w:t>2.2 Porter's Five Forces</w:t>
      </w:r>
      <w:bookmarkEnd w:id="17"/>
    </w:p>
    <w:p w14:paraId="1EDBDA3B" w14:textId="734FB94F" w:rsidR="0063556B" w:rsidRDefault="0063556B" w:rsidP="0063556B">
      <w:r>
        <w:rPr>
          <w:rFonts w:eastAsia="Times New Roman"/>
          <w:noProof/>
          <w:sz w:val="24"/>
          <w:szCs w:val="24"/>
        </w:rPr>
        <w:drawing>
          <wp:inline distT="0" distB="0" distL="0" distR="0" wp14:anchorId="54850E86" wp14:editId="0F8B0A11">
            <wp:extent cx="5603013" cy="3967480"/>
            <wp:effectExtent l="0" t="0" r="0" b="0"/>
            <wp:docPr id="1040655213" name="Picture 11" descr="A diagram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55213" name="Picture 11" descr="A diagram of a car&#10;&#10;AI-generated content may be incorrect."/>
                    <pic:cNvPicPr/>
                  </pic:nvPicPr>
                  <pic:blipFill rotWithShape="1">
                    <a:blip r:embed="rId16" cstate="print">
                      <a:extLst>
                        <a:ext uri="{28A0092B-C50C-407E-A947-70E740481C1C}">
                          <a14:useLocalDpi xmlns:a14="http://schemas.microsoft.com/office/drawing/2010/main" val="0"/>
                        </a:ext>
                      </a:extLst>
                    </a:blip>
                    <a:srcRect l="1126" t="6005" r="1128" b="7511"/>
                    <a:stretch>
                      <a:fillRect/>
                    </a:stretch>
                  </pic:blipFill>
                  <pic:spPr bwMode="auto">
                    <a:xfrm>
                      <a:off x="0" y="0"/>
                      <a:ext cx="5604244" cy="3968352"/>
                    </a:xfrm>
                    <a:prstGeom prst="rect">
                      <a:avLst/>
                    </a:prstGeom>
                    <a:ln>
                      <a:noFill/>
                    </a:ln>
                    <a:extLst>
                      <a:ext uri="{53640926-AAD7-44D8-BBD7-CCE9431645EC}">
                        <a14:shadowObscured xmlns:a14="http://schemas.microsoft.com/office/drawing/2010/main"/>
                      </a:ext>
                    </a:extLst>
                  </pic:spPr>
                </pic:pic>
              </a:graphicData>
            </a:graphic>
          </wp:inline>
        </w:drawing>
      </w:r>
    </w:p>
    <w:p w14:paraId="2CC7C302" w14:textId="77777777" w:rsidR="0063556B" w:rsidRDefault="0063556B" w:rsidP="0063556B"/>
    <w:p w14:paraId="3593822A" w14:textId="20543D86" w:rsidR="0063556B" w:rsidRDefault="0063556B" w:rsidP="0063556B">
      <w:pPr>
        <w:jc w:val="center"/>
        <w:rPr>
          <w:b/>
          <w:bCs/>
          <w:sz w:val="24"/>
          <w:szCs w:val="24"/>
        </w:rPr>
      </w:pPr>
      <w:r w:rsidRPr="0063556B">
        <w:rPr>
          <w:b/>
          <w:bCs/>
          <w:sz w:val="24"/>
          <w:szCs w:val="24"/>
        </w:rPr>
        <w:t>Figure 2.2: Porter’s Five Forces – Tata Passenger EV Business</w:t>
      </w:r>
    </w:p>
    <w:p w14:paraId="0704D579" w14:textId="3D2A3F47" w:rsidR="0063556B" w:rsidRPr="0063556B" w:rsidRDefault="0063556B" w:rsidP="0063556B">
      <w:pPr>
        <w:jc w:val="center"/>
        <w:rPr>
          <w:sz w:val="24"/>
          <w:szCs w:val="24"/>
        </w:rPr>
      </w:pPr>
      <w:r w:rsidRPr="0063556B">
        <w:rPr>
          <w:sz w:val="24"/>
          <w:szCs w:val="24"/>
        </w:rPr>
        <w:t>(</w:t>
      </w:r>
      <w:r w:rsidRPr="0063556B">
        <w:rPr>
          <w:sz w:val="24"/>
          <w:szCs w:val="24"/>
        </w:rPr>
        <w:t>Source: Self-created based on industry and company analysis</w:t>
      </w:r>
      <w:r w:rsidRPr="0063556B">
        <w:rPr>
          <w:sz w:val="24"/>
          <w:szCs w:val="24"/>
        </w:rPr>
        <w:t xml:space="preserve">, </w:t>
      </w:r>
      <w:r w:rsidRPr="0063556B">
        <w:rPr>
          <w:sz w:val="24"/>
          <w:szCs w:val="24"/>
        </w:rPr>
        <w:t>2026)</w:t>
      </w:r>
    </w:p>
    <w:p w14:paraId="6371372B" w14:textId="77777777" w:rsidR="00C436C2" w:rsidRPr="007319A6" w:rsidRDefault="00E047E1">
      <w:pPr>
        <w:pStyle w:val="Heading3"/>
        <w:rPr>
          <w:rFonts w:ascii="Arial" w:hAnsi="Arial" w:cs="Arial"/>
        </w:rPr>
      </w:pPr>
      <w:bookmarkStart w:id="18" w:name="_Toc237437423"/>
      <w:r w:rsidRPr="007319A6">
        <w:rPr>
          <w:rFonts w:ascii="Arial" w:hAnsi="Arial" w:cs="Arial"/>
        </w:rPr>
        <w:t>Competitive rivalry – High</w:t>
      </w:r>
      <w:bookmarkEnd w:id="18"/>
    </w:p>
    <w:p w14:paraId="095E5B3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Competition is on the rise as Tata cannot monopolize the Indian passenger EV market. Mahindra has turned into a seriously dangerous contender domestically with its committed electric SUVs expanding the customer base; according to IEA statistics, its electric-car sales have been growing by about 5 times in 2025. BYD carries with it a global EV scope and expertise in technology, when JSW MG, Hyundai, and others enter the market, raising pressure at varying price ranges (International Energy Agency, 2026). The</w:t>
      </w:r>
      <w:r w:rsidRPr="007319A6">
        <w:rPr>
          <w:rFonts w:eastAsia="Times New Roman"/>
          <w:sz w:val="24"/>
          <w:szCs w:val="24"/>
        </w:rPr>
        <w:t xml:space="preserve"> 55.4% market share in FY25 by Tata is a daunting figure; however, the fall compared to the figures of previous years shows that the leadership is not imbued and therefore contestable.</w:t>
      </w:r>
    </w:p>
    <w:p w14:paraId="03DE2AB8" w14:textId="77777777" w:rsidR="00C436C2" w:rsidRPr="007319A6" w:rsidRDefault="00E047E1">
      <w:pPr>
        <w:pStyle w:val="Heading3"/>
        <w:rPr>
          <w:rFonts w:ascii="Arial" w:hAnsi="Arial" w:cs="Arial"/>
        </w:rPr>
      </w:pPr>
      <w:bookmarkStart w:id="19" w:name="_Toc237437424"/>
      <w:r w:rsidRPr="007319A6">
        <w:rPr>
          <w:rFonts w:ascii="Arial" w:hAnsi="Arial" w:cs="Arial"/>
        </w:rPr>
        <w:t>Threat of entrants – Moderate to high</w:t>
      </w:r>
      <w:bookmarkEnd w:id="19"/>
    </w:p>
    <w:p w14:paraId="7D19913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Manufacturing of automobiles needs capital, distribution, regulation, service facilities, and brand acceptance; consequently, barriers are still high. However, SPME PCI goes out of its way to minimize the hurdles to international manufacturers who would like to build a factory in India. Entrants can also construct EV-specific architectures which are not limited by legacy ICEs.</w:t>
      </w:r>
    </w:p>
    <w:p w14:paraId="58E59412" w14:textId="77777777" w:rsidR="00C436C2" w:rsidRPr="007319A6" w:rsidRDefault="00E047E1">
      <w:pPr>
        <w:pStyle w:val="Heading3"/>
        <w:rPr>
          <w:rFonts w:ascii="Arial" w:hAnsi="Arial" w:cs="Arial"/>
        </w:rPr>
      </w:pPr>
      <w:bookmarkStart w:id="20" w:name="_Toc237437425"/>
      <w:r w:rsidRPr="007319A6">
        <w:rPr>
          <w:rFonts w:ascii="Arial" w:hAnsi="Arial" w:cs="Arial"/>
        </w:rPr>
        <w:t>Supplier power – Moderate to high</w:t>
      </w:r>
      <w:bookmarkEnd w:id="20"/>
      <w:r w:rsidRPr="007319A6">
        <w:rPr>
          <w:rFonts w:ascii="Arial" w:hAnsi="Arial" w:cs="Arial"/>
        </w:rPr>
        <w:t xml:space="preserve"> </w:t>
      </w:r>
    </w:p>
    <w:p w14:paraId="7A6E5851" w14:textId="30E83D04"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The EV supply channels shift the strategic power to batteries, semiconductors, software, and critical-mineral ecosystems. According to Jagani, </w:t>
      </w:r>
      <w:proofErr w:type="spellStart"/>
      <w:r w:rsidRPr="007319A6">
        <w:rPr>
          <w:rFonts w:eastAsia="Times New Roman"/>
          <w:sz w:val="24"/>
          <w:szCs w:val="24"/>
        </w:rPr>
        <w:t>Marsillac</w:t>
      </w:r>
      <w:proofErr w:type="spellEnd"/>
      <w:r w:rsidRPr="007319A6">
        <w:rPr>
          <w:rFonts w:eastAsia="Times New Roman"/>
          <w:sz w:val="24"/>
          <w:szCs w:val="24"/>
        </w:rPr>
        <w:t xml:space="preserve"> and Hong (2024), there are considerable shifts in the role of suppliers and interaction of OEMs with suppliers during electrification. As demonstrated by Giri et al. (2024), lithium-ion battery supply chains are highly interdependent challenges that must be addressed in a sustainable manner. </w:t>
      </w:r>
    </w:p>
    <w:p w14:paraId="763F1D33" w14:textId="77777777" w:rsidR="00C436C2" w:rsidRPr="007319A6" w:rsidRDefault="00E047E1">
      <w:pPr>
        <w:pStyle w:val="Heading3"/>
        <w:rPr>
          <w:rFonts w:ascii="Arial" w:hAnsi="Arial" w:cs="Arial"/>
        </w:rPr>
      </w:pPr>
      <w:bookmarkStart w:id="21" w:name="_Toc237437426"/>
      <w:r w:rsidRPr="007319A6">
        <w:rPr>
          <w:rFonts w:ascii="Arial" w:hAnsi="Arial" w:cs="Arial"/>
        </w:rPr>
        <w:t>Buyer power – High and rising.</w:t>
      </w:r>
      <w:bookmarkEnd w:id="21"/>
      <w:r w:rsidRPr="007319A6">
        <w:rPr>
          <w:rFonts w:ascii="Arial" w:hAnsi="Arial" w:cs="Arial"/>
        </w:rPr>
        <w:t xml:space="preserve"> </w:t>
      </w:r>
    </w:p>
    <w:p w14:paraId="6E501E71" w14:textId="0B9D6995"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The more models an offer has, the more comparisons the consumer will have. Customers </w:t>
      </w:r>
      <w:r w:rsidR="008516BA" w:rsidRPr="007319A6">
        <w:rPr>
          <w:rFonts w:eastAsia="Times New Roman"/>
          <w:sz w:val="24"/>
          <w:szCs w:val="24"/>
        </w:rPr>
        <w:t>can</w:t>
      </w:r>
      <w:r w:rsidRPr="007319A6">
        <w:rPr>
          <w:rFonts w:eastAsia="Times New Roman"/>
          <w:sz w:val="24"/>
          <w:szCs w:val="24"/>
        </w:rPr>
        <w:t xml:space="preserve"> compare between price and range, warranty, charging speed, safety, and ownership costs in Tata, Mahindra, MG, Hyundai, and BYD. Yadav and Yadav (2024) and Bhat and Verma (2025) also show that consumers are proactively balancing advantages with the perceived risk and weaknesses of the infrastructure.</w:t>
      </w:r>
    </w:p>
    <w:p w14:paraId="12ACCB11" w14:textId="77777777" w:rsidR="00C436C2" w:rsidRPr="007319A6" w:rsidRDefault="00E047E1">
      <w:pPr>
        <w:pStyle w:val="Heading3"/>
        <w:rPr>
          <w:rFonts w:ascii="Arial" w:hAnsi="Arial" w:cs="Arial"/>
        </w:rPr>
      </w:pPr>
      <w:bookmarkStart w:id="22" w:name="_Toc237437427"/>
      <w:r w:rsidRPr="007319A6">
        <w:rPr>
          <w:rFonts w:ascii="Arial" w:hAnsi="Arial" w:cs="Arial"/>
        </w:rPr>
        <w:t>Threat of substitutes – High</w:t>
      </w:r>
      <w:bookmarkEnd w:id="22"/>
    </w:p>
    <w:p w14:paraId="09F701F4" w14:textId="6BF4FAE1"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Hybrid cars, CNG, petrol public transport and two-wheelers are all still viable options. The diverse incomes and mobility needs of India dictate that not all one propulsion technology can meet </w:t>
      </w:r>
      <w:proofErr w:type="gramStart"/>
      <w:r w:rsidRPr="007319A6">
        <w:rPr>
          <w:rFonts w:eastAsia="Times New Roman"/>
          <w:sz w:val="24"/>
          <w:szCs w:val="24"/>
        </w:rPr>
        <w:t>all of</w:t>
      </w:r>
      <w:proofErr w:type="gramEnd"/>
      <w:r w:rsidRPr="007319A6">
        <w:rPr>
          <w:rFonts w:eastAsia="Times New Roman"/>
          <w:sz w:val="24"/>
          <w:szCs w:val="24"/>
        </w:rPr>
        <w:t xml:space="preserve"> the segments at once. The multi-powertrain strategy of Tata has lowered the corporate risk, yet the EV venture </w:t>
      </w:r>
      <w:proofErr w:type="gramStart"/>
      <w:r w:rsidRPr="007319A6">
        <w:rPr>
          <w:rFonts w:eastAsia="Times New Roman"/>
          <w:sz w:val="24"/>
          <w:szCs w:val="24"/>
        </w:rPr>
        <w:t>has to</w:t>
      </w:r>
      <w:proofErr w:type="gramEnd"/>
      <w:r w:rsidRPr="007319A6">
        <w:rPr>
          <w:rFonts w:eastAsia="Times New Roman"/>
          <w:sz w:val="24"/>
          <w:szCs w:val="24"/>
        </w:rPr>
        <w:t xml:space="preserve"> create an economic and experience advantage.  </w:t>
      </w:r>
    </w:p>
    <w:p w14:paraId="641298A6" w14:textId="77777777" w:rsidR="00C436C2" w:rsidRDefault="00E047E1">
      <w:pPr>
        <w:pStyle w:val="Heading2"/>
        <w:rPr>
          <w:rFonts w:cs="Arial"/>
        </w:rPr>
      </w:pPr>
      <w:bookmarkStart w:id="23" w:name="_Toc237437428"/>
      <w:r w:rsidRPr="007319A6">
        <w:rPr>
          <w:rFonts w:cs="Arial"/>
        </w:rPr>
        <w:t>2.3 VRIO Analysis</w:t>
      </w:r>
      <w:bookmarkEnd w:id="23"/>
    </w:p>
    <w:p w14:paraId="0A399E6B" w14:textId="58DAC76F" w:rsidR="008816A2" w:rsidRDefault="009A5EE3" w:rsidP="008816A2">
      <w:pPr>
        <w:jc w:val="center"/>
        <w:rPr>
          <w:b/>
          <w:bCs/>
          <w:sz w:val="24"/>
          <w:szCs w:val="24"/>
        </w:rPr>
      </w:pPr>
      <w:r>
        <w:rPr>
          <w:rFonts w:eastAsia="Times New Roman"/>
          <w:noProof/>
          <w:sz w:val="24"/>
          <w:szCs w:val="24"/>
        </w:rPr>
        <w:drawing>
          <wp:inline distT="0" distB="0" distL="0" distR="0" wp14:anchorId="5C21C237" wp14:editId="1624B078">
            <wp:extent cx="5650474" cy="3364201"/>
            <wp:effectExtent l="0" t="0" r="1270" b="1905"/>
            <wp:docPr id="104193274" name="Picture 10"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3274" name="Picture 10" descr="A chart with text and images&#10;&#10;AI-generated content may be incorrect."/>
                    <pic:cNvPicPr/>
                  </pic:nvPicPr>
                  <pic:blipFill rotWithShape="1">
                    <a:blip r:embed="rId17" cstate="print">
                      <a:extLst>
                        <a:ext uri="{28A0092B-C50C-407E-A947-70E740481C1C}">
                          <a14:useLocalDpi xmlns:a14="http://schemas.microsoft.com/office/drawing/2010/main" val="0"/>
                        </a:ext>
                      </a:extLst>
                    </a:blip>
                    <a:srcRect l="716" t="7361" r="704" b="4595"/>
                    <a:stretch>
                      <a:fillRect/>
                    </a:stretch>
                  </pic:blipFill>
                  <pic:spPr bwMode="auto">
                    <a:xfrm>
                      <a:off x="0" y="0"/>
                      <a:ext cx="5651950" cy="3365080"/>
                    </a:xfrm>
                    <a:prstGeom prst="rect">
                      <a:avLst/>
                    </a:prstGeom>
                    <a:ln>
                      <a:noFill/>
                    </a:ln>
                    <a:extLst>
                      <a:ext uri="{53640926-AAD7-44D8-BBD7-CCE9431645EC}">
                        <a14:shadowObscured xmlns:a14="http://schemas.microsoft.com/office/drawing/2010/main"/>
                      </a:ext>
                    </a:extLst>
                  </pic:spPr>
                </pic:pic>
              </a:graphicData>
            </a:graphic>
          </wp:inline>
        </w:drawing>
      </w:r>
    </w:p>
    <w:p w14:paraId="4C60420A" w14:textId="77777777" w:rsidR="009A5EE3" w:rsidRDefault="009A5EE3" w:rsidP="008816A2">
      <w:pPr>
        <w:jc w:val="center"/>
        <w:rPr>
          <w:b/>
          <w:bCs/>
          <w:sz w:val="24"/>
          <w:szCs w:val="24"/>
        </w:rPr>
      </w:pPr>
    </w:p>
    <w:p w14:paraId="7BC6A37A" w14:textId="0184089B" w:rsidR="009A5EE3" w:rsidRDefault="009A5EE3" w:rsidP="008816A2">
      <w:pPr>
        <w:jc w:val="center"/>
        <w:rPr>
          <w:b/>
          <w:bCs/>
          <w:sz w:val="24"/>
          <w:szCs w:val="24"/>
        </w:rPr>
      </w:pPr>
      <w:r w:rsidRPr="009A5EE3">
        <w:rPr>
          <w:b/>
          <w:bCs/>
          <w:sz w:val="24"/>
          <w:szCs w:val="24"/>
        </w:rPr>
        <w:t>Figure 2.3: VRIO Analysis – Tata Passenger EV Business</w:t>
      </w:r>
    </w:p>
    <w:p w14:paraId="6E76F782" w14:textId="30726DC1" w:rsidR="009A5EE3" w:rsidRDefault="009A5EE3" w:rsidP="008816A2">
      <w:pPr>
        <w:jc w:val="center"/>
        <w:rPr>
          <w:sz w:val="24"/>
          <w:szCs w:val="24"/>
        </w:rPr>
      </w:pPr>
      <w:r w:rsidRPr="009A5EE3">
        <w:rPr>
          <w:sz w:val="24"/>
          <w:szCs w:val="24"/>
        </w:rPr>
        <w:t>(</w:t>
      </w:r>
      <w:r w:rsidRPr="009A5EE3">
        <w:rPr>
          <w:sz w:val="24"/>
          <w:szCs w:val="24"/>
        </w:rPr>
        <w:t>Source: Self-created based on Tata Motors company reports and strategic analysis</w:t>
      </w:r>
      <w:r w:rsidRPr="009A5EE3">
        <w:rPr>
          <w:sz w:val="24"/>
          <w:szCs w:val="24"/>
        </w:rPr>
        <w:t xml:space="preserve">, </w:t>
      </w:r>
      <w:r w:rsidRPr="009A5EE3">
        <w:rPr>
          <w:sz w:val="24"/>
          <w:szCs w:val="24"/>
        </w:rPr>
        <w:t>2026)</w:t>
      </w:r>
    </w:p>
    <w:p w14:paraId="03BE8A63" w14:textId="77777777" w:rsidR="009A5EE3" w:rsidRPr="009A5EE3" w:rsidRDefault="009A5EE3" w:rsidP="008816A2">
      <w:pPr>
        <w:jc w:val="center"/>
        <w:rPr>
          <w:sz w:val="24"/>
          <w:szCs w:val="24"/>
        </w:rPr>
      </w:pP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2"/>
        <w:gridCol w:w="523"/>
        <w:gridCol w:w="1479"/>
        <w:gridCol w:w="1219"/>
        <w:gridCol w:w="523"/>
        <w:gridCol w:w="2299"/>
      </w:tblGrid>
      <w:tr w:rsidR="00C436C2" w:rsidRPr="007319A6" w14:paraId="0A44528F" w14:textId="77777777" w:rsidTr="008816A2">
        <w:trPr>
          <w:trHeight w:val="50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6FC2F"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Tata resource/capability</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575C9"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V</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46A47"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R</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DD97E"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I</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D9D59"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O</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A52B8"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Implication</w:t>
            </w:r>
          </w:p>
        </w:tc>
      </w:tr>
      <w:tr w:rsidR="00C436C2" w:rsidRPr="007319A6" w14:paraId="3650C987" w14:textId="77777777" w:rsidTr="008816A2">
        <w:trPr>
          <w:trHeight w:val="50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FF92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Tata brand and customer trust</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58E9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C908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2131B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Moderately</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CBC1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918F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Strong advantage</w:t>
            </w:r>
          </w:p>
        </w:tc>
      </w:tr>
      <w:tr w:rsidR="00C436C2" w:rsidRPr="007319A6" w14:paraId="1E49BA57" w14:textId="77777777" w:rsidTr="008816A2">
        <w:trPr>
          <w:trHeight w:val="77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0002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Established manufacturing capability</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3D12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AD8D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No</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CD77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No</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2CEA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E3E5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Competitive parity</w:t>
            </w:r>
          </w:p>
        </w:tc>
      </w:tr>
      <w:tr w:rsidR="00C436C2" w:rsidRPr="007319A6" w14:paraId="0D7B6878" w14:textId="77777777" w:rsidTr="008816A2">
        <w:trPr>
          <w:trHeight w:val="50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E5A5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Large dealer/service network</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BD6E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030F6"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Moderately</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732D6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Moderately</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A2833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FCB6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Temporary advantage</w:t>
            </w:r>
          </w:p>
        </w:tc>
      </w:tr>
      <w:tr w:rsidR="00C436C2" w:rsidRPr="007319A6" w14:paraId="1A338A16" w14:textId="77777777" w:rsidTr="008816A2">
        <w:trPr>
          <w:trHeight w:val="77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3779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Tata Group EV-energy ecosystem</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FDE4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30393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0D05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6A5F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A3D0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Potential sustained advantage</w:t>
            </w:r>
          </w:p>
        </w:tc>
      </w:tr>
      <w:tr w:rsidR="00C436C2" w:rsidRPr="007319A6" w14:paraId="5606003E" w14:textId="77777777" w:rsidTr="008816A2">
        <w:trPr>
          <w:trHeight w:val="50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53A5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Indian EV customer knowledge</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C1F5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ABFC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CA64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Moderately</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3382D"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1ED60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Temporary advantage</w:t>
            </w:r>
          </w:p>
        </w:tc>
      </w:tr>
      <w:tr w:rsidR="00C436C2" w:rsidRPr="007319A6" w14:paraId="02330B40" w14:textId="77777777" w:rsidTr="008816A2">
        <w:trPr>
          <w:trHeight w:val="770"/>
        </w:trPr>
        <w:tc>
          <w:tcPr>
            <w:tcW w:w="29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436B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engineering/product portfolio</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415C6"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1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41A1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Increasingly no</w:t>
            </w:r>
          </w:p>
        </w:tc>
        <w:tc>
          <w:tcPr>
            <w:tcW w:w="1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A5B1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No</w:t>
            </w:r>
          </w:p>
        </w:tc>
        <w:tc>
          <w:tcPr>
            <w:tcW w:w="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58706"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Yes</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9F32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Temporary advantage</w:t>
            </w:r>
          </w:p>
        </w:tc>
      </w:tr>
    </w:tbl>
    <w:p w14:paraId="2E3865A7" w14:textId="77777777" w:rsidR="009A5EE3" w:rsidRDefault="009A5EE3" w:rsidP="008816A2">
      <w:pPr>
        <w:jc w:val="center"/>
        <w:rPr>
          <w:b/>
          <w:bCs/>
          <w:sz w:val="24"/>
          <w:szCs w:val="24"/>
        </w:rPr>
      </w:pPr>
    </w:p>
    <w:p w14:paraId="20A27786" w14:textId="13D0040F" w:rsidR="009A5EE3" w:rsidRDefault="009A5EE3" w:rsidP="008816A2">
      <w:pPr>
        <w:jc w:val="center"/>
      </w:pPr>
      <w:r w:rsidRPr="008816A2">
        <w:rPr>
          <w:b/>
          <w:bCs/>
          <w:sz w:val="24"/>
          <w:szCs w:val="24"/>
        </w:rPr>
        <w:t>Table 2.2: VRIO Analysis of Tata EV’s Resources and Capabilities</w:t>
      </w:r>
      <w:r>
        <w:t xml:space="preserve"> </w:t>
      </w:r>
    </w:p>
    <w:p w14:paraId="2AECB415" w14:textId="77777777" w:rsidR="009A5EE3" w:rsidRPr="001D3BA0" w:rsidRDefault="009A5EE3" w:rsidP="009A5EE3">
      <w:pPr>
        <w:jc w:val="center"/>
        <w:rPr>
          <w:sz w:val="24"/>
          <w:szCs w:val="24"/>
        </w:rPr>
      </w:pPr>
      <w:r w:rsidRPr="001D3BA0">
        <w:rPr>
          <w:sz w:val="24"/>
          <w:szCs w:val="24"/>
        </w:rPr>
        <w:t>(Source: Self-Developed)</w:t>
      </w:r>
    </w:p>
    <w:p w14:paraId="7B433A10" w14:textId="4FB4F3AC"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It is not an individual model of the car that would prove to be a great resource but rather a Tata ecosystem. </w:t>
      </w:r>
      <w:r w:rsidR="008816A2" w:rsidRPr="007319A6">
        <w:rPr>
          <w:rFonts w:eastAsia="Times New Roman"/>
          <w:sz w:val="24"/>
          <w:szCs w:val="24"/>
        </w:rPr>
        <w:t>Development and production</w:t>
      </w:r>
      <w:r w:rsidRPr="007319A6">
        <w:rPr>
          <w:rFonts w:eastAsia="Times New Roman"/>
          <w:sz w:val="24"/>
          <w:szCs w:val="24"/>
        </w:rPr>
        <w:t xml:space="preserve"> developed automotive distribution, the Tata brand, and ties with other group strengths can generate complementary value that could take years of effort by a specialist entrant to replicate. More than 200, 000 cumulative EV sales and positive Q4 FY25 EV EBITDA have already been transformed into the company (Tata Motors Limited, 2025). Nevertheless, it is hardly likely that technology itself will remain a rarity. Contenders have access to purchasing components, creating specific pla</w:t>
      </w:r>
      <w:r w:rsidRPr="007319A6">
        <w:rPr>
          <w:rFonts w:eastAsia="Times New Roman"/>
          <w:sz w:val="24"/>
          <w:szCs w:val="24"/>
        </w:rPr>
        <w:t xml:space="preserve">tforms, and launching new products. Although the article by Achal and Vijaya (2024) talks about sustainable supplier partnerships applied in the context of electric two-wheelers, the theme can be used to show the higher strategic importance of sustainable supplier partnerships in the overall EV ecosystem in India; the logic can be applied to passenger EVs. </w:t>
      </w:r>
      <w:proofErr w:type="spellStart"/>
      <w:r w:rsidRPr="007319A6">
        <w:rPr>
          <w:rFonts w:eastAsia="Times New Roman"/>
          <w:sz w:val="24"/>
          <w:szCs w:val="24"/>
        </w:rPr>
        <w:t>Jagani</w:t>
      </w:r>
      <w:proofErr w:type="spellEnd"/>
      <w:r w:rsidRPr="007319A6">
        <w:rPr>
          <w:rFonts w:eastAsia="Times New Roman"/>
          <w:sz w:val="24"/>
          <w:szCs w:val="24"/>
        </w:rPr>
        <w:t xml:space="preserve"> et al. (2024) also demonstrate that competitive EV supply chains are </w:t>
      </w:r>
      <w:r w:rsidR="008516BA" w:rsidRPr="007319A6">
        <w:rPr>
          <w:rFonts w:eastAsia="Times New Roman"/>
          <w:sz w:val="24"/>
          <w:szCs w:val="24"/>
        </w:rPr>
        <w:t>increasingly</w:t>
      </w:r>
      <w:r w:rsidRPr="007319A6">
        <w:rPr>
          <w:rFonts w:eastAsia="Times New Roman"/>
          <w:sz w:val="24"/>
          <w:szCs w:val="24"/>
        </w:rPr>
        <w:t xml:space="preserve"> competitive in terms of the necessity to collaborate. </w:t>
      </w:r>
    </w:p>
    <w:p w14:paraId="5D177146" w14:textId="77777777" w:rsidR="00C436C2" w:rsidRDefault="00E047E1">
      <w:pPr>
        <w:pStyle w:val="Heading2"/>
        <w:rPr>
          <w:rFonts w:cs="Arial"/>
        </w:rPr>
      </w:pPr>
      <w:bookmarkStart w:id="24" w:name="_Toc237437429"/>
      <w:r w:rsidRPr="007319A6">
        <w:rPr>
          <w:rFonts w:cs="Arial"/>
        </w:rPr>
        <w:t>2.4 SWOT Analysis</w:t>
      </w:r>
      <w:bookmarkEnd w:id="24"/>
    </w:p>
    <w:p w14:paraId="5429AC7E" w14:textId="5DCB4579" w:rsidR="001D3BA0" w:rsidRDefault="001D3BA0" w:rsidP="001D3BA0">
      <w:r>
        <w:rPr>
          <w:rFonts w:eastAsia="Times New Roman"/>
          <w:noProof/>
          <w:sz w:val="24"/>
          <w:szCs w:val="24"/>
        </w:rPr>
        <w:drawing>
          <wp:inline distT="0" distB="0" distL="0" distR="0" wp14:anchorId="5A351BC8" wp14:editId="4277A5EB">
            <wp:extent cx="5638800" cy="3346185"/>
            <wp:effectExtent l="0" t="0" r="0" b="0"/>
            <wp:docPr id="239495328" name="Picture 1" descr="A poster of a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95328" name="Picture 1" descr="A poster of a vehicle&#10;&#10;AI-generated content may be incorrect."/>
                    <pic:cNvPicPr/>
                  </pic:nvPicPr>
                  <pic:blipFill rotWithShape="1">
                    <a:blip r:embed="rId18" cstate="print">
                      <a:extLst>
                        <a:ext uri="{28A0092B-C50C-407E-A947-70E740481C1C}">
                          <a14:useLocalDpi xmlns:a14="http://schemas.microsoft.com/office/drawing/2010/main" val="0"/>
                        </a:ext>
                      </a:extLst>
                    </a:blip>
                    <a:srcRect l="716" t="6748" r="897" b="5670"/>
                    <a:stretch>
                      <a:fillRect/>
                    </a:stretch>
                  </pic:blipFill>
                  <pic:spPr bwMode="auto">
                    <a:xfrm>
                      <a:off x="0" y="0"/>
                      <a:ext cx="5640918" cy="3347442"/>
                    </a:xfrm>
                    <a:prstGeom prst="rect">
                      <a:avLst/>
                    </a:prstGeom>
                    <a:ln>
                      <a:noFill/>
                    </a:ln>
                    <a:extLst>
                      <a:ext uri="{53640926-AAD7-44D8-BBD7-CCE9431645EC}">
                        <a14:shadowObscured xmlns:a14="http://schemas.microsoft.com/office/drawing/2010/main"/>
                      </a:ext>
                    </a:extLst>
                  </pic:spPr>
                </pic:pic>
              </a:graphicData>
            </a:graphic>
          </wp:inline>
        </w:drawing>
      </w:r>
    </w:p>
    <w:p w14:paraId="3AF88423" w14:textId="77777777" w:rsidR="001D3BA0" w:rsidRDefault="001D3BA0" w:rsidP="001D3BA0"/>
    <w:p w14:paraId="646AFA27" w14:textId="454909DA" w:rsidR="001D3BA0" w:rsidRPr="001D3BA0" w:rsidRDefault="001D3BA0" w:rsidP="001D3BA0">
      <w:pPr>
        <w:jc w:val="center"/>
        <w:rPr>
          <w:b/>
          <w:bCs/>
          <w:sz w:val="24"/>
          <w:szCs w:val="24"/>
        </w:rPr>
      </w:pPr>
      <w:r w:rsidRPr="001D3BA0">
        <w:rPr>
          <w:b/>
          <w:bCs/>
          <w:sz w:val="24"/>
          <w:szCs w:val="24"/>
        </w:rPr>
        <w:t>Figure 2.4: SWOT Analysis – Tata Passenger EV Business</w:t>
      </w:r>
    </w:p>
    <w:p w14:paraId="45864A9D" w14:textId="0808DB91" w:rsidR="001D3BA0" w:rsidRPr="001D3BA0" w:rsidRDefault="001D3BA0" w:rsidP="001D3BA0">
      <w:pPr>
        <w:jc w:val="center"/>
        <w:rPr>
          <w:sz w:val="24"/>
          <w:szCs w:val="24"/>
        </w:rPr>
      </w:pPr>
      <w:r>
        <w:rPr>
          <w:sz w:val="24"/>
          <w:szCs w:val="24"/>
        </w:rPr>
        <w:t>(</w:t>
      </w:r>
      <w:r w:rsidRPr="001D3BA0">
        <w:rPr>
          <w:sz w:val="24"/>
          <w:szCs w:val="24"/>
        </w:rPr>
        <w:t>Source: Self-created based on Tata Motors reports and industry analysis</w:t>
      </w:r>
      <w:r>
        <w:rPr>
          <w:sz w:val="24"/>
          <w:szCs w:val="24"/>
        </w:rPr>
        <w:t xml:space="preserve">, </w:t>
      </w:r>
      <w:r w:rsidRPr="001D3BA0">
        <w:rPr>
          <w:sz w:val="24"/>
          <w:szCs w:val="24"/>
        </w:rPr>
        <w:t>2026)</w:t>
      </w:r>
    </w:p>
    <w:p w14:paraId="6A0AB106" w14:textId="4BAD4FB5" w:rsidR="008816A2" w:rsidRPr="008816A2" w:rsidRDefault="008816A2" w:rsidP="008816A2">
      <w:pPr>
        <w:jc w:val="center"/>
        <w:rPr>
          <w:b/>
          <w:bCs/>
          <w:sz w:val="24"/>
          <w:szCs w:val="24"/>
        </w:rPr>
      </w:pPr>
    </w:p>
    <w:tbl>
      <w:tblPr>
        <w:tblStyle w:val="a1"/>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0"/>
        <w:gridCol w:w="5235"/>
      </w:tblGrid>
      <w:tr w:rsidR="00C436C2" w:rsidRPr="007319A6" w14:paraId="2E4E7DDD" w14:textId="77777777" w:rsidTr="008816A2">
        <w:trPr>
          <w:trHeight w:val="500"/>
        </w:trPr>
        <w:tc>
          <w:tcPr>
            <w:tcW w:w="3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165C4"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Strengths</w:t>
            </w:r>
          </w:p>
        </w:tc>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9FA27"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Weaknesses</w:t>
            </w:r>
          </w:p>
        </w:tc>
      </w:tr>
      <w:tr w:rsidR="00C436C2" w:rsidRPr="007319A6" w14:paraId="6C0BAF03" w14:textId="77777777" w:rsidTr="008816A2">
        <w:trPr>
          <w:trHeight w:val="500"/>
        </w:trPr>
        <w:tc>
          <w:tcPr>
            <w:tcW w:w="3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F5D0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Leading FY25 EV share of 55.4%</w:t>
            </w:r>
          </w:p>
        </w:tc>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DFC16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Leadership share already under competitive pressure</w:t>
            </w:r>
          </w:p>
        </w:tc>
      </w:tr>
      <w:tr w:rsidR="00C436C2" w:rsidRPr="007319A6" w14:paraId="3D26DFA6" w14:textId="77777777" w:rsidTr="008816A2">
        <w:trPr>
          <w:trHeight w:val="770"/>
        </w:trPr>
        <w:tc>
          <w:tcPr>
            <w:tcW w:w="3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5E61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Tata brand and established domestic presence</w:t>
            </w:r>
          </w:p>
        </w:tc>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8349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Continued dependence on developing battery/charging ecosystem</w:t>
            </w:r>
          </w:p>
        </w:tc>
      </w:tr>
      <w:tr w:rsidR="00C436C2" w:rsidRPr="007319A6" w14:paraId="12A5520A" w14:textId="77777777" w:rsidTr="008816A2">
        <w:trPr>
          <w:trHeight w:val="770"/>
        </w:trPr>
        <w:tc>
          <w:tcPr>
            <w:tcW w:w="3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EA5C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Wide EV range and customer experience</w:t>
            </w:r>
          </w:p>
        </w:tc>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A2E7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High continuing R&amp;D and product-renewal requirements</w:t>
            </w:r>
          </w:p>
        </w:tc>
      </w:tr>
      <w:tr w:rsidR="00C436C2" w:rsidRPr="007319A6" w14:paraId="4A7CB186" w14:textId="77777777" w:rsidTr="008816A2">
        <w:trPr>
          <w:trHeight w:val="770"/>
        </w:trPr>
        <w:tc>
          <w:tcPr>
            <w:tcW w:w="3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9160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Manufacturing, dealers and Tata ecosystem</w:t>
            </w:r>
          </w:p>
        </w:tc>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021C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profitability still developing relative to mature ICE operations</w:t>
            </w:r>
          </w:p>
        </w:tc>
      </w:tr>
    </w:tbl>
    <w:p w14:paraId="2CB3409E" w14:textId="77777777" w:rsidR="00C436C2" w:rsidRPr="007319A6" w:rsidRDefault="00C436C2">
      <w:pPr>
        <w:spacing w:before="200" w:after="200" w:line="360" w:lineRule="auto"/>
        <w:jc w:val="both"/>
        <w:rPr>
          <w:rFonts w:eastAsia="Times New Roman"/>
          <w:sz w:val="24"/>
          <w:szCs w:val="24"/>
        </w:rPr>
      </w:pPr>
    </w:p>
    <w:tbl>
      <w:tblPr>
        <w:tblStyle w:val="a2"/>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56"/>
        <w:gridCol w:w="4969"/>
      </w:tblGrid>
      <w:tr w:rsidR="00C436C2" w:rsidRPr="007319A6" w14:paraId="67119B0F" w14:textId="77777777">
        <w:trPr>
          <w:trHeight w:val="500"/>
        </w:trPr>
        <w:tc>
          <w:tcPr>
            <w:tcW w:w="40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2A631"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Opportunities</w:t>
            </w:r>
          </w:p>
        </w:tc>
        <w:tc>
          <w:tcPr>
            <w:tcW w:w="4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E99DE"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Threats</w:t>
            </w:r>
          </w:p>
        </w:tc>
      </w:tr>
      <w:tr w:rsidR="00C436C2" w:rsidRPr="007319A6" w14:paraId="469842F1" w14:textId="77777777">
        <w:trPr>
          <w:trHeight w:val="770"/>
        </w:trPr>
        <w:tc>
          <w:tcPr>
            <w:tcW w:w="40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67E3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Indian electric-car sales grew 75% in 2025</w:t>
            </w:r>
          </w:p>
        </w:tc>
        <w:tc>
          <w:tcPr>
            <w:tcW w:w="4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5EAA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Mahindra, JSW MG, BYD, Hyundai and new entrants</w:t>
            </w:r>
          </w:p>
        </w:tc>
      </w:tr>
      <w:tr w:rsidR="00C436C2" w:rsidRPr="007319A6" w14:paraId="3DE76D1A" w14:textId="77777777">
        <w:trPr>
          <w:trHeight w:val="500"/>
        </w:trPr>
        <w:tc>
          <w:tcPr>
            <w:tcW w:w="40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CE07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Expansion of charging infrastructure</w:t>
            </w:r>
          </w:p>
        </w:tc>
        <w:tc>
          <w:tcPr>
            <w:tcW w:w="4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4BB83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Rapid technological obsolescence</w:t>
            </w:r>
          </w:p>
        </w:tc>
      </w:tr>
      <w:tr w:rsidR="00C436C2" w:rsidRPr="007319A6" w14:paraId="038DCDCE" w14:textId="77777777">
        <w:trPr>
          <w:trHeight w:val="500"/>
        </w:trPr>
        <w:tc>
          <w:tcPr>
            <w:tcW w:w="40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144B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Localisation and battery circularity</w:t>
            </w:r>
          </w:p>
        </w:tc>
        <w:tc>
          <w:tcPr>
            <w:tcW w:w="4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67BF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Critical-material and battery supply volatility</w:t>
            </w:r>
          </w:p>
        </w:tc>
      </w:tr>
      <w:tr w:rsidR="00C436C2" w:rsidRPr="007319A6" w14:paraId="2D286649" w14:textId="77777777">
        <w:trPr>
          <w:trHeight w:val="500"/>
        </w:trPr>
        <w:tc>
          <w:tcPr>
            <w:tcW w:w="40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D17F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New customer/geographic segments</w:t>
            </w:r>
          </w:p>
        </w:tc>
        <w:tc>
          <w:tcPr>
            <w:tcW w:w="4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D97E0"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Hybrids, CNG and improved ICE alternatives</w:t>
            </w:r>
          </w:p>
        </w:tc>
      </w:tr>
    </w:tbl>
    <w:p w14:paraId="0E26970E" w14:textId="77777777" w:rsidR="001D3BA0" w:rsidRDefault="001D3BA0" w:rsidP="008816A2">
      <w:pPr>
        <w:jc w:val="center"/>
        <w:rPr>
          <w:b/>
          <w:bCs/>
          <w:sz w:val="24"/>
          <w:szCs w:val="24"/>
        </w:rPr>
      </w:pPr>
    </w:p>
    <w:p w14:paraId="58E3E1EC" w14:textId="395F0A9A" w:rsidR="001D3BA0" w:rsidRDefault="001D3BA0" w:rsidP="008816A2">
      <w:pPr>
        <w:jc w:val="center"/>
      </w:pPr>
      <w:r w:rsidRPr="008816A2">
        <w:rPr>
          <w:b/>
          <w:bCs/>
          <w:sz w:val="24"/>
          <w:szCs w:val="24"/>
        </w:rPr>
        <w:t>Table 2.</w:t>
      </w:r>
      <w:r>
        <w:rPr>
          <w:b/>
          <w:bCs/>
          <w:sz w:val="24"/>
          <w:szCs w:val="24"/>
        </w:rPr>
        <w:t>3</w:t>
      </w:r>
      <w:r w:rsidRPr="008816A2">
        <w:rPr>
          <w:b/>
          <w:bCs/>
          <w:sz w:val="24"/>
          <w:szCs w:val="24"/>
        </w:rPr>
        <w:t>: SWOT Analysis of Tata EV’s Strategic Position</w:t>
      </w:r>
      <w:r>
        <w:t xml:space="preserve"> </w:t>
      </w:r>
    </w:p>
    <w:p w14:paraId="3876DDAB" w14:textId="77777777" w:rsidR="001D3BA0" w:rsidRPr="001D3BA0" w:rsidRDefault="001D3BA0" w:rsidP="001D3BA0">
      <w:pPr>
        <w:jc w:val="center"/>
        <w:rPr>
          <w:sz w:val="24"/>
          <w:szCs w:val="24"/>
        </w:rPr>
      </w:pPr>
      <w:r w:rsidRPr="001D3BA0">
        <w:rPr>
          <w:sz w:val="24"/>
          <w:szCs w:val="24"/>
        </w:rPr>
        <w:t>(Source: Self-Developed)</w:t>
      </w:r>
    </w:p>
    <w:p w14:paraId="01E8C64E" w14:textId="741F30EF"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SWOT analysis shows that pure defensive market-share protection should not be undertaken by Tata. Its key strategic future lies in its ability to leverage its current size to achieve affordability of EV ownership, ease and credibility ahead of rivals hitting the same level of ecosystem richness. Rawat, Garg and Sinha (2025) advocate affordable funding-based approaches, expansion of charging nationwide, and collaboration among the stakeholders compared to individual intervention on the products.</w:t>
      </w:r>
    </w:p>
    <w:p w14:paraId="5A0C5243" w14:textId="77777777" w:rsidR="00C436C2" w:rsidRPr="007319A6" w:rsidRDefault="00E047E1">
      <w:pPr>
        <w:pStyle w:val="Heading1"/>
        <w:rPr>
          <w:rFonts w:cs="Arial"/>
        </w:rPr>
      </w:pPr>
      <w:bookmarkStart w:id="25" w:name="_Toc237437430"/>
      <w:r w:rsidRPr="007319A6">
        <w:rPr>
          <w:rFonts w:cs="Arial"/>
        </w:rPr>
        <w:t>3. Comprehensive and Holistic View of Tata EV</w:t>
      </w:r>
      <w:bookmarkEnd w:id="25"/>
    </w:p>
    <w:p w14:paraId="25BCA976" w14:textId="77777777" w:rsidR="00C436C2" w:rsidRDefault="00E047E1">
      <w:pPr>
        <w:pStyle w:val="Heading2"/>
        <w:rPr>
          <w:rFonts w:cs="Arial"/>
        </w:rPr>
      </w:pPr>
      <w:bookmarkStart w:id="26" w:name="_Toc237437431"/>
      <w:r w:rsidRPr="007319A6">
        <w:rPr>
          <w:rFonts w:cs="Arial"/>
        </w:rPr>
        <w:t>3.1 CSR and Sustainability Strategy</w:t>
      </w:r>
      <w:bookmarkEnd w:id="26"/>
    </w:p>
    <w:p w14:paraId="6D5B41BB" w14:textId="2F56D622" w:rsidR="001D3BA0" w:rsidRDefault="001D3BA0" w:rsidP="001D3BA0">
      <w:r>
        <w:rPr>
          <w:rFonts w:eastAsia="Times New Roman"/>
          <w:noProof/>
          <w:sz w:val="24"/>
          <w:szCs w:val="24"/>
        </w:rPr>
        <w:drawing>
          <wp:inline distT="0" distB="0" distL="0" distR="0" wp14:anchorId="3161AC12" wp14:editId="0B130097">
            <wp:extent cx="5580185" cy="3382010"/>
            <wp:effectExtent l="0" t="0" r="0" b="0"/>
            <wp:docPr id="320594769" name="Picture 7" descr="A poster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94769" name="Picture 7" descr="A poster of a car&#10;&#10;AI-generated content may be incorrect."/>
                    <pic:cNvPicPr/>
                  </pic:nvPicPr>
                  <pic:blipFill rotWithShape="1">
                    <a:blip r:embed="rId19" cstate="print">
                      <a:extLst>
                        <a:ext uri="{28A0092B-C50C-407E-A947-70E740481C1C}">
                          <a14:useLocalDpi xmlns:a14="http://schemas.microsoft.com/office/drawing/2010/main" val="0"/>
                        </a:ext>
                      </a:extLst>
                    </a:blip>
                    <a:srcRect l="1126" t="7208" r="1508" b="4269"/>
                    <a:stretch>
                      <a:fillRect/>
                    </a:stretch>
                  </pic:blipFill>
                  <pic:spPr bwMode="auto">
                    <a:xfrm>
                      <a:off x="0" y="0"/>
                      <a:ext cx="5582493" cy="3383409"/>
                    </a:xfrm>
                    <a:prstGeom prst="rect">
                      <a:avLst/>
                    </a:prstGeom>
                    <a:ln>
                      <a:noFill/>
                    </a:ln>
                    <a:extLst>
                      <a:ext uri="{53640926-AAD7-44D8-BBD7-CCE9431645EC}">
                        <a14:shadowObscured xmlns:a14="http://schemas.microsoft.com/office/drawing/2010/main"/>
                      </a:ext>
                    </a:extLst>
                  </pic:spPr>
                </pic:pic>
              </a:graphicData>
            </a:graphic>
          </wp:inline>
        </w:drawing>
      </w:r>
    </w:p>
    <w:p w14:paraId="24E6EF6E" w14:textId="77777777" w:rsidR="001D3BA0" w:rsidRDefault="001D3BA0" w:rsidP="001D3BA0"/>
    <w:p w14:paraId="2FEA0A7D" w14:textId="4FE58471" w:rsidR="001D3BA0" w:rsidRPr="001D3BA0" w:rsidRDefault="001D3BA0" w:rsidP="001D3BA0">
      <w:pPr>
        <w:jc w:val="center"/>
        <w:rPr>
          <w:b/>
          <w:bCs/>
          <w:sz w:val="24"/>
          <w:szCs w:val="24"/>
        </w:rPr>
      </w:pPr>
      <w:r w:rsidRPr="001D3BA0">
        <w:rPr>
          <w:b/>
          <w:bCs/>
          <w:sz w:val="24"/>
          <w:szCs w:val="24"/>
        </w:rPr>
        <w:t>Figure 3.1: Sustainability and Circular Economy in Tata Motors’ EV Business</w:t>
      </w:r>
    </w:p>
    <w:p w14:paraId="095C53E2" w14:textId="430CD2E2" w:rsidR="001D3BA0" w:rsidRPr="001D3BA0" w:rsidRDefault="001D3BA0" w:rsidP="001D3BA0">
      <w:pPr>
        <w:jc w:val="center"/>
        <w:rPr>
          <w:sz w:val="24"/>
          <w:szCs w:val="24"/>
        </w:rPr>
      </w:pPr>
      <w:r>
        <w:rPr>
          <w:sz w:val="24"/>
          <w:szCs w:val="24"/>
        </w:rPr>
        <w:t>(</w:t>
      </w:r>
      <w:r w:rsidRPr="001D3BA0">
        <w:rPr>
          <w:sz w:val="24"/>
          <w:szCs w:val="24"/>
        </w:rPr>
        <w:t>Source: Self-created based on Tata Motors sustainability and annual-report information.</w:t>
      </w:r>
      <w:r>
        <w:rPr>
          <w:sz w:val="24"/>
          <w:szCs w:val="24"/>
        </w:rPr>
        <w:t>)</w:t>
      </w:r>
    </w:p>
    <w:p w14:paraId="51BDEB8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EV strategy of Tata is intrinsically connected with the concept of CSR since electrification is the direct aid to sustainable-mobility goals. Its wider sustainability focus is decarbonisation, renewable energy, circularity and stakeholder value. Tata has set a goal of eliminating all greenhouse-gas emissions of its passenger-vehicle business by 2040 and 100% renewable electricity consumption by 2030. Its strategic value lies in the fact that the concept of sustainability is inherent in the product line-</w:t>
      </w:r>
      <w:r w:rsidRPr="007319A6">
        <w:rPr>
          <w:rFonts w:eastAsia="Times New Roman"/>
          <w:sz w:val="24"/>
          <w:szCs w:val="24"/>
        </w:rPr>
        <w:t xml:space="preserve">up, as opposed to being confined to charitable CSR. There are </w:t>
      </w:r>
      <w:proofErr w:type="gramStart"/>
      <w:r w:rsidRPr="007319A6">
        <w:rPr>
          <w:rFonts w:eastAsia="Times New Roman"/>
          <w:sz w:val="24"/>
          <w:szCs w:val="24"/>
        </w:rPr>
        <w:t>a number of</w:t>
      </w:r>
      <w:proofErr w:type="gramEnd"/>
      <w:r w:rsidRPr="007319A6">
        <w:rPr>
          <w:rFonts w:eastAsia="Times New Roman"/>
          <w:sz w:val="24"/>
          <w:szCs w:val="24"/>
        </w:rPr>
        <w:t xml:space="preserve"> advantages to this alignment. First, EV development has multiple purposes to increase commerce and decarbonisation. Secondly, the credibility of EV lifecycle can be enhanced with the help of increased integration of renewable energy. Among the most crucial projects to make EV adoption supportive of sustainable-development purposes, Tripathi, Kant and Shankar (2025) single out subsidised solar-powered charging and EV-production and pur</w:t>
      </w:r>
      <w:r w:rsidRPr="007319A6">
        <w:rPr>
          <w:rFonts w:eastAsia="Times New Roman"/>
          <w:sz w:val="24"/>
          <w:szCs w:val="24"/>
        </w:rPr>
        <w:t>chase incentives. Thirdly, recycling batteries can be used as a chance to strike a balance between environmental awareness and supply chain resilience. The need to have sustainable battery supply chains is a strategic challenge highlighted by Giri et al. (2024), and the 2025 battery-waste regulations enforce the regulatory stress of circularity.</w:t>
      </w:r>
    </w:p>
    <w:p w14:paraId="7E01AE2C" w14:textId="77777777" w:rsidR="00C436C2" w:rsidRPr="007319A6" w:rsidRDefault="00E047E1">
      <w:pPr>
        <w:spacing w:before="200" w:after="200" w:line="360" w:lineRule="auto"/>
        <w:jc w:val="center"/>
        <w:rPr>
          <w:rFonts w:eastAsia="Times New Roman"/>
          <w:sz w:val="24"/>
          <w:szCs w:val="24"/>
        </w:rPr>
      </w:pPr>
      <w:r w:rsidRPr="007319A6">
        <w:rPr>
          <w:rFonts w:eastAsia="Times New Roman"/>
          <w:noProof/>
          <w:sz w:val="24"/>
          <w:szCs w:val="24"/>
        </w:rPr>
        <w:drawing>
          <wp:inline distT="114300" distB="114300" distL="114300" distR="114300" wp14:anchorId="30C2DF98" wp14:editId="3F08AA34">
            <wp:extent cx="4524375" cy="32670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4524375" cy="3267075"/>
                    </a:xfrm>
                    <a:prstGeom prst="rect">
                      <a:avLst/>
                    </a:prstGeom>
                    <a:ln/>
                  </pic:spPr>
                </pic:pic>
              </a:graphicData>
            </a:graphic>
          </wp:inline>
        </w:drawing>
      </w:r>
    </w:p>
    <w:p w14:paraId="5CFBA675" w14:textId="77777777" w:rsidR="001D3BA0" w:rsidRDefault="00E047E1" w:rsidP="001D3BA0">
      <w:pPr>
        <w:spacing w:before="200" w:after="200" w:line="360" w:lineRule="auto"/>
        <w:jc w:val="center"/>
        <w:rPr>
          <w:rFonts w:eastAsia="Times New Roman"/>
          <w:b/>
          <w:bCs/>
          <w:sz w:val="24"/>
          <w:szCs w:val="24"/>
        </w:rPr>
      </w:pPr>
      <w:r w:rsidRPr="007319A6">
        <w:rPr>
          <w:rFonts w:eastAsia="Times New Roman"/>
          <w:b/>
          <w:bCs/>
          <w:sz w:val="24"/>
          <w:szCs w:val="24"/>
        </w:rPr>
        <w:t xml:space="preserve">Figure </w:t>
      </w:r>
      <w:proofErr w:type="gramStart"/>
      <w:r w:rsidR="001D3BA0">
        <w:rPr>
          <w:rFonts w:eastAsia="Times New Roman"/>
          <w:b/>
          <w:bCs/>
          <w:sz w:val="24"/>
          <w:szCs w:val="24"/>
        </w:rPr>
        <w:t xml:space="preserve">3.2 </w:t>
      </w:r>
      <w:r w:rsidRPr="007319A6">
        <w:rPr>
          <w:rFonts w:eastAsia="Times New Roman"/>
          <w:b/>
          <w:bCs/>
          <w:sz w:val="24"/>
          <w:szCs w:val="24"/>
        </w:rPr>
        <w:t>:</w:t>
      </w:r>
      <w:proofErr w:type="gramEnd"/>
      <w:r w:rsidRPr="007319A6">
        <w:rPr>
          <w:rFonts w:eastAsia="Times New Roman"/>
          <w:b/>
          <w:bCs/>
          <w:sz w:val="24"/>
          <w:szCs w:val="24"/>
        </w:rPr>
        <w:t xml:space="preserve"> Sustainability Governance Framework</w:t>
      </w:r>
    </w:p>
    <w:p w14:paraId="59223241" w14:textId="3CE29F07" w:rsidR="00C436C2" w:rsidRPr="001D3BA0" w:rsidRDefault="00E047E1" w:rsidP="001D3BA0">
      <w:pPr>
        <w:spacing w:before="200" w:after="200" w:line="360" w:lineRule="auto"/>
        <w:jc w:val="center"/>
        <w:rPr>
          <w:rFonts w:eastAsia="Times New Roman"/>
          <w:b/>
          <w:bCs/>
          <w:sz w:val="24"/>
          <w:szCs w:val="24"/>
        </w:rPr>
      </w:pPr>
      <w:r w:rsidRPr="007319A6">
        <w:rPr>
          <w:rFonts w:eastAsia="Times New Roman"/>
          <w:sz w:val="24"/>
          <w:szCs w:val="24"/>
        </w:rPr>
        <w:t>(Source: Tata Motors, 2026)</w:t>
      </w:r>
    </w:p>
    <w:p w14:paraId="0FEECCC5" w14:textId="072920CF"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However, CSR claims need to be looked at carefully. A zero-tailpipe electric car will not produce carbon emissions, although extraction of battery materials and production of electricity can offset instead of </w:t>
      </w:r>
      <w:r w:rsidR="00AD4D98" w:rsidRPr="007319A6">
        <w:rPr>
          <w:rFonts w:eastAsia="Times New Roman"/>
          <w:sz w:val="24"/>
          <w:szCs w:val="24"/>
        </w:rPr>
        <w:t>displacing</w:t>
      </w:r>
      <w:r w:rsidRPr="007319A6">
        <w:rPr>
          <w:rFonts w:eastAsia="Times New Roman"/>
          <w:sz w:val="24"/>
          <w:szCs w:val="24"/>
        </w:rPr>
        <w:t xml:space="preserve"> environmental costs. There may also be an increase in the demand of resources due to increased production at a very high rate. Therefore, the credibility of Tata regarding sustainability is based on manufacturing, electricity, suppliers, and end-of-life battery emissions. Of key concern is supply-chain governance. Achal and Vijaya (2024) claim that efficiency and risk management, as well as long-term sustainability, can be enhanced by green supply-chain and vendor partnerships. By doing so Tata ought to re</w:t>
      </w:r>
      <w:r w:rsidRPr="007319A6">
        <w:rPr>
          <w:rFonts w:eastAsia="Times New Roman"/>
          <w:sz w:val="24"/>
          <w:szCs w:val="24"/>
        </w:rPr>
        <w:t xml:space="preserve">lease EV-related metrics that include renewable energy, battery recovery, recycled materials, supplier compliance, and lifecycle emissions. This will not introduce the idea of vehicle sales as a form of adequate evidence of sustainability. Trust is another way that CSR may create competitive advantage. The perceived risk in EV consumers is related to technology and resale, where the perceived risk can be decreased with credible sustainability and battery stewardship. </w:t>
      </w:r>
      <w:proofErr w:type="spellStart"/>
      <w:r w:rsidRPr="007319A6">
        <w:rPr>
          <w:rFonts w:eastAsia="Times New Roman"/>
          <w:sz w:val="24"/>
          <w:szCs w:val="24"/>
        </w:rPr>
        <w:t>Chehimi</w:t>
      </w:r>
      <w:proofErr w:type="spellEnd"/>
      <w:r w:rsidRPr="007319A6">
        <w:rPr>
          <w:rFonts w:eastAsia="Times New Roman"/>
          <w:sz w:val="24"/>
          <w:szCs w:val="24"/>
        </w:rPr>
        <w:t xml:space="preserve"> and Naro (2024) hold that sustai</w:t>
      </w:r>
      <w:r w:rsidRPr="007319A6">
        <w:rPr>
          <w:rFonts w:eastAsia="Times New Roman"/>
          <w:sz w:val="24"/>
          <w:szCs w:val="24"/>
        </w:rPr>
        <w:t>nability measures should be regarded as integrated into the system of organisational performance instead of being viewed as independent. Tata needs to, thus, tie sustainability objectives to its Balanced Scorecard.</w:t>
      </w:r>
    </w:p>
    <w:p w14:paraId="57325D48" w14:textId="77777777" w:rsidR="00C436C2" w:rsidRPr="007319A6" w:rsidRDefault="00E047E1">
      <w:pPr>
        <w:pStyle w:val="Heading2"/>
        <w:rPr>
          <w:rFonts w:cs="Arial"/>
        </w:rPr>
      </w:pPr>
      <w:bookmarkStart w:id="27" w:name="_Toc237437432"/>
      <w:r w:rsidRPr="007319A6">
        <w:rPr>
          <w:rFonts w:cs="Arial"/>
        </w:rPr>
        <w:t>3.2 Proposed Balanced Scorecard</w:t>
      </w:r>
      <w:bookmarkEnd w:id="27"/>
    </w:p>
    <w:p w14:paraId="5D6C0BD2" w14:textId="56A86CD2" w:rsidR="008816A2" w:rsidRPr="001D3BA0" w:rsidRDefault="00E047E1" w:rsidP="001D3BA0">
      <w:pPr>
        <w:spacing w:before="200" w:after="200" w:line="360" w:lineRule="auto"/>
        <w:jc w:val="both"/>
        <w:rPr>
          <w:rFonts w:eastAsia="Times New Roman"/>
          <w:sz w:val="24"/>
          <w:szCs w:val="24"/>
        </w:rPr>
      </w:pPr>
      <w:r w:rsidRPr="007319A6">
        <w:rPr>
          <w:rFonts w:eastAsia="Times New Roman"/>
          <w:sz w:val="24"/>
          <w:szCs w:val="24"/>
        </w:rPr>
        <w:t>The BSC below is a translation of the suggested strategic direction into some measurable outcomes. The targets are not Tata commitments, but targets being suggested by the consultant.</w:t>
      </w:r>
    </w:p>
    <w:tbl>
      <w:tblPr>
        <w:tblStyle w:val="a3"/>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1507"/>
        <w:gridCol w:w="2189"/>
        <w:gridCol w:w="1521"/>
        <w:gridCol w:w="2203"/>
      </w:tblGrid>
      <w:tr w:rsidR="00C436C2" w:rsidRPr="007319A6" w14:paraId="7AA1231E" w14:textId="77777777" w:rsidTr="008816A2">
        <w:trPr>
          <w:trHeight w:val="77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98F17D"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Perspective</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4F31E"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Objective</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FB446"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KPI</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38F5C"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Proposed target</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FA385"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Initiative</w:t>
            </w:r>
          </w:p>
        </w:tc>
      </w:tr>
      <w:tr w:rsidR="00C436C2" w:rsidRPr="007319A6" w14:paraId="7A93D790"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D3534"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Financial</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ED6B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Deliver profitable EV growth</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1227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EBITDA margin</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44191" w14:textId="77777777" w:rsidR="00C436C2" w:rsidRPr="007319A6" w:rsidRDefault="00E047E1">
            <w:pPr>
              <w:spacing w:before="200" w:after="200" w:line="360" w:lineRule="auto"/>
              <w:jc w:val="both"/>
              <w:rPr>
                <w:rFonts w:eastAsia="Times New Roman"/>
                <w:sz w:val="24"/>
                <w:szCs w:val="24"/>
              </w:rPr>
            </w:pPr>
            <w:r w:rsidRPr="007319A6">
              <w:rPr>
                <w:rFonts w:eastAsia="Gungsuh"/>
                <w:sz w:val="24"/>
                <w:szCs w:val="24"/>
              </w:rPr>
              <w:t>≥8% by FY28</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A427B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Scale, localisation and platform cost reduction</w:t>
            </w:r>
          </w:p>
        </w:tc>
      </w:tr>
      <w:tr w:rsidR="00C436C2" w:rsidRPr="007319A6" w14:paraId="34B47674"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1B1EA" w14:textId="77777777" w:rsidR="00C436C2" w:rsidRPr="007319A6" w:rsidRDefault="00C436C2">
            <w:pPr>
              <w:spacing w:before="200" w:after="200" w:line="360" w:lineRule="auto"/>
              <w:jc w:val="both"/>
              <w:rPr>
                <w:rFonts w:eastAsia="Times New Roman"/>
                <w:sz w:val="24"/>
                <w:szCs w:val="24"/>
              </w:rPr>
            </w:pP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3288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Retain leadership</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7EBE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market share</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1398F" w14:textId="77777777" w:rsidR="00C436C2" w:rsidRPr="007319A6" w:rsidRDefault="00E047E1">
            <w:pPr>
              <w:spacing w:before="200" w:after="200" w:line="360" w:lineRule="auto"/>
              <w:jc w:val="both"/>
              <w:rPr>
                <w:rFonts w:eastAsia="Times New Roman"/>
                <w:sz w:val="24"/>
                <w:szCs w:val="24"/>
              </w:rPr>
            </w:pPr>
            <w:r w:rsidRPr="007319A6">
              <w:rPr>
                <w:rFonts w:eastAsia="Gungsuh"/>
                <w:sz w:val="24"/>
                <w:szCs w:val="24"/>
              </w:rPr>
              <w:t>≥40–45% through FY28</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9F18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Faster product renewal and segment coverage</w:t>
            </w:r>
          </w:p>
        </w:tc>
      </w:tr>
      <w:tr w:rsidR="00C436C2" w:rsidRPr="007319A6" w14:paraId="7444ED82"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311DE1"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Customer</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3FD2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Increase ownership confidence</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2C44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NPS/customer satisfaction</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D0200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+10 points from baseline</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A40C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Charging, service and battery-confidence programme</w:t>
            </w:r>
          </w:p>
        </w:tc>
      </w:tr>
      <w:tr w:rsidR="00C436C2" w:rsidRPr="007319A6" w14:paraId="0209E180" w14:textId="77777777" w:rsidTr="008816A2">
        <w:trPr>
          <w:trHeight w:val="132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889CB" w14:textId="77777777" w:rsidR="00C436C2" w:rsidRPr="007319A6" w:rsidRDefault="00C436C2">
            <w:pPr>
              <w:spacing w:before="200" w:after="200" w:line="360" w:lineRule="auto"/>
              <w:jc w:val="both"/>
              <w:rPr>
                <w:rFonts w:eastAsia="Times New Roman"/>
                <w:sz w:val="24"/>
                <w:szCs w:val="24"/>
              </w:rPr>
            </w:pP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AE41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Reduce adoption concerns</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C70A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Complaint/resolution time</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9FEDA" w14:textId="77777777" w:rsidR="00C436C2" w:rsidRPr="007319A6" w:rsidRDefault="00E047E1">
            <w:pPr>
              <w:spacing w:before="200" w:after="200" w:line="360" w:lineRule="auto"/>
              <w:jc w:val="both"/>
              <w:rPr>
                <w:rFonts w:eastAsia="Times New Roman"/>
                <w:sz w:val="24"/>
                <w:szCs w:val="24"/>
              </w:rPr>
            </w:pPr>
            <w:r w:rsidRPr="007319A6">
              <w:rPr>
                <w:rFonts w:eastAsia="Gungsuh"/>
                <w:sz w:val="24"/>
                <w:szCs w:val="24"/>
              </w:rPr>
              <w:t>≥90% resolved within 48 hours</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2984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EV-specialist service capability</w:t>
            </w:r>
          </w:p>
        </w:tc>
      </w:tr>
      <w:tr w:rsidR="00C436C2" w:rsidRPr="007319A6" w14:paraId="1B487403"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C9409"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Internal Process</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680160"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Improve localisation</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9A420"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Domestic value-added content</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A615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Progressive annual increase</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4972D"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Local battery/component partnerships</w:t>
            </w:r>
          </w:p>
        </w:tc>
      </w:tr>
      <w:tr w:rsidR="00C436C2" w:rsidRPr="007319A6" w14:paraId="155189A3" w14:textId="77777777" w:rsidTr="008816A2">
        <w:trPr>
          <w:trHeight w:val="1325"/>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768B0" w14:textId="77777777" w:rsidR="00C436C2" w:rsidRPr="007319A6" w:rsidRDefault="00C436C2">
            <w:pPr>
              <w:spacing w:before="200" w:after="200" w:line="360" w:lineRule="auto"/>
              <w:jc w:val="both"/>
              <w:rPr>
                <w:rFonts w:eastAsia="Times New Roman"/>
                <w:sz w:val="24"/>
                <w:szCs w:val="24"/>
              </w:rPr>
            </w:pP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7FA5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Improve ecosystem access</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C6DC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Charger/customer accessibility</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BBE9F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20% annual increase in partner locations</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AB86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Tata ecosystem and third-party partnerships</w:t>
            </w:r>
          </w:p>
        </w:tc>
      </w:tr>
      <w:tr w:rsidR="00C436C2" w:rsidRPr="007319A6" w14:paraId="4D911F41"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9DE7F"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Learning &amp; Growth</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79956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Build EV/software capability</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4DC7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skill certification</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6BAC5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100% relevant technical staff</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F1B8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Battery, software and high-voltage training</w:t>
            </w:r>
          </w:p>
        </w:tc>
      </w:tr>
      <w:tr w:rsidR="00C436C2" w:rsidRPr="007319A6" w14:paraId="32E39D51"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68E671" w14:textId="77777777" w:rsidR="00C436C2" w:rsidRPr="007319A6" w:rsidRDefault="00C436C2">
            <w:pPr>
              <w:spacing w:before="200" w:after="200" w:line="360" w:lineRule="auto"/>
              <w:jc w:val="both"/>
              <w:rPr>
                <w:rFonts w:eastAsia="Times New Roman"/>
                <w:sz w:val="24"/>
                <w:szCs w:val="24"/>
              </w:rPr>
            </w:pP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D511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Accelerate innovation</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DE47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Development cycle time</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2406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Reduce by 20% by FY28</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CCE4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Digital engineering and modular platforms</w:t>
            </w:r>
          </w:p>
        </w:tc>
      </w:tr>
      <w:tr w:rsidR="00C436C2" w:rsidRPr="007319A6" w14:paraId="5017BD95" w14:textId="77777777" w:rsidTr="008816A2">
        <w:trPr>
          <w:trHeight w:val="1040"/>
        </w:trPr>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170690"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Sustainability overlay</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3AFD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Improve circularity</w:t>
            </w:r>
          </w:p>
        </w:tc>
        <w:tc>
          <w:tcPr>
            <w:tcW w:w="2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E53D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Battery recovery/recycling</w:t>
            </w:r>
          </w:p>
        </w:tc>
        <w:tc>
          <w:tcPr>
            <w:tcW w:w="15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2BBBE" w14:textId="77777777" w:rsidR="00C436C2" w:rsidRPr="007319A6" w:rsidRDefault="00E047E1">
            <w:pPr>
              <w:spacing w:before="200" w:after="200" w:line="360" w:lineRule="auto"/>
              <w:jc w:val="both"/>
              <w:rPr>
                <w:rFonts w:eastAsia="Times New Roman"/>
                <w:sz w:val="24"/>
                <w:szCs w:val="24"/>
              </w:rPr>
            </w:pPr>
            <w:r w:rsidRPr="007319A6">
              <w:rPr>
                <w:rFonts w:eastAsia="Gungsuh"/>
                <w:sz w:val="24"/>
                <w:szCs w:val="24"/>
              </w:rPr>
              <w:t>≥95% eligible batteries traceable</w:t>
            </w:r>
          </w:p>
        </w:tc>
        <w:tc>
          <w:tcPr>
            <w:tcW w:w="22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925B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Closed-loop battery programme</w:t>
            </w:r>
          </w:p>
        </w:tc>
      </w:tr>
    </w:tbl>
    <w:p w14:paraId="2F1D2589" w14:textId="77777777" w:rsidR="001D3BA0" w:rsidRDefault="001D3BA0" w:rsidP="008816A2">
      <w:pPr>
        <w:jc w:val="center"/>
        <w:rPr>
          <w:rFonts w:eastAsia="Times New Roman"/>
          <w:b/>
          <w:bCs/>
          <w:sz w:val="24"/>
          <w:szCs w:val="24"/>
        </w:rPr>
      </w:pPr>
    </w:p>
    <w:p w14:paraId="3E657880" w14:textId="07E674D8" w:rsidR="001D3BA0" w:rsidRDefault="001D3BA0" w:rsidP="008816A2">
      <w:pPr>
        <w:jc w:val="center"/>
      </w:pPr>
      <w:r w:rsidRPr="008816A2">
        <w:rPr>
          <w:rFonts w:eastAsia="Times New Roman"/>
          <w:b/>
          <w:bCs/>
          <w:sz w:val="24"/>
          <w:szCs w:val="24"/>
        </w:rPr>
        <w:t xml:space="preserve">Table </w:t>
      </w:r>
      <w:r>
        <w:rPr>
          <w:rFonts w:eastAsia="Times New Roman"/>
          <w:b/>
          <w:bCs/>
          <w:sz w:val="24"/>
          <w:szCs w:val="24"/>
        </w:rPr>
        <w:t>3.1</w:t>
      </w:r>
      <w:r w:rsidRPr="008816A2">
        <w:rPr>
          <w:rFonts w:eastAsia="Times New Roman"/>
          <w:b/>
          <w:bCs/>
          <w:sz w:val="24"/>
          <w:szCs w:val="24"/>
        </w:rPr>
        <w:t>: Balanced Scorecard for Tata EV’s Strategic Objectives and Performance Targets</w:t>
      </w:r>
      <w:r>
        <w:t xml:space="preserve"> </w:t>
      </w:r>
    </w:p>
    <w:p w14:paraId="260AD051" w14:textId="77777777" w:rsidR="001D3BA0" w:rsidRPr="001D3BA0" w:rsidRDefault="001D3BA0" w:rsidP="001D3BA0">
      <w:pPr>
        <w:jc w:val="center"/>
        <w:rPr>
          <w:sz w:val="24"/>
          <w:szCs w:val="24"/>
        </w:rPr>
      </w:pPr>
      <w:r w:rsidRPr="001D3BA0">
        <w:rPr>
          <w:sz w:val="24"/>
          <w:szCs w:val="24"/>
        </w:rPr>
        <w:t>(Source: Self-Developed)</w:t>
      </w:r>
    </w:p>
    <w:p w14:paraId="39D0E581" w14:textId="3082F57F"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fiscal lens appreciates the fact that unsustainable leadership is one that lacks profitability. The Q4 FY25 EBITDA margin of Tata is at 6.5%, which shows that profitability is possible, though the cost pressure will go up due to increased expansion of Mahindra, MG and other companies (Tata Motors Limited, 2025). The goal in this case should then be less about subsidising the increase in size but particularly at profitable levels. The customer view directly seeks the academic evidence. Singh and Paul (20</w:t>
      </w:r>
      <w:r w:rsidRPr="007319A6">
        <w:rPr>
          <w:rFonts w:eastAsia="Times New Roman"/>
          <w:sz w:val="24"/>
          <w:szCs w:val="24"/>
        </w:rPr>
        <w:t>25) demonstrate that acceptability, affordability, accessibility and awareness are significant combined to influence the adoption of EVs. According to Patel et al. (2024), the significant challenges include infrastructure and cost. KPIs of customers should thus not only be on sales but also on charging experience, battery confidence and complaint resolution.</w:t>
      </w:r>
    </w:p>
    <w:p w14:paraId="1E0160A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The internal processes should focus on localisation, quality, and ecosystem coordination. </w:t>
      </w:r>
      <w:proofErr w:type="spellStart"/>
      <w:r w:rsidRPr="007319A6">
        <w:rPr>
          <w:rFonts w:eastAsia="Times New Roman"/>
          <w:sz w:val="24"/>
          <w:szCs w:val="24"/>
        </w:rPr>
        <w:t>Dhairiyasamy</w:t>
      </w:r>
      <w:proofErr w:type="spellEnd"/>
      <w:r w:rsidRPr="007319A6">
        <w:rPr>
          <w:rFonts w:eastAsia="Times New Roman"/>
          <w:sz w:val="24"/>
          <w:szCs w:val="24"/>
        </w:rPr>
        <w:t xml:space="preserve"> and </w:t>
      </w:r>
      <w:proofErr w:type="spellStart"/>
      <w:r w:rsidRPr="007319A6">
        <w:rPr>
          <w:rFonts w:eastAsia="Times New Roman"/>
          <w:sz w:val="24"/>
          <w:szCs w:val="24"/>
        </w:rPr>
        <w:t>Gabiriel</w:t>
      </w:r>
      <w:proofErr w:type="spellEnd"/>
      <w:r w:rsidRPr="007319A6">
        <w:rPr>
          <w:rFonts w:eastAsia="Times New Roman"/>
          <w:sz w:val="24"/>
          <w:szCs w:val="24"/>
        </w:rPr>
        <w:t xml:space="preserve"> (2025) prove the persisting gap in the domestic supply chain of India, and Barman and Dutta (2024) focus on the organization of infrastructure development. These processes should then be aided by learning and growth by battery engineering, software capabilities, and specialised skills of the employees. </w:t>
      </w:r>
      <w:proofErr w:type="spellStart"/>
      <w:r w:rsidRPr="007319A6">
        <w:rPr>
          <w:rFonts w:eastAsia="Times New Roman"/>
          <w:sz w:val="24"/>
          <w:szCs w:val="24"/>
        </w:rPr>
        <w:t>Chehimi</w:t>
      </w:r>
      <w:proofErr w:type="spellEnd"/>
      <w:r w:rsidRPr="007319A6">
        <w:rPr>
          <w:rFonts w:eastAsia="Times New Roman"/>
          <w:sz w:val="24"/>
          <w:szCs w:val="24"/>
        </w:rPr>
        <w:t xml:space="preserve"> and Naro (2024) consider that the Balanced Scorecard might not be as reflective of sustainability as the environmental issues considered as a standard performance indicator. </w:t>
      </w:r>
      <w:r w:rsidRPr="007319A6">
        <w:rPr>
          <w:rFonts w:eastAsia="Times New Roman"/>
          <w:sz w:val="24"/>
          <w:szCs w:val="24"/>
        </w:rPr>
        <w:t xml:space="preserve">Thus, instead of viewing them as primarily reputational issues, Tata needs to centralize feelings of emissions reduction and circularity as part and parcel of making strategy. The Balanced Scorecard is supposed to link employee abilities, better internal processes, enhanced customer experience, and profitable growth, and integrate sustainability throughout all spheres </w:t>
      </w:r>
      <w:proofErr w:type="gramStart"/>
      <w:r w:rsidRPr="007319A6">
        <w:rPr>
          <w:rFonts w:eastAsia="Times New Roman"/>
          <w:sz w:val="24"/>
          <w:szCs w:val="24"/>
        </w:rPr>
        <w:t>in an attempt to</w:t>
      </w:r>
      <w:proofErr w:type="gramEnd"/>
      <w:r w:rsidRPr="007319A6">
        <w:rPr>
          <w:rFonts w:eastAsia="Times New Roman"/>
          <w:sz w:val="24"/>
          <w:szCs w:val="24"/>
        </w:rPr>
        <w:t xml:space="preserve"> enable long-term competitive advantage.</w:t>
      </w:r>
    </w:p>
    <w:p w14:paraId="35E6AC62" w14:textId="77777777" w:rsidR="00C436C2" w:rsidRPr="007319A6" w:rsidRDefault="00E047E1">
      <w:pPr>
        <w:pStyle w:val="Heading1"/>
        <w:rPr>
          <w:rFonts w:cs="Arial"/>
        </w:rPr>
      </w:pPr>
      <w:bookmarkStart w:id="28" w:name="_Toc237437433"/>
      <w:r w:rsidRPr="007319A6">
        <w:rPr>
          <w:rFonts w:cs="Arial"/>
        </w:rPr>
        <w:t>4. Strategic Choices and Implementation</w:t>
      </w:r>
      <w:bookmarkEnd w:id="28"/>
    </w:p>
    <w:p w14:paraId="6D6FF5C7" w14:textId="77777777" w:rsidR="00C436C2" w:rsidRPr="007319A6" w:rsidRDefault="00E047E1">
      <w:pPr>
        <w:pStyle w:val="Heading2"/>
        <w:rPr>
          <w:rFonts w:cs="Arial"/>
        </w:rPr>
      </w:pPr>
      <w:bookmarkStart w:id="29" w:name="_Toc237437434"/>
      <w:r w:rsidRPr="007319A6">
        <w:rPr>
          <w:rFonts w:cs="Arial"/>
        </w:rPr>
        <w:t>4.1 Strategic Alternatives</w:t>
      </w:r>
      <w:bookmarkEnd w:id="29"/>
    </w:p>
    <w:p w14:paraId="7B34CCC0" w14:textId="77777777" w:rsidR="00C436C2" w:rsidRPr="007319A6" w:rsidRDefault="00E047E1">
      <w:pPr>
        <w:spacing w:before="200" w:after="200" w:line="360" w:lineRule="auto"/>
        <w:jc w:val="both"/>
        <w:rPr>
          <w:rFonts w:eastAsia="Times New Roman"/>
          <w:b/>
          <w:bCs/>
          <w:i/>
          <w:iCs/>
          <w:sz w:val="24"/>
          <w:szCs w:val="24"/>
        </w:rPr>
      </w:pPr>
      <w:r w:rsidRPr="007319A6">
        <w:rPr>
          <w:rFonts w:eastAsia="Times New Roman"/>
          <w:b/>
          <w:bCs/>
          <w:i/>
          <w:iCs/>
          <w:sz w:val="24"/>
          <w:szCs w:val="24"/>
        </w:rPr>
        <w:t>There are three strategic options for Tata:</w:t>
      </w:r>
    </w:p>
    <w:p w14:paraId="339FCC86" w14:textId="77777777" w:rsidR="00C436C2" w:rsidRDefault="00E047E1">
      <w:pPr>
        <w:spacing w:before="200" w:after="200" w:line="360" w:lineRule="auto"/>
        <w:jc w:val="both"/>
        <w:rPr>
          <w:rFonts w:eastAsia="Times New Roman"/>
          <w:sz w:val="24"/>
          <w:szCs w:val="24"/>
        </w:rPr>
      </w:pPr>
      <w:r w:rsidRPr="007319A6">
        <w:rPr>
          <w:rFonts w:eastAsia="Times New Roman"/>
          <w:sz w:val="24"/>
          <w:szCs w:val="24"/>
        </w:rPr>
        <w:t>The cost leadership strategy might take advantage of the national size, area of localisation, and production to lower the purchase prices of EVs. This aligns with the evidence that one of the primary factors of acquisition resistance is the acquisition cost (Yadav and Yadav, 2024; Patel et al., 2024). Nevertheless, pure cost leadership would be susceptible to companies that have global size and it may erode margins.</w:t>
      </w:r>
    </w:p>
    <w:p w14:paraId="545AA839" w14:textId="77F09C71" w:rsidR="00AD4D98" w:rsidRDefault="00AD4D98" w:rsidP="00AD4D98">
      <w:pPr>
        <w:spacing w:before="200" w:after="200" w:line="360" w:lineRule="auto"/>
        <w:jc w:val="center"/>
        <w:rPr>
          <w:rFonts w:eastAsia="Times New Roman"/>
          <w:sz w:val="24"/>
          <w:szCs w:val="24"/>
        </w:rPr>
      </w:pPr>
      <w:r>
        <w:rPr>
          <w:rFonts w:eastAsia="Times New Roman"/>
          <w:noProof/>
          <w:sz w:val="24"/>
          <w:szCs w:val="24"/>
        </w:rPr>
        <w:drawing>
          <wp:inline distT="0" distB="0" distL="0" distR="0" wp14:anchorId="64AE9016" wp14:editId="363665F7">
            <wp:extent cx="5486400" cy="3200400"/>
            <wp:effectExtent l="0" t="38100" r="0" b="88900"/>
            <wp:docPr id="27083550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496E843" w14:textId="383530CD" w:rsidR="00AD4D98" w:rsidRPr="00AD4D98" w:rsidRDefault="00AD4D98" w:rsidP="00AD4D98">
      <w:pPr>
        <w:spacing w:before="200" w:after="200" w:line="360" w:lineRule="auto"/>
        <w:jc w:val="center"/>
        <w:rPr>
          <w:rFonts w:eastAsia="Times New Roman"/>
          <w:b/>
          <w:bCs/>
          <w:sz w:val="24"/>
          <w:szCs w:val="24"/>
        </w:rPr>
      </w:pPr>
      <w:r w:rsidRPr="00AD4D98">
        <w:rPr>
          <w:rFonts w:eastAsia="Times New Roman"/>
          <w:b/>
          <w:bCs/>
          <w:sz w:val="24"/>
          <w:szCs w:val="24"/>
        </w:rPr>
        <w:t xml:space="preserve">Figure </w:t>
      </w:r>
      <w:proofErr w:type="gramStart"/>
      <w:r w:rsidRPr="00AD4D98">
        <w:rPr>
          <w:rFonts w:eastAsia="Times New Roman"/>
          <w:b/>
          <w:bCs/>
          <w:sz w:val="24"/>
          <w:szCs w:val="24"/>
        </w:rPr>
        <w:t>4.1</w:t>
      </w:r>
      <w:r w:rsidR="003C3CE6">
        <w:rPr>
          <w:rFonts w:eastAsia="Times New Roman"/>
          <w:b/>
          <w:bCs/>
          <w:sz w:val="24"/>
          <w:szCs w:val="24"/>
        </w:rPr>
        <w:t xml:space="preserve">.1 </w:t>
      </w:r>
      <w:r w:rsidRPr="00AD4D98">
        <w:rPr>
          <w:rFonts w:eastAsia="Times New Roman"/>
          <w:b/>
          <w:bCs/>
          <w:sz w:val="24"/>
          <w:szCs w:val="24"/>
        </w:rPr>
        <w:t>:</w:t>
      </w:r>
      <w:proofErr w:type="gramEnd"/>
      <w:r w:rsidRPr="00AD4D98">
        <w:rPr>
          <w:rFonts w:eastAsia="Times New Roman"/>
          <w:b/>
          <w:bCs/>
          <w:sz w:val="24"/>
          <w:szCs w:val="24"/>
        </w:rPr>
        <w:t xml:space="preserve"> Strategic Options for Tata EV’s Competitive Growth</w:t>
      </w:r>
    </w:p>
    <w:p w14:paraId="22207C3B" w14:textId="25B99469" w:rsidR="00AD4D98" w:rsidRPr="007319A6" w:rsidRDefault="00AD4D98" w:rsidP="00AD4D98">
      <w:pPr>
        <w:spacing w:before="200" w:after="200" w:line="360" w:lineRule="auto"/>
        <w:jc w:val="center"/>
        <w:rPr>
          <w:rFonts w:eastAsia="Times New Roman"/>
          <w:sz w:val="24"/>
          <w:szCs w:val="24"/>
        </w:rPr>
      </w:pPr>
      <w:r>
        <w:rPr>
          <w:rFonts w:eastAsia="Times New Roman"/>
          <w:sz w:val="24"/>
          <w:szCs w:val="24"/>
        </w:rPr>
        <w:t>(Source: Self-Created)</w:t>
      </w:r>
    </w:p>
    <w:p w14:paraId="1476046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Differentiation could emphasise technology, range, design, safety, connectivity, and customer experience. This gains more significance when Mahindra rolls out specific EV products, and BYD will compete with the aid of world-developed EV technology. However, the issue of premium differentiation alone has the risk of locking out India's mass market, which is sensitive to prices. Sharma et al. (2024) show that technological and environmental attributes vary in importance among markets to customers.</w:t>
      </w:r>
    </w:p>
    <w:p w14:paraId="0E92AC9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The most formidable option is hence aimed at hybrid differentiation: accessible EVs </w:t>
      </w:r>
      <w:proofErr w:type="spellStart"/>
      <w:r w:rsidRPr="007319A6">
        <w:rPr>
          <w:rFonts w:eastAsia="Times New Roman"/>
          <w:sz w:val="24"/>
          <w:szCs w:val="24"/>
        </w:rPr>
        <w:t>dissimilariated</w:t>
      </w:r>
      <w:proofErr w:type="spellEnd"/>
      <w:r w:rsidRPr="007319A6">
        <w:rPr>
          <w:rFonts w:eastAsia="Times New Roman"/>
          <w:sz w:val="24"/>
          <w:szCs w:val="24"/>
        </w:rPr>
        <w:t xml:space="preserve"> by proprietorship ecosystem, security, technology and local appropriateness. Tata would be disciplined in its costs but not just compete based on the lowest price. It would leverage the knowledge and distribution of Indian customers along with charging partnerships and Tata Group resources to develop a high-level of total ownership value.</w:t>
      </w:r>
    </w:p>
    <w:p w14:paraId="2BF41544" w14:textId="77777777" w:rsidR="00C436C2" w:rsidRDefault="00E047E1">
      <w:pPr>
        <w:pStyle w:val="Heading3"/>
        <w:rPr>
          <w:rFonts w:ascii="Arial" w:hAnsi="Arial" w:cs="Arial"/>
        </w:rPr>
      </w:pPr>
      <w:bookmarkStart w:id="30" w:name="_Toc237437435"/>
      <w:r w:rsidRPr="007319A6">
        <w:rPr>
          <w:rFonts w:ascii="Arial" w:hAnsi="Arial" w:cs="Arial"/>
        </w:rPr>
        <w:t>Ansoff assessment</w:t>
      </w:r>
      <w:bookmarkEnd w:id="30"/>
    </w:p>
    <w:p w14:paraId="1F2B41B4" w14:textId="7224EDDF" w:rsidR="008816A2" w:rsidRDefault="003C3CE6" w:rsidP="008816A2">
      <w:pPr>
        <w:jc w:val="center"/>
        <w:rPr>
          <w:b/>
          <w:bCs/>
          <w:sz w:val="24"/>
          <w:szCs w:val="24"/>
        </w:rPr>
      </w:pPr>
      <w:r w:rsidRPr="003C3CE6">
        <w:rPr>
          <w:b/>
          <w:bCs/>
          <w:sz w:val="24"/>
          <w:szCs w:val="24"/>
        </w:rPr>
        <w:drawing>
          <wp:inline distT="0" distB="0" distL="0" distR="0" wp14:anchorId="0DC681D2" wp14:editId="0490803C">
            <wp:extent cx="5550693" cy="3357154"/>
            <wp:effectExtent l="0" t="0" r="0" b="0"/>
            <wp:docPr id="1742247699"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47699" name="Picture 1" descr="A screenshot of a chart&#10;&#10;AI-generated content may be incorrect."/>
                    <pic:cNvPicPr/>
                  </pic:nvPicPr>
                  <pic:blipFill rotWithShape="1">
                    <a:blip r:embed="rId26"/>
                    <a:srcRect l="1595" t="8886" r="1572" b="3260"/>
                    <a:stretch>
                      <a:fillRect/>
                    </a:stretch>
                  </pic:blipFill>
                  <pic:spPr bwMode="auto">
                    <a:xfrm>
                      <a:off x="0" y="0"/>
                      <a:ext cx="5551850" cy="3357854"/>
                    </a:xfrm>
                    <a:prstGeom prst="rect">
                      <a:avLst/>
                    </a:prstGeom>
                    <a:ln>
                      <a:noFill/>
                    </a:ln>
                    <a:extLst>
                      <a:ext uri="{53640926-AAD7-44D8-BBD7-CCE9431645EC}">
                        <a14:shadowObscured xmlns:a14="http://schemas.microsoft.com/office/drawing/2010/main"/>
                      </a:ext>
                    </a:extLst>
                  </pic:spPr>
                </pic:pic>
              </a:graphicData>
            </a:graphic>
          </wp:inline>
        </w:drawing>
      </w:r>
    </w:p>
    <w:p w14:paraId="01A866C1" w14:textId="77777777" w:rsidR="003C3CE6" w:rsidRDefault="003C3CE6" w:rsidP="008816A2">
      <w:pPr>
        <w:jc w:val="center"/>
        <w:rPr>
          <w:b/>
          <w:bCs/>
          <w:sz w:val="24"/>
          <w:szCs w:val="24"/>
        </w:rPr>
      </w:pPr>
    </w:p>
    <w:p w14:paraId="7DA710B8" w14:textId="08C1575A" w:rsidR="003C3CE6" w:rsidRPr="001D3BA0" w:rsidRDefault="003C3CE6" w:rsidP="003C3CE6">
      <w:pPr>
        <w:jc w:val="center"/>
        <w:rPr>
          <w:b/>
          <w:bCs/>
          <w:sz w:val="24"/>
          <w:szCs w:val="24"/>
        </w:rPr>
      </w:pPr>
      <w:r w:rsidRPr="001D3BA0">
        <w:rPr>
          <w:b/>
          <w:bCs/>
          <w:sz w:val="24"/>
          <w:szCs w:val="24"/>
        </w:rPr>
        <w:t xml:space="preserve">Figure </w:t>
      </w:r>
      <w:proofErr w:type="gramStart"/>
      <w:r>
        <w:rPr>
          <w:b/>
          <w:bCs/>
          <w:sz w:val="24"/>
          <w:szCs w:val="24"/>
        </w:rPr>
        <w:t>4.</w:t>
      </w:r>
      <w:r>
        <w:rPr>
          <w:b/>
          <w:bCs/>
          <w:sz w:val="24"/>
          <w:szCs w:val="24"/>
        </w:rPr>
        <w:t>1.2</w:t>
      </w:r>
      <w:r>
        <w:rPr>
          <w:b/>
          <w:bCs/>
          <w:sz w:val="24"/>
          <w:szCs w:val="24"/>
        </w:rPr>
        <w:t xml:space="preserve"> </w:t>
      </w:r>
      <w:r w:rsidRPr="001D3BA0">
        <w:rPr>
          <w:b/>
          <w:bCs/>
          <w:sz w:val="24"/>
          <w:szCs w:val="24"/>
        </w:rPr>
        <w:t>:</w:t>
      </w:r>
      <w:proofErr w:type="gramEnd"/>
      <w:r w:rsidRPr="001D3BA0">
        <w:rPr>
          <w:b/>
          <w:bCs/>
          <w:sz w:val="24"/>
          <w:szCs w:val="24"/>
        </w:rPr>
        <w:t xml:space="preserve"> </w:t>
      </w:r>
      <w:r>
        <w:rPr>
          <w:b/>
          <w:bCs/>
          <w:sz w:val="24"/>
          <w:szCs w:val="24"/>
        </w:rPr>
        <w:t>Ansoff Matrix – Growth Options for Tata EV</w:t>
      </w:r>
    </w:p>
    <w:p w14:paraId="0D3953FD" w14:textId="77777777" w:rsidR="003C3CE6" w:rsidRPr="001D3BA0" w:rsidRDefault="003C3CE6" w:rsidP="003C3CE6">
      <w:pPr>
        <w:jc w:val="center"/>
        <w:rPr>
          <w:sz w:val="24"/>
          <w:szCs w:val="24"/>
        </w:rPr>
      </w:pPr>
      <w:r>
        <w:rPr>
          <w:sz w:val="24"/>
          <w:szCs w:val="24"/>
        </w:rPr>
        <w:t>(</w:t>
      </w:r>
      <w:r w:rsidRPr="001D3BA0">
        <w:rPr>
          <w:sz w:val="24"/>
          <w:szCs w:val="24"/>
        </w:rPr>
        <w:t>Source: Self-created based on Tata Motors reports and industry analysis</w:t>
      </w:r>
      <w:r>
        <w:rPr>
          <w:sz w:val="24"/>
          <w:szCs w:val="24"/>
        </w:rPr>
        <w:t xml:space="preserve">, </w:t>
      </w:r>
      <w:r w:rsidRPr="001D3BA0">
        <w:rPr>
          <w:sz w:val="24"/>
          <w:szCs w:val="24"/>
        </w:rPr>
        <w:t>2026)</w:t>
      </w:r>
    </w:p>
    <w:p w14:paraId="5E870A68" w14:textId="77777777" w:rsidR="003C3CE6" w:rsidRDefault="003C3CE6" w:rsidP="008816A2">
      <w:pPr>
        <w:jc w:val="center"/>
        <w:rPr>
          <w:b/>
          <w:bCs/>
          <w:sz w:val="24"/>
          <w:szCs w:val="24"/>
        </w:rPr>
      </w:pPr>
    </w:p>
    <w:p w14:paraId="5FCFDDA2" w14:textId="77777777" w:rsidR="003C3CE6" w:rsidRPr="008816A2" w:rsidRDefault="003C3CE6" w:rsidP="008816A2">
      <w:pPr>
        <w:jc w:val="center"/>
        <w:rPr>
          <w:b/>
          <w:bCs/>
          <w:sz w:val="24"/>
          <w:szCs w:val="24"/>
        </w:rPr>
      </w:pPr>
    </w:p>
    <w:tbl>
      <w:tblPr>
        <w:tblStyle w:val="a4"/>
        <w:tblW w:w="90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02"/>
        <w:gridCol w:w="4879"/>
        <w:gridCol w:w="2044"/>
      </w:tblGrid>
      <w:tr w:rsidR="00C436C2" w:rsidRPr="007319A6" w14:paraId="1A599292" w14:textId="77777777">
        <w:trPr>
          <w:trHeight w:val="500"/>
        </w:trPr>
        <w:tc>
          <w:tcPr>
            <w:tcW w:w="21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E0A792"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Option</w:t>
            </w:r>
          </w:p>
        </w:tc>
        <w:tc>
          <w:tcPr>
            <w:tcW w:w="48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896C06"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Tata EV application</w:t>
            </w:r>
          </w:p>
        </w:tc>
        <w:tc>
          <w:tcPr>
            <w:tcW w:w="2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01EFCE"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Assessment</w:t>
            </w:r>
          </w:p>
        </w:tc>
      </w:tr>
      <w:tr w:rsidR="00C436C2" w:rsidRPr="007319A6" w14:paraId="109237C2" w14:textId="77777777">
        <w:trPr>
          <w:trHeight w:val="500"/>
        </w:trPr>
        <w:tc>
          <w:tcPr>
            <w:tcW w:w="21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58B19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Market penetration</w:t>
            </w:r>
          </w:p>
        </w:tc>
        <w:tc>
          <w:tcPr>
            <w:tcW w:w="48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A2FEA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Increase Tiago/Punch/Nexon/</w:t>
            </w:r>
            <w:proofErr w:type="spellStart"/>
            <w:r w:rsidRPr="007319A6">
              <w:rPr>
                <w:rFonts w:eastAsia="Times New Roman"/>
                <w:sz w:val="24"/>
                <w:szCs w:val="24"/>
              </w:rPr>
              <w:t>Curvv</w:t>
            </w:r>
            <w:proofErr w:type="spellEnd"/>
            <w:r w:rsidRPr="007319A6">
              <w:rPr>
                <w:rFonts w:eastAsia="Times New Roman"/>
                <w:sz w:val="24"/>
                <w:szCs w:val="24"/>
              </w:rPr>
              <w:t xml:space="preserve"> EV adoption</w:t>
            </w:r>
          </w:p>
        </w:tc>
        <w:tc>
          <w:tcPr>
            <w:tcW w:w="2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0FF0B6"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High potential</w:t>
            </w:r>
          </w:p>
        </w:tc>
      </w:tr>
      <w:tr w:rsidR="00C436C2" w:rsidRPr="007319A6" w14:paraId="1A236C89" w14:textId="77777777">
        <w:trPr>
          <w:trHeight w:val="770"/>
        </w:trPr>
        <w:tc>
          <w:tcPr>
            <w:tcW w:w="21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71C57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Product development</w:t>
            </w:r>
          </w:p>
        </w:tc>
        <w:tc>
          <w:tcPr>
            <w:tcW w:w="48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B09A8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New EV models, battery/range options, software</w:t>
            </w:r>
          </w:p>
        </w:tc>
        <w:tc>
          <w:tcPr>
            <w:tcW w:w="2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601E5"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Highest priority</w:t>
            </w:r>
          </w:p>
        </w:tc>
      </w:tr>
      <w:tr w:rsidR="00C436C2" w:rsidRPr="007319A6" w14:paraId="077CD4D0" w14:textId="77777777">
        <w:trPr>
          <w:trHeight w:val="770"/>
        </w:trPr>
        <w:tc>
          <w:tcPr>
            <w:tcW w:w="21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077C0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Market development</w:t>
            </w:r>
          </w:p>
        </w:tc>
        <w:tc>
          <w:tcPr>
            <w:tcW w:w="48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2E754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Expand adoption beyond leading metropolitan markets</w:t>
            </w:r>
          </w:p>
        </w:tc>
        <w:tc>
          <w:tcPr>
            <w:tcW w:w="2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56295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High potential</w:t>
            </w:r>
          </w:p>
        </w:tc>
      </w:tr>
      <w:tr w:rsidR="00C436C2" w:rsidRPr="007319A6" w14:paraId="2EC4A1A7" w14:textId="77777777">
        <w:trPr>
          <w:trHeight w:val="770"/>
        </w:trPr>
        <w:tc>
          <w:tcPr>
            <w:tcW w:w="21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FCD9B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Diversification</w:t>
            </w:r>
          </w:p>
        </w:tc>
        <w:tc>
          <w:tcPr>
            <w:tcW w:w="48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3A585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New mobility/energy services</w:t>
            </w:r>
          </w:p>
        </w:tc>
        <w:tc>
          <w:tcPr>
            <w:tcW w:w="2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5BE74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Selective, higher risk</w:t>
            </w:r>
          </w:p>
        </w:tc>
      </w:tr>
    </w:tbl>
    <w:p w14:paraId="4FE22640" w14:textId="77777777" w:rsidR="003C3CE6" w:rsidRDefault="003C3CE6" w:rsidP="003C3CE6">
      <w:pPr>
        <w:jc w:val="center"/>
        <w:rPr>
          <w:b/>
          <w:bCs/>
          <w:sz w:val="24"/>
          <w:szCs w:val="24"/>
        </w:rPr>
      </w:pPr>
    </w:p>
    <w:p w14:paraId="205859B0" w14:textId="787587A8" w:rsidR="003C3CE6" w:rsidRDefault="003C3CE6" w:rsidP="003C3CE6">
      <w:pPr>
        <w:jc w:val="center"/>
        <w:rPr>
          <w:sz w:val="24"/>
          <w:szCs w:val="24"/>
        </w:rPr>
      </w:pPr>
      <w:r w:rsidRPr="008816A2">
        <w:rPr>
          <w:b/>
          <w:bCs/>
          <w:sz w:val="24"/>
          <w:szCs w:val="24"/>
        </w:rPr>
        <w:t xml:space="preserve">Table </w:t>
      </w:r>
      <w:r>
        <w:rPr>
          <w:b/>
          <w:bCs/>
          <w:sz w:val="24"/>
          <w:szCs w:val="24"/>
        </w:rPr>
        <w:t>4.1</w:t>
      </w:r>
      <w:r w:rsidRPr="008816A2">
        <w:rPr>
          <w:b/>
          <w:bCs/>
          <w:sz w:val="24"/>
          <w:szCs w:val="24"/>
        </w:rPr>
        <w:t>: Ansoff Matrix Analysis of Tata EV’s Growth Options</w:t>
      </w:r>
      <w:r w:rsidRPr="001D3BA0">
        <w:rPr>
          <w:sz w:val="24"/>
          <w:szCs w:val="24"/>
        </w:rPr>
        <w:t xml:space="preserve"> </w:t>
      </w:r>
    </w:p>
    <w:p w14:paraId="467BC7FD" w14:textId="63A3DCBE" w:rsidR="003C3CE6" w:rsidRPr="001D3BA0" w:rsidRDefault="003C3CE6" w:rsidP="003C3CE6">
      <w:pPr>
        <w:jc w:val="center"/>
        <w:rPr>
          <w:sz w:val="24"/>
          <w:szCs w:val="24"/>
        </w:rPr>
      </w:pPr>
      <w:r w:rsidRPr="001D3BA0">
        <w:rPr>
          <w:sz w:val="24"/>
          <w:szCs w:val="24"/>
        </w:rPr>
        <w:t>(Source: Self-Developed)</w:t>
      </w:r>
    </w:p>
    <w:p w14:paraId="487A5E1B" w14:textId="701A0BE4"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Development of the product along with penetration of markets is desirable compared to diversification that is unrelated. The share of EVs is still in single digits at approximately 4% of Indian car sales, even though it is growing swiftly to 2025, and thus, the existing domestic market has significant potential (International Energy Agency, 2026). The new models must thus deal with differentiated customers but not redirect their investment in other irrelevant activities.</w:t>
      </w:r>
    </w:p>
    <w:p w14:paraId="197914DE" w14:textId="77777777" w:rsidR="00C436C2" w:rsidRDefault="00E047E1">
      <w:pPr>
        <w:pStyle w:val="Heading2"/>
        <w:rPr>
          <w:rFonts w:cs="Arial"/>
        </w:rPr>
      </w:pPr>
      <w:bookmarkStart w:id="31" w:name="_Toc237437436"/>
      <w:r w:rsidRPr="007319A6">
        <w:rPr>
          <w:rFonts w:cs="Arial"/>
        </w:rPr>
        <w:t xml:space="preserve">4.2 </w:t>
      </w:r>
      <w:proofErr w:type="spellStart"/>
      <w:r w:rsidRPr="007319A6">
        <w:rPr>
          <w:rFonts w:cs="Arial"/>
        </w:rPr>
        <w:t>SAFe</w:t>
      </w:r>
      <w:proofErr w:type="spellEnd"/>
      <w:r w:rsidRPr="007319A6">
        <w:rPr>
          <w:rFonts w:cs="Arial"/>
        </w:rPr>
        <w:t xml:space="preserve"> Evaluation</w:t>
      </w:r>
      <w:bookmarkEnd w:id="31"/>
    </w:p>
    <w:p w14:paraId="193E2808" w14:textId="00928B4F" w:rsidR="003C3CE6" w:rsidRDefault="003C3CE6" w:rsidP="003C3CE6">
      <w:r>
        <w:rPr>
          <w:rFonts w:eastAsia="Times New Roman"/>
          <w:noProof/>
          <w:sz w:val="24"/>
          <w:szCs w:val="24"/>
        </w:rPr>
        <w:drawing>
          <wp:inline distT="0" distB="0" distL="0" distR="0" wp14:anchorId="10F7055B" wp14:editId="6F953B9D">
            <wp:extent cx="5566892" cy="2872154"/>
            <wp:effectExtent l="0" t="0" r="0" b="0"/>
            <wp:docPr id="1750479059" name="Picture 3" descr="A chart with colorful ba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479059" name="Picture 3" descr="A chart with colorful bars and text&#10;&#10;AI-generated content may be incorrect."/>
                    <pic:cNvPicPr/>
                  </pic:nvPicPr>
                  <pic:blipFill rotWithShape="1">
                    <a:blip r:embed="rId27" cstate="print">
                      <a:extLst>
                        <a:ext uri="{28A0092B-C50C-407E-A947-70E740481C1C}">
                          <a14:useLocalDpi xmlns:a14="http://schemas.microsoft.com/office/drawing/2010/main" val="0"/>
                        </a:ext>
                      </a:extLst>
                    </a:blip>
                    <a:srcRect l="1431" t="10891" r="1445" b="13941"/>
                    <a:stretch>
                      <a:fillRect/>
                    </a:stretch>
                  </pic:blipFill>
                  <pic:spPr bwMode="auto">
                    <a:xfrm>
                      <a:off x="0" y="0"/>
                      <a:ext cx="5568457" cy="2872961"/>
                    </a:xfrm>
                    <a:prstGeom prst="rect">
                      <a:avLst/>
                    </a:prstGeom>
                    <a:ln>
                      <a:noFill/>
                    </a:ln>
                    <a:extLst>
                      <a:ext uri="{53640926-AAD7-44D8-BBD7-CCE9431645EC}">
                        <a14:shadowObscured xmlns:a14="http://schemas.microsoft.com/office/drawing/2010/main"/>
                      </a:ext>
                    </a:extLst>
                  </pic:spPr>
                </pic:pic>
              </a:graphicData>
            </a:graphic>
          </wp:inline>
        </w:drawing>
      </w:r>
    </w:p>
    <w:p w14:paraId="3E0AE7D8" w14:textId="5B8E765D" w:rsidR="003C3CE6" w:rsidRPr="001D3BA0" w:rsidRDefault="003C3CE6" w:rsidP="003C3CE6">
      <w:pPr>
        <w:jc w:val="center"/>
        <w:rPr>
          <w:b/>
          <w:bCs/>
          <w:sz w:val="24"/>
          <w:szCs w:val="24"/>
        </w:rPr>
      </w:pPr>
      <w:r w:rsidRPr="001D3BA0">
        <w:rPr>
          <w:b/>
          <w:bCs/>
          <w:sz w:val="24"/>
          <w:szCs w:val="24"/>
        </w:rPr>
        <w:t xml:space="preserve">Figure </w:t>
      </w:r>
      <w:proofErr w:type="gramStart"/>
      <w:r>
        <w:rPr>
          <w:b/>
          <w:bCs/>
          <w:sz w:val="24"/>
          <w:szCs w:val="24"/>
        </w:rPr>
        <w:t xml:space="preserve">4.2 </w:t>
      </w:r>
      <w:r w:rsidRPr="001D3BA0">
        <w:rPr>
          <w:b/>
          <w:bCs/>
          <w:sz w:val="24"/>
          <w:szCs w:val="24"/>
        </w:rPr>
        <w:t>:</w:t>
      </w:r>
      <w:proofErr w:type="gramEnd"/>
      <w:r w:rsidRPr="001D3BA0">
        <w:rPr>
          <w:b/>
          <w:bCs/>
          <w:sz w:val="24"/>
          <w:szCs w:val="24"/>
        </w:rPr>
        <w:t xml:space="preserve"> </w:t>
      </w:r>
      <w:proofErr w:type="spellStart"/>
      <w:r w:rsidRPr="008816A2">
        <w:rPr>
          <w:b/>
          <w:bCs/>
          <w:sz w:val="24"/>
          <w:szCs w:val="24"/>
        </w:rPr>
        <w:t>SAFe</w:t>
      </w:r>
      <w:proofErr w:type="spellEnd"/>
      <w:r w:rsidRPr="008816A2">
        <w:rPr>
          <w:b/>
          <w:bCs/>
          <w:sz w:val="24"/>
          <w:szCs w:val="24"/>
        </w:rPr>
        <w:t xml:space="preserve"> Evaluation</w:t>
      </w:r>
      <w:r>
        <w:rPr>
          <w:b/>
          <w:bCs/>
          <w:sz w:val="24"/>
          <w:szCs w:val="24"/>
        </w:rPr>
        <w:t xml:space="preserve"> – Strategy Comparison</w:t>
      </w:r>
    </w:p>
    <w:p w14:paraId="436D1333" w14:textId="77777777" w:rsidR="003C3CE6" w:rsidRPr="001D3BA0" w:rsidRDefault="003C3CE6" w:rsidP="003C3CE6">
      <w:pPr>
        <w:jc w:val="center"/>
        <w:rPr>
          <w:sz w:val="24"/>
          <w:szCs w:val="24"/>
        </w:rPr>
      </w:pPr>
      <w:r>
        <w:rPr>
          <w:sz w:val="24"/>
          <w:szCs w:val="24"/>
        </w:rPr>
        <w:t>(</w:t>
      </w:r>
      <w:r w:rsidRPr="001D3BA0">
        <w:rPr>
          <w:sz w:val="24"/>
          <w:szCs w:val="24"/>
        </w:rPr>
        <w:t>Source: Self-created based on Tata Motors reports and industry analysis</w:t>
      </w:r>
      <w:r>
        <w:rPr>
          <w:sz w:val="24"/>
          <w:szCs w:val="24"/>
        </w:rPr>
        <w:t xml:space="preserve">, </w:t>
      </w:r>
      <w:r w:rsidRPr="001D3BA0">
        <w:rPr>
          <w:sz w:val="24"/>
          <w:szCs w:val="24"/>
        </w:rPr>
        <w:t>2026)</w:t>
      </w:r>
    </w:p>
    <w:p w14:paraId="2FC7D353" w14:textId="77777777" w:rsidR="003C3CE6" w:rsidRPr="003C3CE6" w:rsidRDefault="003C3CE6" w:rsidP="003C3CE6"/>
    <w:p w14:paraId="1619067B" w14:textId="56EA1276" w:rsidR="008816A2" w:rsidRPr="008816A2" w:rsidRDefault="008816A2" w:rsidP="008816A2">
      <w:pPr>
        <w:jc w:val="center"/>
        <w:rPr>
          <w:b/>
          <w:bCs/>
          <w:sz w:val="24"/>
          <w:szCs w:val="24"/>
        </w:rPr>
      </w:pPr>
    </w:p>
    <w:tbl>
      <w:tblPr>
        <w:tblStyle w:val="a5"/>
        <w:tblW w:w="90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479"/>
        <w:gridCol w:w="1421"/>
        <w:gridCol w:w="1686"/>
        <w:gridCol w:w="1421"/>
        <w:gridCol w:w="1018"/>
      </w:tblGrid>
      <w:tr w:rsidR="00C436C2" w:rsidRPr="007319A6" w14:paraId="7A525E74" w14:textId="77777777" w:rsidTr="008816A2">
        <w:trPr>
          <w:trHeight w:val="770"/>
        </w:trPr>
        <w:tc>
          <w:tcPr>
            <w:tcW w:w="34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224112"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Strategic option</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2720C4"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Suitability /5</w:t>
            </w:r>
          </w:p>
        </w:tc>
        <w:tc>
          <w:tcPr>
            <w:tcW w:w="1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20AEC8"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Acceptability /5</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DE159C"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Feasibility /5</w:t>
            </w:r>
          </w:p>
        </w:tc>
        <w:tc>
          <w:tcPr>
            <w:tcW w:w="10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EFCB2E"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Total /15</w:t>
            </w:r>
          </w:p>
        </w:tc>
      </w:tr>
      <w:tr w:rsidR="00C436C2" w:rsidRPr="007319A6" w14:paraId="16AF0612" w14:textId="77777777" w:rsidTr="008816A2">
        <w:trPr>
          <w:trHeight w:val="500"/>
        </w:trPr>
        <w:tc>
          <w:tcPr>
            <w:tcW w:w="34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FE719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Pure cost leadership</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57910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4</w:t>
            </w:r>
          </w:p>
        </w:tc>
        <w:tc>
          <w:tcPr>
            <w:tcW w:w="1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63B31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3</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9D1B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4</w:t>
            </w:r>
          </w:p>
        </w:tc>
        <w:tc>
          <w:tcPr>
            <w:tcW w:w="10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4F564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11</w:t>
            </w:r>
          </w:p>
        </w:tc>
      </w:tr>
      <w:tr w:rsidR="00C436C2" w:rsidRPr="007319A6" w14:paraId="2A4A26DF" w14:textId="77777777" w:rsidTr="008816A2">
        <w:trPr>
          <w:trHeight w:val="500"/>
        </w:trPr>
        <w:tc>
          <w:tcPr>
            <w:tcW w:w="34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888D4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Premium differentiation</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A07AC4"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3</w:t>
            </w:r>
          </w:p>
        </w:tc>
        <w:tc>
          <w:tcPr>
            <w:tcW w:w="1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927DDA"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3</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F30D6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4</w:t>
            </w:r>
          </w:p>
        </w:tc>
        <w:tc>
          <w:tcPr>
            <w:tcW w:w="10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570AE7"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10</w:t>
            </w:r>
          </w:p>
        </w:tc>
      </w:tr>
      <w:tr w:rsidR="00C436C2" w:rsidRPr="007319A6" w14:paraId="1EF68739" w14:textId="77777777" w:rsidTr="008816A2">
        <w:trPr>
          <w:trHeight w:val="770"/>
        </w:trPr>
        <w:tc>
          <w:tcPr>
            <w:tcW w:w="34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20283"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Accessible ecosystem differentiation</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E76310"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5</w:t>
            </w:r>
          </w:p>
        </w:tc>
        <w:tc>
          <w:tcPr>
            <w:tcW w:w="1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D01FE0"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5</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639DA8"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5</w:t>
            </w:r>
          </w:p>
        </w:tc>
        <w:tc>
          <w:tcPr>
            <w:tcW w:w="10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A4023C"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15</w:t>
            </w:r>
          </w:p>
        </w:tc>
      </w:tr>
      <w:tr w:rsidR="00C436C2" w:rsidRPr="007319A6" w14:paraId="4844BBD7" w14:textId="77777777" w:rsidTr="008816A2">
        <w:trPr>
          <w:trHeight w:val="500"/>
        </w:trPr>
        <w:tc>
          <w:tcPr>
            <w:tcW w:w="34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AE5DD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Unrelated diversification</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53BE0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2</w:t>
            </w:r>
          </w:p>
        </w:tc>
        <w:tc>
          <w:tcPr>
            <w:tcW w:w="1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AEDFB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2</w:t>
            </w:r>
          </w:p>
        </w:tc>
        <w:tc>
          <w:tcPr>
            <w:tcW w:w="142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CA993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3</w:t>
            </w:r>
          </w:p>
        </w:tc>
        <w:tc>
          <w:tcPr>
            <w:tcW w:w="10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4FCD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7</w:t>
            </w:r>
          </w:p>
        </w:tc>
      </w:tr>
    </w:tbl>
    <w:p w14:paraId="74B6248E" w14:textId="77777777" w:rsidR="003C3CE6" w:rsidRDefault="003C3CE6" w:rsidP="008816A2">
      <w:pPr>
        <w:jc w:val="center"/>
        <w:rPr>
          <w:b/>
          <w:bCs/>
          <w:sz w:val="24"/>
          <w:szCs w:val="24"/>
        </w:rPr>
      </w:pPr>
    </w:p>
    <w:p w14:paraId="36BC87BD" w14:textId="79B01F85" w:rsidR="003C3CE6" w:rsidRDefault="003C3CE6" w:rsidP="008816A2">
      <w:pPr>
        <w:jc w:val="center"/>
      </w:pPr>
      <w:r w:rsidRPr="008816A2">
        <w:rPr>
          <w:b/>
          <w:bCs/>
          <w:sz w:val="24"/>
          <w:szCs w:val="24"/>
        </w:rPr>
        <w:t xml:space="preserve">Table 4.2: </w:t>
      </w:r>
      <w:proofErr w:type="spellStart"/>
      <w:r w:rsidRPr="008816A2">
        <w:rPr>
          <w:b/>
          <w:bCs/>
          <w:sz w:val="24"/>
          <w:szCs w:val="24"/>
        </w:rPr>
        <w:t>SAFe</w:t>
      </w:r>
      <w:proofErr w:type="spellEnd"/>
      <w:r w:rsidRPr="008816A2">
        <w:rPr>
          <w:b/>
          <w:bCs/>
          <w:sz w:val="24"/>
          <w:szCs w:val="24"/>
        </w:rPr>
        <w:t xml:space="preserve"> Evaluation of Tata EV’s Strategic Options</w:t>
      </w:r>
      <w:r>
        <w:t xml:space="preserve"> </w:t>
      </w:r>
    </w:p>
    <w:p w14:paraId="15B41E57" w14:textId="77777777" w:rsidR="003C3CE6" w:rsidRPr="001D3BA0" w:rsidRDefault="003C3CE6" w:rsidP="003C3CE6">
      <w:pPr>
        <w:jc w:val="center"/>
        <w:rPr>
          <w:sz w:val="24"/>
          <w:szCs w:val="24"/>
        </w:rPr>
      </w:pPr>
      <w:bookmarkStart w:id="32" w:name="_Toc237437437"/>
      <w:r w:rsidRPr="001D3BA0">
        <w:rPr>
          <w:sz w:val="24"/>
          <w:szCs w:val="24"/>
        </w:rPr>
        <w:t>(Source: Self-Developed)</w:t>
      </w:r>
    </w:p>
    <w:p w14:paraId="0FE70AFD" w14:textId="1D7E91A3" w:rsidR="00C436C2" w:rsidRPr="007319A6" w:rsidRDefault="00E047E1">
      <w:pPr>
        <w:pStyle w:val="Heading3"/>
        <w:rPr>
          <w:rFonts w:ascii="Arial" w:hAnsi="Arial" w:cs="Arial"/>
        </w:rPr>
      </w:pPr>
      <w:r w:rsidRPr="007319A6">
        <w:rPr>
          <w:rFonts w:ascii="Arial" w:hAnsi="Arial" w:cs="Arial"/>
        </w:rPr>
        <w:t>Suitability</w:t>
      </w:r>
      <w:bookmarkEnd w:id="32"/>
    </w:p>
    <w:p w14:paraId="2D9D444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SWOT of Tata is directly responded to by Accessible ecosystem differentiation. It is sensitive to cost without giving up differentiation, addresses charging, trust, resale, and service obstacles. Bhat and Verma (2025) show that the presence of enthusiasm towards technology and economic/environmental advantages promotes the uptake of EVs, and the perceived risk and lack of infrastructural preparedness result in the opposite. The suggested plan takes care of both sides of this consumer choice.</w:t>
      </w:r>
    </w:p>
    <w:p w14:paraId="0550623C" w14:textId="77777777" w:rsidR="00C436C2" w:rsidRPr="007319A6" w:rsidRDefault="00E047E1">
      <w:pPr>
        <w:pStyle w:val="Heading3"/>
        <w:rPr>
          <w:rFonts w:ascii="Arial" w:hAnsi="Arial" w:cs="Arial"/>
        </w:rPr>
      </w:pPr>
      <w:bookmarkStart w:id="33" w:name="_Toc237437438"/>
      <w:r w:rsidRPr="007319A6">
        <w:rPr>
          <w:rFonts w:ascii="Arial" w:hAnsi="Arial" w:cs="Arial"/>
        </w:rPr>
        <w:t>Acceptability</w:t>
      </w:r>
      <w:bookmarkEnd w:id="33"/>
    </w:p>
    <w:p w14:paraId="77D54B7F"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plan disseminates value amongst key stakeholders. The customers will be less uncertain about the ownership; investors will have a more direct path to profitable EV growth; suppliers will have an improved local collaboration; governmental goals of home-based production and sustainability will be enabled. It does not overly rely on price discounting as well. Rawat et al. (2025) believe that funding assistance, charging infrastructure, and collaboration with stakeholders present priorities in the efforts t</w:t>
      </w:r>
      <w:r w:rsidRPr="007319A6">
        <w:rPr>
          <w:rFonts w:eastAsia="Times New Roman"/>
          <w:sz w:val="24"/>
          <w:szCs w:val="24"/>
        </w:rPr>
        <w:t>o break Indian EV barriers.</w:t>
      </w:r>
    </w:p>
    <w:p w14:paraId="4CBE2DB7" w14:textId="77777777" w:rsidR="00C436C2" w:rsidRPr="007319A6" w:rsidRDefault="00E047E1">
      <w:pPr>
        <w:pStyle w:val="Heading3"/>
        <w:rPr>
          <w:rFonts w:ascii="Arial" w:hAnsi="Arial" w:cs="Arial"/>
        </w:rPr>
      </w:pPr>
      <w:bookmarkStart w:id="34" w:name="_Toc237437439"/>
      <w:r w:rsidRPr="007319A6">
        <w:rPr>
          <w:rFonts w:ascii="Arial" w:hAnsi="Arial" w:cs="Arial"/>
        </w:rPr>
        <w:t>Feasibility</w:t>
      </w:r>
      <w:bookmarkEnd w:id="34"/>
    </w:p>
    <w:p w14:paraId="36EC929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Tata has significant assets that are relevant: brand awareness, experience in manufacturing, a large network of dealers, EV working knowledge, and connection in the broader Tata system. It has FY25 EV leadership and a positive Q4 EV EBITDA, which indicates that the business can scale the performance. Nonetheless, the viability lies in reinforcing battery sourcing, capabilities, and localisation of software and not taking historic automotive capabilities as a given, translating into future EVs advantage.</w:t>
      </w:r>
    </w:p>
    <w:p w14:paraId="2CC03473" w14:textId="77777777" w:rsidR="00C436C2" w:rsidRDefault="00E047E1">
      <w:pPr>
        <w:pStyle w:val="Heading2"/>
        <w:rPr>
          <w:rFonts w:cs="Arial"/>
        </w:rPr>
      </w:pPr>
      <w:bookmarkStart w:id="35" w:name="_Toc237437440"/>
      <w:r w:rsidRPr="007319A6">
        <w:rPr>
          <w:rFonts w:cs="Arial"/>
        </w:rPr>
        <w:t>4.3 Recommended Strategy</w:t>
      </w:r>
      <w:bookmarkEnd w:id="35"/>
    </w:p>
    <w:p w14:paraId="09D65DF8" w14:textId="587EACA4" w:rsidR="003C3CE6" w:rsidRDefault="003C3CE6" w:rsidP="003C3CE6">
      <w:r w:rsidRPr="003C3CE6">
        <w:drawing>
          <wp:inline distT="0" distB="0" distL="0" distR="0" wp14:anchorId="0EB1EA65" wp14:editId="0456D5BF">
            <wp:extent cx="5485946" cy="3160140"/>
            <wp:effectExtent l="0" t="0" r="635" b="2540"/>
            <wp:docPr id="647606813" name="Picture 1" descr="A diagram of an accessible ev eco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06813" name="Picture 1" descr="A diagram of an accessible ev ecosystem&#10;&#10;AI-generated content may be incorrect."/>
                    <pic:cNvPicPr/>
                  </pic:nvPicPr>
                  <pic:blipFill rotWithShape="1">
                    <a:blip r:embed="rId28"/>
                    <a:srcRect l="2279" t="7862" r="2005" b="9430"/>
                    <a:stretch>
                      <a:fillRect/>
                    </a:stretch>
                  </pic:blipFill>
                  <pic:spPr bwMode="auto">
                    <a:xfrm>
                      <a:off x="0" y="0"/>
                      <a:ext cx="5487766" cy="3161188"/>
                    </a:xfrm>
                    <a:prstGeom prst="rect">
                      <a:avLst/>
                    </a:prstGeom>
                    <a:ln>
                      <a:noFill/>
                    </a:ln>
                    <a:extLst>
                      <a:ext uri="{53640926-AAD7-44D8-BBD7-CCE9431645EC}">
                        <a14:shadowObscured xmlns:a14="http://schemas.microsoft.com/office/drawing/2010/main"/>
                      </a:ext>
                    </a:extLst>
                  </pic:spPr>
                </pic:pic>
              </a:graphicData>
            </a:graphic>
          </wp:inline>
        </w:drawing>
      </w:r>
    </w:p>
    <w:p w14:paraId="0F11EDFC" w14:textId="77777777" w:rsidR="003C3CE6" w:rsidRDefault="003C3CE6" w:rsidP="003C3CE6"/>
    <w:p w14:paraId="4746F594" w14:textId="77777777" w:rsidR="003C3CE6" w:rsidRDefault="003C3CE6" w:rsidP="003C3CE6">
      <w:pPr>
        <w:jc w:val="center"/>
        <w:rPr>
          <w:b/>
          <w:bCs/>
          <w:sz w:val="24"/>
          <w:szCs w:val="24"/>
        </w:rPr>
      </w:pPr>
      <w:r w:rsidRPr="001D3BA0">
        <w:rPr>
          <w:b/>
          <w:bCs/>
          <w:sz w:val="24"/>
          <w:szCs w:val="24"/>
        </w:rPr>
        <w:t xml:space="preserve">Figure </w:t>
      </w:r>
      <w:proofErr w:type="gramStart"/>
      <w:r>
        <w:rPr>
          <w:b/>
          <w:bCs/>
          <w:sz w:val="24"/>
          <w:szCs w:val="24"/>
        </w:rPr>
        <w:t xml:space="preserve">4.2 </w:t>
      </w:r>
      <w:r w:rsidRPr="001D3BA0">
        <w:rPr>
          <w:b/>
          <w:bCs/>
          <w:sz w:val="24"/>
          <w:szCs w:val="24"/>
        </w:rPr>
        <w:t>:</w:t>
      </w:r>
      <w:proofErr w:type="gramEnd"/>
      <w:r w:rsidRPr="001D3BA0">
        <w:rPr>
          <w:b/>
          <w:bCs/>
          <w:sz w:val="24"/>
          <w:szCs w:val="24"/>
        </w:rPr>
        <w:t xml:space="preserve"> </w:t>
      </w:r>
      <w:proofErr w:type="spellStart"/>
      <w:r w:rsidRPr="008816A2">
        <w:rPr>
          <w:b/>
          <w:bCs/>
          <w:sz w:val="24"/>
          <w:szCs w:val="24"/>
        </w:rPr>
        <w:t>SAFe</w:t>
      </w:r>
      <w:proofErr w:type="spellEnd"/>
      <w:r w:rsidRPr="008816A2">
        <w:rPr>
          <w:b/>
          <w:bCs/>
          <w:sz w:val="24"/>
          <w:szCs w:val="24"/>
        </w:rPr>
        <w:t xml:space="preserve"> </w:t>
      </w:r>
      <w:r>
        <w:rPr>
          <w:b/>
          <w:bCs/>
          <w:sz w:val="24"/>
          <w:szCs w:val="24"/>
        </w:rPr>
        <w:t>Recommended Strategy – Accessible EV Ecosystem Differentiation</w:t>
      </w:r>
    </w:p>
    <w:p w14:paraId="5A62F305" w14:textId="0DCE8813" w:rsidR="003C3CE6" w:rsidRPr="001D3BA0" w:rsidRDefault="003C3CE6" w:rsidP="003C3CE6">
      <w:pPr>
        <w:jc w:val="center"/>
        <w:rPr>
          <w:sz w:val="24"/>
          <w:szCs w:val="24"/>
        </w:rPr>
      </w:pPr>
      <w:r>
        <w:rPr>
          <w:sz w:val="24"/>
          <w:szCs w:val="24"/>
        </w:rPr>
        <w:t>(</w:t>
      </w:r>
      <w:r w:rsidRPr="001D3BA0">
        <w:rPr>
          <w:sz w:val="24"/>
          <w:szCs w:val="24"/>
        </w:rPr>
        <w:t>Source: Self-created based on Tata Motors reports and industry analysis</w:t>
      </w:r>
      <w:r>
        <w:rPr>
          <w:sz w:val="24"/>
          <w:szCs w:val="24"/>
        </w:rPr>
        <w:t xml:space="preserve">, </w:t>
      </w:r>
      <w:r w:rsidRPr="001D3BA0">
        <w:rPr>
          <w:sz w:val="24"/>
          <w:szCs w:val="24"/>
        </w:rPr>
        <w:t>2026)</w:t>
      </w:r>
    </w:p>
    <w:p w14:paraId="31D5A8EC" w14:textId="77777777" w:rsidR="003C3CE6" w:rsidRDefault="003C3CE6" w:rsidP="003C3CE6"/>
    <w:p w14:paraId="5CF0F52C" w14:textId="77777777" w:rsidR="003C3CE6" w:rsidRPr="003C3CE6" w:rsidRDefault="003C3CE6" w:rsidP="003C3CE6"/>
    <w:p w14:paraId="64A8DCD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suggested approach is Accessible EV Ecosystem Differentiation, which is backed by formulating the product and penetrating the market. This needs to be done by decreasing costs via localisation, sharing of EVs, scale, and financing of battery packs instead of deep discounting, which should be adopted by Tata. In the context of Jain et al. (2025), the limited adoption is a result of high purchase prices, battery-related issues, and resale uncertainties. Warranties, access to charging, battery information,</w:t>
      </w:r>
      <w:r w:rsidRPr="007319A6">
        <w:rPr>
          <w:rFonts w:eastAsia="Times New Roman"/>
          <w:sz w:val="24"/>
          <w:szCs w:val="24"/>
        </w:rPr>
        <w:t xml:space="preserve"> and servicing should serve as other means of enhancing ownership confidence since the gaps in regional infrastructure are major (Press Information Bureau, 2026; Sandhiya and Gajanand, 2026). Innovation </w:t>
      </w:r>
      <w:proofErr w:type="gramStart"/>
      <w:r w:rsidRPr="007319A6">
        <w:rPr>
          <w:rFonts w:eastAsia="Times New Roman"/>
          <w:sz w:val="24"/>
          <w:szCs w:val="24"/>
        </w:rPr>
        <w:t>has to</w:t>
      </w:r>
      <w:proofErr w:type="gramEnd"/>
      <w:r w:rsidRPr="007319A6">
        <w:rPr>
          <w:rFonts w:eastAsia="Times New Roman"/>
          <w:sz w:val="24"/>
          <w:szCs w:val="24"/>
        </w:rPr>
        <w:t xml:space="preserve"> be continuous as Mahindra and BYD are taking their competition to another level with newer EV technologies and products. Tata will therefore be advised to invest in product development, software, efficiency, and safety. Lastly, differentiation, regulatory compliance, and sustainability, consistent wit</w:t>
      </w:r>
      <w:r w:rsidRPr="007319A6">
        <w:rPr>
          <w:rFonts w:eastAsia="Times New Roman"/>
          <w:sz w:val="24"/>
          <w:szCs w:val="24"/>
        </w:rPr>
        <w:t>h the sustainable mobility priorities delineated by Tripathi et al. (2025), should be encouraged by battery recovery, traceability, and recycling.</w:t>
      </w:r>
    </w:p>
    <w:p w14:paraId="3D2D25BB" w14:textId="77777777" w:rsidR="00C436C2" w:rsidRDefault="00E047E1">
      <w:pPr>
        <w:pStyle w:val="Heading2"/>
        <w:rPr>
          <w:rFonts w:cs="Arial"/>
        </w:rPr>
      </w:pPr>
      <w:bookmarkStart w:id="36" w:name="_Toc237437441"/>
      <w:r w:rsidRPr="007319A6">
        <w:rPr>
          <w:rFonts w:cs="Arial"/>
        </w:rPr>
        <w:t>4.4 Implementation Challenges and Mitigation</w:t>
      </w:r>
      <w:bookmarkEnd w:id="36"/>
    </w:p>
    <w:p w14:paraId="6A0ED1B0" w14:textId="558F499E" w:rsidR="00BC3533" w:rsidRDefault="00BC3533" w:rsidP="00BC3533">
      <w:r>
        <w:rPr>
          <w:rFonts w:eastAsia="Times New Roman"/>
          <w:noProof/>
          <w:sz w:val="24"/>
          <w:szCs w:val="24"/>
        </w:rPr>
        <w:drawing>
          <wp:inline distT="0" distB="0" distL="0" distR="0" wp14:anchorId="750815D3" wp14:editId="523A4147">
            <wp:extent cx="5391598" cy="2989385"/>
            <wp:effectExtent l="0" t="0" r="0" b="0"/>
            <wp:docPr id="142693881" name="Picture 4" descr="A diagram of a road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3881" name="Picture 4" descr="A diagram of a roadmap&#10;&#10;AI-generated content may be incorrect."/>
                    <pic:cNvPicPr/>
                  </pic:nvPicPr>
                  <pic:blipFill rotWithShape="1">
                    <a:blip r:embed="rId29" cstate="print">
                      <a:extLst>
                        <a:ext uri="{28A0092B-C50C-407E-A947-70E740481C1C}">
                          <a14:useLocalDpi xmlns:a14="http://schemas.microsoft.com/office/drawing/2010/main" val="0"/>
                        </a:ext>
                      </a:extLst>
                    </a:blip>
                    <a:srcRect l="2658" t="11349" r="3269" b="10409"/>
                    <a:stretch>
                      <a:fillRect/>
                    </a:stretch>
                  </pic:blipFill>
                  <pic:spPr bwMode="auto">
                    <a:xfrm>
                      <a:off x="0" y="0"/>
                      <a:ext cx="5393542" cy="2990463"/>
                    </a:xfrm>
                    <a:prstGeom prst="rect">
                      <a:avLst/>
                    </a:prstGeom>
                    <a:ln>
                      <a:noFill/>
                    </a:ln>
                    <a:extLst>
                      <a:ext uri="{53640926-AAD7-44D8-BBD7-CCE9431645EC}">
                        <a14:shadowObscured xmlns:a14="http://schemas.microsoft.com/office/drawing/2010/main"/>
                      </a:ext>
                    </a:extLst>
                  </pic:spPr>
                </pic:pic>
              </a:graphicData>
            </a:graphic>
          </wp:inline>
        </w:drawing>
      </w:r>
    </w:p>
    <w:p w14:paraId="6354E19E" w14:textId="77777777" w:rsidR="00BC3533" w:rsidRDefault="00BC3533" w:rsidP="00BC3533">
      <w:pPr>
        <w:jc w:val="center"/>
        <w:rPr>
          <w:b/>
          <w:bCs/>
          <w:sz w:val="24"/>
          <w:szCs w:val="24"/>
        </w:rPr>
      </w:pPr>
    </w:p>
    <w:p w14:paraId="552C4C76" w14:textId="68F0FE9C" w:rsidR="00BC3533" w:rsidRDefault="00BC3533" w:rsidP="00BC3533">
      <w:pPr>
        <w:jc w:val="center"/>
        <w:rPr>
          <w:b/>
          <w:bCs/>
          <w:sz w:val="24"/>
          <w:szCs w:val="24"/>
        </w:rPr>
      </w:pPr>
      <w:r w:rsidRPr="001D3BA0">
        <w:rPr>
          <w:b/>
          <w:bCs/>
          <w:sz w:val="24"/>
          <w:szCs w:val="24"/>
        </w:rPr>
        <w:t xml:space="preserve">Figure </w:t>
      </w:r>
      <w:proofErr w:type="gramStart"/>
      <w:r>
        <w:rPr>
          <w:b/>
          <w:bCs/>
          <w:sz w:val="24"/>
          <w:szCs w:val="24"/>
        </w:rPr>
        <w:t>4.</w:t>
      </w:r>
      <w:r>
        <w:rPr>
          <w:b/>
          <w:bCs/>
          <w:sz w:val="24"/>
          <w:szCs w:val="24"/>
        </w:rPr>
        <w:t>4.1</w:t>
      </w:r>
      <w:r>
        <w:rPr>
          <w:b/>
          <w:bCs/>
          <w:sz w:val="24"/>
          <w:szCs w:val="24"/>
        </w:rPr>
        <w:t xml:space="preserve"> </w:t>
      </w:r>
      <w:r w:rsidRPr="001D3BA0">
        <w:rPr>
          <w:b/>
          <w:bCs/>
          <w:sz w:val="24"/>
          <w:szCs w:val="24"/>
        </w:rPr>
        <w:t>:</w:t>
      </w:r>
      <w:proofErr w:type="gramEnd"/>
      <w:r w:rsidRPr="001D3BA0">
        <w:rPr>
          <w:b/>
          <w:bCs/>
          <w:sz w:val="24"/>
          <w:szCs w:val="24"/>
        </w:rPr>
        <w:t xml:space="preserve"> </w:t>
      </w:r>
      <w:r w:rsidRPr="00BC3533">
        <w:rPr>
          <w:b/>
          <w:bCs/>
          <w:sz w:val="24"/>
          <w:szCs w:val="24"/>
        </w:rPr>
        <w:t>Implementation</w:t>
      </w:r>
      <w:r w:rsidRPr="007319A6">
        <w:t xml:space="preserve"> </w:t>
      </w:r>
      <w:r>
        <w:rPr>
          <w:b/>
          <w:bCs/>
          <w:sz w:val="24"/>
          <w:szCs w:val="24"/>
        </w:rPr>
        <w:t>Roadmap</w:t>
      </w:r>
      <w:r>
        <w:rPr>
          <w:b/>
          <w:bCs/>
          <w:sz w:val="24"/>
          <w:szCs w:val="24"/>
        </w:rPr>
        <w:t xml:space="preserve"> </w:t>
      </w:r>
      <w:r>
        <w:rPr>
          <w:b/>
          <w:bCs/>
          <w:sz w:val="24"/>
          <w:szCs w:val="24"/>
        </w:rPr>
        <w:t>(3 Year Plan)</w:t>
      </w:r>
    </w:p>
    <w:p w14:paraId="1F7E38A4" w14:textId="77777777" w:rsidR="00BC3533" w:rsidRPr="001D3BA0" w:rsidRDefault="00BC3533" w:rsidP="00BC3533">
      <w:pPr>
        <w:jc w:val="center"/>
        <w:rPr>
          <w:sz w:val="24"/>
          <w:szCs w:val="24"/>
        </w:rPr>
      </w:pPr>
      <w:r>
        <w:rPr>
          <w:sz w:val="24"/>
          <w:szCs w:val="24"/>
        </w:rPr>
        <w:t>(</w:t>
      </w:r>
      <w:r w:rsidRPr="001D3BA0">
        <w:rPr>
          <w:sz w:val="24"/>
          <w:szCs w:val="24"/>
        </w:rPr>
        <w:t>Source: Self-created based on Tata Motors reports and industry analysis</w:t>
      </w:r>
      <w:r>
        <w:rPr>
          <w:sz w:val="24"/>
          <w:szCs w:val="24"/>
        </w:rPr>
        <w:t xml:space="preserve">, </w:t>
      </w:r>
      <w:r w:rsidRPr="001D3BA0">
        <w:rPr>
          <w:sz w:val="24"/>
          <w:szCs w:val="24"/>
        </w:rPr>
        <w:t>2026)</w:t>
      </w:r>
    </w:p>
    <w:p w14:paraId="484FA306" w14:textId="77777777" w:rsidR="00BC3533" w:rsidRDefault="00BC3533" w:rsidP="00BC3533"/>
    <w:p w14:paraId="322E06E8" w14:textId="77777777" w:rsidR="00BC3533" w:rsidRPr="003C3CE6" w:rsidRDefault="00BC3533" w:rsidP="00BC3533"/>
    <w:p w14:paraId="01543AC0" w14:textId="77777777" w:rsidR="00BC3533" w:rsidRDefault="00BC3533" w:rsidP="00BC3533"/>
    <w:p w14:paraId="20638981" w14:textId="77777777" w:rsidR="00BC3533" w:rsidRPr="00BC3533" w:rsidRDefault="00BC3533" w:rsidP="00BC3533"/>
    <w:p w14:paraId="07FB10C5" w14:textId="444E5320" w:rsidR="008816A2" w:rsidRPr="008816A2" w:rsidRDefault="008816A2" w:rsidP="008816A2">
      <w:pPr>
        <w:jc w:val="center"/>
        <w:rPr>
          <w:b/>
          <w:bCs/>
          <w:sz w:val="24"/>
          <w:szCs w:val="24"/>
        </w:rPr>
      </w:pPr>
    </w:p>
    <w:tbl>
      <w:tblPr>
        <w:tblStyle w:val="a6"/>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57"/>
        <w:gridCol w:w="1957"/>
        <w:gridCol w:w="4011"/>
      </w:tblGrid>
      <w:tr w:rsidR="00C436C2" w:rsidRPr="007319A6" w14:paraId="531AB835" w14:textId="77777777" w:rsidTr="008816A2">
        <w:trPr>
          <w:trHeight w:val="50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D59EB"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Challenge</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F3DD4"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Strategic impact</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39CFF" w14:textId="77777777" w:rsidR="00C436C2" w:rsidRPr="007319A6" w:rsidRDefault="00E047E1">
            <w:pPr>
              <w:spacing w:before="200" w:after="200" w:line="360" w:lineRule="auto"/>
              <w:jc w:val="both"/>
              <w:rPr>
                <w:rFonts w:eastAsia="Times New Roman"/>
                <w:sz w:val="24"/>
                <w:szCs w:val="24"/>
              </w:rPr>
            </w:pPr>
            <w:r w:rsidRPr="007319A6">
              <w:rPr>
                <w:rFonts w:eastAsia="Times New Roman"/>
                <w:b/>
                <w:bCs/>
                <w:sz w:val="24"/>
                <w:szCs w:val="24"/>
              </w:rPr>
              <w:t>Mitigation</w:t>
            </w:r>
          </w:p>
        </w:tc>
      </w:tr>
      <w:tr w:rsidR="00C436C2" w:rsidRPr="007319A6" w14:paraId="71F17E83"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9A45E"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Mahindra/BYD/MG competitive pressure</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37F3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Market-share erosion</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35AD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Faster launches and ecosystem differentiation</w:t>
            </w:r>
          </w:p>
        </w:tc>
      </w:tr>
      <w:tr w:rsidR="00C436C2" w:rsidRPr="007319A6" w14:paraId="15FC2C2A"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F6AA3"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Battery/raw-material exposure</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AE39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Cost and supply risk</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981FB"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Localisation, multiple suppliers, recycling</w:t>
            </w:r>
          </w:p>
        </w:tc>
      </w:tr>
      <w:tr w:rsidR="00C436C2" w:rsidRPr="007319A6" w14:paraId="66A3C14A"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700A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High investment requirements</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0E5C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Margin pressure</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AE3D9"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Modular platforms and phased capital allocation</w:t>
            </w:r>
          </w:p>
        </w:tc>
      </w:tr>
      <w:tr w:rsidR="00C436C2" w:rsidRPr="007319A6" w14:paraId="77A91FC0"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B1C55"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Uneven charging infrastructure</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ACAA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Restricts adoption</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D90D0"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Home, public and destination-charging partnerships</w:t>
            </w:r>
          </w:p>
        </w:tc>
      </w:tr>
      <w:tr w:rsidR="00C436C2" w:rsidRPr="007319A6" w14:paraId="1E2C82EA"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3FEB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Technology obsolescence</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E931C"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Weakens differentiation</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E659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Continuous R&amp;D and software capability</w:t>
            </w:r>
          </w:p>
        </w:tc>
      </w:tr>
      <w:tr w:rsidR="00C436C2" w:rsidRPr="007319A6" w14:paraId="2DD82ABC"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A706E1"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Customer trust/resale concerns</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BF9E3D"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Delays purchase</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63BFD"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Battery-health certification and stronger warranty/resale programmes</w:t>
            </w:r>
          </w:p>
        </w:tc>
      </w:tr>
      <w:tr w:rsidR="00C436C2" w:rsidRPr="007319A6" w14:paraId="7D06F909" w14:textId="77777777" w:rsidTr="008816A2">
        <w:trPr>
          <w:trHeight w:val="770"/>
        </w:trPr>
        <w:tc>
          <w:tcPr>
            <w:tcW w:w="30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EC2F4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Skills gaps</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DE352"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Slows execution</w:t>
            </w:r>
          </w:p>
        </w:tc>
        <w:tc>
          <w:tcPr>
            <w:tcW w:w="40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6B3A8" w14:textId="7777777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EV engineering and dealer-service training</w:t>
            </w:r>
          </w:p>
        </w:tc>
      </w:tr>
    </w:tbl>
    <w:p w14:paraId="3F819F75" w14:textId="77777777" w:rsidR="00BC3533" w:rsidRDefault="00BC3533" w:rsidP="008816A2">
      <w:pPr>
        <w:jc w:val="center"/>
        <w:rPr>
          <w:b/>
          <w:bCs/>
          <w:sz w:val="24"/>
          <w:szCs w:val="24"/>
        </w:rPr>
      </w:pPr>
    </w:p>
    <w:p w14:paraId="2BF4C7D8" w14:textId="09AFFCCB" w:rsidR="00BC3533" w:rsidRDefault="00BC3533" w:rsidP="008816A2">
      <w:pPr>
        <w:jc w:val="center"/>
      </w:pPr>
      <w:r w:rsidRPr="008816A2">
        <w:rPr>
          <w:b/>
          <w:bCs/>
          <w:sz w:val="24"/>
          <w:szCs w:val="24"/>
        </w:rPr>
        <w:t>Table 4.3: Key Strategic Challenges, Impacts and Mitigation Strategies for Tata EV</w:t>
      </w:r>
      <w:r>
        <w:t xml:space="preserve"> </w:t>
      </w:r>
    </w:p>
    <w:p w14:paraId="20020CC1" w14:textId="77777777" w:rsidR="00BC3533" w:rsidRPr="001D3BA0" w:rsidRDefault="00BC3533" w:rsidP="00BC3533">
      <w:pPr>
        <w:jc w:val="center"/>
        <w:rPr>
          <w:sz w:val="24"/>
          <w:szCs w:val="24"/>
        </w:rPr>
      </w:pPr>
      <w:r w:rsidRPr="001D3BA0">
        <w:rPr>
          <w:sz w:val="24"/>
          <w:szCs w:val="24"/>
        </w:rPr>
        <w:t>(Source: Self-Developed)</w:t>
      </w:r>
    </w:p>
    <w:p w14:paraId="0F8CD9A4" w14:textId="27406B4A"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 xml:space="preserve">The implementation must be in phases. Over the initial 12 months, Tata ought to focus on battery suppliers, charging collaborations, customer experience criteria, and segmented data. The modular product renewal, localisation and circular battery functioning ought to increase during the years two and three. The relationships with suppliers are especially crucial, as </w:t>
      </w:r>
      <w:proofErr w:type="spellStart"/>
      <w:r w:rsidRPr="007319A6">
        <w:rPr>
          <w:rFonts w:eastAsia="Times New Roman"/>
          <w:sz w:val="24"/>
          <w:szCs w:val="24"/>
        </w:rPr>
        <w:t>Jagani</w:t>
      </w:r>
      <w:proofErr w:type="spellEnd"/>
      <w:r w:rsidRPr="007319A6">
        <w:rPr>
          <w:rFonts w:eastAsia="Times New Roman"/>
          <w:sz w:val="24"/>
          <w:szCs w:val="24"/>
        </w:rPr>
        <w:t xml:space="preserve"> et al. (2024) demonstrate that electrification does not exactly switch the roles of automotive suppliers but only changes the individual parts. BSC should be evaluated quarterly on performance. Inability to enhance the profitability, satisfaction, or localisation of ownership ought to prompt corrective action. </w:t>
      </w:r>
    </w:p>
    <w:p w14:paraId="2986165C" w14:textId="77777777" w:rsidR="00C436C2" w:rsidRPr="007319A6" w:rsidRDefault="00E047E1">
      <w:pPr>
        <w:pStyle w:val="Heading1"/>
        <w:rPr>
          <w:rFonts w:cs="Arial"/>
        </w:rPr>
      </w:pPr>
      <w:bookmarkStart w:id="37" w:name="_Toc237437442"/>
      <w:r w:rsidRPr="007319A6">
        <w:rPr>
          <w:rFonts w:cs="Arial"/>
        </w:rPr>
        <w:t>5. Reflective Account Using Gibbs' Reflective Cycle</w:t>
      </w:r>
      <w:bookmarkEnd w:id="37"/>
    </w:p>
    <w:p w14:paraId="1814A097" w14:textId="77777777" w:rsidR="00C436C2" w:rsidRPr="007319A6" w:rsidRDefault="00E047E1">
      <w:pPr>
        <w:pStyle w:val="Heading2"/>
        <w:rPr>
          <w:rFonts w:cs="Arial"/>
        </w:rPr>
      </w:pPr>
      <w:bookmarkStart w:id="38" w:name="_Toc237437443"/>
      <w:r w:rsidRPr="007319A6">
        <w:rPr>
          <w:rFonts w:cs="Arial"/>
        </w:rPr>
        <w:t>5.1 Description</w:t>
      </w:r>
      <w:bookmarkEnd w:id="38"/>
    </w:p>
    <w:p w14:paraId="6A617A2C" w14:textId="37ADF297"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evaluation process commenced with reducing an extremely huge organisation to a strategically manageable entity: passenger EV operation in Tata Motors, in India. This move mattered as it would have been commercially wise to analyse Tata Motors in the global arena and would have incorporated commercial vehicles, traditional passenger cars, and international businesses which have dramatically varied competitive environments. The study then synthesized Tata corporate data, government policies, and several g</w:t>
      </w:r>
      <w:r w:rsidRPr="007319A6">
        <w:rPr>
          <w:rFonts w:eastAsia="Times New Roman"/>
          <w:sz w:val="24"/>
          <w:szCs w:val="24"/>
        </w:rPr>
        <w:t xml:space="preserve">lobal EV data, as well as recent peer- reviewed literature. PESTEL was used initially to get acquainted with the macro-environment and then Five Forces to assess industry pressure. VRIO was then used to determine </w:t>
      </w:r>
      <w:proofErr w:type="gramStart"/>
      <w:r w:rsidRPr="007319A6">
        <w:rPr>
          <w:rFonts w:eastAsia="Times New Roman"/>
          <w:sz w:val="24"/>
          <w:szCs w:val="24"/>
        </w:rPr>
        <w:t>whether or not</w:t>
      </w:r>
      <w:proofErr w:type="gramEnd"/>
      <w:r w:rsidRPr="007319A6">
        <w:rPr>
          <w:rFonts w:eastAsia="Times New Roman"/>
          <w:sz w:val="24"/>
          <w:szCs w:val="24"/>
        </w:rPr>
        <w:t xml:space="preserve"> Tata had internal resources that could respond to those pressures, with the findings being synthesised by SWOT. The Balanced Scorecard and CSR helped to align strategic positioning towards sustainability and performance. </w:t>
      </w:r>
    </w:p>
    <w:p w14:paraId="3898E877" w14:textId="77777777" w:rsidR="00C436C2" w:rsidRPr="007319A6" w:rsidRDefault="00E047E1">
      <w:pPr>
        <w:pStyle w:val="Heading2"/>
        <w:rPr>
          <w:rFonts w:cs="Arial"/>
        </w:rPr>
      </w:pPr>
      <w:bookmarkStart w:id="39" w:name="_Toc237437444"/>
      <w:r w:rsidRPr="007319A6">
        <w:rPr>
          <w:rFonts w:cs="Arial"/>
        </w:rPr>
        <w:t>5.2 Feelings</w:t>
      </w:r>
      <w:bookmarkEnd w:id="39"/>
    </w:p>
    <w:p w14:paraId="5D1AE815" w14:textId="5AF9B1D6"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original supposition, which was the most dominant, was that the large Tata EV market share intrinsically implied a sustainable competitive advantage. This opinion was questioned by the research. A 55.4% FY25 EV share is incredibly potent, but the growth of Mahindra, MG, BYD, and other companies reveals that market dominance and long-lasting power are distinct notions. This was one of the learning points that was crucial</w:t>
      </w:r>
      <w:r w:rsidR="007319A6">
        <w:rPr>
          <w:rFonts w:eastAsia="Times New Roman"/>
          <w:sz w:val="24"/>
          <w:szCs w:val="24"/>
        </w:rPr>
        <w:t xml:space="preserve"> (</w:t>
      </w:r>
      <w:r w:rsidR="007319A6" w:rsidRPr="007319A6">
        <w:rPr>
          <w:rFonts w:eastAsia="Times New Roman"/>
          <w:sz w:val="24"/>
          <w:szCs w:val="24"/>
        </w:rPr>
        <w:t>Yadav and Yadav, 2024</w:t>
      </w:r>
      <w:r w:rsidR="007319A6">
        <w:rPr>
          <w:rFonts w:eastAsia="Times New Roman"/>
          <w:sz w:val="24"/>
          <w:szCs w:val="24"/>
        </w:rPr>
        <w:t>)</w:t>
      </w:r>
      <w:r w:rsidRPr="007319A6">
        <w:rPr>
          <w:rFonts w:eastAsia="Times New Roman"/>
          <w:sz w:val="24"/>
          <w:szCs w:val="24"/>
        </w:rPr>
        <w:t xml:space="preserve">. There used to be an original inclination towards addressing EV development as an issue dominated by technology. The numerous studies that emphasize consumers showed that technology is just a single element. There are concurrent influences of affordability, trust, access to charge, resale issues, and awareness that affect their adoption (Singh and Paul, 2025). This complicated the strategic </w:t>
      </w:r>
      <w:r w:rsidR="007319A6" w:rsidRPr="007319A6">
        <w:rPr>
          <w:rFonts w:eastAsia="Times New Roman"/>
          <w:sz w:val="24"/>
          <w:szCs w:val="24"/>
        </w:rPr>
        <w:t>problem but</w:t>
      </w:r>
      <w:r w:rsidRPr="007319A6">
        <w:rPr>
          <w:rFonts w:eastAsia="Times New Roman"/>
          <w:sz w:val="24"/>
          <w:szCs w:val="24"/>
        </w:rPr>
        <w:t xml:space="preserve"> created a more realistic analysis as well.</w:t>
      </w:r>
    </w:p>
    <w:p w14:paraId="6C465913" w14:textId="77777777" w:rsidR="00C436C2" w:rsidRPr="007319A6" w:rsidRDefault="00C436C2">
      <w:pPr>
        <w:spacing w:before="200" w:after="200" w:line="360" w:lineRule="auto"/>
        <w:jc w:val="both"/>
        <w:rPr>
          <w:rFonts w:eastAsia="Times New Roman"/>
          <w:sz w:val="24"/>
          <w:szCs w:val="24"/>
        </w:rPr>
      </w:pPr>
    </w:p>
    <w:p w14:paraId="61D419DF" w14:textId="77777777" w:rsidR="00C436C2" w:rsidRPr="007319A6" w:rsidRDefault="00E047E1">
      <w:pPr>
        <w:spacing w:before="200" w:after="200" w:line="360" w:lineRule="auto"/>
        <w:jc w:val="center"/>
        <w:rPr>
          <w:rFonts w:eastAsia="Times New Roman"/>
          <w:sz w:val="24"/>
          <w:szCs w:val="24"/>
        </w:rPr>
      </w:pPr>
      <w:r w:rsidRPr="007319A6">
        <w:rPr>
          <w:rFonts w:eastAsia="Times New Roman"/>
          <w:noProof/>
          <w:sz w:val="24"/>
          <w:szCs w:val="24"/>
        </w:rPr>
        <w:drawing>
          <wp:inline distT="114300" distB="114300" distL="114300" distR="114300" wp14:anchorId="4A765A84" wp14:editId="397B5AB0">
            <wp:extent cx="4552148" cy="470058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4552148" cy="4700588"/>
                    </a:xfrm>
                    <a:prstGeom prst="rect">
                      <a:avLst/>
                    </a:prstGeom>
                    <a:ln/>
                  </pic:spPr>
                </pic:pic>
              </a:graphicData>
            </a:graphic>
          </wp:inline>
        </w:drawing>
      </w:r>
    </w:p>
    <w:p w14:paraId="20F1767A" w14:textId="77777777" w:rsidR="00C436C2" w:rsidRPr="007319A6" w:rsidRDefault="00E047E1">
      <w:pPr>
        <w:spacing w:before="200" w:after="200" w:line="360" w:lineRule="auto"/>
        <w:jc w:val="center"/>
        <w:rPr>
          <w:rFonts w:eastAsia="Times New Roman"/>
          <w:b/>
          <w:bCs/>
          <w:sz w:val="24"/>
          <w:szCs w:val="24"/>
        </w:rPr>
      </w:pPr>
      <w:r w:rsidRPr="007319A6">
        <w:rPr>
          <w:rFonts w:eastAsia="Times New Roman"/>
          <w:b/>
          <w:bCs/>
          <w:sz w:val="24"/>
          <w:szCs w:val="24"/>
        </w:rPr>
        <w:t>Figure 3: Gibbs' Reflective Cycle</w:t>
      </w:r>
    </w:p>
    <w:p w14:paraId="6A5AE076" w14:textId="77777777" w:rsidR="00C436C2" w:rsidRPr="007319A6" w:rsidRDefault="00E047E1">
      <w:pPr>
        <w:spacing w:before="200" w:after="200" w:line="360" w:lineRule="auto"/>
        <w:jc w:val="center"/>
        <w:rPr>
          <w:rFonts w:eastAsia="Times New Roman"/>
          <w:sz w:val="24"/>
          <w:szCs w:val="24"/>
        </w:rPr>
      </w:pPr>
      <w:r w:rsidRPr="007319A6">
        <w:rPr>
          <w:rFonts w:eastAsia="Times New Roman"/>
          <w:sz w:val="24"/>
          <w:szCs w:val="24"/>
        </w:rPr>
        <w:t>(Source: Dutta et al., 2023)</w:t>
      </w:r>
    </w:p>
    <w:p w14:paraId="3B620D46" w14:textId="77777777" w:rsidR="00C436C2" w:rsidRPr="007319A6" w:rsidRDefault="00E047E1">
      <w:pPr>
        <w:pStyle w:val="Heading2"/>
        <w:rPr>
          <w:rFonts w:cs="Arial"/>
        </w:rPr>
      </w:pPr>
      <w:bookmarkStart w:id="40" w:name="_Toc237437445"/>
      <w:r w:rsidRPr="007319A6">
        <w:rPr>
          <w:rFonts w:cs="Arial"/>
        </w:rPr>
        <w:t>5.3 Evaluation</w:t>
      </w:r>
      <w:bookmarkEnd w:id="40"/>
    </w:p>
    <w:p w14:paraId="3BA3FA51" w14:textId="0890D7A8"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Triangulation was the best element of the research process. Corporate information presented accurate data on the revenue, market share, and EV profitability of Tata, and government documents described the institutional surroundings. It was then possible through studies and interpretation of those figures with the aid of academic studies. As an example, the increase in the number of public charging stations would have been initially considered as evidence that charging was no longer a significant concern. Ne</w:t>
      </w:r>
      <w:r w:rsidRPr="007319A6">
        <w:rPr>
          <w:rFonts w:eastAsia="Times New Roman"/>
          <w:sz w:val="24"/>
          <w:szCs w:val="24"/>
        </w:rPr>
        <w:t>vertheless, Patel et al. (2024), Barman and Dutta (2024), and Sandhiya and Gajanand (2026) revealed that the quality of infrastructure, balancing its distribution among the region and consumers, and, therefore, their convenience, can still be considered strategically relevant. One of the limitations was the rate of change in the market. Among competitive conditions of the EV market, it is possible to change more quickly in comparison with traditional annual-report conditions. A firm can maintain a robust po</w:t>
      </w:r>
      <w:r w:rsidRPr="007319A6">
        <w:rPr>
          <w:rFonts w:eastAsia="Times New Roman"/>
          <w:sz w:val="24"/>
          <w:szCs w:val="24"/>
        </w:rPr>
        <w:t xml:space="preserve">sition in the market every year and is changing the forces concept of competition even as </w:t>
      </w:r>
      <w:proofErr w:type="spellStart"/>
      <w:r w:rsidRPr="007319A6">
        <w:rPr>
          <w:rFonts w:eastAsia="Times New Roman"/>
          <w:sz w:val="24"/>
          <w:szCs w:val="24"/>
        </w:rPr>
        <w:t>favorable</w:t>
      </w:r>
      <w:proofErr w:type="spellEnd"/>
      <w:r w:rsidRPr="007319A6">
        <w:rPr>
          <w:rFonts w:eastAsia="Times New Roman"/>
          <w:sz w:val="24"/>
          <w:szCs w:val="24"/>
        </w:rPr>
        <w:t xml:space="preserve"> new introductions are underway. </w:t>
      </w:r>
    </w:p>
    <w:p w14:paraId="1CC6BEA2" w14:textId="77777777" w:rsidR="00C436C2" w:rsidRPr="007319A6" w:rsidRDefault="00E047E1">
      <w:pPr>
        <w:pStyle w:val="Heading2"/>
        <w:rPr>
          <w:rFonts w:cs="Arial"/>
        </w:rPr>
      </w:pPr>
      <w:bookmarkStart w:id="41" w:name="_Toc237437446"/>
      <w:r w:rsidRPr="007319A6">
        <w:rPr>
          <w:rFonts w:cs="Arial"/>
        </w:rPr>
        <w:t>5.4 Analysis</w:t>
      </w:r>
      <w:bookmarkEnd w:id="41"/>
    </w:p>
    <w:p w14:paraId="0F8C1217" w14:textId="659B0EBA"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Through the exercise, there was a great enhancement in the better comprehension concerning the interaction of strategic-management structures. PESTEL only came in handy when the factors were transformed into implications. State policy (such as government policy) could not be automatically reduced to an opportunity: localisation policy promotes Tata and at the same time international competition. This showed that there are opportunities and threats presented by the environmental factors simultaneously. Anoth</w:t>
      </w:r>
      <w:r w:rsidRPr="007319A6">
        <w:rPr>
          <w:rFonts w:eastAsia="Times New Roman"/>
          <w:sz w:val="24"/>
          <w:szCs w:val="24"/>
        </w:rPr>
        <w:t>er valuable insight that VRIO came up with is this. The EV models offered by Tata will also be worth some money, but they will hardly be rare or hard to copy. The stronger defensible benefit comes about through brand, manufacturing, distribution, Indian customer knowledge, and Tata Group ecosystem relationships. This changed the analysis of individual strengths towards comprehending resource setups. The Balanced Scorecard exercise also revealed that market share would only give an incomplete picture in term</w:t>
      </w:r>
      <w:r w:rsidRPr="007319A6">
        <w:rPr>
          <w:rFonts w:eastAsia="Times New Roman"/>
          <w:sz w:val="24"/>
          <w:szCs w:val="24"/>
        </w:rPr>
        <w:t xml:space="preserve">s of performance. The EV success entails trading gains, customer assurance, the efficiency of in-organizational functioning, capabilities, and sustainability of employees. </w:t>
      </w:r>
      <w:proofErr w:type="spellStart"/>
      <w:r w:rsidRPr="007319A6">
        <w:rPr>
          <w:rFonts w:eastAsia="Times New Roman"/>
          <w:sz w:val="24"/>
          <w:szCs w:val="24"/>
        </w:rPr>
        <w:t>Chehimi</w:t>
      </w:r>
      <w:proofErr w:type="spellEnd"/>
      <w:r w:rsidRPr="007319A6">
        <w:rPr>
          <w:rFonts w:eastAsia="Times New Roman"/>
          <w:sz w:val="24"/>
          <w:szCs w:val="24"/>
        </w:rPr>
        <w:t xml:space="preserve"> and Naro (2024) particularly helped to illustrate the importance of strategic alignment between environmental and social goals as opposed to including them separately on the reporting list. Lastly, decision-making was enhanced at </w:t>
      </w:r>
      <w:proofErr w:type="spellStart"/>
      <w:r w:rsidRPr="007319A6">
        <w:rPr>
          <w:rFonts w:eastAsia="Times New Roman"/>
          <w:sz w:val="24"/>
          <w:szCs w:val="24"/>
        </w:rPr>
        <w:t>SAFe</w:t>
      </w:r>
      <w:proofErr w:type="spellEnd"/>
      <w:r w:rsidRPr="007319A6">
        <w:rPr>
          <w:rFonts w:eastAsia="Times New Roman"/>
          <w:sz w:val="24"/>
          <w:szCs w:val="24"/>
        </w:rPr>
        <w:t xml:space="preserve"> since it did not allow making the recommendation based on attractiveness alone. </w:t>
      </w:r>
    </w:p>
    <w:p w14:paraId="0B9EA98A" w14:textId="77777777" w:rsidR="00C436C2" w:rsidRPr="007319A6" w:rsidRDefault="00E047E1">
      <w:pPr>
        <w:pStyle w:val="Heading2"/>
        <w:rPr>
          <w:rFonts w:cs="Arial"/>
        </w:rPr>
      </w:pPr>
      <w:bookmarkStart w:id="42" w:name="_Toc237437447"/>
      <w:r w:rsidRPr="007319A6">
        <w:rPr>
          <w:rFonts w:cs="Arial"/>
        </w:rPr>
        <w:t>5.5 Conclusion and Action Plan</w:t>
      </w:r>
      <w:bookmarkEnd w:id="42"/>
    </w:p>
    <w:p w14:paraId="60DADAEA" w14:textId="59B9C76E" w:rsidR="00C436C2" w:rsidRPr="007319A6" w:rsidRDefault="00E047E1">
      <w:pPr>
        <w:spacing w:before="200" w:after="200" w:line="360" w:lineRule="auto"/>
        <w:jc w:val="both"/>
        <w:rPr>
          <w:rFonts w:eastAsia="Times New Roman"/>
          <w:sz w:val="24"/>
          <w:szCs w:val="24"/>
        </w:rPr>
      </w:pPr>
      <w:r w:rsidRPr="007319A6">
        <w:rPr>
          <w:rFonts w:eastAsia="Times New Roman"/>
          <w:sz w:val="24"/>
          <w:szCs w:val="24"/>
        </w:rPr>
        <w:t>The research process demonstrated that strategic analysis must have a link to a prioritised decision as opposed to a list of frameworks. The existing leadership of Tata gives a great platform, but to remain a beneficiary, the action in response to competition, consumer barriers, technological change, and sustainability of the supply chain must be done well. The research process would be initiated earlier, and there would be an evidence matrix to relate every analytical framework to both quantitative and qua</w:t>
      </w:r>
      <w:r w:rsidRPr="007319A6">
        <w:rPr>
          <w:rFonts w:eastAsia="Times New Roman"/>
          <w:sz w:val="24"/>
          <w:szCs w:val="24"/>
        </w:rPr>
        <w:t>litative data in future strategic assignments. Benchmarking on the competitor would also be increased to compare prices, ranges, charging speed, terms and conditions of the warranty, distribution, and financial performance on a regular basis. There would be more consideration of isolating company claims and independent evidence. At the professional level, in terms of environmental scanning, the exercise has enhanced the skills to transition to resource analysis and ultimately, strategic decision-making. The</w:t>
      </w:r>
      <w:r w:rsidRPr="007319A6">
        <w:rPr>
          <w:rFonts w:eastAsia="Times New Roman"/>
          <w:sz w:val="24"/>
          <w:szCs w:val="24"/>
        </w:rPr>
        <w:t xml:space="preserve"> primary lesson that can be transferred is that competitive advantage is not static: the success Tata had in the past cannot be a reason to support its future strategy. </w:t>
      </w:r>
      <w:r w:rsidRPr="007319A6">
        <w:br w:type="page"/>
      </w:r>
    </w:p>
    <w:p w14:paraId="470D1D4C" w14:textId="77777777" w:rsidR="00C436C2" w:rsidRPr="007319A6" w:rsidRDefault="00E047E1">
      <w:pPr>
        <w:pStyle w:val="Heading1"/>
        <w:rPr>
          <w:rFonts w:cs="Arial"/>
        </w:rPr>
      </w:pPr>
      <w:bookmarkStart w:id="43" w:name="_Toc237437448"/>
      <w:r w:rsidRPr="007319A6">
        <w:rPr>
          <w:rFonts w:cs="Arial"/>
        </w:rPr>
        <w:t>References</w:t>
      </w:r>
      <w:bookmarkEnd w:id="43"/>
    </w:p>
    <w:p w14:paraId="5008EB2B"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Achal, D.K. and Vijaya, G.S., 2024. Vendor Partnerships in Sustainable Supply Chains in the Indian Electric Two-Wheeler Industry—A Systematic Review of the Literature. </w:t>
      </w:r>
      <w:r w:rsidRPr="007319A6">
        <w:rPr>
          <w:rFonts w:eastAsia="Times New Roman"/>
          <w:i/>
          <w:iCs/>
          <w:sz w:val="24"/>
          <w:szCs w:val="24"/>
        </w:rPr>
        <w:t>Sustainability</w:t>
      </w:r>
      <w:r w:rsidRPr="007319A6">
        <w:rPr>
          <w:rFonts w:eastAsia="Times New Roman"/>
          <w:sz w:val="24"/>
          <w:szCs w:val="24"/>
        </w:rPr>
        <w:t xml:space="preserve">, </w:t>
      </w:r>
      <w:r w:rsidRPr="007319A6">
        <w:rPr>
          <w:rFonts w:eastAsia="Times New Roman"/>
          <w:i/>
          <w:iCs/>
          <w:sz w:val="24"/>
          <w:szCs w:val="24"/>
        </w:rPr>
        <w:t>16</w:t>
      </w:r>
      <w:r w:rsidRPr="007319A6">
        <w:rPr>
          <w:rFonts w:eastAsia="Times New Roman"/>
          <w:sz w:val="24"/>
          <w:szCs w:val="24"/>
        </w:rPr>
        <w:t>(15), p.6603.</w:t>
      </w:r>
      <w:hyperlink r:id="rId31">
        <w:r w:rsidRPr="007319A6">
          <w:rPr>
            <w:rFonts w:eastAsia="Times New Roman"/>
            <w:color w:val="1155CC"/>
            <w:sz w:val="24"/>
            <w:szCs w:val="24"/>
            <w:u w:val="single"/>
          </w:rPr>
          <w:t>https://www.mdpi.com/2071-1050/16/15/6603</w:t>
        </w:r>
      </w:hyperlink>
      <w:r w:rsidRPr="007319A6">
        <w:rPr>
          <w:rFonts w:eastAsia="Times New Roman"/>
          <w:sz w:val="24"/>
          <w:szCs w:val="24"/>
        </w:rPr>
        <w:t xml:space="preserve"> </w:t>
      </w:r>
    </w:p>
    <w:p w14:paraId="0132A43F"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Barman, P. and Dutta, L., 2024. Charging infrastructure planning for transportation electrification in India: A review. </w:t>
      </w:r>
      <w:r w:rsidRPr="007319A6">
        <w:rPr>
          <w:rFonts w:eastAsia="Times New Roman"/>
          <w:i/>
          <w:iCs/>
          <w:sz w:val="24"/>
          <w:szCs w:val="24"/>
        </w:rPr>
        <w:t>Renewable and Sustainable Energy Reviews</w:t>
      </w:r>
      <w:r w:rsidRPr="007319A6">
        <w:rPr>
          <w:rFonts w:eastAsia="Times New Roman"/>
          <w:sz w:val="24"/>
          <w:szCs w:val="24"/>
        </w:rPr>
        <w:t xml:space="preserve">, </w:t>
      </w:r>
      <w:r w:rsidRPr="007319A6">
        <w:rPr>
          <w:rFonts w:eastAsia="Times New Roman"/>
          <w:i/>
          <w:iCs/>
          <w:sz w:val="24"/>
          <w:szCs w:val="24"/>
        </w:rPr>
        <w:t>192</w:t>
      </w:r>
      <w:r w:rsidRPr="007319A6">
        <w:rPr>
          <w:rFonts w:eastAsia="Times New Roman"/>
          <w:sz w:val="24"/>
          <w:szCs w:val="24"/>
        </w:rPr>
        <w:t>, p.114265.</w:t>
      </w:r>
      <w:hyperlink r:id="rId32">
        <w:r w:rsidRPr="007319A6">
          <w:rPr>
            <w:rFonts w:eastAsia="Times New Roman"/>
            <w:color w:val="1155CC"/>
            <w:sz w:val="24"/>
            <w:szCs w:val="24"/>
            <w:u w:val="single"/>
          </w:rPr>
          <w:t>https://www.sciencedirect.com/science/article/pii/S1364032123011231</w:t>
        </w:r>
      </w:hyperlink>
      <w:r w:rsidRPr="007319A6">
        <w:rPr>
          <w:rFonts w:eastAsia="Times New Roman"/>
          <w:sz w:val="24"/>
          <w:szCs w:val="24"/>
        </w:rPr>
        <w:t xml:space="preserve"> </w:t>
      </w:r>
    </w:p>
    <w:p w14:paraId="0ED3AD47"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Bhat, F.A. and Verma, A., 2025. What drives the adoption of electric four-wheelers in India? An investigation of the reasons for and against. </w:t>
      </w:r>
      <w:r w:rsidRPr="007319A6">
        <w:rPr>
          <w:rFonts w:eastAsia="Times New Roman"/>
          <w:i/>
          <w:iCs/>
          <w:sz w:val="24"/>
          <w:szCs w:val="24"/>
        </w:rPr>
        <w:t>Travel Behaviour and Society</w:t>
      </w:r>
      <w:r w:rsidRPr="007319A6">
        <w:rPr>
          <w:rFonts w:eastAsia="Times New Roman"/>
          <w:sz w:val="24"/>
          <w:szCs w:val="24"/>
        </w:rPr>
        <w:t xml:space="preserve">, </w:t>
      </w:r>
      <w:r w:rsidRPr="007319A6">
        <w:rPr>
          <w:rFonts w:eastAsia="Times New Roman"/>
          <w:i/>
          <w:iCs/>
          <w:sz w:val="24"/>
          <w:szCs w:val="24"/>
        </w:rPr>
        <w:t>40</w:t>
      </w:r>
      <w:r w:rsidRPr="007319A6">
        <w:rPr>
          <w:rFonts w:eastAsia="Times New Roman"/>
          <w:sz w:val="24"/>
          <w:szCs w:val="24"/>
        </w:rPr>
        <w:t>, p.101016.</w:t>
      </w:r>
      <w:hyperlink r:id="rId33">
        <w:r w:rsidRPr="007319A6">
          <w:rPr>
            <w:rFonts w:eastAsia="Times New Roman"/>
            <w:color w:val="1155CC"/>
            <w:sz w:val="24"/>
            <w:szCs w:val="24"/>
            <w:u w:val="single"/>
          </w:rPr>
          <w:t>https://www.sciencedirect.com/science/article/pii/S2214367X25000341</w:t>
        </w:r>
      </w:hyperlink>
      <w:r w:rsidRPr="007319A6">
        <w:rPr>
          <w:rFonts w:eastAsia="Times New Roman"/>
          <w:sz w:val="24"/>
          <w:szCs w:val="24"/>
        </w:rPr>
        <w:t xml:space="preserve"> </w:t>
      </w:r>
    </w:p>
    <w:p w14:paraId="69AB2C99" w14:textId="77777777" w:rsidR="00472472" w:rsidRPr="007319A6" w:rsidRDefault="00472472">
      <w:pPr>
        <w:spacing w:before="200" w:after="200" w:line="360" w:lineRule="auto"/>
        <w:jc w:val="both"/>
        <w:rPr>
          <w:rFonts w:eastAsia="Times New Roman"/>
          <w:sz w:val="24"/>
          <w:szCs w:val="24"/>
        </w:rPr>
      </w:pPr>
      <w:proofErr w:type="spellStart"/>
      <w:r w:rsidRPr="007319A6">
        <w:rPr>
          <w:rFonts w:eastAsia="Times New Roman"/>
          <w:sz w:val="24"/>
          <w:szCs w:val="24"/>
        </w:rPr>
        <w:t>Chehimi</w:t>
      </w:r>
      <w:proofErr w:type="spellEnd"/>
      <w:r w:rsidRPr="007319A6">
        <w:rPr>
          <w:rFonts w:eastAsia="Times New Roman"/>
          <w:sz w:val="24"/>
          <w:szCs w:val="24"/>
        </w:rPr>
        <w:t xml:space="preserve">, M. and Naro, G., 2024. Balanced Scorecards and sustainability: Balanced Scorecards for corporate social responsibility strategic alignment: A systematic literature review. </w:t>
      </w:r>
      <w:r w:rsidRPr="007319A6">
        <w:rPr>
          <w:rFonts w:eastAsia="Times New Roman"/>
          <w:i/>
          <w:iCs/>
          <w:sz w:val="24"/>
          <w:szCs w:val="24"/>
        </w:rPr>
        <w:t>Journal of Environmental Management</w:t>
      </w:r>
      <w:r w:rsidRPr="007319A6">
        <w:rPr>
          <w:rFonts w:eastAsia="Times New Roman"/>
          <w:sz w:val="24"/>
          <w:szCs w:val="24"/>
        </w:rPr>
        <w:t xml:space="preserve">, </w:t>
      </w:r>
      <w:r w:rsidRPr="007319A6">
        <w:rPr>
          <w:rFonts w:eastAsia="Times New Roman"/>
          <w:i/>
          <w:iCs/>
          <w:sz w:val="24"/>
          <w:szCs w:val="24"/>
        </w:rPr>
        <w:t>367</w:t>
      </w:r>
      <w:r w:rsidRPr="007319A6">
        <w:rPr>
          <w:rFonts w:eastAsia="Times New Roman"/>
          <w:sz w:val="24"/>
          <w:szCs w:val="24"/>
        </w:rPr>
        <w:t>, p.122000.</w:t>
      </w:r>
      <w:hyperlink r:id="rId34">
        <w:r w:rsidRPr="007319A6">
          <w:rPr>
            <w:rFonts w:eastAsia="Times New Roman"/>
            <w:color w:val="1155CC"/>
            <w:sz w:val="24"/>
            <w:szCs w:val="24"/>
            <w:u w:val="single"/>
          </w:rPr>
          <w:t>https://www.sciencedirect.com/science/article/pii/S0301479724019868</w:t>
        </w:r>
      </w:hyperlink>
      <w:r w:rsidRPr="007319A6">
        <w:rPr>
          <w:rFonts w:eastAsia="Times New Roman"/>
          <w:sz w:val="24"/>
          <w:szCs w:val="24"/>
        </w:rPr>
        <w:t xml:space="preserve"> </w:t>
      </w:r>
    </w:p>
    <w:p w14:paraId="66DACA93" w14:textId="77777777" w:rsidR="00472472" w:rsidRPr="007319A6" w:rsidRDefault="00472472">
      <w:pPr>
        <w:spacing w:before="200" w:after="200" w:line="360" w:lineRule="auto"/>
        <w:jc w:val="both"/>
        <w:rPr>
          <w:rFonts w:eastAsia="Times New Roman"/>
          <w:sz w:val="24"/>
          <w:szCs w:val="24"/>
        </w:rPr>
      </w:pPr>
      <w:proofErr w:type="spellStart"/>
      <w:r w:rsidRPr="007319A6">
        <w:rPr>
          <w:rFonts w:eastAsia="Times New Roman"/>
          <w:sz w:val="24"/>
          <w:szCs w:val="24"/>
        </w:rPr>
        <w:t>Dhairiyasamy</w:t>
      </w:r>
      <w:proofErr w:type="spellEnd"/>
      <w:r w:rsidRPr="007319A6">
        <w:rPr>
          <w:rFonts w:eastAsia="Times New Roman"/>
          <w:sz w:val="24"/>
          <w:szCs w:val="24"/>
        </w:rPr>
        <w:t xml:space="preserve">, R. and Gabiriel, D., 2025. Sustainable mobility in India: advancing domestic production in the electric vehicle sector. </w:t>
      </w:r>
      <w:r w:rsidRPr="007319A6">
        <w:rPr>
          <w:rFonts w:eastAsia="Times New Roman"/>
          <w:i/>
          <w:iCs/>
          <w:sz w:val="24"/>
          <w:szCs w:val="24"/>
        </w:rPr>
        <w:t>Discover Sustainability</w:t>
      </w:r>
      <w:r w:rsidRPr="007319A6">
        <w:rPr>
          <w:rFonts w:eastAsia="Times New Roman"/>
          <w:sz w:val="24"/>
          <w:szCs w:val="24"/>
        </w:rPr>
        <w:t xml:space="preserve">, </w:t>
      </w:r>
      <w:r w:rsidRPr="007319A6">
        <w:rPr>
          <w:rFonts w:eastAsia="Times New Roman"/>
          <w:i/>
          <w:iCs/>
          <w:sz w:val="24"/>
          <w:szCs w:val="24"/>
        </w:rPr>
        <w:t>6</w:t>
      </w:r>
      <w:r w:rsidRPr="007319A6">
        <w:rPr>
          <w:rFonts w:eastAsia="Times New Roman"/>
          <w:sz w:val="24"/>
          <w:szCs w:val="24"/>
        </w:rPr>
        <w:t>(1), p.52.</w:t>
      </w:r>
      <w:hyperlink r:id="rId35">
        <w:r w:rsidRPr="007319A6">
          <w:rPr>
            <w:rFonts w:eastAsia="Times New Roman"/>
            <w:color w:val="1155CC"/>
            <w:sz w:val="24"/>
            <w:szCs w:val="24"/>
            <w:u w:val="single"/>
          </w:rPr>
          <w:t>https://link.springer.com/content/pdf/10.1007/s43621-025-00844-3.pdf</w:t>
        </w:r>
      </w:hyperlink>
      <w:r w:rsidRPr="007319A6">
        <w:rPr>
          <w:rFonts w:eastAsia="Times New Roman"/>
          <w:sz w:val="24"/>
          <w:szCs w:val="24"/>
        </w:rPr>
        <w:t xml:space="preserve"> </w:t>
      </w:r>
    </w:p>
    <w:p w14:paraId="729A5B97" w14:textId="77777777" w:rsidR="00472472" w:rsidRPr="007319A6" w:rsidRDefault="00472472">
      <w:pPr>
        <w:spacing w:before="200" w:after="200" w:line="360" w:lineRule="auto"/>
        <w:jc w:val="both"/>
        <w:rPr>
          <w:rFonts w:eastAsia="Times"/>
          <w:sz w:val="24"/>
          <w:szCs w:val="24"/>
        </w:rPr>
      </w:pPr>
      <w:r w:rsidRPr="007319A6">
        <w:rPr>
          <w:rFonts w:eastAsia="Times"/>
          <w:sz w:val="24"/>
          <w:szCs w:val="24"/>
        </w:rPr>
        <w:t xml:space="preserve">Dutta, S., He, M. and Tsang, D.C., 2023. Reflection and peer assessment to promote self-directed learning in higher education. </w:t>
      </w:r>
      <w:r w:rsidRPr="007319A6">
        <w:rPr>
          <w:rFonts w:eastAsia="Times"/>
          <w:i/>
          <w:iCs/>
          <w:sz w:val="24"/>
          <w:szCs w:val="24"/>
        </w:rPr>
        <w:t>Journal of Educational Research and Reviews</w:t>
      </w:r>
      <w:r w:rsidRPr="007319A6">
        <w:rPr>
          <w:rFonts w:eastAsia="Times"/>
          <w:sz w:val="24"/>
          <w:szCs w:val="24"/>
        </w:rPr>
        <w:t xml:space="preserve">, </w:t>
      </w:r>
      <w:r w:rsidRPr="007319A6">
        <w:rPr>
          <w:rFonts w:eastAsia="Times"/>
          <w:i/>
          <w:iCs/>
          <w:sz w:val="24"/>
          <w:szCs w:val="24"/>
        </w:rPr>
        <w:t>11</w:t>
      </w:r>
      <w:r w:rsidRPr="007319A6">
        <w:rPr>
          <w:rFonts w:eastAsia="Times"/>
          <w:sz w:val="24"/>
          <w:szCs w:val="24"/>
        </w:rPr>
        <w:t xml:space="preserve">(3), pp.35-46. </w:t>
      </w:r>
      <w:hyperlink r:id="rId36">
        <w:r w:rsidRPr="007319A6">
          <w:rPr>
            <w:rFonts w:eastAsia="Times"/>
            <w:color w:val="1155CC"/>
            <w:sz w:val="24"/>
            <w:szCs w:val="24"/>
            <w:u w:val="single"/>
          </w:rPr>
          <w:t>https://www.researchgate.net/profile/Shanta-Dutta/publication/371536633_Reflection_and_peer_assessment_to_promote_self-directed_learning_in_higher_education/links/648928519bc5e436682e1817/Reflection-and-peer-assessment-to-promote-self-directed-learning-in-higher-education.pdf</w:t>
        </w:r>
      </w:hyperlink>
      <w:r w:rsidRPr="007319A6">
        <w:rPr>
          <w:rFonts w:eastAsia="Times"/>
          <w:sz w:val="24"/>
          <w:szCs w:val="24"/>
        </w:rPr>
        <w:t xml:space="preserve"> </w:t>
      </w:r>
    </w:p>
    <w:p w14:paraId="26B8A92B"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Giri, P., Paul, S. and Debnath, B.K., 2024. A hybrid graph-theoretic solution of Delphi and graph theory matrix approach (GTMA) to the challenges of sustainable lithium-ion battery (LIB) supply chains in electric vehicles in India. </w:t>
      </w:r>
      <w:r w:rsidRPr="007319A6">
        <w:rPr>
          <w:rFonts w:eastAsia="Times New Roman"/>
          <w:i/>
          <w:iCs/>
          <w:sz w:val="24"/>
          <w:szCs w:val="24"/>
        </w:rPr>
        <w:t>Journal of Energy Storage</w:t>
      </w:r>
      <w:r w:rsidRPr="007319A6">
        <w:rPr>
          <w:rFonts w:eastAsia="Times New Roman"/>
          <w:sz w:val="24"/>
          <w:szCs w:val="24"/>
        </w:rPr>
        <w:t xml:space="preserve">, </w:t>
      </w:r>
      <w:r w:rsidRPr="007319A6">
        <w:rPr>
          <w:rFonts w:eastAsia="Times New Roman"/>
          <w:i/>
          <w:iCs/>
          <w:sz w:val="24"/>
          <w:szCs w:val="24"/>
        </w:rPr>
        <w:t>97</w:t>
      </w:r>
      <w:r w:rsidRPr="007319A6">
        <w:rPr>
          <w:rFonts w:eastAsia="Times New Roman"/>
          <w:sz w:val="24"/>
          <w:szCs w:val="24"/>
        </w:rPr>
        <w:t>, p.112702.</w:t>
      </w:r>
      <w:hyperlink r:id="rId37">
        <w:r w:rsidRPr="007319A6">
          <w:rPr>
            <w:rFonts w:eastAsia="Times New Roman"/>
            <w:color w:val="1155CC"/>
            <w:sz w:val="24"/>
            <w:szCs w:val="24"/>
            <w:u w:val="single"/>
          </w:rPr>
          <w:t>https://www.sciencedirect.com/science/article/pii/S2352152X24022886</w:t>
        </w:r>
      </w:hyperlink>
      <w:r w:rsidRPr="007319A6">
        <w:rPr>
          <w:rFonts w:eastAsia="Times New Roman"/>
          <w:sz w:val="24"/>
          <w:szCs w:val="24"/>
        </w:rPr>
        <w:t xml:space="preserve"> </w:t>
      </w:r>
    </w:p>
    <w:p w14:paraId="153E8D19"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International Energy Agency (IEA) (2026) </w:t>
      </w:r>
      <w:r w:rsidRPr="007319A6">
        <w:rPr>
          <w:rFonts w:eastAsia="Times New Roman"/>
          <w:i/>
          <w:iCs/>
          <w:sz w:val="24"/>
          <w:szCs w:val="24"/>
        </w:rPr>
        <w:t>Global EV Outlook 2026</w:t>
      </w:r>
      <w:r w:rsidRPr="007319A6">
        <w:rPr>
          <w:rFonts w:eastAsia="Times New Roman"/>
          <w:sz w:val="24"/>
          <w:szCs w:val="24"/>
        </w:rPr>
        <w:t>. Paris: International Energy Agency. Available at:</w:t>
      </w:r>
      <w:hyperlink r:id="rId38">
        <w:r w:rsidRPr="007319A6">
          <w:rPr>
            <w:rFonts w:eastAsia="Times New Roman"/>
            <w:sz w:val="24"/>
            <w:szCs w:val="24"/>
          </w:rPr>
          <w:t xml:space="preserve"> </w:t>
        </w:r>
      </w:hyperlink>
      <w:hyperlink r:id="rId39">
        <w:r w:rsidRPr="007319A6">
          <w:rPr>
            <w:rFonts w:eastAsia="Times New Roman"/>
            <w:color w:val="1155CC"/>
            <w:sz w:val="24"/>
            <w:szCs w:val="24"/>
            <w:u w:val="single"/>
          </w:rPr>
          <w:t>https://www.iea.org/reports/global-ev-outlook-2026</w:t>
        </w:r>
      </w:hyperlink>
      <w:r w:rsidRPr="007319A6">
        <w:rPr>
          <w:rFonts w:eastAsia="Times New Roman"/>
          <w:sz w:val="24"/>
          <w:szCs w:val="24"/>
        </w:rPr>
        <w:t xml:space="preserve"> (Accessed: 8 August 2026).</w:t>
      </w:r>
    </w:p>
    <w:p w14:paraId="1BB7AD95" w14:textId="77777777" w:rsidR="00472472" w:rsidRPr="007319A6" w:rsidRDefault="00472472">
      <w:pPr>
        <w:spacing w:before="200" w:after="200" w:line="360" w:lineRule="auto"/>
        <w:jc w:val="both"/>
        <w:rPr>
          <w:rFonts w:eastAsia="Times New Roman"/>
          <w:sz w:val="24"/>
          <w:szCs w:val="24"/>
        </w:rPr>
      </w:pPr>
      <w:proofErr w:type="spellStart"/>
      <w:r w:rsidRPr="007319A6">
        <w:rPr>
          <w:rFonts w:eastAsia="Times New Roman"/>
          <w:sz w:val="24"/>
          <w:szCs w:val="24"/>
        </w:rPr>
        <w:t>Jagani</w:t>
      </w:r>
      <w:proofErr w:type="spellEnd"/>
      <w:r w:rsidRPr="007319A6">
        <w:rPr>
          <w:rFonts w:eastAsia="Times New Roman"/>
          <w:sz w:val="24"/>
          <w:szCs w:val="24"/>
        </w:rPr>
        <w:t xml:space="preserve">, S., </w:t>
      </w:r>
      <w:proofErr w:type="spellStart"/>
      <w:r w:rsidRPr="007319A6">
        <w:rPr>
          <w:rFonts w:eastAsia="Times New Roman"/>
          <w:sz w:val="24"/>
          <w:szCs w:val="24"/>
        </w:rPr>
        <w:t>Marsillac</w:t>
      </w:r>
      <w:proofErr w:type="spellEnd"/>
      <w:r w:rsidRPr="007319A6">
        <w:rPr>
          <w:rFonts w:eastAsia="Times New Roman"/>
          <w:sz w:val="24"/>
          <w:szCs w:val="24"/>
        </w:rPr>
        <w:t xml:space="preserve">, E. and Hong, P., 2024. The electric vehicle supply chain ecosystem: changing roles of automotive suppliers. </w:t>
      </w:r>
      <w:r w:rsidRPr="007319A6">
        <w:rPr>
          <w:rFonts w:eastAsia="Times New Roman"/>
          <w:i/>
          <w:iCs/>
          <w:sz w:val="24"/>
          <w:szCs w:val="24"/>
        </w:rPr>
        <w:t>Sustainability</w:t>
      </w:r>
      <w:r w:rsidRPr="007319A6">
        <w:rPr>
          <w:rFonts w:eastAsia="Times New Roman"/>
          <w:sz w:val="24"/>
          <w:szCs w:val="24"/>
        </w:rPr>
        <w:t xml:space="preserve">, </w:t>
      </w:r>
      <w:r w:rsidRPr="007319A6">
        <w:rPr>
          <w:rFonts w:eastAsia="Times New Roman"/>
          <w:i/>
          <w:iCs/>
          <w:sz w:val="24"/>
          <w:szCs w:val="24"/>
        </w:rPr>
        <w:t>16</w:t>
      </w:r>
      <w:r w:rsidRPr="007319A6">
        <w:rPr>
          <w:rFonts w:eastAsia="Times New Roman"/>
          <w:sz w:val="24"/>
          <w:szCs w:val="24"/>
        </w:rPr>
        <w:t>(4), p.1570.</w:t>
      </w:r>
      <w:hyperlink r:id="rId40">
        <w:r w:rsidRPr="007319A6">
          <w:rPr>
            <w:rFonts w:eastAsia="Times New Roman"/>
            <w:color w:val="1155CC"/>
            <w:sz w:val="24"/>
            <w:szCs w:val="24"/>
            <w:u w:val="single"/>
          </w:rPr>
          <w:t>https://www.mdpi.com/2071-1050/16/4/1570</w:t>
        </w:r>
      </w:hyperlink>
      <w:r w:rsidRPr="007319A6">
        <w:rPr>
          <w:rFonts w:eastAsia="Times New Roman"/>
          <w:sz w:val="24"/>
          <w:szCs w:val="24"/>
        </w:rPr>
        <w:t xml:space="preserve"> </w:t>
      </w:r>
    </w:p>
    <w:p w14:paraId="708AFB20"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Jain, M. and Singh, A., 2024. An empirical study on electric vehicle adoption in India: A step towards a greener environment. </w:t>
      </w:r>
      <w:r w:rsidRPr="007319A6">
        <w:rPr>
          <w:rFonts w:eastAsia="Times New Roman"/>
          <w:i/>
          <w:iCs/>
          <w:sz w:val="24"/>
          <w:szCs w:val="24"/>
        </w:rPr>
        <w:t>Transport Policy</w:t>
      </w:r>
      <w:r w:rsidRPr="007319A6">
        <w:rPr>
          <w:rFonts w:eastAsia="Times New Roman"/>
          <w:sz w:val="24"/>
          <w:szCs w:val="24"/>
        </w:rPr>
        <w:t xml:space="preserve">, </w:t>
      </w:r>
      <w:r w:rsidRPr="007319A6">
        <w:rPr>
          <w:rFonts w:eastAsia="Times New Roman"/>
          <w:i/>
          <w:iCs/>
          <w:sz w:val="24"/>
          <w:szCs w:val="24"/>
        </w:rPr>
        <w:t>156</w:t>
      </w:r>
      <w:r w:rsidRPr="007319A6">
        <w:rPr>
          <w:rFonts w:eastAsia="Times New Roman"/>
          <w:sz w:val="24"/>
          <w:szCs w:val="24"/>
        </w:rPr>
        <w:t>, pp.112-125.</w:t>
      </w:r>
      <w:hyperlink r:id="rId41">
        <w:r w:rsidRPr="007319A6">
          <w:rPr>
            <w:rFonts w:eastAsia="Times New Roman"/>
            <w:color w:val="1155CC"/>
            <w:sz w:val="24"/>
            <w:szCs w:val="24"/>
            <w:u w:val="single"/>
          </w:rPr>
          <w:t>https://www.sciencedirect.com/science/article/pii/S0967070X24002208</w:t>
        </w:r>
      </w:hyperlink>
      <w:r w:rsidRPr="007319A6">
        <w:rPr>
          <w:rFonts w:eastAsia="Times New Roman"/>
          <w:sz w:val="24"/>
          <w:szCs w:val="24"/>
        </w:rPr>
        <w:t xml:space="preserve"> </w:t>
      </w:r>
    </w:p>
    <w:p w14:paraId="1ED0FE34"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Jain, S., Gautam, S., Malik, P., Kumar, S. and Krishnan, C., 2025. A multi-phase qualitative study on consumers’ barriers and drivers of electric vehicle use in India: Policy implications. </w:t>
      </w:r>
      <w:r w:rsidRPr="007319A6">
        <w:rPr>
          <w:rFonts w:eastAsia="Times New Roman"/>
          <w:i/>
          <w:iCs/>
          <w:sz w:val="24"/>
          <w:szCs w:val="24"/>
        </w:rPr>
        <w:t>Energy Policy</w:t>
      </w:r>
      <w:r w:rsidRPr="007319A6">
        <w:rPr>
          <w:rFonts w:eastAsia="Times New Roman"/>
          <w:sz w:val="24"/>
          <w:szCs w:val="24"/>
        </w:rPr>
        <w:t xml:space="preserve">, </w:t>
      </w:r>
      <w:r w:rsidRPr="007319A6">
        <w:rPr>
          <w:rFonts w:eastAsia="Times New Roman"/>
          <w:i/>
          <w:iCs/>
          <w:sz w:val="24"/>
          <w:szCs w:val="24"/>
        </w:rPr>
        <w:t>196</w:t>
      </w:r>
      <w:r w:rsidRPr="007319A6">
        <w:rPr>
          <w:rFonts w:eastAsia="Times New Roman"/>
          <w:sz w:val="24"/>
          <w:szCs w:val="24"/>
        </w:rPr>
        <w:t>, p.114415.</w:t>
      </w:r>
      <w:hyperlink r:id="rId42">
        <w:r w:rsidRPr="007319A6">
          <w:rPr>
            <w:rFonts w:eastAsia="Times New Roman"/>
            <w:color w:val="1155CC"/>
            <w:sz w:val="24"/>
            <w:szCs w:val="24"/>
            <w:u w:val="single"/>
          </w:rPr>
          <w:t>https://www.sciencedirect.com/science/article/pii/S030142152400435X</w:t>
        </w:r>
      </w:hyperlink>
      <w:r w:rsidRPr="007319A6">
        <w:rPr>
          <w:rFonts w:eastAsia="Times New Roman"/>
          <w:sz w:val="24"/>
          <w:szCs w:val="24"/>
        </w:rPr>
        <w:t xml:space="preserve"> </w:t>
      </w:r>
    </w:p>
    <w:p w14:paraId="52B4C2DE"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Ministry of Environment, Forest and Climate Change, Government of India (2025) </w:t>
      </w:r>
      <w:r w:rsidRPr="007319A6">
        <w:rPr>
          <w:rFonts w:eastAsia="Times New Roman"/>
          <w:i/>
          <w:iCs/>
          <w:sz w:val="24"/>
          <w:szCs w:val="24"/>
        </w:rPr>
        <w:t>Battery Waste Management Amendment Rules, 2025</w:t>
      </w:r>
      <w:r w:rsidRPr="007319A6">
        <w:rPr>
          <w:rFonts w:eastAsia="Times New Roman"/>
          <w:sz w:val="24"/>
          <w:szCs w:val="24"/>
        </w:rPr>
        <w:t>, S.O. 958(E), 24 February. New Delhi: Government of India. Available at:</w:t>
      </w:r>
      <w:hyperlink r:id="rId43">
        <w:r w:rsidRPr="007319A6">
          <w:rPr>
            <w:rFonts w:eastAsia="Times New Roman"/>
            <w:sz w:val="24"/>
            <w:szCs w:val="24"/>
          </w:rPr>
          <w:t xml:space="preserve"> </w:t>
        </w:r>
      </w:hyperlink>
      <w:hyperlink r:id="rId44">
        <w:r w:rsidRPr="007319A6">
          <w:rPr>
            <w:rFonts w:eastAsia="Times New Roman"/>
            <w:color w:val="1155CC"/>
            <w:sz w:val="24"/>
            <w:szCs w:val="24"/>
            <w:u w:val="single"/>
          </w:rPr>
          <w:t>https://moef.gov.in/rules-regulations-3</w:t>
        </w:r>
      </w:hyperlink>
      <w:r w:rsidRPr="007319A6">
        <w:rPr>
          <w:rFonts w:eastAsia="Times New Roman"/>
          <w:sz w:val="24"/>
          <w:szCs w:val="24"/>
        </w:rPr>
        <w:t xml:space="preserve"> (Accessed: 8 August 2026).</w:t>
      </w:r>
    </w:p>
    <w:p w14:paraId="7BA49E67"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Ministry of Heavy Industries, Government of India (2024) </w:t>
      </w:r>
      <w:r w:rsidRPr="007319A6">
        <w:rPr>
          <w:rFonts w:eastAsia="Times New Roman"/>
          <w:i/>
          <w:iCs/>
          <w:sz w:val="24"/>
          <w:szCs w:val="24"/>
        </w:rPr>
        <w:t>PM Electric Drive Revolution in Innovative Vehicle Enhancement (PM E-DRIVE) Scheme</w:t>
      </w:r>
      <w:r w:rsidRPr="007319A6">
        <w:rPr>
          <w:rFonts w:eastAsia="Times New Roman"/>
          <w:sz w:val="24"/>
          <w:szCs w:val="24"/>
        </w:rPr>
        <w:t>. New Delhi: Government of India. Available at:</w:t>
      </w:r>
      <w:hyperlink r:id="rId45">
        <w:r w:rsidRPr="007319A6">
          <w:rPr>
            <w:rFonts w:eastAsia="Times New Roman"/>
            <w:sz w:val="24"/>
            <w:szCs w:val="24"/>
          </w:rPr>
          <w:t xml:space="preserve"> </w:t>
        </w:r>
      </w:hyperlink>
      <w:hyperlink r:id="rId46">
        <w:r w:rsidRPr="007319A6">
          <w:rPr>
            <w:rFonts w:eastAsia="Times New Roman"/>
            <w:color w:val="1155CC"/>
            <w:sz w:val="24"/>
            <w:szCs w:val="24"/>
            <w:u w:val="single"/>
          </w:rPr>
          <w:t>https://www.india.gov.in/spotlight/details/pm-electric-drive-revolution-in-innovative-vehicle-enhancement-pm-e-drive</w:t>
        </w:r>
      </w:hyperlink>
      <w:r w:rsidRPr="007319A6">
        <w:rPr>
          <w:rFonts w:eastAsia="Times New Roman"/>
          <w:sz w:val="24"/>
          <w:szCs w:val="24"/>
        </w:rPr>
        <w:t xml:space="preserve"> (Accessed: 8 August 2026).</w:t>
      </w:r>
    </w:p>
    <w:p w14:paraId="755DDADD"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Ministry of Heavy Industries, Government of India (2024) </w:t>
      </w:r>
      <w:r w:rsidRPr="007319A6">
        <w:rPr>
          <w:rFonts w:eastAsia="Times New Roman"/>
          <w:i/>
          <w:iCs/>
          <w:sz w:val="24"/>
          <w:szCs w:val="24"/>
        </w:rPr>
        <w:t>Scheme to Promote Manufacturing of Electric Passenger Cars in India (SPMEPCI)</w:t>
      </w:r>
      <w:r w:rsidRPr="007319A6">
        <w:rPr>
          <w:rFonts w:eastAsia="Times New Roman"/>
          <w:sz w:val="24"/>
          <w:szCs w:val="24"/>
        </w:rPr>
        <w:t>. New Delhi: Government of India. Available at:</w:t>
      </w:r>
      <w:hyperlink r:id="rId47">
        <w:r w:rsidRPr="007319A6">
          <w:rPr>
            <w:rFonts w:eastAsia="Times New Roman"/>
            <w:sz w:val="24"/>
            <w:szCs w:val="24"/>
          </w:rPr>
          <w:t xml:space="preserve"> </w:t>
        </w:r>
      </w:hyperlink>
      <w:hyperlink r:id="rId48">
        <w:r w:rsidRPr="007319A6">
          <w:rPr>
            <w:rFonts w:eastAsia="Times New Roman"/>
            <w:color w:val="1155CC"/>
            <w:sz w:val="24"/>
            <w:szCs w:val="24"/>
            <w:u w:val="single"/>
          </w:rPr>
          <w:t>https://heavyindustries.gov.in/en/scheme-promote-manufacturing-electric-passenger-cars-india-0</w:t>
        </w:r>
      </w:hyperlink>
      <w:r w:rsidRPr="007319A6">
        <w:rPr>
          <w:rFonts w:eastAsia="Times New Roman"/>
          <w:sz w:val="24"/>
          <w:szCs w:val="24"/>
        </w:rPr>
        <w:t xml:space="preserve"> (Accessed: 8 August 2026).</w:t>
      </w:r>
    </w:p>
    <w:p w14:paraId="2CA23D75"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Murugan, M. and </w:t>
      </w:r>
      <w:proofErr w:type="spellStart"/>
      <w:r w:rsidRPr="007319A6">
        <w:rPr>
          <w:rFonts w:eastAsia="Times New Roman"/>
          <w:sz w:val="24"/>
          <w:szCs w:val="24"/>
        </w:rPr>
        <w:t>Marisamynathan</w:t>
      </w:r>
      <w:proofErr w:type="spellEnd"/>
      <w:r w:rsidRPr="007319A6">
        <w:rPr>
          <w:rFonts w:eastAsia="Times New Roman"/>
          <w:sz w:val="24"/>
          <w:szCs w:val="24"/>
        </w:rPr>
        <w:t xml:space="preserve">, S., 2024. Policy analysis for sustainable EV charging facility adoption using SEM-ANN approach. </w:t>
      </w:r>
      <w:r w:rsidRPr="007319A6">
        <w:rPr>
          <w:rFonts w:eastAsia="Times New Roman"/>
          <w:i/>
          <w:iCs/>
          <w:sz w:val="24"/>
          <w:szCs w:val="24"/>
        </w:rPr>
        <w:t>Transportation Research Part A: Policy and Practice</w:t>
      </w:r>
      <w:r w:rsidRPr="007319A6">
        <w:rPr>
          <w:rFonts w:eastAsia="Times New Roman"/>
          <w:sz w:val="24"/>
          <w:szCs w:val="24"/>
        </w:rPr>
        <w:t xml:space="preserve">, </w:t>
      </w:r>
      <w:r w:rsidRPr="007319A6">
        <w:rPr>
          <w:rFonts w:eastAsia="Times New Roman"/>
          <w:i/>
          <w:iCs/>
          <w:sz w:val="24"/>
          <w:szCs w:val="24"/>
        </w:rPr>
        <w:t>182</w:t>
      </w:r>
      <w:r w:rsidRPr="007319A6">
        <w:rPr>
          <w:rFonts w:eastAsia="Times New Roman"/>
          <w:sz w:val="24"/>
          <w:szCs w:val="24"/>
        </w:rPr>
        <w:t>, p.104036.</w:t>
      </w:r>
      <w:hyperlink r:id="rId49">
        <w:r w:rsidRPr="007319A6">
          <w:rPr>
            <w:rFonts w:eastAsia="Times New Roman"/>
            <w:color w:val="1155CC"/>
            <w:sz w:val="24"/>
            <w:szCs w:val="24"/>
            <w:u w:val="single"/>
          </w:rPr>
          <w:t>https://www.sciencedirect.com/science/article/pii/S0965856424000843</w:t>
        </w:r>
      </w:hyperlink>
      <w:r w:rsidRPr="007319A6">
        <w:rPr>
          <w:rFonts w:eastAsia="Times New Roman"/>
          <w:sz w:val="24"/>
          <w:szCs w:val="24"/>
        </w:rPr>
        <w:t xml:space="preserve"> </w:t>
      </w:r>
    </w:p>
    <w:p w14:paraId="671C7E01"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Patel, M., Singh, R., Arora, P. and Mahapatra, D., 2024. EV adoption in India: barriers and policy solutions from manufacturers' and consumers' perspectives. </w:t>
      </w:r>
      <w:r w:rsidRPr="007319A6">
        <w:rPr>
          <w:rFonts w:eastAsia="Times New Roman"/>
          <w:i/>
          <w:iCs/>
          <w:sz w:val="24"/>
          <w:szCs w:val="24"/>
        </w:rPr>
        <w:t>Energy for Sustainable Development</w:t>
      </w:r>
      <w:r w:rsidRPr="007319A6">
        <w:rPr>
          <w:rFonts w:eastAsia="Times New Roman"/>
          <w:sz w:val="24"/>
          <w:szCs w:val="24"/>
        </w:rPr>
        <w:t xml:space="preserve">, </w:t>
      </w:r>
      <w:r w:rsidRPr="007319A6">
        <w:rPr>
          <w:rFonts w:eastAsia="Times New Roman"/>
          <w:i/>
          <w:iCs/>
          <w:sz w:val="24"/>
          <w:szCs w:val="24"/>
        </w:rPr>
        <w:t>83</w:t>
      </w:r>
      <w:r w:rsidRPr="007319A6">
        <w:rPr>
          <w:rFonts w:eastAsia="Times New Roman"/>
          <w:sz w:val="24"/>
          <w:szCs w:val="24"/>
        </w:rPr>
        <w:t>, p.101583.</w:t>
      </w:r>
      <w:hyperlink r:id="rId50">
        <w:r w:rsidRPr="007319A6">
          <w:rPr>
            <w:rFonts w:eastAsia="Times New Roman"/>
            <w:color w:val="1155CC"/>
            <w:sz w:val="24"/>
            <w:szCs w:val="24"/>
            <w:u w:val="single"/>
          </w:rPr>
          <w:t>https://www.sciencedirect.com/science/article/pii/S0973082624002096</w:t>
        </w:r>
      </w:hyperlink>
      <w:r w:rsidRPr="007319A6">
        <w:rPr>
          <w:rFonts w:eastAsia="Times New Roman"/>
          <w:sz w:val="24"/>
          <w:szCs w:val="24"/>
        </w:rPr>
        <w:t xml:space="preserve"> </w:t>
      </w:r>
    </w:p>
    <w:p w14:paraId="4B1AD7A9"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Press Information Bureau (PIB), Government of India (2026) ‘Charging stations for electric vehicles (EVs)’, </w:t>
      </w:r>
      <w:r w:rsidRPr="007319A6">
        <w:rPr>
          <w:rFonts w:eastAsia="Times New Roman"/>
          <w:i/>
          <w:iCs/>
          <w:sz w:val="24"/>
          <w:szCs w:val="24"/>
        </w:rPr>
        <w:t>Ministry of Heavy Industries</w:t>
      </w:r>
      <w:r w:rsidRPr="007319A6">
        <w:rPr>
          <w:rFonts w:eastAsia="Times New Roman"/>
          <w:sz w:val="24"/>
          <w:szCs w:val="24"/>
        </w:rPr>
        <w:t>, 21 July. Available at:</w:t>
      </w:r>
      <w:hyperlink r:id="rId51">
        <w:r w:rsidRPr="007319A6">
          <w:rPr>
            <w:rFonts w:eastAsia="Times New Roman"/>
            <w:sz w:val="24"/>
            <w:szCs w:val="24"/>
          </w:rPr>
          <w:t xml:space="preserve"> </w:t>
        </w:r>
      </w:hyperlink>
      <w:hyperlink r:id="rId52">
        <w:r w:rsidRPr="007319A6">
          <w:rPr>
            <w:rFonts w:eastAsia="Times New Roman"/>
            <w:color w:val="1155CC"/>
            <w:sz w:val="24"/>
            <w:szCs w:val="24"/>
            <w:u w:val="single"/>
          </w:rPr>
          <w:t>https://www.pib.gov.in/PressReleasePage.aspx?PRID=2287125&amp;reg=48&amp;lang=2</w:t>
        </w:r>
      </w:hyperlink>
      <w:r w:rsidRPr="007319A6">
        <w:rPr>
          <w:rFonts w:eastAsia="Times New Roman"/>
          <w:sz w:val="24"/>
          <w:szCs w:val="24"/>
        </w:rPr>
        <w:t xml:space="preserve"> (Accessed: 8 August 2026).</w:t>
      </w:r>
    </w:p>
    <w:p w14:paraId="5FD04C6E"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Rawat, A., Garg, C.P. and Sinha, P., 2025. Embracing strategies to overcome the electric vehicles adoption barriers in emerging market. </w:t>
      </w:r>
      <w:r w:rsidRPr="007319A6">
        <w:rPr>
          <w:rFonts w:eastAsia="Times New Roman"/>
          <w:i/>
          <w:iCs/>
          <w:sz w:val="24"/>
          <w:szCs w:val="24"/>
        </w:rPr>
        <w:t>Research in Transportation Business &amp; Management</w:t>
      </w:r>
      <w:r w:rsidRPr="007319A6">
        <w:rPr>
          <w:rFonts w:eastAsia="Times New Roman"/>
          <w:sz w:val="24"/>
          <w:szCs w:val="24"/>
        </w:rPr>
        <w:t xml:space="preserve">, </w:t>
      </w:r>
      <w:r w:rsidRPr="007319A6">
        <w:rPr>
          <w:rFonts w:eastAsia="Times New Roman"/>
          <w:i/>
          <w:iCs/>
          <w:sz w:val="24"/>
          <w:szCs w:val="24"/>
        </w:rPr>
        <w:t>60</w:t>
      </w:r>
      <w:r w:rsidRPr="007319A6">
        <w:rPr>
          <w:rFonts w:eastAsia="Times New Roman"/>
          <w:sz w:val="24"/>
          <w:szCs w:val="24"/>
        </w:rPr>
        <w:t>, p.101337.</w:t>
      </w:r>
      <w:hyperlink r:id="rId53">
        <w:r w:rsidRPr="007319A6">
          <w:rPr>
            <w:rFonts w:eastAsia="Times New Roman"/>
            <w:color w:val="1155CC"/>
            <w:sz w:val="24"/>
            <w:szCs w:val="24"/>
            <w:u w:val="single"/>
          </w:rPr>
          <w:t>https://www.sciencedirect.com/science/article/pii/S2210539525000525</w:t>
        </w:r>
      </w:hyperlink>
      <w:r w:rsidRPr="007319A6">
        <w:rPr>
          <w:rFonts w:eastAsia="Times New Roman"/>
          <w:sz w:val="24"/>
          <w:szCs w:val="24"/>
        </w:rPr>
        <w:t xml:space="preserve"> </w:t>
      </w:r>
    </w:p>
    <w:p w14:paraId="5510F03A"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Sandhiya, E. and Gajanand, M.S., 2024. Context-Dependent evaluation of electric vehicles and charging infrastructure in an emerging economy. </w:t>
      </w:r>
      <w:r w:rsidRPr="007319A6">
        <w:rPr>
          <w:rFonts w:eastAsia="Times New Roman"/>
          <w:i/>
          <w:iCs/>
          <w:sz w:val="24"/>
          <w:szCs w:val="24"/>
        </w:rPr>
        <w:t>Transportation Research Part D: Transport and Environment</w:t>
      </w:r>
      <w:r w:rsidRPr="007319A6">
        <w:rPr>
          <w:rFonts w:eastAsia="Times New Roman"/>
          <w:sz w:val="24"/>
          <w:szCs w:val="24"/>
        </w:rPr>
        <w:t xml:space="preserve">, </w:t>
      </w:r>
      <w:r w:rsidRPr="007319A6">
        <w:rPr>
          <w:rFonts w:eastAsia="Times New Roman"/>
          <w:i/>
          <w:iCs/>
          <w:sz w:val="24"/>
          <w:szCs w:val="24"/>
        </w:rPr>
        <w:t>137</w:t>
      </w:r>
      <w:r w:rsidRPr="007319A6">
        <w:rPr>
          <w:rFonts w:eastAsia="Times New Roman"/>
          <w:sz w:val="24"/>
          <w:szCs w:val="24"/>
        </w:rPr>
        <w:t>, p.104490.</w:t>
      </w:r>
      <w:hyperlink r:id="rId54">
        <w:r w:rsidRPr="007319A6">
          <w:rPr>
            <w:rFonts w:eastAsia="Times New Roman"/>
            <w:color w:val="1155CC"/>
            <w:sz w:val="24"/>
            <w:szCs w:val="24"/>
            <w:u w:val="single"/>
          </w:rPr>
          <w:t>https://www.sciencedirect.com/science/article/pii/S1361920924004474</w:t>
        </w:r>
      </w:hyperlink>
      <w:r w:rsidRPr="007319A6">
        <w:rPr>
          <w:rFonts w:eastAsia="Times New Roman"/>
          <w:sz w:val="24"/>
          <w:szCs w:val="24"/>
        </w:rPr>
        <w:t xml:space="preserve"> </w:t>
      </w:r>
    </w:p>
    <w:p w14:paraId="05DCB9DD"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Sandhiya, E. and Gajanand, M.S., 2026. Examining the dynamics of electric vehicle adoption using Malmquist-DEA: evidence from an emerging economy. </w:t>
      </w:r>
      <w:r w:rsidRPr="007319A6">
        <w:rPr>
          <w:rFonts w:eastAsia="Times New Roman"/>
          <w:i/>
          <w:iCs/>
          <w:sz w:val="24"/>
          <w:szCs w:val="24"/>
        </w:rPr>
        <w:t>Transportation Research Part A: Policy and Practice</w:t>
      </w:r>
      <w:r w:rsidRPr="007319A6">
        <w:rPr>
          <w:rFonts w:eastAsia="Times New Roman"/>
          <w:sz w:val="24"/>
          <w:szCs w:val="24"/>
        </w:rPr>
        <w:t xml:space="preserve">, </w:t>
      </w:r>
      <w:r w:rsidRPr="007319A6">
        <w:rPr>
          <w:rFonts w:eastAsia="Times New Roman"/>
          <w:i/>
          <w:iCs/>
          <w:sz w:val="24"/>
          <w:szCs w:val="24"/>
        </w:rPr>
        <w:t>204</w:t>
      </w:r>
      <w:r w:rsidRPr="007319A6">
        <w:rPr>
          <w:rFonts w:eastAsia="Times New Roman"/>
          <w:sz w:val="24"/>
          <w:szCs w:val="24"/>
        </w:rPr>
        <w:t>, p.104829.</w:t>
      </w:r>
      <w:hyperlink r:id="rId55">
        <w:r w:rsidRPr="007319A6">
          <w:rPr>
            <w:rFonts w:eastAsia="Times New Roman"/>
            <w:color w:val="1155CC"/>
            <w:sz w:val="24"/>
            <w:szCs w:val="24"/>
            <w:u w:val="single"/>
          </w:rPr>
          <w:t>https://www.sciencedirect.com/science/article/pii/S0965856425004628</w:t>
        </w:r>
      </w:hyperlink>
      <w:r w:rsidRPr="007319A6">
        <w:rPr>
          <w:rFonts w:eastAsia="Times New Roman"/>
          <w:sz w:val="24"/>
          <w:szCs w:val="24"/>
        </w:rPr>
        <w:t xml:space="preserve"> </w:t>
      </w:r>
    </w:p>
    <w:p w14:paraId="7FD31020"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Sharma, R.B., Das, D. and Maitra, B., 2024. Consumer attitudes and preferences for plug-in hybrid electric vehicles: A case of Delhi and Kolkata, India. </w:t>
      </w:r>
      <w:r w:rsidRPr="007319A6">
        <w:rPr>
          <w:rFonts w:eastAsia="Times New Roman"/>
          <w:i/>
          <w:iCs/>
          <w:sz w:val="24"/>
          <w:szCs w:val="24"/>
        </w:rPr>
        <w:t>Case Studies on Transport Policy</w:t>
      </w:r>
      <w:r w:rsidRPr="007319A6">
        <w:rPr>
          <w:rFonts w:eastAsia="Times New Roman"/>
          <w:sz w:val="24"/>
          <w:szCs w:val="24"/>
        </w:rPr>
        <w:t xml:space="preserve">, </w:t>
      </w:r>
      <w:r w:rsidRPr="007319A6">
        <w:rPr>
          <w:rFonts w:eastAsia="Times New Roman"/>
          <w:i/>
          <w:iCs/>
          <w:sz w:val="24"/>
          <w:szCs w:val="24"/>
        </w:rPr>
        <w:t>17</w:t>
      </w:r>
      <w:r w:rsidRPr="007319A6">
        <w:rPr>
          <w:rFonts w:eastAsia="Times New Roman"/>
          <w:sz w:val="24"/>
          <w:szCs w:val="24"/>
        </w:rPr>
        <w:t>, p.101259.</w:t>
      </w:r>
      <w:hyperlink r:id="rId56">
        <w:r w:rsidRPr="007319A6">
          <w:rPr>
            <w:rFonts w:eastAsia="Times New Roman"/>
            <w:color w:val="1155CC"/>
            <w:sz w:val="24"/>
            <w:szCs w:val="24"/>
            <w:u w:val="single"/>
          </w:rPr>
          <w:t>https://www.sciencedirect.com/science/article/pii/S2213624X24001147</w:t>
        </w:r>
      </w:hyperlink>
      <w:r w:rsidRPr="007319A6">
        <w:rPr>
          <w:rFonts w:eastAsia="Times New Roman"/>
          <w:sz w:val="24"/>
          <w:szCs w:val="24"/>
        </w:rPr>
        <w:t xml:space="preserve"> </w:t>
      </w:r>
    </w:p>
    <w:p w14:paraId="5F1E8858"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Singh, D. and Paul, U.K., 2025. Beyond the buzz: Unravelling the barriers and drivers of electric car adoption in India-A qualitative study. </w:t>
      </w:r>
      <w:r w:rsidRPr="007319A6">
        <w:rPr>
          <w:rFonts w:eastAsia="Times New Roman"/>
          <w:i/>
          <w:iCs/>
          <w:sz w:val="24"/>
          <w:szCs w:val="24"/>
        </w:rPr>
        <w:t>Journal of Cleaner Production</w:t>
      </w:r>
      <w:r w:rsidRPr="007319A6">
        <w:rPr>
          <w:rFonts w:eastAsia="Times New Roman"/>
          <w:sz w:val="24"/>
          <w:szCs w:val="24"/>
        </w:rPr>
        <w:t xml:space="preserve">, </w:t>
      </w:r>
      <w:r w:rsidRPr="007319A6">
        <w:rPr>
          <w:rFonts w:eastAsia="Times New Roman"/>
          <w:i/>
          <w:iCs/>
          <w:sz w:val="24"/>
          <w:szCs w:val="24"/>
        </w:rPr>
        <w:t>505</w:t>
      </w:r>
      <w:r w:rsidRPr="007319A6">
        <w:rPr>
          <w:rFonts w:eastAsia="Times New Roman"/>
          <w:sz w:val="24"/>
          <w:szCs w:val="24"/>
        </w:rPr>
        <w:t>, p.145344.</w:t>
      </w:r>
      <w:hyperlink r:id="rId57">
        <w:r w:rsidRPr="007319A6">
          <w:rPr>
            <w:rFonts w:eastAsia="Times New Roman"/>
            <w:color w:val="1155CC"/>
            <w:sz w:val="24"/>
            <w:szCs w:val="24"/>
            <w:u w:val="single"/>
          </w:rPr>
          <w:t>https://www.sciencedirect.com/science/article/pii/S0959652625006948</w:t>
        </w:r>
      </w:hyperlink>
      <w:r w:rsidRPr="007319A6">
        <w:rPr>
          <w:rFonts w:eastAsia="Times New Roman"/>
          <w:sz w:val="24"/>
          <w:szCs w:val="24"/>
        </w:rPr>
        <w:t xml:space="preserve"> </w:t>
      </w:r>
    </w:p>
    <w:p w14:paraId="31618763"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Srivatsa, V. (2025) ‘The evolving Indian consumers and their electric vehicle needs: A deep dive’, </w:t>
      </w:r>
      <w:r w:rsidRPr="007319A6">
        <w:rPr>
          <w:rFonts w:eastAsia="Times New Roman"/>
          <w:i/>
          <w:iCs/>
          <w:sz w:val="24"/>
          <w:szCs w:val="24"/>
        </w:rPr>
        <w:t>Tata Motors</w:t>
      </w:r>
      <w:r w:rsidRPr="007319A6">
        <w:rPr>
          <w:rFonts w:eastAsia="Times New Roman"/>
          <w:sz w:val="24"/>
          <w:szCs w:val="24"/>
        </w:rPr>
        <w:t>, 30 June. Available at:</w:t>
      </w:r>
      <w:hyperlink r:id="rId58">
        <w:r w:rsidRPr="007319A6">
          <w:rPr>
            <w:rFonts w:eastAsia="Times New Roman"/>
            <w:sz w:val="24"/>
            <w:szCs w:val="24"/>
          </w:rPr>
          <w:t xml:space="preserve"> </w:t>
        </w:r>
      </w:hyperlink>
      <w:hyperlink r:id="rId59">
        <w:r w:rsidRPr="007319A6">
          <w:rPr>
            <w:rFonts w:eastAsia="Times New Roman"/>
            <w:color w:val="1155CC"/>
            <w:sz w:val="24"/>
            <w:szCs w:val="24"/>
            <w:u w:val="single"/>
          </w:rPr>
          <w:t>https://www.tatamotors.com/blog/the-evolving-indian-consumers-and-their-electric-vehicle-needs-a-deep-dive/</w:t>
        </w:r>
      </w:hyperlink>
      <w:r w:rsidRPr="007319A6">
        <w:rPr>
          <w:rFonts w:eastAsia="Times New Roman"/>
          <w:sz w:val="24"/>
          <w:szCs w:val="24"/>
        </w:rPr>
        <w:t xml:space="preserve"> (Accessed: 8 August 2026).</w:t>
      </w:r>
    </w:p>
    <w:p w14:paraId="0593BEA1"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Tata Motors (2026) </w:t>
      </w:r>
      <w:r w:rsidRPr="007319A6">
        <w:rPr>
          <w:rFonts w:eastAsia="Times New Roman"/>
          <w:i/>
          <w:iCs/>
          <w:sz w:val="24"/>
          <w:szCs w:val="24"/>
        </w:rPr>
        <w:t>Annual Report FY26 of Tata Motors Limited</w:t>
      </w:r>
      <w:r w:rsidRPr="007319A6">
        <w:rPr>
          <w:rFonts w:eastAsia="Times New Roman"/>
          <w:sz w:val="24"/>
          <w:szCs w:val="24"/>
        </w:rPr>
        <w:t xml:space="preserve">. </w:t>
      </w:r>
      <w:hyperlink r:id="rId60">
        <w:r w:rsidRPr="007319A6">
          <w:rPr>
            <w:rFonts w:eastAsia="Times New Roman"/>
            <w:color w:val="1155CC"/>
            <w:sz w:val="24"/>
            <w:szCs w:val="24"/>
            <w:u w:val="single"/>
          </w:rPr>
          <w:t>https://cv.tatamotors.com/assets/cv/files/AnnualReportFY26.pdf</w:t>
        </w:r>
      </w:hyperlink>
      <w:r w:rsidRPr="007319A6">
        <w:rPr>
          <w:rFonts w:eastAsia="Times New Roman"/>
          <w:sz w:val="24"/>
          <w:szCs w:val="24"/>
        </w:rPr>
        <w:t xml:space="preserve"> </w:t>
      </w:r>
    </w:p>
    <w:p w14:paraId="1004DBEA"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Tata Motors Limited (2025) ‘Tata Motors Consolidated Q4 FY25 Results’, 13 May. Available at:</w:t>
      </w:r>
      <w:hyperlink r:id="rId61">
        <w:r w:rsidRPr="007319A6">
          <w:rPr>
            <w:rFonts w:eastAsia="Times New Roman"/>
            <w:sz w:val="24"/>
            <w:szCs w:val="24"/>
          </w:rPr>
          <w:t xml:space="preserve"> </w:t>
        </w:r>
      </w:hyperlink>
      <w:hyperlink r:id="rId62">
        <w:r w:rsidRPr="007319A6">
          <w:rPr>
            <w:rFonts w:eastAsia="Times New Roman"/>
            <w:color w:val="1155CC"/>
            <w:sz w:val="24"/>
            <w:szCs w:val="24"/>
            <w:u w:val="single"/>
          </w:rPr>
          <w:t>https://www.tatamotors.com/press-releases/tata-motors-consolidated-q4-fy25-results/</w:t>
        </w:r>
      </w:hyperlink>
      <w:r w:rsidRPr="007319A6">
        <w:rPr>
          <w:rFonts w:eastAsia="Times New Roman"/>
          <w:sz w:val="24"/>
          <w:szCs w:val="24"/>
        </w:rPr>
        <w:t xml:space="preserve"> (Accessed: 8 August 2026).</w:t>
      </w:r>
    </w:p>
    <w:p w14:paraId="2575670B"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Tata Motors Limited (2025) </w:t>
      </w:r>
      <w:r w:rsidRPr="007319A6">
        <w:rPr>
          <w:rFonts w:eastAsia="Times New Roman"/>
          <w:i/>
          <w:iCs/>
          <w:sz w:val="24"/>
          <w:szCs w:val="24"/>
        </w:rPr>
        <w:t>80th Integrated Annual Report 2024–25</w:t>
      </w:r>
      <w:r w:rsidRPr="007319A6">
        <w:rPr>
          <w:rFonts w:eastAsia="Times New Roman"/>
          <w:sz w:val="24"/>
          <w:szCs w:val="24"/>
        </w:rPr>
        <w:t xml:space="preserve">. Mumbai: Tata Motors Limited. Available at: </w:t>
      </w:r>
      <w:hyperlink r:id="rId63">
        <w:r w:rsidRPr="007319A6">
          <w:rPr>
            <w:rFonts w:eastAsia="Times New Roman"/>
            <w:color w:val="1155CC"/>
            <w:sz w:val="24"/>
            <w:szCs w:val="24"/>
            <w:u w:val="single"/>
          </w:rPr>
          <w:t>https://www.tatamotors.com/wp-content/uploads/2024/05/tata-motor-IAR-2024-25.pdf</w:t>
        </w:r>
      </w:hyperlink>
      <w:r w:rsidRPr="007319A6">
        <w:rPr>
          <w:rFonts w:eastAsia="Times New Roman"/>
          <w:sz w:val="24"/>
          <w:szCs w:val="24"/>
        </w:rPr>
        <w:t xml:space="preserve"> (Accessed: 8 August 2026).</w:t>
      </w:r>
    </w:p>
    <w:p w14:paraId="23FECBF7" w14:textId="77777777" w:rsidR="00472472" w:rsidRPr="007319A6" w:rsidRDefault="00472472">
      <w:pPr>
        <w:spacing w:before="200" w:after="200" w:line="360" w:lineRule="auto"/>
        <w:jc w:val="both"/>
        <w:rPr>
          <w:rFonts w:eastAsia="Times New Roman"/>
          <w:sz w:val="24"/>
          <w:szCs w:val="24"/>
        </w:rPr>
      </w:pPr>
      <w:r w:rsidRPr="007319A6">
        <w:rPr>
          <w:rFonts w:eastAsia="Times New Roman"/>
          <w:sz w:val="24"/>
          <w:szCs w:val="24"/>
        </w:rPr>
        <w:t xml:space="preserve">Tripathi, S.K., Kant, R. and Shankar, R., 2025. Investigating the electric vehicle adoption initiatives for achieving sustainable development goals. </w:t>
      </w:r>
      <w:r w:rsidRPr="007319A6">
        <w:rPr>
          <w:rFonts w:eastAsia="Times New Roman"/>
          <w:i/>
          <w:iCs/>
          <w:sz w:val="24"/>
          <w:szCs w:val="24"/>
        </w:rPr>
        <w:t>Sustainable Futures</w:t>
      </w:r>
      <w:r w:rsidRPr="007319A6">
        <w:rPr>
          <w:rFonts w:eastAsia="Times New Roman"/>
          <w:sz w:val="24"/>
          <w:szCs w:val="24"/>
        </w:rPr>
        <w:t xml:space="preserve">, </w:t>
      </w:r>
      <w:r w:rsidRPr="007319A6">
        <w:rPr>
          <w:rFonts w:eastAsia="Times New Roman"/>
          <w:i/>
          <w:iCs/>
          <w:sz w:val="24"/>
          <w:szCs w:val="24"/>
        </w:rPr>
        <w:t>9</w:t>
      </w:r>
      <w:r w:rsidRPr="007319A6">
        <w:rPr>
          <w:rFonts w:eastAsia="Times New Roman"/>
          <w:sz w:val="24"/>
          <w:szCs w:val="24"/>
        </w:rPr>
        <w:t>, p.100469.</w:t>
      </w:r>
      <w:hyperlink r:id="rId64">
        <w:r w:rsidRPr="007319A6">
          <w:rPr>
            <w:rFonts w:eastAsia="Times New Roman"/>
            <w:color w:val="1155CC"/>
            <w:sz w:val="24"/>
            <w:szCs w:val="24"/>
            <w:u w:val="single"/>
          </w:rPr>
          <w:t>https://www.sciencedirect.com/science/article/pii/S2666188825000395</w:t>
        </w:r>
      </w:hyperlink>
      <w:r w:rsidRPr="007319A6">
        <w:rPr>
          <w:rFonts w:eastAsia="Times New Roman"/>
          <w:sz w:val="24"/>
          <w:szCs w:val="24"/>
        </w:rPr>
        <w:t xml:space="preserve"> </w:t>
      </w:r>
    </w:p>
    <w:p w14:paraId="00E39AB3" w14:textId="5EC39D4D" w:rsidR="00475999" w:rsidRDefault="00472472">
      <w:pPr>
        <w:spacing w:before="200" w:after="200" w:line="360" w:lineRule="auto"/>
        <w:jc w:val="both"/>
        <w:rPr>
          <w:rFonts w:eastAsia="Times New Roman"/>
          <w:sz w:val="24"/>
          <w:szCs w:val="24"/>
        </w:rPr>
      </w:pPr>
      <w:r w:rsidRPr="007319A6">
        <w:rPr>
          <w:rFonts w:eastAsia="Times New Roman"/>
          <w:sz w:val="24"/>
          <w:szCs w:val="24"/>
        </w:rPr>
        <w:t xml:space="preserve">Yadav, R. and Yadav, R., 2024. Are consumers ready to adopt electric vehicles? </w:t>
      </w:r>
      <w:proofErr w:type="spellStart"/>
      <w:r w:rsidRPr="007319A6">
        <w:rPr>
          <w:rFonts w:eastAsia="Times New Roman"/>
          <w:sz w:val="24"/>
          <w:szCs w:val="24"/>
        </w:rPr>
        <w:t>Analyzing</w:t>
      </w:r>
      <w:proofErr w:type="spellEnd"/>
      <w:r w:rsidRPr="007319A6">
        <w:rPr>
          <w:rFonts w:eastAsia="Times New Roman"/>
          <w:sz w:val="24"/>
          <w:szCs w:val="24"/>
        </w:rPr>
        <w:t xml:space="preserve"> the barriers and motivators associated with electric vehicle adoption in India: Policy implications for various stakeholders. </w:t>
      </w:r>
      <w:r w:rsidRPr="007319A6">
        <w:rPr>
          <w:rFonts w:eastAsia="Times New Roman"/>
          <w:i/>
          <w:iCs/>
          <w:sz w:val="24"/>
          <w:szCs w:val="24"/>
        </w:rPr>
        <w:t>Energy Policy</w:t>
      </w:r>
      <w:r w:rsidRPr="007319A6">
        <w:rPr>
          <w:rFonts w:eastAsia="Times New Roman"/>
          <w:sz w:val="24"/>
          <w:szCs w:val="24"/>
        </w:rPr>
        <w:t xml:space="preserve">, </w:t>
      </w:r>
      <w:r w:rsidRPr="007319A6">
        <w:rPr>
          <w:rFonts w:eastAsia="Times New Roman"/>
          <w:i/>
          <w:iCs/>
          <w:sz w:val="24"/>
          <w:szCs w:val="24"/>
        </w:rPr>
        <w:t>190</w:t>
      </w:r>
      <w:r w:rsidRPr="007319A6">
        <w:rPr>
          <w:rFonts w:eastAsia="Times New Roman"/>
          <w:sz w:val="24"/>
          <w:szCs w:val="24"/>
        </w:rPr>
        <w:t>, p.114173.</w:t>
      </w:r>
      <w:hyperlink r:id="rId65">
        <w:r w:rsidRPr="007319A6">
          <w:rPr>
            <w:rFonts w:eastAsia="Times New Roman"/>
            <w:color w:val="1155CC"/>
            <w:sz w:val="24"/>
            <w:szCs w:val="24"/>
            <w:u w:val="single"/>
          </w:rPr>
          <w:t>https://www.sciencedirect.com/science/article/pii/S0301421524001939</w:t>
        </w:r>
      </w:hyperlink>
      <w:r w:rsidRPr="007319A6">
        <w:rPr>
          <w:rFonts w:eastAsia="Times New Roman"/>
          <w:sz w:val="24"/>
          <w:szCs w:val="24"/>
        </w:rPr>
        <w:t xml:space="preserve"> </w:t>
      </w:r>
    </w:p>
    <w:p w14:paraId="117670B6" w14:textId="77777777" w:rsidR="00475999" w:rsidRDefault="00475999">
      <w:pPr>
        <w:rPr>
          <w:rFonts w:eastAsia="Times New Roman"/>
          <w:sz w:val="24"/>
          <w:szCs w:val="24"/>
        </w:rPr>
      </w:pPr>
      <w:r>
        <w:rPr>
          <w:rFonts w:eastAsia="Times New Roman"/>
          <w:sz w:val="24"/>
          <w:szCs w:val="24"/>
        </w:rPr>
        <w:br w:type="page"/>
      </w:r>
    </w:p>
    <w:p w14:paraId="7868925B" w14:textId="34B9C0AC" w:rsidR="00472472" w:rsidRDefault="00475999" w:rsidP="001C2D9B">
      <w:pPr>
        <w:pStyle w:val="Heading1"/>
      </w:pPr>
      <w:bookmarkStart w:id="44" w:name="_Toc237437449"/>
      <w:r>
        <w:t>Appendices</w:t>
      </w:r>
      <w:bookmarkEnd w:id="44"/>
    </w:p>
    <w:p w14:paraId="7B6AEDFA" w14:textId="51D43074" w:rsidR="00475999" w:rsidRDefault="00475999" w:rsidP="001C2D9B">
      <w:pPr>
        <w:pStyle w:val="Heading2"/>
      </w:pPr>
      <w:bookmarkStart w:id="45" w:name="_Toc237437450"/>
      <w:r>
        <w:t xml:space="preserve">Appendix 1: </w:t>
      </w:r>
      <w:r w:rsidR="002A5C40" w:rsidRPr="002A5C40">
        <w:t>Business Model Canvas of Tata Motors Limited</w:t>
      </w:r>
      <w:bookmarkEnd w:id="45"/>
    </w:p>
    <w:tbl>
      <w:tblPr>
        <w:tblW w:w="5000" w:type="pct"/>
        <w:jc w:val="center"/>
        <w:tblCellMar>
          <w:top w:w="15" w:type="dxa"/>
        </w:tblCellMar>
        <w:tblLook w:val="04A0" w:firstRow="1" w:lastRow="0" w:firstColumn="1" w:lastColumn="0" w:noHBand="0" w:noVBand="1"/>
      </w:tblPr>
      <w:tblGrid>
        <w:gridCol w:w="1686"/>
        <w:gridCol w:w="1852"/>
        <w:gridCol w:w="1694"/>
        <w:gridCol w:w="1748"/>
        <w:gridCol w:w="1818"/>
        <w:gridCol w:w="221"/>
      </w:tblGrid>
      <w:tr w:rsidR="002A5C40" w:rsidRPr="008516BA" w14:paraId="0E7D0222" w14:textId="77777777" w:rsidTr="002A5C40">
        <w:trPr>
          <w:gridAfter w:val="1"/>
          <w:wAfter w:w="123" w:type="pct"/>
          <w:trHeight w:val="688"/>
          <w:jc w:val="center"/>
        </w:trPr>
        <w:tc>
          <w:tcPr>
            <w:tcW w:w="935" w:type="pct"/>
            <w:tcBorders>
              <w:top w:val="single" w:sz="4" w:space="0" w:color="auto"/>
              <w:left w:val="single" w:sz="4" w:space="0" w:color="auto"/>
              <w:bottom w:val="single" w:sz="4" w:space="0" w:color="auto"/>
              <w:right w:val="single" w:sz="4" w:space="0" w:color="auto"/>
            </w:tcBorders>
            <w:vAlign w:val="center"/>
            <w:hideMark/>
          </w:tcPr>
          <w:p w14:paraId="02FFFF1C"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Key Partnerships</w:t>
            </w:r>
          </w:p>
        </w:tc>
        <w:tc>
          <w:tcPr>
            <w:tcW w:w="1027" w:type="pct"/>
            <w:tcBorders>
              <w:top w:val="single" w:sz="4" w:space="0" w:color="auto"/>
              <w:left w:val="nil"/>
              <w:bottom w:val="single" w:sz="4" w:space="0" w:color="auto"/>
              <w:right w:val="single" w:sz="4" w:space="0" w:color="auto"/>
            </w:tcBorders>
            <w:vAlign w:val="center"/>
            <w:hideMark/>
          </w:tcPr>
          <w:p w14:paraId="31EA88F3"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Key Activities</w:t>
            </w:r>
          </w:p>
        </w:tc>
        <w:tc>
          <w:tcPr>
            <w:tcW w:w="939" w:type="pct"/>
            <w:tcBorders>
              <w:top w:val="single" w:sz="4" w:space="0" w:color="auto"/>
              <w:left w:val="nil"/>
              <w:bottom w:val="single" w:sz="4" w:space="0" w:color="auto"/>
              <w:right w:val="single" w:sz="4" w:space="0" w:color="auto"/>
            </w:tcBorders>
            <w:vAlign w:val="center"/>
            <w:hideMark/>
          </w:tcPr>
          <w:p w14:paraId="0D949977"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Value Propositions</w:t>
            </w:r>
          </w:p>
        </w:tc>
        <w:tc>
          <w:tcPr>
            <w:tcW w:w="969" w:type="pct"/>
            <w:tcBorders>
              <w:top w:val="single" w:sz="4" w:space="0" w:color="auto"/>
              <w:left w:val="nil"/>
              <w:bottom w:val="single" w:sz="4" w:space="0" w:color="auto"/>
              <w:right w:val="single" w:sz="4" w:space="0" w:color="auto"/>
            </w:tcBorders>
            <w:vAlign w:val="center"/>
            <w:hideMark/>
          </w:tcPr>
          <w:p w14:paraId="18D023C7"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Customer Relationships</w:t>
            </w:r>
          </w:p>
        </w:tc>
        <w:tc>
          <w:tcPr>
            <w:tcW w:w="1008" w:type="pct"/>
            <w:tcBorders>
              <w:top w:val="single" w:sz="4" w:space="0" w:color="auto"/>
              <w:left w:val="nil"/>
              <w:bottom w:val="single" w:sz="4" w:space="0" w:color="auto"/>
              <w:right w:val="single" w:sz="4" w:space="0" w:color="auto"/>
            </w:tcBorders>
            <w:vAlign w:val="center"/>
            <w:hideMark/>
          </w:tcPr>
          <w:p w14:paraId="03F94FF4"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Customer Segments</w:t>
            </w:r>
          </w:p>
        </w:tc>
      </w:tr>
      <w:tr w:rsidR="002A5C40" w:rsidRPr="008516BA" w14:paraId="2375C61C" w14:textId="77777777" w:rsidTr="002A5C40">
        <w:trPr>
          <w:gridAfter w:val="1"/>
          <w:wAfter w:w="123" w:type="pct"/>
          <w:trHeight w:val="439"/>
          <w:jc w:val="center"/>
        </w:trPr>
        <w:tc>
          <w:tcPr>
            <w:tcW w:w="935" w:type="pct"/>
            <w:vMerge w:val="restart"/>
            <w:tcBorders>
              <w:top w:val="nil"/>
              <w:left w:val="single" w:sz="4" w:space="0" w:color="auto"/>
              <w:bottom w:val="single" w:sz="4" w:space="0" w:color="auto"/>
              <w:right w:val="single" w:sz="4" w:space="0" w:color="auto"/>
            </w:tcBorders>
            <w:shd w:val="clear" w:color="000000" w:fill="D0D0D0"/>
            <w:vAlign w:val="center"/>
            <w:hideMark/>
          </w:tcPr>
          <w:p w14:paraId="6CC7988F" w14:textId="77777777" w:rsidR="002A5C40" w:rsidRPr="008516BA" w:rsidRDefault="002A5C40" w:rsidP="00943020">
            <w:pPr>
              <w:pStyle w:val="ListParagraph"/>
              <w:numPr>
                <w:ilvl w:val="0"/>
                <w:numId w:val="7"/>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Component and technology suppliers</w:t>
            </w:r>
          </w:p>
          <w:p w14:paraId="4034875B" w14:textId="77777777" w:rsidR="002A5C40" w:rsidRPr="008516BA" w:rsidRDefault="002A5C40" w:rsidP="00943020">
            <w:pPr>
              <w:pStyle w:val="ListParagraph"/>
              <w:numPr>
                <w:ilvl w:val="0"/>
                <w:numId w:val="7"/>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Dealers and service partners</w:t>
            </w:r>
          </w:p>
          <w:p w14:paraId="3A398CFE" w14:textId="77777777" w:rsidR="002A5C40" w:rsidRPr="008516BA" w:rsidRDefault="002A5C40" w:rsidP="00943020">
            <w:pPr>
              <w:pStyle w:val="ListParagraph"/>
              <w:numPr>
                <w:ilvl w:val="0"/>
                <w:numId w:val="7"/>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Tata Group ecosystem</w:t>
            </w:r>
          </w:p>
          <w:p w14:paraId="4CE2CB6F" w14:textId="77777777" w:rsidR="002A5C40" w:rsidRPr="008516BA" w:rsidRDefault="002A5C40" w:rsidP="00943020">
            <w:pPr>
              <w:pStyle w:val="ListParagraph"/>
              <w:numPr>
                <w:ilvl w:val="0"/>
                <w:numId w:val="7"/>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Government and mobility partners</w:t>
            </w:r>
          </w:p>
        </w:tc>
        <w:tc>
          <w:tcPr>
            <w:tcW w:w="1027" w:type="pct"/>
            <w:vMerge w:val="restart"/>
            <w:tcBorders>
              <w:top w:val="nil"/>
              <w:left w:val="single" w:sz="4" w:space="0" w:color="auto"/>
              <w:bottom w:val="single" w:sz="4" w:space="0" w:color="auto"/>
              <w:right w:val="single" w:sz="4" w:space="0" w:color="auto"/>
            </w:tcBorders>
            <w:shd w:val="clear" w:color="000000" w:fill="DAE9F8"/>
            <w:vAlign w:val="center"/>
            <w:hideMark/>
          </w:tcPr>
          <w:p w14:paraId="33A32F07" w14:textId="77777777" w:rsidR="002A5C40" w:rsidRPr="008516BA" w:rsidRDefault="002A5C40" w:rsidP="00943020">
            <w:pPr>
              <w:pStyle w:val="ListParagraph"/>
              <w:numPr>
                <w:ilvl w:val="0"/>
                <w:numId w:val="6"/>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Vehicle design and engineering</w:t>
            </w:r>
          </w:p>
          <w:p w14:paraId="164FE0E2" w14:textId="77777777" w:rsidR="002A5C40" w:rsidRPr="008516BA" w:rsidRDefault="002A5C40" w:rsidP="00943020">
            <w:pPr>
              <w:pStyle w:val="ListParagraph"/>
              <w:numPr>
                <w:ilvl w:val="0"/>
                <w:numId w:val="6"/>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Manufacturing and assembly</w:t>
            </w:r>
          </w:p>
          <w:p w14:paraId="11730091" w14:textId="77777777" w:rsidR="002A5C40" w:rsidRPr="008516BA" w:rsidRDefault="002A5C40" w:rsidP="00943020">
            <w:pPr>
              <w:pStyle w:val="ListParagraph"/>
              <w:numPr>
                <w:ilvl w:val="0"/>
                <w:numId w:val="6"/>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R&amp;D and innovation</w:t>
            </w:r>
          </w:p>
          <w:p w14:paraId="03E97294" w14:textId="77777777" w:rsidR="002A5C40" w:rsidRPr="008516BA" w:rsidRDefault="002A5C40" w:rsidP="00943020">
            <w:pPr>
              <w:pStyle w:val="ListParagraph"/>
              <w:numPr>
                <w:ilvl w:val="0"/>
                <w:numId w:val="6"/>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Digital mobility services</w:t>
            </w:r>
          </w:p>
        </w:tc>
        <w:tc>
          <w:tcPr>
            <w:tcW w:w="939" w:type="pct"/>
            <w:vMerge w:val="restart"/>
            <w:tcBorders>
              <w:top w:val="nil"/>
              <w:left w:val="single" w:sz="4" w:space="0" w:color="auto"/>
              <w:bottom w:val="single" w:sz="4" w:space="0" w:color="auto"/>
              <w:right w:val="single" w:sz="4" w:space="0" w:color="auto"/>
            </w:tcBorders>
            <w:shd w:val="clear" w:color="000000" w:fill="C0E6F5"/>
            <w:vAlign w:val="center"/>
            <w:hideMark/>
          </w:tcPr>
          <w:p w14:paraId="2DDD3836" w14:textId="77777777" w:rsidR="002A5C40" w:rsidRPr="008516BA" w:rsidRDefault="002A5C40" w:rsidP="00943020">
            <w:pPr>
              <w:pStyle w:val="ListParagraph"/>
              <w:numPr>
                <w:ilvl w:val="0"/>
                <w:numId w:val="5"/>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Reliable commercial mobility</w:t>
            </w:r>
          </w:p>
          <w:p w14:paraId="1AC23C0C" w14:textId="77777777" w:rsidR="002A5C40" w:rsidRPr="008516BA" w:rsidRDefault="002A5C40" w:rsidP="00943020">
            <w:pPr>
              <w:pStyle w:val="ListParagraph"/>
              <w:numPr>
                <w:ilvl w:val="0"/>
                <w:numId w:val="5"/>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Lower total cost of ownership</w:t>
            </w:r>
          </w:p>
          <w:p w14:paraId="28865654" w14:textId="77777777" w:rsidR="002A5C40" w:rsidRPr="008516BA" w:rsidRDefault="002A5C40" w:rsidP="00943020">
            <w:pPr>
              <w:pStyle w:val="ListParagraph"/>
              <w:numPr>
                <w:ilvl w:val="0"/>
                <w:numId w:val="5"/>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Safety and operational efficiency</w:t>
            </w:r>
          </w:p>
          <w:p w14:paraId="44AA904F" w14:textId="77777777" w:rsidR="002A5C40" w:rsidRPr="008516BA" w:rsidRDefault="002A5C40" w:rsidP="00943020">
            <w:pPr>
              <w:pStyle w:val="ListParagraph"/>
              <w:numPr>
                <w:ilvl w:val="0"/>
                <w:numId w:val="5"/>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Connected and digital solutions</w:t>
            </w:r>
          </w:p>
          <w:p w14:paraId="5E6EFE97" w14:textId="77777777" w:rsidR="002A5C40" w:rsidRPr="008516BA" w:rsidRDefault="002A5C40" w:rsidP="00943020">
            <w:pPr>
              <w:pStyle w:val="ListParagraph"/>
              <w:numPr>
                <w:ilvl w:val="0"/>
                <w:numId w:val="5"/>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Sustainable, future-ready mobility</w:t>
            </w:r>
          </w:p>
        </w:tc>
        <w:tc>
          <w:tcPr>
            <w:tcW w:w="969" w:type="pct"/>
            <w:vMerge w:val="restart"/>
            <w:tcBorders>
              <w:top w:val="nil"/>
              <w:left w:val="single" w:sz="4" w:space="0" w:color="auto"/>
              <w:bottom w:val="single" w:sz="4" w:space="0" w:color="auto"/>
              <w:right w:val="single" w:sz="4" w:space="0" w:color="auto"/>
            </w:tcBorders>
            <w:shd w:val="clear" w:color="000000" w:fill="FBE2D5"/>
            <w:vAlign w:val="center"/>
            <w:hideMark/>
          </w:tcPr>
          <w:p w14:paraId="6329C32A" w14:textId="77777777" w:rsidR="002A5C40" w:rsidRPr="008516BA" w:rsidRDefault="002A5C40" w:rsidP="00943020">
            <w:pPr>
              <w:pStyle w:val="ListParagraph"/>
              <w:numPr>
                <w:ilvl w:val="0"/>
                <w:numId w:val="4"/>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After-sales support</w:t>
            </w:r>
          </w:p>
          <w:p w14:paraId="54311A11" w14:textId="77777777" w:rsidR="002A5C40" w:rsidRPr="008516BA" w:rsidRDefault="002A5C40" w:rsidP="00943020">
            <w:pPr>
              <w:pStyle w:val="ListParagraph"/>
              <w:numPr>
                <w:ilvl w:val="0"/>
                <w:numId w:val="4"/>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Fleet management solutions</w:t>
            </w:r>
          </w:p>
          <w:p w14:paraId="7AC1E905" w14:textId="77777777" w:rsidR="002A5C40" w:rsidRPr="008516BA" w:rsidRDefault="002A5C40" w:rsidP="00943020">
            <w:pPr>
              <w:pStyle w:val="ListParagraph"/>
              <w:numPr>
                <w:ilvl w:val="0"/>
                <w:numId w:val="4"/>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Digital customer engagement</w:t>
            </w:r>
          </w:p>
          <w:p w14:paraId="7C1565C4" w14:textId="77777777" w:rsidR="002A5C40" w:rsidRPr="008516BA" w:rsidRDefault="002A5C40" w:rsidP="00943020">
            <w:pPr>
              <w:pStyle w:val="ListParagraph"/>
              <w:numPr>
                <w:ilvl w:val="0"/>
                <w:numId w:val="4"/>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Long-term service relationships</w:t>
            </w:r>
          </w:p>
        </w:tc>
        <w:tc>
          <w:tcPr>
            <w:tcW w:w="1008" w:type="pct"/>
            <w:vMerge w:val="restart"/>
            <w:tcBorders>
              <w:top w:val="nil"/>
              <w:left w:val="single" w:sz="4" w:space="0" w:color="auto"/>
              <w:bottom w:val="single" w:sz="4" w:space="0" w:color="auto"/>
              <w:right w:val="single" w:sz="4" w:space="0" w:color="auto"/>
            </w:tcBorders>
            <w:shd w:val="clear" w:color="000000" w:fill="C1F0C8"/>
            <w:vAlign w:val="center"/>
            <w:hideMark/>
          </w:tcPr>
          <w:p w14:paraId="5BEE0145" w14:textId="77777777" w:rsidR="002A5C40" w:rsidRPr="008516BA" w:rsidRDefault="002A5C40" w:rsidP="00943020">
            <w:pPr>
              <w:pStyle w:val="ListParagraph"/>
              <w:numPr>
                <w:ilvl w:val="0"/>
                <w:numId w:val="3"/>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Fleet operators</w:t>
            </w:r>
          </w:p>
          <w:p w14:paraId="54B391A7" w14:textId="77777777" w:rsidR="002A5C40" w:rsidRPr="008516BA" w:rsidRDefault="002A5C40" w:rsidP="00943020">
            <w:pPr>
              <w:pStyle w:val="ListParagraph"/>
              <w:numPr>
                <w:ilvl w:val="0"/>
                <w:numId w:val="3"/>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Logistics companies</w:t>
            </w:r>
          </w:p>
          <w:p w14:paraId="07E7887E" w14:textId="77777777" w:rsidR="002A5C40" w:rsidRPr="008516BA" w:rsidRDefault="002A5C40" w:rsidP="00943020">
            <w:pPr>
              <w:pStyle w:val="ListParagraph"/>
              <w:numPr>
                <w:ilvl w:val="0"/>
                <w:numId w:val="3"/>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Small entrepreneurs</w:t>
            </w:r>
          </w:p>
          <w:p w14:paraId="586BEE90" w14:textId="77777777" w:rsidR="002A5C40" w:rsidRPr="008516BA" w:rsidRDefault="002A5C40" w:rsidP="00943020">
            <w:pPr>
              <w:pStyle w:val="ListParagraph"/>
              <w:numPr>
                <w:ilvl w:val="0"/>
                <w:numId w:val="3"/>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Public transport agencies</w:t>
            </w:r>
          </w:p>
          <w:p w14:paraId="3FABEB45" w14:textId="77777777" w:rsidR="002A5C40" w:rsidRPr="008516BA" w:rsidRDefault="002A5C40" w:rsidP="00943020">
            <w:pPr>
              <w:pStyle w:val="ListParagraph"/>
              <w:numPr>
                <w:ilvl w:val="0"/>
                <w:numId w:val="3"/>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Institutional buyers</w:t>
            </w:r>
          </w:p>
          <w:p w14:paraId="416D918E" w14:textId="77777777" w:rsidR="002A5C40" w:rsidRPr="008516BA" w:rsidRDefault="002A5C40" w:rsidP="00943020">
            <w:pPr>
              <w:pStyle w:val="ListParagraph"/>
              <w:numPr>
                <w:ilvl w:val="0"/>
                <w:numId w:val="3"/>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International customers</w:t>
            </w:r>
          </w:p>
        </w:tc>
      </w:tr>
      <w:tr w:rsidR="002A5C40" w:rsidRPr="008516BA" w14:paraId="4D8FC3D3"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783DEB9F"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7A852F97"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627FA55F"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55F80E8B"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2852CCF4"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0B8D7A0C"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r>
      <w:tr w:rsidR="002A5C40" w:rsidRPr="008516BA" w14:paraId="750A1D56"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1F58489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18E5F259"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488EEEDD"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2E6E6668"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5C5B809E"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3D620943"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37CE0654"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20146FD2"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4B127D44"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1F5C7977"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39AC82F4"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2A289160"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715DD555"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0515A6ED"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75D5A672"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205F4CC4"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0310BDAB"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34490105"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6FB8E3A0"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2301548F"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7B7CE4CE"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2AB195AF"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tcBorders>
              <w:top w:val="nil"/>
              <w:left w:val="nil"/>
              <w:bottom w:val="single" w:sz="4" w:space="0" w:color="auto"/>
              <w:right w:val="single" w:sz="4" w:space="0" w:color="auto"/>
            </w:tcBorders>
            <w:vAlign w:val="center"/>
            <w:hideMark/>
          </w:tcPr>
          <w:p w14:paraId="79C82E44"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Key Resources</w:t>
            </w:r>
          </w:p>
        </w:tc>
        <w:tc>
          <w:tcPr>
            <w:tcW w:w="939" w:type="pct"/>
            <w:vMerge/>
            <w:tcBorders>
              <w:top w:val="nil"/>
              <w:left w:val="single" w:sz="4" w:space="0" w:color="auto"/>
              <w:bottom w:val="single" w:sz="4" w:space="0" w:color="auto"/>
              <w:right w:val="single" w:sz="4" w:space="0" w:color="auto"/>
            </w:tcBorders>
            <w:vAlign w:val="center"/>
            <w:hideMark/>
          </w:tcPr>
          <w:p w14:paraId="0FA3E2C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tcBorders>
              <w:top w:val="nil"/>
              <w:left w:val="nil"/>
              <w:bottom w:val="single" w:sz="4" w:space="0" w:color="auto"/>
              <w:right w:val="single" w:sz="4" w:space="0" w:color="auto"/>
            </w:tcBorders>
            <w:vAlign w:val="center"/>
            <w:hideMark/>
          </w:tcPr>
          <w:p w14:paraId="1D400B12"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Channels</w:t>
            </w:r>
          </w:p>
        </w:tc>
        <w:tc>
          <w:tcPr>
            <w:tcW w:w="1008" w:type="pct"/>
            <w:vMerge/>
            <w:tcBorders>
              <w:top w:val="nil"/>
              <w:left w:val="single" w:sz="4" w:space="0" w:color="auto"/>
              <w:bottom w:val="single" w:sz="4" w:space="0" w:color="auto"/>
              <w:right w:val="single" w:sz="4" w:space="0" w:color="auto"/>
            </w:tcBorders>
            <w:vAlign w:val="center"/>
            <w:hideMark/>
          </w:tcPr>
          <w:p w14:paraId="3CF5610B"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vAlign w:val="center"/>
            <w:hideMark/>
          </w:tcPr>
          <w:p w14:paraId="2C98C2FB"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2EB70761" w14:textId="77777777" w:rsidTr="002A5C40">
        <w:trPr>
          <w:trHeight w:val="269"/>
          <w:jc w:val="center"/>
        </w:trPr>
        <w:tc>
          <w:tcPr>
            <w:tcW w:w="935" w:type="pct"/>
            <w:vMerge/>
            <w:tcBorders>
              <w:top w:val="nil"/>
              <w:left w:val="single" w:sz="4" w:space="0" w:color="auto"/>
              <w:bottom w:val="single" w:sz="4" w:space="0" w:color="auto"/>
              <w:right w:val="single" w:sz="4" w:space="0" w:color="auto"/>
            </w:tcBorders>
            <w:vAlign w:val="center"/>
            <w:hideMark/>
          </w:tcPr>
          <w:p w14:paraId="0162B9F0"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val="restart"/>
            <w:tcBorders>
              <w:top w:val="nil"/>
              <w:left w:val="single" w:sz="4" w:space="0" w:color="auto"/>
              <w:bottom w:val="single" w:sz="4" w:space="0" w:color="auto"/>
              <w:right w:val="single" w:sz="4" w:space="0" w:color="auto"/>
            </w:tcBorders>
            <w:shd w:val="clear" w:color="000000" w:fill="F2CEEF"/>
            <w:vAlign w:val="center"/>
            <w:hideMark/>
          </w:tcPr>
          <w:p w14:paraId="4383CC7B"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11 manufacturing facilities</w:t>
            </w:r>
          </w:p>
          <w:p w14:paraId="32486F8A"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3 R&amp;D centres</w:t>
            </w:r>
          </w:p>
          <w:p w14:paraId="1FEBD2CF"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Skilled workforce</w:t>
            </w:r>
          </w:p>
          <w:p w14:paraId="3503023A"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Tata brand and intellectual property</w:t>
            </w:r>
          </w:p>
        </w:tc>
        <w:tc>
          <w:tcPr>
            <w:tcW w:w="939" w:type="pct"/>
            <w:vMerge/>
            <w:tcBorders>
              <w:top w:val="nil"/>
              <w:left w:val="single" w:sz="4" w:space="0" w:color="auto"/>
              <w:bottom w:val="single" w:sz="4" w:space="0" w:color="auto"/>
              <w:right w:val="single" w:sz="4" w:space="0" w:color="auto"/>
            </w:tcBorders>
            <w:vAlign w:val="center"/>
            <w:hideMark/>
          </w:tcPr>
          <w:p w14:paraId="4F79394B"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val="restart"/>
            <w:tcBorders>
              <w:top w:val="nil"/>
              <w:left w:val="single" w:sz="4" w:space="0" w:color="auto"/>
              <w:bottom w:val="single" w:sz="4" w:space="0" w:color="auto"/>
              <w:right w:val="single" w:sz="4" w:space="0" w:color="auto"/>
            </w:tcBorders>
            <w:shd w:val="clear" w:color="000000" w:fill="CAEDFB"/>
            <w:vAlign w:val="center"/>
            <w:hideMark/>
          </w:tcPr>
          <w:p w14:paraId="7897E45C"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Dealer network</w:t>
            </w:r>
          </w:p>
          <w:p w14:paraId="76208FC2"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Service centres</w:t>
            </w:r>
          </w:p>
          <w:p w14:paraId="5A380CDF"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Digital platforms</w:t>
            </w:r>
          </w:p>
          <w:p w14:paraId="3352A98B" w14:textId="77777777" w:rsidR="002A5C40" w:rsidRPr="008516BA" w:rsidRDefault="002A5C40" w:rsidP="00943020">
            <w:pPr>
              <w:pStyle w:val="ListParagraph"/>
              <w:numPr>
                <w:ilvl w:val="0"/>
                <w:numId w:val="2"/>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Direct institutional channels</w:t>
            </w:r>
          </w:p>
        </w:tc>
        <w:tc>
          <w:tcPr>
            <w:tcW w:w="1008" w:type="pct"/>
            <w:vMerge/>
            <w:tcBorders>
              <w:top w:val="nil"/>
              <w:left w:val="single" w:sz="4" w:space="0" w:color="auto"/>
              <w:bottom w:val="single" w:sz="4" w:space="0" w:color="auto"/>
              <w:right w:val="single" w:sz="4" w:space="0" w:color="auto"/>
            </w:tcBorders>
            <w:vAlign w:val="center"/>
            <w:hideMark/>
          </w:tcPr>
          <w:p w14:paraId="053F0DDF"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vAlign w:val="center"/>
            <w:hideMark/>
          </w:tcPr>
          <w:p w14:paraId="5F03C55A"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72EA86F6"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3EA2ED7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0B7D47F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603EEF73"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6975005E"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489BFE13"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236EF645"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r>
      <w:tr w:rsidR="002A5C40" w:rsidRPr="008516BA" w14:paraId="30C9E497"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2A4879A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3970309F"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200610A4"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23B924FE"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10CCEDB5"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20C7EC88"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620EB4B8" w14:textId="77777777" w:rsidTr="002A5C40">
        <w:trPr>
          <w:trHeight w:val="288"/>
          <w:jc w:val="center"/>
        </w:trPr>
        <w:tc>
          <w:tcPr>
            <w:tcW w:w="935" w:type="pct"/>
            <w:vMerge/>
            <w:tcBorders>
              <w:top w:val="nil"/>
              <w:left w:val="single" w:sz="4" w:space="0" w:color="auto"/>
              <w:bottom w:val="single" w:sz="4" w:space="0" w:color="auto"/>
              <w:right w:val="single" w:sz="4" w:space="0" w:color="auto"/>
            </w:tcBorders>
            <w:vAlign w:val="center"/>
            <w:hideMark/>
          </w:tcPr>
          <w:p w14:paraId="4C533DC3"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27" w:type="pct"/>
            <w:vMerge/>
            <w:tcBorders>
              <w:top w:val="nil"/>
              <w:left w:val="single" w:sz="4" w:space="0" w:color="auto"/>
              <w:bottom w:val="single" w:sz="4" w:space="0" w:color="auto"/>
              <w:right w:val="single" w:sz="4" w:space="0" w:color="auto"/>
            </w:tcBorders>
            <w:vAlign w:val="center"/>
            <w:hideMark/>
          </w:tcPr>
          <w:p w14:paraId="30753191"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39" w:type="pct"/>
            <w:vMerge/>
            <w:tcBorders>
              <w:top w:val="nil"/>
              <w:left w:val="single" w:sz="4" w:space="0" w:color="auto"/>
              <w:bottom w:val="single" w:sz="4" w:space="0" w:color="auto"/>
              <w:right w:val="single" w:sz="4" w:space="0" w:color="auto"/>
            </w:tcBorders>
            <w:vAlign w:val="center"/>
            <w:hideMark/>
          </w:tcPr>
          <w:p w14:paraId="1AFB4558"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969" w:type="pct"/>
            <w:vMerge/>
            <w:tcBorders>
              <w:top w:val="nil"/>
              <w:left w:val="single" w:sz="4" w:space="0" w:color="auto"/>
              <w:bottom w:val="single" w:sz="4" w:space="0" w:color="auto"/>
              <w:right w:val="single" w:sz="4" w:space="0" w:color="auto"/>
            </w:tcBorders>
            <w:vAlign w:val="center"/>
            <w:hideMark/>
          </w:tcPr>
          <w:p w14:paraId="34A00741"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008" w:type="pct"/>
            <w:vMerge/>
            <w:tcBorders>
              <w:top w:val="nil"/>
              <w:left w:val="single" w:sz="4" w:space="0" w:color="auto"/>
              <w:bottom w:val="single" w:sz="4" w:space="0" w:color="auto"/>
              <w:right w:val="single" w:sz="4" w:space="0" w:color="auto"/>
            </w:tcBorders>
            <w:vAlign w:val="center"/>
            <w:hideMark/>
          </w:tcPr>
          <w:p w14:paraId="7A430A9F"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78FB76EF"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1E2944A9" w14:textId="77777777" w:rsidTr="002A5C40">
        <w:trPr>
          <w:trHeight w:val="288"/>
          <w:jc w:val="center"/>
        </w:trPr>
        <w:tc>
          <w:tcPr>
            <w:tcW w:w="1961" w:type="pct"/>
            <w:gridSpan w:val="2"/>
            <w:tcBorders>
              <w:top w:val="single" w:sz="4" w:space="0" w:color="auto"/>
              <w:left w:val="single" w:sz="4" w:space="0" w:color="auto"/>
              <w:bottom w:val="single" w:sz="4" w:space="0" w:color="auto"/>
              <w:right w:val="single" w:sz="4" w:space="0" w:color="auto"/>
            </w:tcBorders>
            <w:vAlign w:val="center"/>
            <w:hideMark/>
          </w:tcPr>
          <w:p w14:paraId="6937E775"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Cost Structure</w:t>
            </w:r>
          </w:p>
        </w:tc>
        <w:tc>
          <w:tcPr>
            <w:tcW w:w="2916" w:type="pct"/>
            <w:gridSpan w:val="3"/>
            <w:tcBorders>
              <w:top w:val="single" w:sz="4" w:space="0" w:color="auto"/>
              <w:left w:val="nil"/>
              <w:bottom w:val="single" w:sz="4" w:space="0" w:color="auto"/>
              <w:right w:val="single" w:sz="4" w:space="0" w:color="auto"/>
            </w:tcBorders>
            <w:vAlign w:val="center"/>
            <w:hideMark/>
          </w:tcPr>
          <w:p w14:paraId="20B773EF" w14:textId="77777777" w:rsidR="002A5C40" w:rsidRPr="008516BA" w:rsidRDefault="002A5C40" w:rsidP="00943020">
            <w:pPr>
              <w:spacing w:line="360" w:lineRule="auto"/>
              <w:jc w:val="center"/>
              <w:rPr>
                <w:rFonts w:ascii="Aptos Narrow" w:eastAsia="Times New Roman" w:hAnsi="Aptos Narrow" w:cs="Times New Roman"/>
                <w:b/>
                <w:bCs/>
                <w:color w:val="000000"/>
                <w:sz w:val="24"/>
                <w:szCs w:val="24"/>
                <w:lang w:eastAsia="en-IN"/>
              </w:rPr>
            </w:pPr>
            <w:r w:rsidRPr="008516BA">
              <w:rPr>
                <w:rFonts w:ascii="Aptos Narrow" w:eastAsia="Times New Roman" w:hAnsi="Aptos Narrow" w:cs="Times New Roman"/>
                <w:b/>
                <w:bCs/>
                <w:color w:val="000000"/>
                <w:sz w:val="24"/>
                <w:szCs w:val="24"/>
                <w:lang w:eastAsia="en-IN"/>
              </w:rPr>
              <w:t>Revenue Streams</w:t>
            </w:r>
          </w:p>
        </w:tc>
        <w:tc>
          <w:tcPr>
            <w:tcW w:w="123" w:type="pct"/>
            <w:vAlign w:val="center"/>
            <w:hideMark/>
          </w:tcPr>
          <w:p w14:paraId="38E7580A"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46AEAFB9" w14:textId="77777777" w:rsidTr="002A5C40">
        <w:trPr>
          <w:trHeight w:val="288"/>
          <w:jc w:val="center"/>
        </w:trPr>
        <w:tc>
          <w:tcPr>
            <w:tcW w:w="1961" w:type="pct"/>
            <w:gridSpan w:val="2"/>
            <w:vMerge w:val="restart"/>
            <w:tcBorders>
              <w:top w:val="single" w:sz="4" w:space="0" w:color="auto"/>
              <w:left w:val="single" w:sz="4" w:space="0" w:color="auto"/>
              <w:bottom w:val="single" w:sz="4" w:space="0" w:color="auto"/>
              <w:right w:val="single" w:sz="4" w:space="0" w:color="auto"/>
            </w:tcBorders>
            <w:shd w:val="clear" w:color="000000" w:fill="DAF2D0"/>
            <w:vAlign w:val="center"/>
            <w:hideMark/>
          </w:tcPr>
          <w:p w14:paraId="303BD6BF"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Manufacturing and materials</w:t>
            </w:r>
          </w:p>
          <w:p w14:paraId="02AA1E94"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R&amp;D expenditure</w:t>
            </w:r>
          </w:p>
          <w:p w14:paraId="5363C84A"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Technology investment</w:t>
            </w:r>
          </w:p>
          <w:p w14:paraId="3607A563"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Distribution and servicing</w:t>
            </w:r>
          </w:p>
          <w:p w14:paraId="5E60A406"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Workforce and operating costs</w:t>
            </w:r>
          </w:p>
        </w:tc>
        <w:tc>
          <w:tcPr>
            <w:tcW w:w="2916" w:type="pct"/>
            <w:gridSpan w:val="3"/>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C816AF3"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Vehicle sales</w:t>
            </w:r>
          </w:p>
          <w:p w14:paraId="4BF0ADEA"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Spare parts and services</w:t>
            </w:r>
          </w:p>
          <w:p w14:paraId="6B4CC857"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Connected and digital solutions</w:t>
            </w:r>
          </w:p>
          <w:p w14:paraId="7BAEA5BE"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Mobility services</w:t>
            </w:r>
          </w:p>
          <w:p w14:paraId="761958D7" w14:textId="77777777" w:rsidR="002A5C40" w:rsidRPr="008516BA" w:rsidRDefault="002A5C40" w:rsidP="00943020">
            <w:pPr>
              <w:pStyle w:val="ListParagraph"/>
              <w:numPr>
                <w:ilvl w:val="0"/>
                <w:numId w:val="1"/>
              </w:numPr>
              <w:spacing w:line="360" w:lineRule="auto"/>
              <w:jc w:val="both"/>
              <w:rPr>
                <w:rFonts w:ascii="Aptos Narrow" w:eastAsia="Times New Roman" w:hAnsi="Aptos Narrow" w:cs="Times New Roman"/>
                <w:color w:val="000000"/>
                <w:sz w:val="24"/>
                <w:szCs w:val="24"/>
                <w:lang w:eastAsia="en-IN"/>
              </w:rPr>
            </w:pPr>
            <w:r w:rsidRPr="008516BA">
              <w:rPr>
                <w:rFonts w:ascii="Aptos Narrow" w:eastAsia="Times New Roman" w:hAnsi="Aptos Narrow" w:cs="Times New Roman"/>
                <w:color w:val="000000"/>
                <w:sz w:val="24"/>
                <w:szCs w:val="24"/>
                <w:lang w:eastAsia="en-IN"/>
              </w:rPr>
              <w:t>International sales</w:t>
            </w:r>
          </w:p>
        </w:tc>
        <w:tc>
          <w:tcPr>
            <w:tcW w:w="123" w:type="pct"/>
            <w:vAlign w:val="center"/>
            <w:hideMark/>
          </w:tcPr>
          <w:p w14:paraId="457222D2"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06F87E5B" w14:textId="77777777" w:rsidTr="002A5C40">
        <w:trPr>
          <w:trHeight w:val="288"/>
          <w:jc w:val="center"/>
        </w:trPr>
        <w:tc>
          <w:tcPr>
            <w:tcW w:w="1961" w:type="pct"/>
            <w:gridSpan w:val="2"/>
            <w:vMerge/>
            <w:tcBorders>
              <w:top w:val="single" w:sz="4" w:space="0" w:color="auto"/>
              <w:left w:val="single" w:sz="4" w:space="0" w:color="auto"/>
              <w:bottom w:val="single" w:sz="4" w:space="0" w:color="auto"/>
              <w:right w:val="single" w:sz="4" w:space="0" w:color="auto"/>
            </w:tcBorders>
            <w:vAlign w:val="center"/>
            <w:hideMark/>
          </w:tcPr>
          <w:p w14:paraId="36983974"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2916" w:type="pct"/>
            <w:gridSpan w:val="3"/>
            <w:vMerge/>
            <w:tcBorders>
              <w:top w:val="single" w:sz="4" w:space="0" w:color="auto"/>
              <w:left w:val="single" w:sz="4" w:space="0" w:color="auto"/>
              <w:bottom w:val="single" w:sz="4" w:space="0" w:color="auto"/>
              <w:right w:val="single" w:sz="4" w:space="0" w:color="auto"/>
            </w:tcBorders>
            <w:vAlign w:val="center"/>
            <w:hideMark/>
          </w:tcPr>
          <w:p w14:paraId="08E0EA8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379269FA"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r>
      <w:tr w:rsidR="002A5C40" w:rsidRPr="008516BA" w14:paraId="2B04F37A" w14:textId="77777777" w:rsidTr="002A5C40">
        <w:trPr>
          <w:trHeight w:val="288"/>
          <w:jc w:val="center"/>
        </w:trPr>
        <w:tc>
          <w:tcPr>
            <w:tcW w:w="1961" w:type="pct"/>
            <w:gridSpan w:val="2"/>
            <w:vMerge/>
            <w:tcBorders>
              <w:top w:val="single" w:sz="4" w:space="0" w:color="auto"/>
              <w:left w:val="single" w:sz="4" w:space="0" w:color="auto"/>
              <w:bottom w:val="single" w:sz="4" w:space="0" w:color="auto"/>
              <w:right w:val="single" w:sz="4" w:space="0" w:color="auto"/>
            </w:tcBorders>
            <w:vAlign w:val="center"/>
            <w:hideMark/>
          </w:tcPr>
          <w:p w14:paraId="06141712"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2916" w:type="pct"/>
            <w:gridSpan w:val="3"/>
            <w:vMerge/>
            <w:tcBorders>
              <w:top w:val="single" w:sz="4" w:space="0" w:color="auto"/>
              <w:left w:val="single" w:sz="4" w:space="0" w:color="auto"/>
              <w:bottom w:val="single" w:sz="4" w:space="0" w:color="auto"/>
              <w:right w:val="single" w:sz="4" w:space="0" w:color="auto"/>
            </w:tcBorders>
            <w:vAlign w:val="center"/>
            <w:hideMark/>
          </w:tcPr>
          <w:p w14:paraId="4BC5AEE2"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79D2E76B"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5FBE8C33" w14:textId="77777777" w:rsidTr="002A5C40">
        <w:trPr>
          <w:trHeight w:val="288"/>
          <w:jc w:val="center"/>
        </w:trPr>
        <w:tc>
          <w:tcPr>
            <w:tcW w:w="1961" w:type="pct"/>
            <w:gridSpan w:val="2"/>
            <w:vMerge/>
            <w:tcBorders>
              <w:top w:val="single" w:sz="4" w:space="0" w:color="auto"/>
              <w:left w:val="single" w:sz="4" w:space="0" w:color="auto"/>
              <w:bottom w:val="single" w:sz="4" w:space="0" w:color="auto"/>
              <w:right w:val="single" w:sz="4" w:space="0" w:color="auto"/>
            </w:tcBorders>
            <w:vAlign w:val="center"/>
            <w:hideMark/>
          </w:tcPr>
          <w:p w14:paraId="77FD4FAE"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2916" w:type="pct"/>
            <w:gridSpan w:val="3"/>
            <w:vMerge/>
            <w:tcBorders>
              <w:top w:val="single" w:sz="4" w:space="0" w:color="auto"/>
              <w:left w:val="single" w:sz="4" w:space="0" w:color="auto"/>
              <w:bottom w:val="single" w:sz="4" w:space="0" w:color="auto"/>
              <w:right w:val="single" w:sz="4" w:space="0" w:color="auto"/>
            </w:tcBorders>
            <w:vAlign w:val="center"/>
            <w:hideMark/>
          </w:tcPr>
          <w:p w14:paraId="4BE6C789"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6F81C063"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r w:rsidR="002A5C40" w:rsidRPr="008516BA" w14:paraId="7140F121" w14:textId="77777777" w:rsidTr="002A5C40">
        <w:trPr>
          <w:trHeight w:val="288"/>
          <w:jc w:val="center"/>
        </w:trPr>
        <w:tc>
          <w:tcPr>
            <w:tcW w:w="1961" w:type="pct"/>
            <w:gridSpan w:val="2"/>
            <w:vMerge/>
            <w:tcBorders>
              <w:top w:val="single" w:sz="4" w:space="0" w:color="auto"/>
              <w:left w:val="single" w:sz="4" w:space="0" w:color="auto"/>
              <w:bottom w:val="single" w:sz="4" w:space="0" w:color="auto"/>
              <w:right w:val="single" w:sz="4" w:space="0" w:color="auto"/>
            </w:tcBorders>
            <w:vAlign w:val="center"/>
            <w:hideMark/>
          </w:tcPr>
          <w:p w14:paraId="2C1572A5"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2916" w:type="pct"/>
            <w:gridSpan w:val="3"/>
            <w:vMerge/>
            <w:tcBorders>
              <w:top w:val="single" w:sz="4" w:space="0" w:color="auto"/>
              <w:left w:val="single" w:sz="4" w:space="0" w:color="auto"/>
              <w:bottom w:val="single" w:sz="4" w:space="0" w:color="auto"/>
              <w:right w:val="single" w:sz="4" w:space="0" w:color="auto"/>
            </w:tcBorders>
            <w:vAlign w:val="center"/>
            <w:hideMark/>
          </w:tcPr>
          <w:p w14:paraId="4DDBEFEB" w14:textId="77777777" w:rsidR="002A5C40" w:rsidRPr="008516BA" w:rsidRDefault="002A5C40" w:rsidP="00943020">
            <w:pPr>
              <w:spacing w:line="360" w:lineRule="auto"/>
              <w:jc w:val="both"/>
              <w:rPr>
                <w:rFonts w:ascii="Aptos Narrow" w:eastAsia="Times New Roman" w:hAnsi="Aptos Narrow" w:cs="Times New Roman"/>
                <w:color w:val="000000"/>
                <w:sz w:val="24"/>
                <w:szCs w:val="24"/>
                <w:lang w:eastAsia="en-IN"/>
              </w:rPr>
            </w:pPr>
          </w:p>
        </w:tc>
        <w:tc>
          <w:tcPr>
            <w:tcW w:w="123" w:type="pct"/>
            <w:tcBorders>
              <w:top w:val="nil"/>
              <w:left w:val="nil"/>
              <w:bottom w:val="nil"/>
              <w:right w:val="nil"/>
            </w:tcBorders>
            <w:noWrap/>
            <w:vAlign w:val="bottom"/>
            <w:hideMark/>
          </w:tcPr>
          <w:p w14:paraId="098FEB42" w14:textId="77777777" w:rsidR="002A5C40" w:rsidRPr="008516BA" w:rsidRDefault="002A5C40" w:rsidP="00943020">
            <w:pPr>
              <w:spacing w:line="360" w:lineRule="auto"/>
              <w:jc w:val="both"/>
              <w:rPr>
                <w:rFonts w:ascii="Times New Roman" w:eastAsia="Times New Roman" w:hAnsi="Times New Roman" w:cs="Times New Roman"/>
                <w:sz w:val="24"/>
                <w:szCs w:val="24"/>
                <w:lang w:eastAsia="en-IN"/>
              </w:rPr>
            </w:pPr>
          </w:p>
        </w:tc>
      </w:tr>
    </w:tbl>
    <w:p w14:paraId="3D714EDD" w14:textId="77777777" w:rsidR="002A5C40" w:rsidRPr="002D0FB8" w:rsidRDefault="002A5C40" w:rsidP="002A5C40">
      <w:pPr>
        <w:spacing w:after="160" w:line="360" w:lineRule="auto"/>
        <w:jc w:val="center"/>
        <w:rPr>
          <w:sz w:val="24"/>
          <w:szCs w:val="24"/>
        </w:rPr>
      </w:pPr>
      <w:r w:rsidRPr="002D0FB8">
        <w:rPr>
          <w:sz w:val="24"/>
          <w:szCs w:val="24"/>
        </w:rPr>
        <w:t>(Source: Self-Created)</w:t>
      </w:r>
    </w:p>
    <w:p w14:paraId="2083CAC3" w14:textId="57617ADC" w:rsidR="00475999" w:rsidRDefault="00475999" w:rsidP="001C2D9B">
      <w:pPr>
        <w:pStyle w:val="Heading2"/>
      </w:pPr>
      <w:bookmarkStart w:id="46" w:name="_Toc237437451"/>
      <w:r>
        <w:t>Appendix 2:</w:t>
      </w:r>
      <w:r w:rsidR="002A5C40">
        <w:t xml:space="preserve"> </w:t>
      </w:r>
      <w:r w:rsidR="002A5C40" w:rsidRPr="002A5C40">
        <w:t>Key Tata Motors and EV Supporting</w:t>
      </w:r>
      <w:bookmarkEnd w:id="46"/>
    </w:p>
    <w:tbl>
      <w:tblPr>
        <w:tblStyle w:val="TableGrid"/>
        <w:tblW w:w="5000" w:type="pct"/>
        <w:jc w:val="center"/>
        <w:tblLook w:val="04A0" w:firstRow="1" w:lastRow="0" w:firstColumn="1" w:lastColumn="0" w:noHBand="0" w:noVBand="1"/>
      </w:tblPr>
      <w:tblGrid>
        <w:gridCol w:w="2354"/>
        <w:gridCol w:w="6665"/>
      </w:tblGrid>
      <w:tr w:rsidR="002A5C40" w:rsidRPr="002A5C40" w14:paraId="1EB31561" w14:textId="77777777" w:rsidTr="002A5C40">
        <w:trPr>
          <w:jc w:val="center"/>
        </w:trPr>
        <w:tc>
          <w:tcPr>
            <w:tcW w:w="1305" w:type="pct"/>
            <w:hideMark/>
          </w:tcPr>
          <w:p w14:paraId="28F4BAE7" w14:textId="4B5B682A" w:rsidR="002A5C40" w:rsidRPr="002A5C40" w:rsidRDefault="002A5C40" w:rsidP="002A5C40">
            <w:pPr>
              <w:spacing w:before="200" w:after="200" w:line="360" w:lineRule="auto"/>
              <w:jc w:val="center"/>
              <w:rPr>
                <w:rFonts w:eastAsia="Times New Roman"/>
                <w:b/>
                <w:bCs/>
                <w:sz w:val="24"/>
                <w:szCs w:val="24"/>
                <w:lang w:val="en-IN"/>
              </w:rPr>
            </w:pPr>
            <w:r w:rsidRPr="002A5C40">
              <w:rPr>
                <w:rFonts w:eastAsia="Times New Roman"/>
                <w:b/>
                <w:bCs/>
                <w:sz w:val="24"/>
                <w:szCs w:val="24"/>
                <w:lang w:val="en-IN"/>
              </w:rPr>
              <w:t>Area</w:t>
            </w:r>
          </w:p>
        </w:tc>
        <w:tc>
          <w:tcPr>
            <w:tcW w:w="3695" w:type="pct"/>
            <w:hideMark/>
          </w:tcPr>
          <w:p w14:paraId="4FB2F022" w14:textId="77777777" w:rsidR="002A5C40" w:rsidRPr="002A5C40" w:rsidRDefault="002A5C40" w:rsidP="002A5C40">
            <w:pPr>
              <w:spacing w:before="200" w:after="200" w:line="360" w:lineRule="auto"/>
              <w:jc w:val="center"/>
              <w:rPr>
                <w:rFonts w:eastAsia="Times New Roman"/>
                <w:b/>
                <w:bCs/>
                <w:sz w:val="24"/>
                <w:szCs w:val="24"/>
                <w:lang w:val="en-IN"/>
              </w:rPr>
            </w:pPr>
            <w:r w:rsidRPr="002A5C40">
              <w:rPr>
                <w:rFonts w:eastAsia="Times New Roman"/>
                <w:b/>
                <w:bCs/>
                <w:sz w:val="24"/>
                <w:szCs w:val="24"/>
                <w:lang w:val="en-IN"/>
              </w:rPr>
              <w:t>Key Information Used in the Report</w:t>
            </w:r>
          </w:p>
        </w:tc>
      </w:tr>
      <w:tr w:rsidR="002A5C40" w:rsidRPr="002A5C40" w14:paraId="28CC9BE3" w14:textId="77777777" w:rsidTr="002A5C40">
        <w:trPr>
          <w:jc w:val="center"/>
        </w:trPr>
        <w:tc>
          <w:tcPr>
            <w:tcW w:w="1305" w:type="pct"/>
            <w:hideMark/>
          </w:tcPr>
          <w:p w14:paraId="5747F996"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Tata Motors scale</w:t>
            </w:r>
          </w:p>
        </w:tc>
        <w:tc>
          <w:tcPr>
            <w:tcW w:w="3695" w:type="pct"/>
            <w:hideMark/>
          </w:tcPr>
          <w:p w14:paraId="7F3ED70A"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435,227 vehicles sold in FY26</w:t>
            </w:r>
          </w:p>
        </w:tc>
      </w:tr>
      <w:tr w:rsidR="002A5C40" w:rsidRPr="002A5C40" w14:paraId="3DF83E82" w14:textId="77777777" w:rsidTr="002A5C40">
        <w:trPr>
          <w:jc w:val="center"/>
        </w:trPr>
        <w:tc>
          <w:tcPr>
            <w:tcW w:w="1305" w:type="pct"/>
            <w:hideMark/>
          </w:tcPr>
          <w:p w14:paraId="4C8513AE"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Revenue</w:t>
            </w:r>
          </w:p>
        </w:tc>
        <w:tc>
          <w:tcPr>
            <w:tcW w:w="3695" w:type="pct"/>
            <w:hideMark/>
          </w:tcPr>
          <w:p w14:paraId="2850C73D"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₹83,855 crore in FY26</w:t>
            </w:r>
          </w:p>
        </w:tc>
      </w:tr>
      <w:tr w:rsidR="002A5C40" w:rsidRPr="002A5C40" w14:paraId="6252CC49" w14:textId="77777777" w:rsidTr="002A5C40">
        <w:trPr>
          <w:jc w:val="center"/>
        </w:trPr>
        <w:tc>
          <w:tcPr>
            <w:tcW w:w="1305" w:type="pct"/>
            <w:hideMark/>
          </w:tcPr>
          <w:p w14:paraId="7782E8C6"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R&amp;D investment</w:t>
            </w:r>
          </w:p>
        </w:tc>
        <w:tc>
          <w:tcPr>
            <w:tcW w:w="3695" w:type="pct"/>
            <w:hideMark/>
          </w:tcPr>
          <w:p w14:paraId="7428F52E"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₹1,767 crore</w:t>
            </w:r>
          </w:p>
        </w:tc>
      </w:tr>
      <w:tr w:rsidR="002A5C40" w:rsidRPr="002A5C40" w14:paraId="039BCDB8" w14:textId="77777777" w:rsidTr="002A5C40">
        <w:trPr>
          <w:jc w:val="center"/>
        </w:trPr>
        <w:tc>
          <w:tcPr>
            <w:tcW w:w="1305" w:type="pct"/>
            <w:hideMark/>
          </w:tcPr>
          <w:p w14:paraId="1D73FFFD"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HCV market position</w:t>
            </w:r>
          </w:p>
        </w:tc>
        <w:tc>
          <w:tcPr>
            <w:tcW w:w="3695" w:type="pct"/>
            <w:hideMark/>
          </w:tcPr>
          <w:p w14:paraId="06303CDE"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55% market share</w:t>
            </w:r>
          </w:p>
        </w:tc>
      </w:tr>
      <w:tr w:rsidR="002A5C40" w:rsidRPr="002A5C40" w14:paraId="65F92A2D" w14:textId="77777777" w:rsidTr="002A5C40">
        <w:trPr>
          <w:jc w:val="center"/>
        </w:trPr>
        <w:tc>
          <w:tcPr>
            <w:tcW w:w="1305" w:type="pct"/>
            <w:hideMark/>
          </w:tcPr>
          <w:p w14:paraId="0B2FC0BF"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Tata EV position</w:t>
            </w:r>
          </w:p>
        </w:tc>
        <w:tc>
          <w:tcPr>
            <w:tcW w:w="3695" w:type="pct"/>
            <w:hideMark/>
          </w:tcPr>
          <w:p w14:paraId="42021C01"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55.4% FY25 EV market share</w:t>
            </w:r>
          </w:p>
        </w:tc>
      </w:tr>
      <w:tr w:rsidR="002A5C40" w:rsidRPr="002A5C40" w14:paraId="04634325" w14:textId="77777777" w:rsidTr="002A5C40">
        <w:trPr>
          <w:jc w:val="center"/>
        </w:trPr>
        <w:tc>
          <w:tcPr>
            <w:tcW w:w="1305" w:type="pct"/>
            <w:hideMark/>
          </w:tcPr>
          <w:p w14:paraId="22D3FC0E"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Indian EV market</w:t>
            </w:r>
          </w:p>
        </w:tc>
        <w:tc>
          <w:tcPr>
            <w:tcW w:w="3695" w:type="pct"/>
            <w:hideMark/>
          </w:tcPr>
          <w:p w14:paraId="39797AA8"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Electric-car sales grew 75% in 2025</w:t>
            </w:r>
          </w:p>
        </w:tc>
      </w:tr>
      <w:tr w:rsidR="002A5C40" w:rsidRPr="002A5C40" w14:paraId="00E6553C" w14:textId="77777777" w:rsidTr="002A5C40">
        <w:trPr>
          <w:jc w:val="center"/>
        </w:trPr>
        <w:tc>
          <w:tcPr>
            <w:tcW w:w="1305" w:type="pct"/>
            <w:hideMark/>
          </w:tcPr>
          <w:p w14:paraId="6F139A2F"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Charging infrastructure</w:t>
            </w:r>
          </w:p>
        </w:tc>
        <w:tc>
          <w:tcPr>
            <w:tcW w:w="3695" w:type="pct"/>
            <w:hideMark/>
          </w:tcPr>
          <w:p w14:paraId="5E0F02AB"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52,718 public charging stations in India by July 2026</w:t>
            </w:r>
          </w:p>
        </w:tc>
      </w:tr>
      <w:tr w:rsidR="002A5C40" w:rsidRPr="002A5C40" w14:paraId="476194EF" w14:textId="77777777" w:rsidTr="002A5C40">
        <w:trPr>
          <w:jc w:val="center"/>
        </w:trPr>
        <w:tc>
          <w:tcPr>
            <w:tcW w:w="1305" w:type="pct"/>
            <w:hideMark/>
          </w:tcPr>
          <w:p w14:paraId="1F607C9F"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Government support</w:t>
            </w:r>
          </w:p>
        </w:tc>
        <w:tc>
          <w:tcPr>
            <w:tcW w:w="3695" w:type="pct"/>
            <w:hideMark/>
          </w:tcPr>
          <w:p w14:paraId="53999E7A"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PM E-DRIVE programme has ₹10,900 crore policy outlay</w:t>
            </w:r>
          </w:p>
        </w:tc>
      </w:tr>
      <w:tr w:rsidR="002A5C40" w:rsidRPr="002A5C40" w14:paraId="4E702207" w14:textId="77777777" w:rsidTr="002A5C40">
        <w:trPr>
          <w:jc w:val="center"/>
        </w:trPr>
        <w:tc>
          <w:tcPr>
            <w:tcW w:w="1305" w:type="pct"/>
            <w:hideMark/>
          </w:tcPr>
          <w:p w14:paraId="059B787C"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Sustainability</w:t>
            </w:r>
          </w:p>
        </w:tc>
        <w:tc>
          <w:tcPr>
            <w:tcW w:w="3695" w:type="pct"/>
            <w:hideMark/>
          </w:tcPr>
          <w:p w14:paraId="3869D07D"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Passenger-vehicle business targets net-zero greenhouse-gas emissions by 2040</w:t>
            </w:r>
          </w:p>
        </w:tc>
      </w:tr>
      <w:tr w:rsidR="002A5C40" w:rsidRPr="002A5C40" w14:paraId="21667D22" w14:textId="77777777" w:rsidTr="002A5C40">
        <w:trPr>
          <w:jc w:val="center"/>
        </w:trPr>
        <w:tc>
          <w:tcPr>
            <w:tcW w:w="1305" w:type="pct"/>
            <w:hideMark/>
          </w:tcPr>
          <w:p w14:paraId="3ED63F7C" w14:textId="77777777" w:rsidR="002A5C40" w:rsidRPr="00AD4D98" w:rsidRDefault="002A5C40" w:rsidP="002A5C40">
            <w:pPr>
              <w:spacing w:before="200" w:after="200" w:line="360" w:lineRule="auto"/>
              <w:jc w:val="both"/>
              <w:rPr>
                <w:rFonts w:eastAsia="Times New Roman"/>
                <w:b/>
                <w:bCs/>
                <w:sz w:val="24"/>
                <w:szCs w:val="24"/>
                <w:lang w:val="en-IN"/>
              </w:rPr>
            </w:pPr>
            <w:r w:rsidRPr="00AD4D98">
              <w:rPr>
                <w:rFonts w:eastAsia="Times New Roman"/>
                <w:b/>
                <w:bCs/>
                <w:sz w:val="24"/>
                <w:szCs w:val="24"/>
                <w:lang w:val="en-IN"/>
              </w:rPr>
              <w:t>Renewable energy</w:t>
            </w:r>
          </w:p>
        </w:tc>
        <w:tc>
          <w:tcPr>
            <w:tcW w:w="3695" w:type="pct"/>
            <w:hideMark/>
          </w:tcPr>
          <w:p w14:paraId="3C4E42D3"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Target of 100% renewable electricity consumption by 2030</w:t>
            </w:r>
          </w:p>
        </w:tc>
      </w:tr>
    </w:tbl>
    <w:p w14:paraId="73DB4B14" w14:textId="3C3A9297" w:rsidR="002A5C40" w:rsidRPr="002A5C40" w:rsidRDefault="002A5C40" w:rsidP="002A5C40">
      <w:pPr>
        <w:spacing w:before="200" w:after="200" w:line="360" w:lineRule="auto"/>
        <w:jc w:val="center"/>
        <w:rPr>
          <w:rFonts w:eastAsia="Times New Roman"/>
          <w:sz w:val="24"/>
          <w:szCs w:val="24"/>
          <w:lang w:val="en-IN"/>
        </w:rPr>
      </w:pPr>
      <w:r w:rsidRPr="002A5C40">
        <w:rPr>
          <w:rFonts w:eastAsia="Times New Roman"/>
          <w:sz w:val="24"/>
          <w:szCs w:val="24"/>
          <w:lang w:val="en-IN"/>
        </w:rPr>
        <w:t>(Source: Tata Motors, 2026)</w:t>
      </w:r>
    </w:p>
    <w:p w14:paraId="5138B935" w14:textId="77777777" w:rsidR="001C2D9B" w:rsidRDefault="001C2D9B">
      <w:pPr>
        <w:spacing w:before="200" w:after="200" w:line="360" w:lineRule="auto"/>
        <w:jc w:val="both"/>
        <w:rPr>
          <w:rFonts w:eastAsia="Times New Roman"/>
          <w:sz w:val="24"/>
          <w:szCs w:val="24"/>
        </w:rPr>
      </w:pPr>
    </w:p>
    <w:p w14:paraId="0B5A18C8" w14:textId="3029BA32" w:rsidR="00475999" w:rsidRDefault="00475999" w:rsidP="001C2D9B">
      <w:pPr>
        <w:pStyle w:val="Heading2"/>
      </w:pPr>
      <w:bookmarkStart w:id="47" w:name="_Toc237437452"/>
      <w:r>
        <w:t xml:space="preserve">Appendix 3: </w:t>
      </w:r>
      <w:r w:rsidRPr="00475999">
        <w:t>A</w:t>
      </w:r>
      <w:r>
        <w:t>I</w:t>
      </w:r>
      <w:r w:rsidRPr="00475999">
        <w:t xml:space="preserve"> use acknowledgement</w:t>
      </w:r>
      <w:bookmarkEnd w:id="47"/>
    </w:p>
    <w:tbl>
      <w:tblPr>
        <w:tblStyle w:val="TableGrid"/>
        <w:tblW w:w="5000" w:type="pct"/>
        <w:jc w:val="center"/>
        <w:tblLook w:val="04A0" w:firstRow="1" w:lastRow="0" w:firstColumn="1" w:lastColumn="0" w:noHBand="0" w:noVBand="1"/>
      </w:tblPr>
      <w:tblGrid>
        <w:gridCol w:w="1524"/>
        <w:gridCol w:w="7495"/>
      </w:tblGrid>
      <w:tr w:rsidR="002A5C40" w:rsidRPr="002A5C40" w14:paraId="2780F626" w14:textId="77777777" w:rsidTr="002A5C40">
        <w:trPr>
          <w:jc w:val="center"/>
        </w:trPr>
        <w:tc>
          <w:tcPr>
            <w:tcW w:w="845" w:type="pct"/>
            <w:hideMark/>
          </w:tcPr>
          <w:p w14:paraId="6DC3B731" w14:textId="77777777" w:rsidR="002A5C40" w:rsidRPr="002A5C40" w:rsidRDefault="002A5C40" w:rsidP="002A5C40">
            <w:pPr>
              <w:spacing w:before="200" w:after="200" w:line="360" w:lineRule="auto"/>
              <w:jc w:val="both"/>
              <w:rPr>
                <w:rFonts w:eastAsia="Times New Roman"/>
                <w:b/>
                <w:bCs/>
                <w:sz w:val="24"/>
                <w:szCs w:val="24"/>
                <w:lang w:val="en-IN"/>
              </w:rPr>
            </w:pPr>
            <w:r w:rsidRPr="002A5C40">
              <w:rPr>
                <w:rFonts w:eastAsia="Times New Roman"/>
                <w:b/>
                <w:bCs/>
                <w:sz w:val="24"/>
                <w:szCs w:val="24"/>
                <w:lang w:val="en-IN"/>
              </w:rPr>
              <w:t>Item</w:t>
            </w:r>
          </w:p>
        </w:tc>
        <w:tc>
          <w:tcPr>
            <w:tcW w:w="4155" w:type="pct"/>
            <w:hideMark/>
          </w:tcPr>
          <w:p w14:paraId="0857B32A" w14:textId="77777777" w:rsidR="002A5C40" w:rsidRPr="002A5C40" w:rsidRDefault="002A5C40" w:rsidP="002A5C40">
            <w:pPr>
              <w:spacing w:before="200" w:after="200" w:line="360" w:lineRule="auto"/>
              <w:jc w:val="both"/>
              <w:rPr>
                <w:rFonts w:eastAsia="Times New Roman"/>
                <w:b/>
                <w:bCs/>
                <w:sz w:val="24"/>
                <w:szCs w:val="24"/>
                <w:lang w:val="en-IN"/>
              </w:rPr>
            </w:pPr>
            <w:r w:rsidRPr="002A5C40">
              <w:rPr>
                <w:rFonts w:eastAsia="Times New Roman"/>
                <w:b/>
                <w:bCs/>
                <w:sz w:val="24"/>
                <w:szCs w:val="24"/>
                <w:lang w:val="en-IN"/>
              </w:rPr>
              <w:t>AI Use Acknowledgement</w:t>
            </w:r>
          </w:p>
        </w:tc>
      </w:tr>
      <w:tr w:rsidR="002A5C40" w:rsidRPr="002A5C40" w14:paraId="44200E19" w14:textId="77777777" w:rsidTr="002A5C40">
        <w:trPr>
          <w:jc w:val="center"/>
        </w:trPr>
        <w:tc>
          <w:tcPr>
            <w:tcW w:w="845" w:type="pct"/>
            <w:hideMark/>
          </w:tcPr>
          <w:p w14:paraId="196FE9DF"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AI Tool</w:t>
            </w:r>
          </w:p>
        </w:tc>
        <w:tc>
          <w:tcPr>
            <w:tcW w:w="4155" w:type="pct"/>
            <w:hideMark/>
          </w:tcPr>
          <w:p w14:paraId="756BD039"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ChatGPT</w:t>
            </w:r>
          </w:p>
        </w:tc>
      </w:tr>
      <w:tr w:rsidR="002A5C40" w:rsidRPr="002A5C40" w14:paraId="25E5377B" w14:textId="77777777" w:rsidTr="002A5C40">
        <w:trPr>
          <w:jc w:val="center"/>
        </w:trPr>
        <w:tc>
          <w:tcPr>
            <w:tcW w:w="845" w:type="pct"/>
            <w:hideMark/>
          </w:tcPr>
          <w:p w14:paraId="1CC9A46F"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Date Used</w:t>
            </w:r>
          </w:p>
        </w:tc>
        <w:tc>
          <w:tcPr>
            <w:tcW w:w="4155" w:type="pct"/>
            <w:hideMark/>
          </w:tcPr>
          <w:p w14:paraId="7EB5F782" w14:textId="1870E024" w:rsidR="002A5C40" w:rsidRPr="002A5C40" w:rsidRDefault="002A5C40" w:rsidP="002A5C40">
            <w:pPr>
              <w:spacing w:before="200" w:after="200" w:line="360" w:lineRule="auto"/>
              <w:jc w:val="both"/>
              <w:rPr>
                <w:rFonts w:eastAsia="Times New Roman"/>
                <w:sz w:val="24"/>
                <w:szCs w:val="24"/>
                <w:lang w:val="en-IN"/>
              </w:rPr>
            </w:pPr>
            <w:r>
              <w:rPr>
                <w:rFonts w:eastAsia="Times New Roman"/>
                <w:sz w:val="24"/>
                <w:szCs w:val="24"/>
                <w:lang w:val="en-IN"/>
              </w:rPr>
              <w:t xml:space="preserve">10 </w:t>
            </w:r>
            <w:r w:rsidRPr="002A5C40">
              <w:rPr>
                <w:rFonts w:eastAsia="Times New Roman"/>
                <w:sz w:val="24"/>
                <w:szCs w:val="24"/>
                <w:lang w:val="en-IN"/>
              </w:rPr>
              <w:t>August 2026</w:t>
            </w:r>
          </w:p>
        </w:tc>
      </w:tr>
      <w:tr w:rsidR="002A5C40" w:rsidRPr="002A5C40" w14:paraId="474A087A" w14:textId="77777777" w:rsidTr="002A5C40">
        <w:trPr>
          <w:jc w:val="center"/>
        </w:trPr>
        <w:tc>
          <w:tcPr>
            <w:tcW w:w="845" w:type="pct"/>
            <w:hideMark/>
          </w:tcPr>
          <w:p w14:paraId="658E29E5"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Purpose</w:t>
            </w:r>
          </w:p>
        </w:tc>
        <w:tc>
          <w:tcPr>
            <w:tcW w:w="4155" w:type="pct"/>
            <w:hideMark/>
          </w:tcPr>
          <w:p w14:paraId="19EA2995"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I used ChatGPT to support the structuring and presentation of my Strategic Management assignment, including organising information into appropriate sections and strategic-management frameworks.</w:t>
            </w:r>
          </w:p>
        </w:tc>
      </w:tr>
      <w:tr w:rsidR="002A5C40" w:rsidRPr="002A5C40" w14:paraId="0E1D7E23" w14:textId="77777777" w:rsidTr="002A5C40">
        <w:trPr>
          <w:jc w:val="center"/>
        </w:trPr>
        <w:tc>
          <w:tcPr>
            <w:tcW w:w="845" w:type="pct"/>
            <w:hideMark/>
          </w:tcPr>
          <w:p w14:paraId="7E3417DE"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Prompt 1</w:t>
            </w:r>
          </w:p>
        </w:tc>
        <w:tc>
          <w:tcPr>
            <w:tcW w:w="4155" w:type="pct"/>
            <w:hideMark/>
          </w:tcPr>
          <w:p w14:paraId="2F84A0E7"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“Analyse the assessment brief and provide an appropriate structure for the Strategic Management report.”</w:t>
            </w:r>
          </w:p>
        </w:tc>
      </w:tr>
      <w:tr w:rsidR="002A5C40" w:rsidRPr="002A5C40" w14:paraId="00439D0C" w14:textId="77777777" w:rsidTr="002A5C40">
        <w:trPr>
          <w:jc w:val="center"/>
        </w:trPr>
        <w:tc>
          <w:tcPr>
            <w:tcW w:w="845" w:type="pct"/>
            <w:hideMark/>
          </w:tcPr>
          <w:p w14:paraId="1C7CAB61"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Prompt 2</w:t>
            </w:r>
          </w:p>
        </w:tc>
        <w:tc>
          <w:tcPr>
            <w:tcW w:w="4155" w:type="pct"/>
            <w:hideMark/>
          </w:tcPr>
          <w:p w14:paraId="75C77796"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“Organise the Tata Motors strategic analysis using PESTEL, Porter’s Five Forces, VRIO and SWOT frameworks.”</w:t>
            </w:r>
          </w:p>
        </w:tc>
      </w:tr>
      <w:tr w:rsidR="002A5C40" w:rsidRPr="002A5C40" w14:paraId="76A2A788" w14:textId="77777777" w:rsidTr="002A5C40">
        <w:trPr>
          <w:jc w:val="center"/>
        </w:trPr>
        <w:tc>
          <w:tcPr>
            <w:tcW w:w="845" w:type="pct"/>
            <w:hideMark/>
          </w:tcPr>
          <w:p w14:paraId="3CEC8A09"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Prompt 3</w:t>
            </w:r>
          </w:p>
        </w:tc>
        <w:tc>
          <w:tcPr>
            <w:tcW w:w="4155" w:type="pct"/>
            <w:hideMark/>
          </w:tcPr>
          <w:p w14:paraId="59784958"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 xml:space="preserve">“Present the strategic options using the Ansoff Matrix, </w:t>
            </w:r>
            <w:proofErr w:type="spellStart"/>
            <w:r w:rsidRPr="002A5C40">
              <w:rPr>
                <w:rFonts w:eastAsia="Times New Roman"/>
                <w:sz w:val="24"/>
                <w:szCs w:val="24"/>
                <w:lang w:val="en-IN"/>
              </w:rPr>
              <w:t>SAFe</w:t>
            </w:r>
            <w:proofErr w:type="spellEnd"/>
            <w:r w:rsidRPr="002A5C40">
              <w:rPr>
                <w:rFonts w:eastAsia="Times New Roman"/>
                <w:sz w:val="24"/>
                <w:szCs w:val="24"/>
                <w:lang w:val="en-IN"/>
              </w:rPr>
              <w:t xml:space="preserve"> framework and Balanced Scorecard.”</w:t>
            </w:r>
          </w:p>
        </w:tc>
      </w:tr>
      <w:tr w:rsidR="002A5C40" w:rsidRPr="002A5C40" w14:paraId="4FE8208E" w14:textId="77777777" w:rsidTr="002A5C40">
        <w:trPr>
          <w:jc w:val="center"/>
        </w:trPr>
        <w:tc>
          <w:tcPr>
            <w:tcW w:w="845" w:type="pct"/>
            <w:hideMark/>
          </w:tcPr>
          <w:p w14:paraId="59020231"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Prompt 4</w:t>
            </w:r>
          </w:p>
        </w:tc>
        <w:tc>
          <w:tcPr>
            <w:tcW w:w="4155" w:type="pct"/>
            <w:hideMark/>
          </w:tcPr>
          <w:p w14:paraId="3D1B0052"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“Improve the clarity, structure and academic presentation of the provided content.”</w:t>
            </w:r>
          </w:p>
        </w:tc>
      </w:tr>
      <w:tr w:rsidR="002A5C40" w:rsidRPr="002A5C40" w14:paraId="2405DD6F" w14:textId="77777777" w:rsidTr="002A5C40">
        <w:trPr>
          <w:jc w:val="center"/>
        </w:trPr>
        <w:tc>
          <w:tcPr>
            <w:tcW w:w="845" w:type="pct"/>
            <w:hideMark/>
          </w:tcPr>
          <w:p w14:paraId="1735CE77"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b/>
                <w:bCs/>
                <w:sz w:val="24"/>
                <w:szCs w:val="24"/>
                <w:lang w:val="en-IN"/>
              </w:rPr>
              <w:t>Declaration</w:t>
            </w:r>
          </w:p>
        </w:tc>
        <w:tc>
          <w:tcPr>
            <w:tcW w:w="4155" w:type="pct"/>
            <w:hideMark/>
          </w:tcPr>
          <w:p w14:paraId="063E6DC5" w14:textId="77777777" w:rsidR="002A5C40" w:rsidRPr="002A5C40" w:rsidRDefault="002A5C40" w:rsidP="002A5C40">
            <w:pPr>
              <w:spacing w:before="200" w:after="200" w:line="360" w:lineRule="auto"/>
              <w:jc w:val="both"/>
              <w:rPr>
                <w:rFonts w:eastAsia="Times New Roman"/>
                <w:sz w:val="24"/>
                <w:szCs w:val="24"/>
                <w:lang w:val="en-IN"/>
              </w:rPr>
            </w:pPr>
            <w:r w:rsidRPr="002A5C40">
              <w:rPr>
                <w:rFonts w:eastAsia="Times New Roman"/>
                <w:sz w:val="24"/>
                <w:szCs w:val="24"/>
                <w:lang w:val="en-IN"/>
              </w:rPr>
              <w:t>I confirm that I have not presented any AI-generated text as my own work. I confirm that I have retained copies of my drafts, notes and other resources used before and after using AI tools, which I may be asked to provide as evidence.</w:t>
            </w:r>
          </w:p>
        </w:tc>
      </w:tr>
    </w:tbl>
    <w:p w14:paraId="1A5E5CF4" w14:textId="77777777" w:rsidR="002A5C40" w:rsidRPr="002D0FB8" w:rsidRDefault="002A5C40" w:rsidP="002A5C40">
      <w:pPr>
        <w:spacing w:after="160" w:line="360" w:lineRule="auto"/>
        <w:jc w:val="center"/>
        <w:rPr>
          <w:sz w:val="24"/>
          <w:szCs w:val="24"/>
        </w:rPr>
      </w:pPr>
      <w:r w:rsidRPr="002D0FB8">
        <w:rPr>
          <w:sz w:val="24"/>
          <w:szCs w:val="24"/>
        </w:rPr>
        <w:t>(Source: Self-Created)</w:t>
      </w:r>
    </w:p>
    <w:p w14:paraId="343C01BC" w14:textId="77777777" w:rsidR="001C2D9B" w:rsidRPr="007319A6" w:rsidRDefault="001C2D9B">
      <w:pPr>
        <w:spacing w:before="200" w:after="200" w:line="360" w:lineRule="auto"/>
        <w:jc w:val="both"/>
        <w:rPr>
          <w:rFonts w:eastAsia="Times New Roman"/>
          <w:sz w:val="24"/>
          <w:szCs w:val="24"/>
        </w:rPr>
      </w:pPr>
    </w:p>
    <w:p w14:paraId="5233B523" w14:textId="77777777" w:rsidR="00C436C2" w:rsidRPr="007319A6" w:rsidRDefault="00C436C2">
      <w:pPr>
        <w:spacing w:before="200" w:after="200" w:line="360" w:lineRule="auto"/>
        <w:jc w:val="both"/>
        <w:rPr>
          <w:rFonts w:eastAsia="Times New Roman"/>
          <w:sz w:val="24"/>
          <w:szCs w:val="24"/>
        </w:rPr>
      </w:pPr>
    </w:p>
    <w:p w14:paraId="24B8DB0E" w14:textId="77777777" w:rsidR="00C436C2" w:rsidRDefault="00C436C2">
      <w:pPr>
        <w:spacing w:before="200" w:after="200" w:line="360" w:lineRule="auto"/>
        <w:jc w:val="both"/>
        <w:rPr>
          <w:rFonts w:eastAsia="Times New Roman"/>
          <w:sz w:val="24"/>
          <w:szCs w:val="24"/>
        </w:rPr>
      </w:pPr>
    </w:p>
    <w:p w14:paraId="0A70F609" w14:textId="77777777" w:rsidR="0066780F" w:rsidRDefault="0066780F">
      <w:pPr>
        <w:spacing w:before="200" w:after="200" w:line="360" w:lineRule="auto"/>
        <w:jc w:val="both"/>
        <w:rPr>
          <w:rFonts w:eastAsia="Times New Roman"/>
          <w:sz w:val="24"/>
          <w:szCs w:val="24"/>
        </w:rPr>
      </w:pPr>
    </w:p>
    <w:p w14:paraId="26949BFC" w14:textId="77777777" w:rsidR="0066780F" w:rsidRDefault="0066780F">
      <w:pPr>
        <w:spacing w:before="200" w:after="200" w:line="360" w:lineRule="auto"/>
        <w:jc w:val="both"/>
        <w:rPr>
          <w:rFonts w:eastAsia="Times New Roman"/>
          <w:sz w:val="24"/>
          <w:szCs w:val="24"/>
        </w:rPr>
      </w:pPr>
    </w:p>
    <w:p w14:paraId="2276EB58" w14:textId="77777777" w:rsidR="0066780F" w:rsidRDefault="0066780F">
      <w:pPr>
        <w:spacing w:before="200" w:after="200" w:line="360" w:lineRule="auto"/>
        <w:jc w:val="both"/>
        <w:rPr>
          <w:rFonts w:eastAsia="Times New Roman"/>
          <w:sz w:val="24"/>
          <w:szCs w:val="24"/>
        </w:rPr>
      </w:pPr>
    </w:p>
    <w:p w14:paraId="7AE40348" w14:textId="77777777" w:rsidR="0066780F" w:rsidRDefault="0066780F">
      <w:pPr>
        <w:spacing w:before="200" w:after="200" w:line="360" w:lineRule="auto"/>
        <w:jc w:val="both"/>
        <w:rPr>
          <w:rFonts w:eastAsia="Times New Roman"/>
          <w:sz w:val="24"/>
          <w:szCs w:val="24"/>
        </w:rPr>
      </w:pPr>
    </w:p>
    <w:p w14:paraId="09E74462" w14:textId="787B89C6" w:rsidR="0066780F" w:rsidRDefault="0066780F">
      <w:pPr>
        <w:spacing w:before="200" w:after="200" w:line="360" w:lineRule="auto"/>
        <w:jc w:val="both"/>
        <w:rPr>
          <w:rFonts w:eastAsia="Times New Roman"/>
          <w:sz w:val="24"/>
          <w:szCs w:val="24"/>
        </w:rPr>
      </w:pPr>
    </w:p>
    <w:p w14:paraId="4599BF22" w14:textId="77777777" w:rsidR="0066780F" w:rsidRDefault="0066780F">
      <w:pPr>
        <w:spacing w:before="200" w:after="200" w:line="360" w:lineRule="auto"/>
        <w:jc w:val="both"/>
        <w:rPr>
          <w:rFonts w:eastAsia="Times New Roman"/>
          <w:sz w:val="24"/>
          <w:szCs w:val="24"/>
        </w:rPr>
      </w:pPr>
    </w:p>
    <w:p w14:paraId="45475311" w14:textId="77777777" w:rsidR="0066780F" w:rsidRDefault="0066780F">
      <w:pPr>
        <w:spacing w:before="200" w:after="200" w:line="360" w:lineRule="auto"/>
        <w:jc w:val="both"/>
        <w:rPr>
          <w:rFonts w:eastAsia="Times New Roman"/>
          <w:sz w:val="24"/>
          <w:szCs w:val="24"/>
        </w:rPr>
      </w:pPr>
    </w:p>
    <w:p w14:paraId="3072E242" w14:textId="77777777" w:rsidR="0066780F" w:rsidRDefault="0066780F">
      <w:pPr>
        <w:spacing w:before="200" w:after="200" w:line="360" w:lineRule="auto"/>
        <w:jc w:val="both"/>
        <w:rPr>
          <w:rFonts w:eastAsia="Times New Roman"/>
          <w:sz w:val="24"/>
          <w:szCs w:val="24"/>
        </w:rPr>
      </w:pPr>
    </w:p>
    <w:p w14:paraId="4BA41D6F" w14:textId="77777777" w:rsidR="0066780F" w:rsidRDefault="0066780F">
      <w:pPr>
        <w:spacing w:before="200" w:after="200" w:line="360" w:lineRule="auto"/>
        <w:jc w:val="both"/>
        <w:rPr>
          <w:rFonts w:eastAsia="Times New Roman"/>
          <w:sz w:val="24"/>
          <w:szCs w:val="24"/>
        </w:rPr>
      </w:pPr>
    </w:p>
    <w:p w14:paraId="05948C83" w14:textId="77777777" w:rsidR="0066780F" w:rsidRDefault="0066780F">
      <w:pPr>
        <w:spacing w:before="200" w:after="200" w:line="360" w:lineRule="auto"/>
        <w:jc w:val="both"/>
        <w:rPr>
          <w:rFonts w:eastAsia="Times New Roman"/>
          <w:sz w:val="24"/>
          <w:szCs w:val="24"/>
        </w:rPr>
      </w:pPr>
    </w:p>
    <w:p w14:paraId="42507786" w14:textId="77777777" w:rsidR="0066780F" w:rsidRDefault="0066780F">
      <w:pPr>
        <w:spacing w:before="200" w:after="200" w:line="360" w:lineRule="auto"/>
        <w:jc w:val="both"/>
        <w:rPr>
          <w:rFonts w:eastAsia="Times New Roman"/>
          <w:sz w:val="24"/>
          <w:szCs w:val="24"/>
        </w:rPr>
      </w:pPr>
    </w:p>
    <w:p w14:paraId="18AAC510" w14:textId="78F355AB" w:rsidR="0066780F" w:rsidRPr="007319A6" w:rsidRDefault="0066780F">
      <w:pPr>
        <w:spacing w:before="200" w:after="200" w:line="360" w:lineRule="auto"/>
        <w:jc w:val="both"/>
        <w:rPr>
          <w:rFonts w:eastAsia="Times New Roman"/>
          <w:sz w:val="24"/>
          <w:szCs w:val="24"/>
        </w:rPr>
      </w:pPr>
    </w:p>
    <w:sectPr w:rsidR="0066780F" w:rsidRPr="007319A6">
      <w:footerReference w:type="default" r:id="rId66"/>
      <w:headerReference w:type="first" r:id="rId67"/>
      <w:footerReference w:type="first" r:id="rId6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6AFAA" w14:textId="77777777" w:rsidR="00E047E1" w:rsidRDefault="00E047E1">
      <w:pPr>
        <w:spacing w:line="240" w:lineRule="auto"/>
      </w:pPr>
      <w:r>
        <w:separator/>
      </w:r>
    </w:p>
  </w:endnote>
  <w:endnote w:type="continuationSeparator" w:id="0">
    <w:p w14:paraId="6B81DB1B" w14:textId="77777777" w:rsidR="00E047E1" w:rsidRDefault="00E047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301675D3-0762-7A4B-9C3F-50DC77EC4A3D}"/>
  </w:font>
  <w:font w:name="Times New Roman">
    <w:panose1 w:val="02020603050405020304"/>
    <w:charset w:val="00"/>
    <w:family w:val="roman"/>
    <w:pitch w:val="variable"/>
    <w:sig w:usb0="E0002EFF" w:usb1="C000785B" w:usb2="00000009" w:usb3="00000000" w:csb0="000001FF" w:csb1="00000000"/>
    <w:embedRegular r:id="rId2" w:fontKey="{217F199D-6E65-994E-88A1-A60CC08EE9F2}"/>
    <w:embedBold r:id="rId3" w:fontKey="{71A6B09F-42CF-1E49-9DAD-4DF7869DBA66}"/>
    <w:embedItalic r:id="rId4" w:fontKey="{50550565-52E1-0E4C-996F-8D26C8772965}"/>
    <w:embedBoldItalic r:id="rId5" w:fontKey="{3D4977F5-A912-C84A-99DF-2C01D31669B5}"/>
  </w:font>
  <w:font w:name="Courier New">
    <w:panose1 w:val="02070309020205020404"/>
    <w:charset w:val="00"/>
    <w:family w:val="modern"/>
    <w:pitch w:val="fixed"/>
    <w:sig w:usb0="E0002AFF" w:usb1="C0007843" w:usb2="00000009" w:usb3="00000000" w:csb0="000001FF" w:csb1="00000000"/>
    <w:embedRegular r:id="rId6" w:fontKey="{4E2105D5-EEDA-804D-8255-760BCF6ACE8E}"/>
  </w:font>
  <w:font w:name="Wingdings">
    <w:panose1 w:val="05000000000000000000"/>
    <w:charset w:val="4D"/>
    <w:family w:val="decorative"/>
    <w:pitch w:val="variable"/>
    <w:sig w:usb0="00000003" w:usb1="00000000" w:usb2="00000000" w:usb3="00000000" w:csb0="80000001" w:csb1="00000000"/>
    <w:embedRegular r:id="rId7" w:fontKey="{AAB10642-CB59-B649-BE02-9DA85916C756}"/>
  </w:font>
  <w:font w:name="Arial">
    <w:panose1 w:val="020B0604020202020204"/>
    <w:charset w:val="00"/>
    <w:family w:val="swiss"/>
    <w:pitch w:val="variable"/>
    <w:sig w:usb0="E0002EFF" w:usb1="C000785B" w:usb2="00000009" w:usb3="00000000" w:csb0="000001FF" w:csb1="00000000"/>
    <w:embedRegular r:id="rId8" w:fontKey="{026F4523-6276-0246-976E-F5966043025D}"/>
    <w:embedBold r:id="rId9" w:fontKey="{90CA9452-B80A-0F4F-9A31-F1ACF8BEDB27}"/>
    <w:embedItalic r:id="rId10" w:fontKey="{3498660B-47C8-7548-9D44-DB49E560B3F2}"/>
    <w:embedBoldItalic r:id="rId11" w:fontKey="{8C17098F-FB4C-1042-AD89-33B789EA4D7F}"/>
  </w:font>
  <w:font w:name="Times">
    <w:charset w:val="00"/>
    <w:family w:val="roman"/>
    <w:pitch w:val="variable"/>
    <w:sig w:usb0="E0002EFF" w:usb1="C000785B" w:usb2="00000009" w:usb3="00000000" w:csb0="000001FF" w:csb1="00000000"/>
    <w:embedRegular r:id="rId12" w:fontKey="{21C80224-7E47-A84B-BE8F-11F87289B816}"/>
    <w:embedBold r:id="rId13" w:fontKey="{9FEBB2BA-4F69-CB44-A078-A75CC2ED8CFE}"/>
    <w:embedItalic r:id="rId14" w:fontKey="{0654FA8E-E6CD-0A48-B52C-BB7849EA86C8}"/>
  </w:font>
  <w:font w:name="Cambria">
    <w:panose1 w:val="02040503050406030204"/>
    <w:charset w:val="00"/>
    <w:family w:val="roman"/>
    <w:pitch w:val="variable"/>
    <w:sig w:usb0="E00002FF" w:usb1="400004FF" w:usb2="00000000" w:usb3="00000000" w:csb0="0000019F" w:csb1="00000000"/>
    <w:embedRegular r:id="rId15" w:fontKey="{BC321848-25B4-144B-BF92-3D9E4DEC6A7D}"/>
  </w:font>
  <w:font w:name="SimSun">
    <w:altName w:val="宋体"/>
    <w:panose1 w:val="02010600030101010101"/>
    <w:charset w:val="86"/>
    <w:family w:val="auto"/>
    <w:pitch w:val="variable"/>
    <w:sig w:usb0="00000203" w:usb1="288F0000" w:usb2="00000016" w:usb3="00000000" w:csb0="00040001" w:csb1="00000000"/>
  </w:font>
  <w:font w:name="Gungsuh">
    <w:panose1 w:val="02030600000101010101"/>
    <w:charset w:val="81"/>
    <w:family w:val="roman"/>
    <w:pitch w:val="variable"/>
    <w:sig w:usb0="B00002AF" w:usb1="69D77CFB" w:usb2="00000030" w:usb3="00000000" w:csb0="0008009F" w:csb1="00000000"/>
  </w:font>
  <w:font w:name="Aptos Narrow">
    <w:panose1 w:val="020B0004020202020204"/>
    <w:charset w:val="00"/>
    <w:family w:val="swiss"/>
    <w:pitch w:val="variable"/>
    <w:sig w:usb0="20000287" w:usb1="00000003" w:usb2="00000000" w:usb3="00000000" w:csb0="0000019F" w:csb1="00000000"/>
    <w:embedRegular r:id="rId16" w:fontKey="{CAAEC0F1-95F0-994B-8C24-B705E616B59C}"/>
    <w:embedBold r:id="rId17" w:fontKey="{8B9E8DE4-4BD4-2846-A394-F941EF6040C4}"/>
  </w:font>
  <w:font w:name="Calibri">
    <w:panose1 w:val="020F0502020204030204"/>
    <w:charset w:val="00"/>
    <w:family w:val="swiss"/>
    <w:pitch w:val="variable"/>
    <w:sig w:usb0="E0002AFF" w:usb1="C000247B" w:usb2="00000009" w:usb3="00000000" w:csb0="000001FF" w:csb1="00000000"/>
    <w:embedRegular r:id="rId18" w:fontKey="{520901CE-3BED-AD42-881C-37C770FC2A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1C7C" w14:textId="77777777" w:rsidR="00C436C2" w:rsidRDefault="00E047E1">
    <w:pPr>
      <w:jc w:val="right"/>
      <w:rPr>
        <w:rFonts w:ascii="Times" w:eastAsia="Times" w:hAnsi="Times" w:cs="Times"/>
        <w:sz w:val="20"/>
        <w:szCs w:val="20"/>
      </w:rPr>
    </w:pPr>
    <w:r>
      <w:rPr>
        <w:rFonts w:ascii="Times" w:eastAsia="Times" w:hAnsi="Times" w:cs="Times"/>
        <w:sz w:val="20"/>
        <w:szCs w:val="20"/>
      </w:rPr>
      <w:fldChar w:fldCharType="begin"/>
    </w:r>
    <w:r>
      <w:rPr>
        <w:rFonts w:ascii="Times" w:eastAsia="Times" w:hAnsi="Times" w:cs="Times"/>
        <w:sz w:val="20"/>
        <w:szCs w:val="20"/>
      </w:rPr>
      <w:instrText>PAGE</w:instrText>
    </w:r>
    <w:r>
      <w:rPr>
        <w:rFonts w:ascii="Times" w:eastAsia="Times" w:hAnsi="Times" w:cs="Times"/>
        <w:sz w:val="20"/>
        <w:szCs w:val="20"/>
      </w:rPr>
      <w:fldChar w:fldCharType="separate"/>
    </w:r>
    <w:r w:rsidR="00472472">
      <w:rPr>
        <w:rFonts w:ascii="Times" w:eastAsia="Times" w:hAnsi="Times" w:cs="Times"/>
        <w:noProof/>
        <w:sz w:val="20"/>
        <w:szCs w:val="20"/>
      </w:rPr>
      <w:t>2</w:t>
    </w:r>
    <w:r>
      <w:rPr>
        <w:rFonts w:ascii="Times" w:eastAsia="Times" w:hAnsi="Times" w:cs="Time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B83F" w14:textId="77777777" w:rsidR="00C436C2" w:rsidRDefault="00C436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482A6" w14:textId="77777777" w:rsidR="00E047E1" w:rsidRDefault="00E047E1">
      <w:pPr>
        <w:spacing w:line="240" w:lineRule="auto"/>
      </w:pPr>
      <w:r>
        <w:separator/>
      </w:r>
    </w:p>
  </w:footnote>
  <w:footnote w:type="continuationSeparator" w:id="0">
    <w:p w14:paraId="2BE4A807" w14:textId="77777777" w:rsidR="00E047E1" w:rsidRDefault="00E047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A4036" w14:textId="77777777" w:rsidR="00C436C2" w:rsidRDefault="00C436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8727D"/>
    <w:multiLevelType w:val="hybridMultilevel"/>
    <w:tmpl w:val="0CAC6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0E3235"/>
    <w:multiLevelType w:val="hybridMultilevel"/>
    <w:tmpl w:val="98E89C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D6C7822"/>
    <w:multiLevelType w:val="hybridMultilevel"/>
    <w:tmpl w:val="FCCE1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37790D"/>
    <w:multiLevelType w:val="hybridMultilevel"/>
    <w:tmpl w:val="66F2CE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6BF6F5D"/>
    <w:multiLevelType w:val="hybridMultilevel"/>
    <w:tmpl w:val="39D049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8ED2563"/>
    <w:multiLevelType w:val="hybridMultilevel"/>
    <w:tmpl w:val="09F2D6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F5C0021"/>
    <w:multiLevelType w:val="hybridMultilevel"/>
    <w:tmpl w:val="39DE7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6EA1921"/>
    <w:multiLevelType w:val="hybridMultilevel"/>
    <w:tmpl w:val="8502FC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AF371BB"/>
    <w:multiLevelType w:val="hybridMultilevel"/>
    <w:tmpl w:val="B8787A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9097721">
    <w:abstractNumId w:val="8"/>
  </w:num>
  <w:num w:numId="2" w16cid:durableId="1033728662">
    <w:abstractNumId w:val="6"/>
  </w:num>
  <w:num w:numId="3" w16cid:durableId="1111122404">
    <w:abstractNumId w:val="5"/>
  </w:num>
  <w:num w:numId="4" w16cid:durableId="2134403863">
    <w:abstractNumId w:val="1"/>
  </w:num>
  <w:num w:numId="5" w16cid:durableId="1982227080">
    <w:abstractNumId w:val="7"/>
  </w:num>
  <w:num w:numId="6" w16cid:durableId="1362516681">
    <w:abstractNumId w:val="0"/>
  </w:num>
  <w:num w:numId="7" w16cid:durableId="129859126">
    <w:abstractNumId w:val="3"/>
  </w:num>
  <w:num w:numId="8" w16cid:durableId="385448939">
    <w:abstractNumId w:val="4"/>
  </w:num>
  <w:num w:numId="9" w16cid:durableId="1940138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6C2"/>
    <w:rsid w:val="000071F1"/>
    <w:rsid w:val="00104960"/>
    <w:rsid w:val="001C2D9B"/>
    <w:rsid w:val="001D3BA0"/>
    <w:rsid w:val="001E391F"/>
    <w:rsid w:val="002A5C40"/>
    <w:rsid w:val="002D0FB8"/>
    <w:rsid w:val="002F24CD"/>
    <w:rsid w:val="003C3CE6"/>
    <w:rsid w:val="00472472"/>
    <w:rsid w:val="00475999"/>
    <w:rsid w:val="00476077"/>
    <w:rsid w:val="00570661"/>
    <w:rsid w:val="00591A5D"/>
    <w:rsid w:val="0063556B"/>
    <w:rsid w:val="0066780F"/>
    <w:rsid w:val="00670715"/>
    <w:rsid w:val="006C0652"/>
    <w:rsid w:val="00712AD8"/>
    <w:rsid w:val="007319A6"/>
    <w:rsid w:val="007E5E9C"/>
    <w:rsid w:val="008516BA"/>
    <w:rsid w:val="008816A2"/>
    <w:rsid w:val="00935992"/>
    <w:rsid w:val="009A5EE3"/>
    <w:rsid w:val="00AD4D98"/>
    <w:rsid w:val="00BC3533"/>
    <w:rsid w:val="00C436C2"/>
    <w:rsid w:val="00C83611"/>
    <w:rsid w:val="00E047E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2AAC"/>
  <w15:docId w15:val="{8EE640F0-B763-4998-9E02-1B8811D9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1C2D9B"/>
    <w:pPr>
      <w:keepNext/>
      <w:keepLines/>
      <w:spacing w:before="200" w:after="200" w:line="360" w:lineRule="auto"/>
      <w:jc w:val="both"/>
      <w:outlineLvl w:val="0"/>
    </w:pPr>
    <w:rPr>
      <w:rFonts w:eastAsia="Times New Roman" w:cs="Times New Roman"/>
      <w:b/>
      <w:bCs/>
      <w:color w:val="000000" w:themeColor="text1"/>
      <w:sz w:val="28"/>
      <w:szCs w:val="28"/>
    </w:rPr>
  </w:style>
  <w:style w:type="paragraph" w:styleId="Heading2">
    <w:name w:val="heading 2"/>
    <w:basedOn w:val="Normal"/>
    <w:next w:val="Normal"/>
    <w:autoRedefine/>
    <w:uiPriority w:val="9"/>
    <w:unhideWhenUsed/>
    <w:qFormat/>
    <w:rsid w:val="002D0FB8"/>
    <w:pPr>
      <w:keepNext/>
      <w:keepLines/>
      <w:spacing w:before="200" w:after="200" w:line="360" w:lineRule="auto"/>
      <w:jc w:val="both"/>
      <w:outlineLvl w:val="1"/>
    </w:pPr>
    <w:rPr>
      <w:rFonts w:eastAsia="Times New Roman" w:cs="Times New Roman"/>
      <w:b/>
      <w:bCs/>
      <w:color w:val="000000" w:themeColor="text1"/>
      <w:sz w:val="26"/>
      <w:szCs w:val="26"/>
    </w:rPr>
  </w:style>
  <w:style w:type="paragraph" w:styleId="Heading3">
    <w:name w:val="heading 3"/>
    <w:basedOn w:val="Normal"/>
    <w:next w:val="Normal"/>
    <w:uiPriority w:val="9"/>
    <w:unhideWhenUsed/>
    <w:qFormat/>
    <w:pPr>
      <w:keepNext/>
      <w:keepLines/>
      <w:spacing w:before="200" w:after="200"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TOC1">
    <w:name w:val="toc 1"/>
    <w:basedOn w:val="Normal"/>
    <w:next w:val="Normal"/>
    <w:autoRedefine/>
    <w:uiPriority w:val="39"/>
    <w:unhideWhenUsed/>
    <w:rsid w:val="00472472"/>
    <w:pPr>
      <w:spacing w:after="100"/>
    </w:pPr>
  </w:style>
  <w:style w:type="paragraph" w:styleId="TOC2">
    <w:name w:val="toc 2"/>
    <w:basedOn w:val="Normal"/>
    <w:next w:val="Normal"/>
    <w:autoRedefine/>
    <w:uiPriority w:val="39"/>
    <w:unhideWhenUsed/>
    <w:rsid w:val="00472472"/>
    <w:pPr>
      <w:spacing w:after="100"/>
      <w:ind w:left="220"/>
    </w:pPr>
  </w:style>
  <w:style w:type="paragraph" w:styleId="TOC3">
    <w:name w:val="toc 3"/>
    <w:basedOn w:val="Normal"/>
    <w:next w:val="Normal"/>
    <w:autoRedefine/>
    <w:uiPriority w:val="39"/>
    <w:unhideWhenUsed/>
    <w:rsid w:val="00472472"/>
    <w:pPr>
      <w:spacing w:after="100"/>
      <w:ind w:left="440"/>
    </w:pPr>
  </w:style>
  <w:style w:type="character" w:styleId="Hyperlink">
    <w:name w:val="Hyperlink"/>
    <w:basedOn w:val="DefaultParagraphFont"/>
    <w:uiPriority w:val="99"/>
    <w:unhideWhenUsed/>
    <w:rsid w:val="00472472"/>
    <w:rPr>
      <w:color w:val="0000FF" w:themeColor="hyperlink"/>
      <w:u w:val="single"/>
    </w:rPr>
  </w:style>
  <w:style w:type="paragraph" w:styleId="ListParagraph">
    <w:name w:val="List Paragraph"/>
    <w:basedOn w:val="Normal"/>
    <w:link w:val="ListParagraphChar"/>
    <w:uiPriority w:val="1"/>
    <w:qFormat/>
    <w:rsid w:val="002D0FB8"/>
    <w:pPr>
      <w:ind w:left="720"/>
      <w:contextualSpacing/>
    </w:pPr>
  </w:style>
  <w:style w:type="table" w:styleId="TableGrid">
    <w:name w:val="Table Grid"/>
    <w:basedOn w:val="TableNormal"/>
    <w:uiPriority w:val="39"/>
    <w:rsid w:val="002A5C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BC3533"/>
    <w:pPr>
      <w:spacing w:line="240" w:lineRule="auto"/>
    </w:pPr>
    <w:rPr>
      <w:rFonts w:eastAsia="Times New Roman"/>
      <w:color w:val="000000"/>
      <w:sz w:val="17"/>
      <w:szCs w:val="17"/>
      <w:lang w:val="en-US" w:eastAsia="en-US"/>
    </w:rPr>
  </w:style>
  <w:style w:type="character" w:customStyle="1" w:styleId="ListParagraphChar">
    <w:name w:val="List Paragraph Char"/>
    <w:basedOn w:val="DefaultParagraphFont"/>
    <w:link w:val="ListParagraph"/>
    <w:uiPriority w:val="1"/>
    <w:qFormat/>
    <w:locked/>
    <w:rsid w:val="00BC3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diagramData" Target="diagrams/data1.xml"/><Relationship Id="rId42" Type="http://schemas.openxmlformats.org/officeDocument/2006/relationships/hyperlink" Target="https://www.sciencedirect.com/science/article/pii/S030142152400435X" TargetMode="External"/><Relationship Id="rId47" Type="http://schemas.openxmlformats.org/officeDocument/2006/relationships/hyperlink" Target="https://spmepci.heavyindustries.gov.in/?utm_source=chatgpt.com" TargetMode="External"/><Relationship Id="rId63" Type="http://schemas.openxmlformats.org/officeDocument/2006/relationships/hyperlink" Target="https://www.tatamotors.com/wp-content/uploads/2024/05/tata-motor-IAR-2024-25.pdf" TargetMode="External"/><Relationship Id="rId68"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17.png"/><Relationship Id="rId11" Type="http://schemas.openxmlformats.org/officeDocument/2006/relationships/image" Target="media/image4.png"/><Relationship Id="rId24" Type="http://schemas.openxmlformats.org/officeDocument/2006/relationships/diagramColors" Target="diagrams/colors1.xml"/><Relationship Id="rId32" Type="http://schemas.openxmlformats.org/officeDocument/2006/relationships/hyperlink" Target="https://www.sciencedirect.com/science/article/pii/S1364032123011231" TargetMode="External"/><Relationship Id="rId37" Type="http://schemas.openxmlformats.org/officeDocument/2006/relationships/hyperlink" Target="https://www.sciencedirect.com/science/article/pii/S2352152X24022886" TargetMode="External"/><Relationship Id="rId40" Type="http://schemas.openxmlformats.org/officeDocument/2006/relationships/hyperlink" Target="https://www.mdpi.com/2071-1050/16/4/1570" TargetMode="External"/><Relationship Id="rId45" Type="http://schemas.openxmlformats.org/officeDocument/2006/relationships/hyperlink" Target="https://pmedrive.heavyindustries.gov.in/?utm_source=chatgpt.com" TargetMode="External"/><Relationship Id="rId53" Type="http://schemas.openxmlformats.org/officeDocument/2006/relationships/hyperlink" Target="https://www.sciencedirect.com/science/article/pii/S2210539525000525" TargetMode="External"/><Relationship Id="rId58" Type="http://schemas.openxmlformats.org/officeDocument/2006/relationships/hyperlink" Target="https://www.tatamotors.com/blog/the-evolving-indian-consumers-and-their-electric-vehicle-needs-a-deep-dive/?utm_source=chatgpt.com"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tatamotors.com/press-releases/tata-motors-consolidated-q4-fy25-results/?utm_source=chatgpt.com"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diagramLayout" Target="diagrams/layout1.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link.springer.com/content/pdf/10.1007/s43621-025-00844-3.pdf" TargetMode="External"/><Relationship Id="rId43" Type="http://schemas.openxmlformats.org/officeDocument/2006/relationships/hyperlink" Target="https://moef.gov.in/rules-regulations-3" TargetMode="External"/><Relationship Id="rId48" Type="http://schemas.openxmlformats.org/officeDocument/2006/relationships/hyperlink" Target="https://heavyindustries.gov.in/en/scheme-promote-manufacturing-electric-passenger-cars-india-0" TargetMode="External"/><Relationship Id="rId56" Type="http://schemas.openxmlformats.org/officeDocument/2006/relationships/hyperlink" Target="https://www.sciencedirect.com/science/article/pii/S2213624X24001147" TargetMode="External"/><Relationship Id="rId64" Type="http://schemas.openxmlformats.org/officeDocument/2006/relationships/hyperlink" Target="https://www.sciencedirect.com/science/article/pii/S2666188825000395" TargetMode="External"/><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www.pib.gov.in/PressReleasePage.aspx?PRID=2287125&amp;lang=1&amp;reg=1"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07/relationships/diagramDrawing" Target="diagrams/drawing1.xml"/><Relationship Id="rId33" Type="http://schemas.openxmlformats.org/officeDocument/2006/relationships/hyperlink" Target="https://www.sciencedirect.com/science/article/pii/S2214367X25000341" TargetMode="External"/><Relationship Id="rId38" Type="http://schemas.openxmlformats.org/officeDocument/2006/relationships/hyperlink" Target="https://www.iea.org/reports/global-ev-outlook-2026?utm_source=chatgpt.com" TargetMode="External"/><Relationship Id="rId46" Type="http://schemas.openxmlformats.org/officeDocument/2006/relationships/hyperlink" Target="https://www.india.gov.in/spotlight/details/pm-electric-drive-revolution-in-innovative-vehicle-enhancement-pm-e-drive" TargetMode="External"/><Relationship Id="rId59" Type="http://schemas.openxmlformats.org/officeDocument/2006/relationships/hyperlink" Target="https://www.tatamotors.com/blog/the-evolving-indian-consumers-and-their-electric-vehicle-needs-a-deep-dive/" TargetMode="External"/><Relationship Id="rId67"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hyperlink" Target="https://www.sciencedirect.com/science/article/pii/S0967070X24002208" TargetMode="External"/><Relationship Id="rId54" Type="http://schemas.openxmlformats.org/officeDocument/2006/relationships/hyperlink" Target="https://www.sciencedirect.com/science/article/pii/S1361920924004474" TargetMode="External"/><Relationship Id="rId62" Type="http://schemas.openxmlformats.org/officeDocument/2006/relationships/hyperlink" Target="https://www.tatamotors.com/press-releases/tata-motors-consolidated-q4-fy25-results/"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diagramQuickStyle" Target="diagrams/quickStyle1.xml"/><Relationship Id="rId28" Type="http://schemas.openxmlformats.org/officeDocument/2006/relationships/image" Target="media/image16.png"/><Relationship Id="rId36" Type="http://schemas.openxmlformats.org/officeDocument/2006/relationships/hyperlink" Target="https://www.researchgate.net/profile/Shanta-Dutta/publication/371536633_Reflection_and_peer_assessment_to_promote_self-directed_learning_in_higher_education/links/648928519bc5e436682e1817/Reflection-and-peer-assessment-to-promote-self-directed-learning-in-higher-education.pdf" TargetMode="External"/><Relationship Id="rId49" Type="http://schemas.openxmlformats.org/officeDocument/2006/relationships/hyperlink" Target="https://www.sciencedirect.com/science/article/pii/S0965856424000843" TargetMode="External"/><Relationship Id="rId57" Type="http://schemas.openxmlformats.org/officeDocument/2006/relationships/hyperlink" Target="https://www.sciencedirect.com/science/article/pii/S0959652625006948" TargetMode="External"/><Relationship Id="rId10" Type="http://schemas.openxmlformats.org/officeDocument/2006/relationships/image" Target="media/image3.png"/><Relationship Id="rId31" Type="http://schemas.openxmlformats.org/officeDocument/2006/relationships/hyperlink" Target="https://www.mdpi.com/2071-1050/16/15/6603" TargetMode="External"/><Relationship Id="rId44" Type="http://schemas.openxmlformats.org/officeDocument/2006/relationships/hyperlink" Target="https://moef.gov.in/rules-regulations-3" TargetMode="External"/><Relationship Id="rId52" Type="http://schemas.openxmlformats.org/officeDocument/2006/relationships/hyperlink" Target="https://www.pib.gov.in/PressReleasePage.aspx?PRID=2287125&amp;reg=48&amp;lang=2" TargetMode="External"/><Relationship Id="rId60" Type="http://schemas.openxmlformats.org/officeDocument/2006/relationships/hyperlink" Target="https://cv.tatamotors.com/assets/cv/files/AnnualReportFY26.pdf" TargetMode="External"/><Relationship Id="rId65" Type="http://schemas.openxmlformats.org/officeDocument/2006/relationships/hyperlink" Target="https://www.sciencedirect.com/science/article/pii/S0301421524001939" TargetMode="External"/><Relationship Id="rId4" Type="http://schemas.openxmlformats.org/officeDocument/2006/relationships/webSettings" Target="webSettings.xml"/><Relationship Id="rId9" Type="http://schemas.openxmlformats.org/officeDocument/2006/relationships/hyperlink" Target="https://chatgpt.com/"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iea.org/reports/global-ev-outlook-2026" TargetMode="External"/><Relationship Id="rId34" Type="http://schemas.openxmlformats.org/officeDocument/2006/relationships/hyperlink" Target="https://www.sciencedirect.com/science/article/pii/S0301479724019868" TargetMode="External"/><Relationship Id="rId50" Type="http://schemas.openxmlformats.org/officeDocument/2006/relationships/hyperlink" Target="https://www.sciencedirect.com/science/article/pii/S0973082624002096" TargetMode="External"/><Relationship Id="rId55" Type="http://schemas.openxmlformats.org/officeDocument/2006/relationships/hyperlink" Target="https://www.sciencedirect.com/science/article/pii/S0965856425004628"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D63A03-A84F-423C-B3E5-E6D9814AF559}" type="doc">
      <dgm:prSet loTypeId="urn:microsoft.com/office/officeart/2005/8/layout/cycle7" loCatId="cycle" qsTypeId="urn:microsoft.com/office/officeart/2005/8/quickstyle/simple2" qsCatId="simple" csTypeId="urn:microsoft.com/office/officeart/2005/8/colors/accent1_4" csCatId="accent1" phldr="1"/>
      <dgm:spPr/>
      <dgm:t>
        <a:bodyPr/>
        <a:lstStyle/>
        <a:p>
          <a:endParaRPr lang="en-IN"/>
        </a:p>
      </dgm:t>
    </dgm:pt>
    <dgm:pt modelId="{D4B7B337-5675-454E-9BF6-888D2185DDCE}">
      <dgm:prSet phldrT="[Text]"/>
      <dgm:spPr/>
      <dgm:t>
        <a:bodyPr/>
        <a:lstStyle/>
        <a:p>
          <a:pPr>
            <a:buNone/>
          </a:pPr>
          <a:r>
            <a:rPr lang="en-IN" b="1"/>
            <a:t>Strategic Option 1: Cost Leadership</a:t>
          </a:r>
        </a:p>
      </dgm:t>
    </dgm:pt>
    <dgm:pt modelId="{4FD41BF7-9C32-4209-921F-72345E9F639D}" type="parTrans" cxnId="{8FD6D02E-FC18-4F24-A7F1-457A3C417CE8}">
      <dgm:prSet/>
      <dgm:spPr/>
      <dgm:t>
        <a:bodyPr/>
        <a:lstStyle/>
        <a:p>
          <a:endParaRPr lang="en-IN"/>
        </a:p>
      </dgm:t>
    </dgm:pt>
    <dgm:pt modelId="{1753F8A0-986B-403B-8FF4-AB7FB1EE249B}" type="sibTrans" cxnId="{8FD6D02E-FC18-4F24-A7F1-457A3C417CE8}">
      <dgm:prSet/>
      <dgm:spPr/>
      <dgm:t>
        <a:bodyPr/>
        <a:lstStyle/>
        <a:p>
          <a:endParaRPr lang="en-IN"/>
        </a:p>
      </dgm:t>
    </dgm:pt>
    <dgm:pt modelId="{408DC7BC-6D2B-468C-A88B-3633ACD8F617}">
      <dgm:prSet phldrT="[Text]"/>
      <dgm:spPr/>
      <dgm:t>
        <a:bodyPr/>
        <a:lstStyle/>
        <a:p>
          <a:pPr>
            <a:buNone/>
          </a:pPr>
          <a:r>
            <a:rPr lang="en-IN" b="1"/>
            <a:t>Strategic Option 3: Accessible EV Ecosystem Differentiation </a:t>
          </a:r>
        </a:p>
      </dgm:t>
    </dgm:pt>
    <dgm:pt modelId="{481793BE-30AE-4A92-979E-04C0161533DF}" type="parTrans" cxnId="{143DAC28-A66F-4498-8F08-5D9A295DD991}">
      <dgm:prSet/>
      <dgm:spPr/>
      <dgm:t>
        <a:bodyPr/>
        <a:lstStyle/>
        <a:p>
          <a:endParaRPr lang="en-IN"/>
        </a:p>
      </dgm:t>
    </dgm:pt>
    <dgm:pt modelId="{AC9C187C-7338-483A-9E0F-838CA35A433C}" type="sibTrans" cxnId="{143DAC28-A66F-4498-8F08-5D9A295DD991}">
      <dgm:prSet/>
      <dgm:spPr/>
      <dgm:t>
        <a:bodyPr/>
        <a:lstStyle/>
        <a:p>
          <a:endParaRPr lang="en-IN"/>
        </a:p>
      </dgm:t>
    </dgm:pt>
    <dgm:pt modelId="{611D07E1-7991-4893-8493-98FB5D7360CB}">
      <dgm:prSet phldrT="[Text]"/>
      <dgm:spPr/>
      <dgm:t>
        <a:bodyPr/>
        <a:lstStyle/>
        <a:p>
          <a:pPr>
            <a:buNone/>
          </a:pPr>
          <a:r>
            <a:rPr lang="en-IN" b="1"/>
            <a:t>Strategic Option 2: Premium Differentiation</a:t>
          </a:r>
        </a:p>
      </dgm:t>
    </dgm:pt>
    <dgm:pt modelId="{F4F7E60D-0E87-445C-A6EE-41CFCDA45630}" type="parTrans" cxnId="{E8915CA1-7D0E-42E5-8518-509E8B0C5EF3}">
      <dgm:prSet/>
      <dgm:spPr/>
      <dgm:t>
        <a:bodyPr/>
        <a:lstStyle/>
        <a:p>
          <a:endParaRPr lang="en-IN"/>
        </a:p>
      </dgm:t>
    </dgm:pt>
    <dgm:pt modelId="{94179021-0EE4-4212-ADD8-8546970E8D4D}" type="sibTrans" cxnId="{E8915CA1-7D0E-42E5-8518-509E8B0C5EF3}">
      <dgm:prSet/>
      <dgm:spPr/>
      <dgm:t>
        <a:bodyPr/>
        <a:lstStyle/>
        <a:p>
          <a:endParaRPr lang="en-IN"/>
        </a:p>
      </dgm:t>
    </dgm:pt>
    <dgm:pt modelId="{5E7010DD-31A0-4A1B-8D0D-41BFC6590ED3}" type="pres">
      <dgm:prSet presAssocID="{04D63A03-A84F-423C-B3E5-E6D9814AF559}" presName="Name0" presStyleCnt="0">
        <dgm:presLayoutVars>
          <dgm:dir/>
          <dgm:resizeHandles val="exact"/>
        </dgm:presLayoutVars>
      </dgm:prSet>
      <dgm:spPr/>
    </dgm:pt>
    <dgm:pt modelId="{0DCE625A-3786-4AA3-9280-195C320E88E4}" type="pres">
      <dgm:prSet presAssocID="{D4B7B337-5675-454E-9BF6-888D2185DDCE}" presName="node" presStyleLbl="node1" presStyleIdx="0" presStyleCnt="3">
        <dgm:presLayoutVars>
          <dgm:bulletEnabled val="1"/>
        </dgm:presLayoutVars>
      </dgm:prSet>
      <dgm:spPr/>
    </dgm:pt>
    <dgm:pt modelId="{5A8BE03A-CDE4-42A5-B75E-C851D408F7D6}" type="pres">
      <dgm:prSet presAssocID="{1753F8A0-986B-403B-8FF4-AB7FB1EE249B}" presName="sibTrans" presStyleLbl="sibTrans2D1" presStyleIdx="0" presStyleCnt="3"/>
      <dgm:spPr/>
    </dgm:pt>
    <dgm:pt modelId="{034C601F-0BFC-434F-B171-EBAC72C4C9E0}" type="pres">
      <dgm:prSet presAssocID="{1753F8A0-986B-403B-8FF4-AB7FB1EE249B}" presName="connectorText" presStyleLbl="sibTrans2D1" presStyleIdx="0" presStyleCnt="3"/>
      <dgm:spPr/>
    </dgm:pt>
    <dgm:pt modelId="{FBC7EF0D-D1AA-4A67-8E7A-6F9AEF81DCBF}" type="pres">
      <dgm:prSet presAssocID="{408DC7BC-6D2B-468C-A88B-3633ACD8F617}" presName="node" presStyleLbl="node1" presStyleIdx="1" presStyleCnt="3">
        <dgm:presLayoutVars>
          <dgm:bulletEnabled val="1"/>
        </dgm:presLayoutVars>
      </dgm:prSet>
      <dgm:spPr/>
    </dgm:pt>
    <dgm:pt modelId="{3A75B64F-5D54-4EA5-A6BB-12344175DF42}" type="pres">
      <dgm:prSet presAssocID="{AC9C187C-7338-483A-9E0F-838CA35A433C}" presName="sibTrans" presStyleLbl="sibTrans2D1" presStyleIdx="1" presStyleCnt="3"/>
      <dgm:spPr/>
    </dgm:pt>
    <dgm:pt modelId="{1C7C6DB6-3B48-45C5-8FFA-57331332213E}" type="pres">
      <dgm:prSet presAssocID="{AC9C187C-7338-483A-9E0F-838CA35A433C}" presName="connectorText" presStyleLbl="sibTrans2D1" presStyleIdx="1" presStyleCnt="3"/>
      <dgm:spPr/>
    </dgm:pt>
    <dgm:pt modelId="{E8DF576A-76F6-45BE-88E5-B611401F72D6}" type="pres">
      <dgm:prSet presAssocID="{611D07E1-7991-4893-8493-98FB5D7360CB}" presName="node" presStyleLbl="node1" presStyleIdx="2" presStyleCnt="3">
        <dgm:presLayoutVars>
          <dgm:bulletEnabled val="1"/>
        </dgm:presLayoutVars>
      </dgm:prSet>
      <dgm:spPr/>
    </dgm:pt>
    <dgm:pt modelId="{99BE78C3-D236-44A7-AEFE-FFEE62779C47}" type="pres">
      <dgm:prSet presAssocID="{94179021-0EE4-4212-ADD8-8546970E8D4D}" presName="sibTrans" presStyleLbl="sibTrans2D1" presStyleIdx="2" presStyleCnt="3"/>
      <dgm:spPr/>
    </dgm:pt>
    <dgm:pt modelId="{033ABAEF-D4B9-4300-8FA1-8A7ACFB00EDA}" type="pres">
      <dgm:prSet presAssocID="{94179021-0EE4-4212-ADD8-8546970E8D4D}" presName="connectorText" presStyleLbl="sibTrans2D1" presStyleIdx="2" presStyleCnt="3"/>
      <dgm:spPr/>
    </dgm:pt>
  </dgm:ptLst>
  <dgm:cxnLst>
    <dgm:cxn modelId="{D736371E-1EC2-44D9-822B-A99D8AB33A5F}" type="presOf" srcId="{D4B7B337-5675-454E-9BF6-888D2185DDCE}" destId="{0DCE625A-3786-4AA3-9280-195C320E88E4}" srcOrd="0" destOrd="0" presId="urn:microsoft.com/office/officeart/2005/8/layout/cycle7"/>
    <dgm:cxn modelId="{143DAC28-A66F-4498-8F08-5D9A295DD991}" srcId="{04D63A03-A84F-423C-B3E5-E6D9814AF559}" destId="{408DC7BC-6D2B-468C-A88B-3633ACD8F617}" srcOrd="1" destOrd="0" parTransId="{481793BE-30AE-4A92-979E-04C0161533DF}" sibTransId="{AC9C187C-7338-483A-9E0F-838CA35A433C}"/>
    <dgm:cxn modelId="{8FD6D02E-FC18-4F24-A7F1-457A3C417CE8}" srcId="{04D63A03-A84F-423C-B3E5-E6D9814AF559}" destId="{D4B7B337-5675-454E-9BF6-888D2185DDCE}" srcOrd="0" destOrd="0" parTransId="{4FD41BF7-9C32-4209-921F-72345E9F639D}" sibTransId="{1753F8A0-986B-403B-8FF4-AB7FB1EE249B}"/>
    <dgm:cxn modelId="{E8FE3146-3319-4091-970B-9C45573F439F}" type="presOf" srcId="{AC9C187C-7338-483A-9E0F-838CA35A433C}" destId="{1C7C6DB6-3B48-45C5-8FFA-57331332213E}" srcOrd="1" destOrd="0" presId="urn:microsoft.com/office/officeart/2005/8/layout/cycle7"/>
    <dgm:cxn modelId="{D0E9E652-CF5B-4719-B4B4-7BEE14DEDFF7}" type="presOf" srcId="{1753F8A0-986B-403B-8FF4-AB7FB1EE249B}" destId="{5A8BE03A-CDE4-42A5-B75E-C851D408F7D6}" srcOrd="0" destOrd="0" presId="urn:microsoft.com/office/officeart/2005/8/layout/cycle7"/>
    <dgm:cxn modelId="{396BA65D-DDCA-454A-A55E-1FCE90901DD1}" type="presOf" srcId="{611D07E1-7991-4893-8493-98FB5D7360CB}" destId="{E8DF576A-76F6-45BE-88E5-B611401F72D6}" srcOrd="0" destOrd="0" presId="urn:microsoft.com/office/officeart/2005/8/layout/cycle7"/>
    <dgm:cxn modelId="{3F088566-CF85-4136-96F3-E6BE0B078E59}" type="presOf" srcId="{AC9C187C-7338-483A-9E0F-838CA35A433C}" destId="{3A75B64F-5D54-4EA5-A6BB-12344175DF42}" srcOrd="0" destOrd="0" presId="urn:microsoft.com/office/officeart/2005/8/layout/cycle7"/>
    <dgm:cxn modelId="{F2A0B0A0-F344-4776-90FD-A1453C610303}" type="presOf" srcId="{04D63A03-A84F-423C-B3E5-E6D9814AF559}" destId="{5E7010DD-31A0-4A1B-8D0D-41BFC6590ED3}" srcOrd="0" destOrd="0" presId="urn:microsoft.com/office/officeart/2005/8/layout/cycle7"/>
    <dgm:cxn modelId="{E8915CA1-7D0E-42E5-8518-509E8B0C5EF3}" srcId="{04D63A03-A84F-423C-B3E5-E6D9814AF559}" destId="{611D07E1-7991-4893-8493-98FB5D7360CB}" srcOrd="2" destOrd="0" parTransId="{F4F7E60D-0E87-445C-A6EE-41CFCDA45630}" sibTransId="{94179021-0EE4-4212-ADD8-8546970E8D4D}"/>
    <dgm:cxn modelId="{67E153A7-FC3C-43A2-A3C8-CDFF4553B121}" type="presOf" srcId="{1753F8A0-986B-403B-8FF4-AB7FB1EE249B}" destId="{034C601F-0BFC-434F-B171-EBAC72C4C9E0}" srcOrd="1" destOrd="0" presId="urn:microsoft.com/office/officeart/2005/8/layout/cycle7"/>
    <dgm:cxn modelId="{9D8AFDC0-A38B-49DA-AC10-52FDAB9BCF1D}" type="presOf" srcId="{408DC7BC-6D2B-468C-A88B-3633ACD8F617}" destId="{FBC7EF0D-D1AA-4A67-8E7A-6F9AEF81DCBF}" srcOrd="0" destOrd="0" presId="urn:microsoft.com/office/officeart/2005/8/layout/cycle7"/>
    <dgm:cxn modelId="{29EFECCE-5701-4B7B-93C2-57AFE47B3872}" type="presOf" srcId="{94179021-0EE4-4212-ADD8-8546970E8D4D}" destId="{033ABAEF-D4B9-4300-8FA1-8A7ACFB00EDA}" srcOrd="1" destOrd="0" presId="urn:microsoft.com/office/officeart/2005/8/layout/cycle7"/>
    <dgm:cxn modelId="{C8C62DFE-2840-4430-B95C-4CEE34346936}" type="presOf" srcId="{94179021-0EE4-4212-ADD8-8546970E8D4D}" destId="{99BE78C3-D236-44A7-AEFE-FFEE62779C47}" srcOrd="0" destOrd="0" presId="urn:microsoft.com/office/officeart/2005/8/layout/cycle7"/>
    <dgm:cxn modelId="{A00829FD-1157-4ABE-90D1-596D12590878}" type="presParOf" srcId="{5E7010DD-31A0-4A1B-8D0D-41BFC6590ED3}" destId="{0DCE625A-3786-4AA3-9280-195C320E88E4}" srcOrd="0" destOrd="0" presId="urn:microsoft.com/office/officeart/2005/8/layout/cycle7"/>
    <dgm:cxn modelId="{45752E2C-37B1-4206-95ED-508DE7341E66}" type="presParOf" srcId="{5E7010DD-31A0-4A1B-8D0D-41BFC6590ED3}" destId="{5A8BE03A-CDE4-42A5-B75E-C851D408F7D6}" srcOrd="1" destOrd="0" presId="urn:microsoft.com/office/officeart/2005/8/layout/cycle7"/>
    <dgm:cxn modelId="{51A419CB-DD3B-483F-8980-19E1078F2155}" type="presParOf" srcId="{5A8BE03A-CDE4-42A5-B75E-C851D408F7D6}" destId="{034C601F-0BFC-434F-B171-EBAC72C4C9E0}" srcOrd="0" destOrd="0" presId="urn:microsoft.com/office/officeart/2005/8/layout/cycle7"/>
    <dgm:cxn modelId="{CC3E8F89-2FE4-4D3E-AD33-16B52C139D94}" type="presParOf" srcId="{5E7010DD-31A0-4A1B-8D0D-41BFC6590ED3}" destId="{FBC7EF0D-D1AA-4A67-8E7A-6F9AEF81DCBF}" srcOrd="2" destOrd="0" presId="urn:microsoft.com/office/officeart/2005/8/layout/cycle7"/>
    <dgm:cxn modelId="{F3C95339-3BF2-48A3-93A3-E2366002E323}" type="presParOf" srcId="{5E7010DD-31A0-4A1B-8D0D-41BFC6590ED3}" destId="{3A75B64F-5D54-4EA5-A6BB-12344175DF42}" srcOrd="3" destOrd="0" presId="urn:microsoft.com/office/officeart/2005/8/layout/cycle7"/>
    <dgm:cxn modelId="{40F2F11C-D558-4CAB-9286-6E807F4D52F1}" type="presParOf" srcId="{3A75B64F-5D54-4EA5-A6BB-12344175DF42}" destId="{1C7C6DB6-3B48-45C5-8FFA-57331332213E}" srcOrd="0" destOrd="0" presId="urn:microsoft.com/office/officeart/2005/8/layout/cycle7"/>
    <dgm:cxn modelId="{259CD734-A496-4213-BDB3-76C89B84ED67}" type="presParOf" srcId="{5E7010DD-31A0-4A1B-8D0D-41BFC6590ED3}" destId="{E8DF576A-76F6-45BE-88E5-B611401F72D6}" srcOrd="4" destOrd="0" presId="urn:microsoft.com/office/officeart/2005/8/layout/cycle7"/>
    <dgm:cxn modelId="{36BD4E53-B58F-4DF5-9551-3A624533EE6F}" type="presParOf" srcId="{5E7010DD-31A0-4A1B-8D0D-41BFC6590ED3}" destId="{99BE78C3-D236-44A7-AEFE-FFEE62779C47}" srcOrd="5" destOrd="0" presId="urn:microsoft.com/office/officeart/2005/8/layout/cycle7"/>
    <dgm:cxn modelId="{15598356-D2D5-4CCF-875B-13EBC8B14EB7}" type="presParOf" srcId="{99BE78C3-D236-44A7-AEFE-FFEE62779C47}" destId="{033ABAEF-D4B9-4300-8FA1-8A7ACFB00EDA}" srcOrd="0" destOrd="0" presId="urn:microsoft.com/office/officeart/2005/8/layout/cycle7"/>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CE625A-3786-4AA3-9280-195C320E88E4}">
      <dsp:nvSpPr>
        <dsp:cNvPr id="0" name=""/>
        <dsp:cNvSpPr/>
      </dsp:nvSpPr>
      <dsp:spPr>
        <a:xfrm>
          <a:off x="1914078" y="654"/>
          <a:ext cx="1658242" cy="829121"/>
        </a:xfrm>
        <a:prstGeom prst="roundRect">
          <a:avLst>
            <a:gd name="adj" fmla="val 10000"/>
          </a:avLst>
        </a:prstGeom>
        <a:solidFill>
          <a:schemeClr val="accent1">
            <a:shade val="5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t>Strategic Option 1: Cost Leadership</a:t>
          </a:r>
        </a:p>
      </dsp:txBody>
      <dsp:txXfrm>
        <a:off x="1938362" y="24938"/>
        <a:ext cx="1609674" cy="780553"/>
      </dsp:txXfrm>
    </dsp:sp>
    <dsp:sp modelId="{5A8BE03A-CDE4-42A5-B75E-C851D408F7D6}">
      <dsp:nvSpPr>
        <dsp:cNvPr id="0" name=""/>
        <dsp:cNvSpPr/>
      </dsp:nvSpPr>
      <dsp:spPr>
        <a:xfrm rot="3600000">
          <a:off x="2996006" y="1455103"/>
          <a:ext cx="862689" cy="290192"/>
        </a:xfrm>
        <a:prstGeom prst="leftRightArrow">
          <a:avLst>
            <a:gd name="adj1" fmla="val 60000"/>
            <a:gd name="adj2" fmla="val 50000"/>
          </a:avLst>
        </a:prstGeom>
        <a:solidFill>
          <a:schemeClr val="accent1">
            <a:shade val="9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a:off x="3083064" y="1513141"/>
        <a:ext cx="688573" cy="174116"/>
      </dsp:txXfrm>
    </dsp:sp>
    <dsp:sp modelId="{FBC7EF0D-D1AA-4A67-8E7A-6F9AEF81DCBF}">
      <dsp:nvSpPr>
        <dsp:cNvPr id="0" name=""/>
        <dsp:cNvSpPr/>
      </dsp:nvSpPr>
      <dsp:spPr>
        <a:xfrm>
          <a:off x="3282380" y="2370623"/>
          <a:ext cx="1658242" cy="829121"/>
        </a:xfrm>
        <a:prstGeom prst="roundRect">
          <a:avLst>
            <a:gd name="adj" fmla="val 10000"/>
          </a:avLst>
        </a:prstGeom>
        <a:solidFill>
          <a:schemeClr val="accent1">
            <a:shade val="50000"/>
            <a:hueOff val="240958"/>
            <a:satOff val="-5040"/>
            <a:lumOff val="28042"/>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t>Strategic Option 3: Accessible EV Ecosystem Differentiation </a:t>
          </a:r>
        </a:p>
      </dsp:txBody>
      <dsp:txXfrm>
        <a:off x="3306664" y="2394907"/>
        <a:ext cx="1609674" cy="780553"/>
      </dsp:txXfrm>
    </dsp:sp>
    <dsp:sp modelId="{3A75B64F-5D54-4EA5-A6BB-12344175DF42}">
      <dsp:nvSpPr>
        <dsp:cNvPr id="0" name=""/>
        <dsp:cNvSpPr/>
      </dsp:nvSpPr>
      <dsp:spPr>
        <a:xfrm rot="10800000">
          <a:off x="2311855" y="2640088"/>
          <a:ext cx="862689" cy="290192"/>
        </a:xfrm>
        <a:prstGeom prst="leftRightArrow">
          <a:avLst>
            <a:gd name="adj1" fmla="val 60000"/>
            <a:gd name="adj2" fmla="val 50000"/>
          </a:avLst>
        </a:prstGeom>
        <a:solidFill>
          <a:schemeClr val="accent1">
            <a:shade val="90000"/>
            <a:hueOff val="250074"/>
            <a:satOff val="-4618"/>
            <a:lumOff val="2141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10800000">
        <a:off x="2398913" y="2698126"/>
        <a:ext cx="688573" cy="174116"/>
      </dsp:txXfrm>
    </dsp:sp>
    <dsp:sp modelId="{E8DF576A-76F6-45BE-88E5-B611401F72D6}">
      <dsp:nvSpPr>
        <dsp:cNvPr id="0" name=""/>
        <dsp:cNvSpPr/>
      </dsp:nvSpPr>
      <dsp:spPr>
        <a:xfrm>
          <a:off x="545776" y="2370623"/>
          <a:ext cx="1658242" cy="829121"/>
        </a:xfrm>
        <a:prstGeom prst="roundRect">
          <a:avLst>
            <a:gd name="adj" fmla="val 10000"/>
          </a:avLst>
        </a:prstGeom>
        <a:solidFill>
          <a:schemeClr val="accent1">
            <a:shade val="50000"/>
            <a:hueOff val="240958"/>
            <a:satOff val="-5040"/>
            <a:lumOff val="28042"/>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t>Strategic Option 2: Premium Differentiation</a:t>
          </a:r>
        </a:p>
      </dsp:txBody>
      <dsp:txXfrm>
        <a:off x="570060" y="2394907"/>
        <a:ext cx="1609674" cy="780553"/>
      </dsp:txXfrm>
    </dsp:sp>
    <dsp:sp modelId="{99BE78C3-D236-44A7-AEFE-FFEE62779C47}">
      <dsp:nvSpPr>
        <dsp:cNvPr id="0" name=""/>
        <dsp:cNvSpPr/>
      </dsp:nvSpPr>
      <dsp:spPr>
        <a:xfrm rot="18000000">
          <a:off x="1627704" y="1455103"/>
          <a:ext cx="862689" cy="290192"/>
        </a:xfrm>
        <a:prstGeom prst="leftRightArrow">
          <a:avLst>
            <a:gd name="adj1" fmla="val 60000"/>
            <a:gd name="adj2" fmla="val 50000"/>
          </a:avLst>
        </a:prstGeom>
        <a:solidFill>
          <a:schemeClr val="accent1">
            <a:shade val="90000"/>
            <a:hueOff val="250074"/>
            <a:satOff val="-4618"/>
            <a:lumOff val="2141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a:off x="1714762" y="1513141"/>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8444</Words>
  <Characters>48133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malli</dc:creator>
  <cp:lastModifiedBy>soyamsingh08@outlook.com</cp:lastModifiedBy>
  <cp:revision>2</cp:revision>
  <dcterms:created xsi:type="dcterms:W3CDTF">2026-08-12T09:04:00Z</dcterms:created>
  <dcterms:modified xsi:type="dcterms:W3CDTF">2026-08-12T09:04:00Z</dcterms:modified>
</cp:coreProperties>
</file>