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597D0" w14:textId="77777777" w:rsidR="005C675E" w:rsidRDefault="005C675E" w:rsidP="005C675E">
      <w:pPr>
        <w:pStyle w:val="NormalWeb"/>
        <w:spacing w:before="0" w:beforeAutospacing="0" w:after="0" w:afterAutospacing="0"/>
        <w:ind w:left="-180" w:right="-334"/>
      </w:pPr>
      <w:r>
        <w:rPr>
          <w:noProof/>
        </w:rPr>
        <w:drawing>
          <wp:inline distT="0" distB="0" distL="0" distR="0" wp14:anchorId="542DE797" wp14:editId="001A5D62">
            <wp:extent cx="1907540" cy="635635"/>
            <wp:effectExtent l="25400" t="25400" r="10160" b="1206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14:paraId="489DE07A" w14:textId="77777777" w:rsidR="005C675E" w:rsidRDefault="005C675E" w:rsidP="005C675E">
      <w:pPr>
        <w:pStyle w:val="NormalWeb"/>
        <w:spacing w:before="0" w:beforeAutospacing="0" w:after="0" w:afterAutospacing="0"/>
        <w:ind w:left="-180" w:right="-334"/>
      </w:pPr>
    </w:p>
    <w:p w14:paraId="6BB980F5" w14:textId="77777777" w:rsidR="005C675E" w:rsidRDefault="005C675E" w:rsidP="005C675E">
      <w:pPr>
        <w:pStyle w:val="NormalWeb"/>
        <w:spacing w:before="0" w:beforeAutospacing="0" w:after="0" w:afterAutospacing="0"/>
        <w:ind w:left="-180" w:right="-334"/>
      </w:pPr>
    </w:p>
    <w:p w14:paraId="469532A3" w14:textId="77777777" w:rsidR="005C675E" w:rsidRDefault="005C675E" w:rsidP="005C675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4C465F6" w14:textId="77777777" w:rsidR="005C675E" w:rsidRPr="00230F35" w:rsidRDefault="005C675E" w:rsidP="005C675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D888AE6" w14:textId="77777777" w:rsidR="005C675E" w:rsidRPr="00230F35" w:rsidRDefault="005C675E" w:rsidP="005C675E">
      <w:pPr>
        <w:rPr>
          <w:rFonts w:ascii="Arial" w:hAnsi="Arial" w:cs="Arial"/>
          <w:sz w:val="28"/>
          <w:szCs w:val="28"/>
          <w:lang w:val="cy-GB"/>
        </w:rPr>
      </w:pPr>
    </w:p>
    <w:p w14:paraId="5A456F0C" w14:textId="77777777" w:rsidR="005C675E" w:rsidRDefault="005C675E" w:rsidP="005C675E">
      <w:pPr>
        <w:pStyle w:val="Heading3"/>
        <w:jc w:val="center"/>
        <w:rPr>
          <w:lang w:val="cy-GB"/>
        </w:rPr>
      </w:pPr>
      <w:r>
        <w:rPr>
          <w:lang w:val="cy-GB"/>
        </w:rPr>
        <w:t>THIS SHEET MUST BE THE FIRST PAGE OF THE ASSIGNMENT YOU ARE SUBMITTING  (DO NOT SEND AS A SEPARATE FILE)</w:t>
      </w:r>
    </w:p>
    <w:p w14:paraId="34C202DD" w14:textId="77777777" w:rsidR="005C675E" w:rsidRDefault="005C675E" w:rsidP="005C675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675E" w:rsidRPr="00230F35" w14:paraId="74A438CF" w14:textId="77777777" w:rsidTr="00117EEB">
        <w:trPr>
          <w:trHeight w:val="614"/>
        </w:trPr>
        <w:tc>
          <w:tcPr>
            <w:tcW w:w="8856" w:type="dxa"/>
            <w:gridSpan w:val="5"/>
          </w:tcPr>
          <w:p w14:paraId="11F4BA85"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675E" w:rsidRPr="00230F35" w14:paraId="7725B405" w14:textId="77777777" w:rsidTr="00117EEB">
        <w:trPr>
          <w:trHeight w:val="718"/>
        </w:trPr>
        <w:tc>
          <w:tcPr>
            <w:tcW w:w="8856" w:type="dxa"/>
            <w:gridSpan w:val="5"/>
          </w:tcPr>
          <w:p w14:paraId="5B245BC0" w14:textId="77777777"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1CE0CD03" w14:textId="77777777" w:rsidR="005C675E" w:rsidRPr="00230F35" w:rsidRDefault="005C675E" w:rsidP="00117EEB">
            <w:pPr>
              <w:pStyle w:val="NormalWeb"/>
              <w:spacing w:before="0" w:beforeAutospacing="0" w:after="0" w:afterAutospacing="0"/>
              <w:ind w:right="34"/>
              <w:rPr>
                <w:rFonts w:ascii="Arial" w:hAnsi="Arial" w:cs="Arial"/>
                <w:sz w:val="22"/>
                <w:szCs w:val="22"/>
              </w:rPr>
            </w:pPr>
            <w:r>
              <w:rPr>
                <w:rFonts w:ascii="Arial" w:hAnsi="Arial" w:cs="Arial"/>
                <w:sz w:val="22"/>
                <w:szCs w:val="22"/>
              </w:rPr>
              <w:t>Danielle Marie Goldstein</w:t>
            </w:r>
          </w:p>
        </w:tc>
      </w:tr>
      <w:tr w:rsidR="005C675E" w:rsidRPr="00230F35" w14:paraId="06BFD158" w14:textId="77777777" w:rsidTr="00117EEB">
        <w:trPr>
          <w:trHeight w:val="849"/>
        </w:trPr>
        <w:tc>
          <w:tcPr>
            <w:tcW w:w="4788" w:type="dxa"/>
          </w:tcPr>
          <w:p w14:paraId="7C780C0A"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F71B8">
              <w:rPr>
                <w:rFonts w:ascii="Arial" w:hAnsi="Arial" w:cs="Arial"/>
                <w:sz w:val="22"/>
                <w:szCs w:val="22"/>
              </w:rPr>
              <w:t xml:space="preserve"> HPCA700</w:t>
            </w:r>
            <w:r w:rsidR="0086074B">
              <w:rPr>
                <w:rFonts w:ascii="Arial" w:hAnsi="Arial" w:cs="Arial"/>
                <w:sz w:val="22"/>
                <w:szCs w:val="22"/>
              </w:rPr>
              <w:t>5</w:t>
            </w:r>
          </w:p>
          <w:p w14:paraId="2472CEF3" w14:textId="77777777" w:rsidR="005C675E" w:rsidRPr="00230F35" w:rsidRDefault="005C675E" w:rsidP="00117EEB">
            <w:pPr>
              <w:pStyle w:val="NormalWeb"/>
              <w:spacing w:before="0" w:beforeAutospacing="0" w:after="0" w:afterAutospacing="0"/>
              <w:ind w:right="34"/>
              <w:rPr>
                <w:rFonts w:ascii="Arial" w:hAnsi="Arial" w:cs="Arial"/>
                <w:sz w:val="22"/>
                <w:szCs w:val="22"/>
              </w:rPr>
            </w:pPr>
          </w:p>
          <w:p w14:paraId="637A08BB" w14:textId="77777777"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6074B">
              <w:rPr>
                <w:rFonts w:ascii="Arial" w:hAnsi="Arial" w:cs="Arial"/>
                <w:sz w:val="22"/>
                <w:szCs w:val="22"/>
              </w:rPr>
              <w:t>Cosmology, Magic and Divination</w:t>
            </w:r>
          </w:p>
          <w:p w14:paraId="5BADE093" w14:textId="77777777" w:rsidR="005C675E" w:rsidRDefault="005C675E" w:rsidP="00117EEB">
            <w:pPr>
              <w:pStyle w:val="NormalWeb"/>
              <w:spacing w:before="0" w:beforeAutospacing="0" w:after="0" w:afterAutospacing="0"/>
              <w:ind w:right="34"/>
              <w:rPr>
                <w:rFonts w:ascii="Arial" w:hAnsi="Arial" w:cs="Arial"/>
                <w:sz w:val="22"/>
                <w:szCs w:val="22"/>
              </w:rPr>
            </w:pPr>
          </w:p>
          <w:p w14:paraId="388D3DCC" w14:textId="77777777" w:rsidR="005C675E" w:rsidRPr="00230F35" w:rsidRDefault="005C675E" w:rsidP="00117EEB">
            <w:pPr>
              <w:pStyle w:val="NormalWeb"/>
              <w:spacing w:before="0" w:beforeAutospacing="0" w:after="0" w:afterAutospacing="0"/>
              <w:ind w:right="34"/>
              <w:rPr>
                <w:rFonts w:ascii="Arial" w:hAnsi="Arial" w:cs="Arial"/>
                <w:sz w:val="22"/>
                <w:szCs w:val="22"/>
              </w:rPr>
            </w:pPr>
          </w:p>
        </w:tc>
        <w:tc>
          <w:tcPr>
            <w:tcW w:w="2266" w:type="dxa"/>
            <w:gridSpan w:val="3"/>
          </w:tcPr>
          <w:p w14:paraId="1D887F26"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171</w:t>
            </w:r>
            <w:r w:rsidRPr="001F0E97">
              <w:rPr>
                <w:rFonts w:ascii="Arial" w:hAnsi="Arial" w:cs="Arial"/>
                <w:sz w:val="22"/>
                <w:szCs w:val="22"/>
              </w:rPr>
              <w:t>0933</w:t>
            </w:r>
          </w:p>
        </w:tc>
        <w:tc>
          <w:tcPr>
            <w:tcW w:w="1802" w:type="dxa"/>
          </w:tcPr>
          <w:p w14:paraId="18828596"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4B887B"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C675E" w:rsidRPr="00230F35" w14:paraId="2716E8FC" w14:textId="77777777" w:rsidTr="00117EEB">
        <w:trPr>
          <w:trHeight w:val="1139"/>
        </w:trPr>
        <w:tc>
          <w:tcPr>
            <w:tcW w:w="8856" w:type="dxa"/>
            <w:gridSpan w:val="5"/>
          </w:tcPr>
          <w:p w14:paraId="07CEDDB6" w14:textId="77777777" w:rsidR="005C675E" w:rsidRDefault="005C675E" w:rsidP="00117EEB">
            <w:r>
              <w:rPr>
                <w:rFonts w:ascii="Arial" w:hAnsi="Arial" w:cs="Arial"/>
                <w:sz w:val="22"/>
                <w:szCs w:val="22"/>
              </w:rPr>
              <w:t xml:space="preserve">Module tutor:  </w:t>
            </w:r>
            <w:r w:rsidR="0086074B">
              <w:rPr>
                <w:rFonts w:ascii="Arial" w:hAnsi="Arial" w:cs="Arial"/>
                <w:sz w:val="22"/>
                <w:szCs w:val="22"/>
              </w:rPr>
              <w:t>Dorian Greenbaum</w:t>
            </w:r>
            <w:r w:rsidR="00AF71B8">
              <w:rPr>
                <w:rFonts w:ascii="Arial" w:hAnsi="Arial" w:cs="Arial"/>
                <w:sz w:val="22"/>
                <w:szCs w:val="22"/>
              </w:rPr>
              <w:t xml:space="preserve"> </w:t>
            </w:r>
          </w:p>
          <w:p w14:paraId="261C4032" w14:textId="77777777" w:rsidR="005C675E" w:rsidRPr="00230F35" w:rsidRDefault="005C675E" w:rsidP="00117EEB">
            <w:pPr>
              <w:pStyle w:val="NormalWeb"/>
              <w:spacing w:before="0" w:beforeAutospacing="0" w:after="0" w:afterAutospacing="0"/>
              <w:ind w:right="34"/>
              <w:rPr>
                <w:rFonts w:ascii="Arial" w:hAnsi="Arial" w:cs="Arial"/>
                <w:sz w:val="22"/>
                <w:szCs w:val="22"/>
              </w:rPr>
            </w:pPr>
          </w:p>
          <w:p w14:paraId="24D79708" w14:textId="77777777" w:rsidR="005C675E" w:rsidRPr="00230F35" w:rsidRDefault="005C675E" w:rsidP="00117EEB">
            <w:pPr>
              <w:pStyle w:val="NormalWeb"/>
              <w:spacing w:before="0" w:beforeAutospacing="0" w:after="0" w:afterAutospacing="0"/>
              <w:ind w:right="34"/>
              <w:rPr>
                <w:rFonts w:ascii="Arial" w:hAnsi="Arial" w:cs="Arial"/>
                <w:sz w:val="22"/>
                <w:szCs w:val="22"/>
              </w:rPr>
            </w:pPr>
          </w:p>
          <w:p w14:paraId="7DC9D1B7" w14:textId="77777777" w:rsidR="005C675E" w:rsidRDefault="005C675E" w:rsidP="00117EEB">
            <w:pPr>
              <w:pStyle w:val="NormalWeb"/>
              <w:spacing w:before="0" w:beforeAutospacing="0" w:after="0" w:afterAutospacing="0"/>
              <w:ind w:right="34"/>
              <w:rPr>
                <w:rFonts w:ascii="Arial" w:hAnsi="Arial" w:cs="Arial"/>
                <w:sz w:val="22"/>
                <w:szCs w:val="22"/>
              </w:rPr>
            </w:pPr>
          </w:p>
          <w:p w14:paraId="427F4215"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6074B">
              <w:rPr>
                <w:rFonts w:ascii="Arial" w:hAnsi="Arial" w:cs="Arial"/>
                <w:sz w:val="22"/>
                <w:szCs w:val="22"/>
              </w:rPr>
              <w:t xml:space="preserve"> June 8</w:t>
            </w:r>
            <w:r w:rsidR="0086074B" w:rsidRPr="0086074B">
              <w:rPr>
                <w:rFonts w:ascii="Arial" w:hAnsi="Arial" w:cs="Arial"/>
                <w:sz w:val="22"/>
                <w:szCs w:val="22"/>
                <w:vertAlign w:val="superscript"/>
              </w:rPr>
              <w:t>th</w:t>
            </w:r>
            <w:r w:rsidR="0086074B">
              <w:rPr>
                <w:rFonts w:ascii="Arial" w:hAnsi="Arial" w:cs="Arial"/>
                <w:sz w:val="22"/>
                <w:szCs w:val="22"/>
              </w:rPr>
              <w:t>, 2020</w:t>
            </w:r>
          </w:p>
        </w:tc>
      </w:tr>
      <w:tr w:rsidR="005C675E" w:rsidRPr="00230F35" w14:paraId="413C2C7D" w14:textId="77777777" w:rsidTr="00117EEB">
        <w:trPr>
          <w:trHeight w:val="978"/>
        </w:trPr>
        <w:tc>
          <w:tcPr>
            <w:tcW w:w="8856" w:type="dxa"/>
            <w:gridSpan w:val="5"/>
            <w:tcBorders>
              <w:bottom w:val="single" w:sz="4" w:space="0" w:color="000000"/>
            </w:tcBorders>
          </w:tcPr>
          <w:p w14:paraId="34F4DEB8" w14:textId="77777777" w:rsidR="005C675E" w:rsidRDefault="005C675E" w:rsidP="00117EEB">
            <w:pPr>
              <w:rPr>
                <w:rFonts w:ascii="Arial" w:hAnsi="Arial" w:cs="Arial"/>
                <w:sz w:val="22"/>
                <w:szCs w:val="22"/>
              </w:rPr>
            </w:pPr>
            <w:r>
              <w:rPr>
                <w:rFonts w:ascii="Arial" w:hAnsi="Arial" w:cs="Arial"/>
                <w:sz w:val="22"/>
                <w:szCs w:val="22"/>
              </w:rPr>
              <w:t xml:space="preserve">If your module has multiple </w:t>
            </w:r>
            <w:r w:rsidR="00BE2C60">
              <w:rPr>
                <w:rFonts w:ascii="Arial" w:hAnsi="Arial" w:cs="Arial"/>
                <w:sz w:val="22"/>
                <w:szCs w:val="22"/>
              </w:rPr>
              <w:t>submissions,</w:t>
            </w:r>
            <w:r>
              <w:rPr>
                <w:rFonts w:ascii="Arial" w:hAnsi="Arial" w:cs="Arial"/>
                <w:sz w:val="22"/>
                <w:szCs w:val="22"/>
              </w:rPr>
              <w:t xml:space="preserve"> please indicate which piece of work this is.</w:t>
            </w:r>
          </w:p>
          <w:p w14:paraId="31110426" w14:textId="77777777" w:rsidR="005C675E" w:rsidRDefault="005C675E" w:rsidP="00117EEB">
            <w:pPr>
              <w:rPr>
                <w:rFonts w:ascii="Arial" w:hAnsi="Arial" w:cs="Arial"/>
                <w:sz w:val="22"/>
                <w:szCs w:val="22"/>
              </w:rPr>
            </w:pPr>
          </w:p>
          <w:p w14:paraId="74D8EE55" w14:textId="77777777" w:rsidR="005C675E" w:rsidRPr="00230F35" w:rsidRDefault="005C675E" w:rsidP="00117EE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86074B">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86074B" w:rsidRPr="00230F35">
              <w:rPr>
                <w:rFonts w:ascii="Arial" w:hAnsi="Arial" w:cs="Arial"/>
                <w:sz w:val="22"/>
                <w:szCs w:val="22"/>
              </w:rPr>
              <w:fldChar w:fldCharType="begin">
                <w:ffData>
                  <w:name w:val="Check15"/>
                  <w:enabled/>
                  <w:calcOnExit w:val="0"/>
                  <w:checkBox>
                    <w:sizeAuto/>
                    <w:default w:val="0"/>
                  </w:checkBox>
                </w:ffData>
              </w:fldChar>
            </w:r>
            <w:r w:rsidR="0086074B" w:rsidRPr="00230F35">
              <w:rPr>
                <w:rFonts w:ascii="Arial" w:hAnsi="Arial" w:cs="Arial"/>
                <w:sz w:val="22"/>
                <w:szCs w:val="22"/>
              </w:rPr>
              <w:instrText xml:space="preserve"> FORMCHECKBOX </w:instrText>
            </w:r>
            <w:r w:rsidR="006D47D4">
              <w:rPr>
                <w:rFonts w:ascii="Arial" w:hAnsi="Arial" w:cs="Arial"/>
                <w:sz w:val="22"/>
                <w:szCs w:val="22"/>
              </w:rPr>
            </w:r>
            <w:r w:rsidR="006D47D4">
              <w:rPr>
                <w:rFonts w:ascii="Arial" w:hAnsi="Arial" w:cs="Arial"/>
                <w:sz w:val="22"/>
                <w:szCs w:val="22"/>
              </w:rPr>
              <w:fldChar w:fldCharType="separate"/>
            </w:r>
            <w:r w:rsidR="0086074B" w:rsidRPr="00230F35">
              <w:rPr>
                <w:rFonts w:ascii="Arial" w:hAnsi="Arial" w:cs="Arial"/>
                <w:sz w:val="22"/>
                <w:szCs w:val="22"/>
              </w:rPr>
              <w:fldChar w:fldCharType="end"/>
            </w:r>
            <w:r w:rsidR="0086074B" w:rsidRPr="00230F35">
              <w:rPr>
                <w:rFonts w:ascii="Arial" w:hAnsi="Arial" w:cs="Arial"/>
                <w:sz w:val="22"/>
                <w:szCs w:val="22"/>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006D47D4">
              <w:rPr>
                <w:rFonts w:ascii="Arial" w:hAnsi="Arial" w:cs="Arial"/>
                <w:sz w:val="22"/>
                <w:szCs w:val="22"/>
              </w:rPr>
            </w:r>
            <w:r w:rsidR="006D47D4">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006D47D4">
              <w:rPr>
                <w:rFonts w:ascii="Arial" w:hAnsi="Arial" w:cs="Arial"/>
                <w:sz w:val="22"/>
                <w:szCs w:val="22"/>
              </w:rPr>
            </w:r>
            <w:r w:rsidR="006D47D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006D47D4">
              <w:rPr>
                <w:rFonts w:ascii="Arial" w:hAnsi="Arial" w:cs="Arial"/>
                <w:sz w:val="22"/>
                <w:szCs w:val="22"/>
              </w:rPr>
            </w:r>
            <w:r w:rsidR="006D47D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006D47D4">
              <w:rPr>
                <w:rFonts w:ascii="Arial" w:hAnsi="Arial" w:cs="Arial"/>
                <w:sz w:val="22"/>
                <w:szCs w:val="22"/>
              </w:rPr>
            </w:r>
            <w:r w:rsidR="006D47D4">
              <w:rPr>
                <w:rFonts w:ascii="Arial" w:hAnsi="Arial" w:cs="Arial"/>
                <w:sz w:val="22"/>
                <w:szCs w:val="22"/>
              </w:rPr>
              <w:fldChar w:fldCharType="separate"/>
            </w:r>
            <w:r w:rsidRPr="00230F35">
              <w:rPr>
                <w:rFonts w:ascii="Arial" w:hAnsi="Arial" w:cs="Arial"/>
                <w:sz w:val="22"/>
                <w:szCs w:val="22"/>
              </w:rPr>
              <w:fldChar w:fldCharType="end"/>
            </w:r>
            <w:bookmarkEnd w:id="3"/>
          </w:p>
        </w:tc>
      </w:tr>
      <w:tr w:rsidR="005C675E" w:rsidRPr="00230F35" w14:paraId="285A830D" w14:textId="77777777" w:rsidTr="00117EEB">
        <w:trPr>
          <w:trHeight w:val="978"/>
        </w:trPr>
        <w:tc>
          <w:tcPr>
            <w:tcW w:w="8856" w:type="dxa"/>
            <w:gridSpan w:val="5"/>
            <w:shd w:val="clear" w:color="auto" w:fill="D9D9D9"/>
          </w:tcPr>
          <w:p w14:paraId="3C8389C2" w14:textId="77777777"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D48A2DB" w14:textId="77777777"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Danielle Marie Goldstein</w:t>
            </w:r>
          </w:p>
          <w:p w14:paraId="069C7B10" w14:textId="77777777" w:rsidR="005C675E" w:rsidRDefault="005C675E" w:rsidP="00117EE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3C29BD93" w14:textId="77777777" w:rsidR="005C675E" w:rsidRPr="00230F35" w:rsidRDefault="005C675E" w:rsidP="00117EE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675E" w:rsidRPr="00230F35" w14:paraId="7E86EE93" w14:textId="77777777" w:rsidTr="00117EEB">
        <w:trPr>
          <w:trHeight w:val="3972"/>
        </w:trPr>
        <w:tc>
          <w:tcPr>
            <w:tcW w:w="8856" w:type="dxa"/>
            <w:gridSpan w:val="5"/>
          </w:tcPr>
          <w:p w14:paraId="33624A9D" w14:textId="77777777" w:rsidR="005C675E" w:rsidRDefault="005C675E" w:rsidP="00117EEB">
            <w:pPr>
              <w:rPr>
                <w:rFonts w:ascii="Arial" w:hAnsi="Arial"/>
                <w:b/>
              </w:rPr>
            </w:pPr>
          </w:p>
          <w:p w14:paraId="5CD5280C" w14:textId="77777777" w:rsidR="005C675E" w:rsidRPr="00116CE6" w:rsidRDefault="005C675E" w:rsidP="00117EE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675E" w:rsidRPr="00116CE6" w14:paraId="3F6DB958" w14:textId="77777777" w:rsidTr="00117EEB">
              <w:tc>
                <w:tcPr>
                  <w:tcW w:w="6970" w:type="dxa"/>
                </w:tcPr>
                <w:p w14:paraId="786E4B58" w14:textId="77777777" w:rsidR="005C675E" w:rsidRPr="00116CE6" w:rsidRDefault="005C675E" w:rsidP="00117EEB">
                  <w:pPr>
                    <w:rPr>
                      <w:rFonts w:ascii="Arial" w:hAnsi="Arial"/>
                      <w:sz w:val="20"/>
                      <w:szCs w:val="20"/>
                    </w:rPr>
                  </w:pPr>
                </w:p>
                <w:p w14:paraId="3A4D59E4" w14:textId="77777777" w:rsidR="005C675E" w:rsidRPr="00116CE6" w:rsidRDefault="005C675E" w:rsidP="00117EE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47E6176" w14:textId="77777777" w:rsidR="005C675E" w:rsidRPr="00116CE6" w:rsidRDefault="005C675E" w:rsidP="00117EEB">
                  <w:pPr>
                    <w:rPr>
                      <w:rFonts w:ascii="Arial" w:hAnsi="Arial"/>
                      <w:sz w:val="20"/>
                      <w:szCs w:val="20"/>
                    </w:rPr>
                  </w:pPr>
                </w:p>
              </w:tc>
            </w:tr>
            <w:tr w:rsidR="005C675E" w:rsidRPr="00116CE6" w14:paraId="56F3BA95" w14:textId="77777777" w:rsidTr="00117EEB">
              <w:tc>
                <w:tcPr>
                  <w:tcW w:w="6970" w:type="dxa"/>
                </w:tcPr>
                <w:p w14:paraId="6F6C37C3" w14:textId="77777777" w:rsidR="005C675E" w:rsidRPr="00116CE6" w:rsidRDefault="005C675E" w:rsidP="00117EEB">
                  <w:pPr>
                    <w:rPr>
                      <w:rFonts w:ascii="Arial" w:hAnsi="Arial"/>
                      <w:sz w:val="20"/>
                      <w:szCs w:val="20"/>
                    </w:rPr>
                  </w:pPr>
                </w:p>
                <w:p w14:paraId="25A42908" w14:textId="77777777" w:rsidR="005C675E" w:rsidRPr="00116CE6" w:rsidRDefault="005C675E" w:rsidP="00117EE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5C6CEAE" w14:textId="77777777" w:rsidR="005C675E" w:rsidRPr="00116CE6" w:rsidRDefault="005C675E" w:rsidP="00117EEB">
                  <w:pPr>
                    <w:rPr>
                      <w:rFonts w:ascii="Arial" w:hAnsi="Arial"/>
                      <w:sz w:val="20"/>
                      <w:szCs w:val="20"/>
                    </w:rPr>
                  </w:pPr>
                </w:p>
              </w:tc>
            </w:tr>
            <w:tr w:rsidR="005C675E" w:rsidRPr="00116CE6" w14:paraId="63F1B69D" w14:textId="77777777" w:rsidTr="00117EEB">
              <w:tc>
                <w:tcPr>
                  <w:tcW w:w="6970" w:type="dxa"/>
                </w:tcPr>
                <w:p w14:paraId="5F49CA02" w14:textId="77777777" w:rsidR="005C675E" w:rsidRPr="006367FD" w:rsidRDefault="005C675E" w:rsidP="00117EEB">
                  <w:pPr>
                    <w:rPr>
                      <w:rFonts w:ascii="Arial" w:hAnsi="Arial"/>
                      <w:color w:val="000000"/>
                      <w:sz w:val="20"/>
                      <w:szCs w:val="20"/>
                    </w:rPr>
                  </w:pPr>
                  <w:r w:rsidRPr="006367FD">
                    <w:rPr>
                      <w:rFonts w:ascii="Arial" w:hAnsi="Arial"/>
                      <w:color w:val="000000"/>
                      <w:sz w:val="20"/>
                      <w:szCs w:val="20"/>
                    </w:rPr>
                    <w:t xml:space="preserve">Agreed Internal Mark: </w:t>
                  </w:r>
                </w:p>
                <w:p w14:paraId="2CD78D70" w14:textId="77777777" w:rsidR="005C675E" w:rsidRPr="00E14D2E" w:rsidRDefault="005C675E" w:rsidP="00117EEB">
                  <w:pPr>
                    <w:rPr>
                      <w:rFonts w:ascii="Arial" w:hAnsi="Arial"/>
                      <w:sz w:val="20"/>
                      <w:szCs w:val="20"/>
                      <w:highlight w:val="yellow"/>
                    </w:rPr>
                  </w:pPr>
                </w:p>
              </w:tc>
              <w:tc>
                <w:tcPr>
                  <w:tcW w:w="1660" w:type="dxa"/>
                </w:tcPr>
                <w:p w14:paraId="6459CBF1" w14:textId="77777777" w:rsidR="005C675E" w:rsidRPr="00E14D2E" w:rsidRDefault="005C675E" w:rsidP="00117EEB">
                  <w:pPr>
                    <w:rPr>
                      <w:rFonts w:ascii="Arial" w:hAnsi="Arial"/>
                      <w:sz w:val="20"/>
                      <w:szCs w:val="20"/>
                      <w:highlight w:val="yellow"/>
                    </w:rPr>
                  </w:pPr>
                </w:p>
              </w:tc>
            </w:tr>
            <w:tr w:rsidR="005C675E" w:rsidRPr="00116CE6" w14:paraId="6B6EF871" w14:textId="77777777" w:rsidTr="00117EEB">
              <w:tc>
                <w:tcPr>
                  <w:tcW w:w="6970" w:type="dxa"/>
                </w:tcPr>
                <w:p w14:paraId="4AF78B9D" w14:textId="77777777" w:rsidR="005C675E" w:rsidRPr="00116CE6" w:rsidRDefault="005C675E" w:rsidP="00117EEB">
                  <w:pPr>
                    <w:rPr>
                      <w:rFonts w:ascii="Arial" w:hAnsi="Arial"/>
                      <w:sz w:val="20"/>
                      <w:szCs w:val="20"/>
                    </w:rPr>
                  </w:pPr>
                </w:p>
                <w:p w14:paraId="15B3D310" w14:textId="77777777" w:rsidR="005C675E" w:rsidRPr="00116CE6" w:rsidRDefault="005C675E" w:rsidP="00117EE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EB4DC2A" w14:textId="77777777" w:rsidR="005C675E" w:rsidRPr="00116CE6" w:rsidRDefault="005C675E" w:rsidP="00117EEB">
                  <w:pPr>
                    <w:rPr>
                      <w:rFonts w:ascii="Arial" w:hAnsi="Arial"/>
                      <w:sz w:val="20"/>
                      <w:szCs w:val="20"/>
                    </w:rPr>
                  </w:pPr>
                </w:p>
              </w:tc>
            </w:tr>
            <w:tr w:rsidR="005C675E" w:rsidRPr="00116CE6" w14:paraId="539B7922" w14:textId="77777777" w:rsidTr="00117EEB">
              <w:tc>
                <w:tcPr>
                  <w:tcW w:w="6970" w:type="dxa"/>
                </w:tcPr>
                <w:p w14:paraId="1B3E084E" w14:textId="77777777" w:rsidR="005C675E" w:rsidRDefault="005C675E" w:rsidP="00117EEB">
                  <w:pPr>
                    <w:rPr>
                      <w:rFonts w:ascii="Arial" w:hAnsi="Arial"/>
                      <w:sz w:val="20"/>
                      <w:szCs w:val="20"/>
                    </w:rPr>
                  </w:pPr>
                </w:p>
                <w:p w14:paraId="35D1588D" w14:textId="77777777" w:rsidR="005C675E" w:rsidRPr="00022345" w:rsidRDefault="005C675E" w:rsidP="00117EEB">
                  <w:pPr>
                    <w:rPr>
                      <w:rFonts w:ascii="Arial" w:hAnsi="Arial"/>
                      <w:b/>
                      <w:sz w:val="20"/>
                      <w:szCs w:val="20"/>
                    </w:rPr>
                  </w:pPr>
                  <w:r w:rsidRPr="00022345">
                    <w:rPr>
                      <w:rFonts w:ascii="Arial" w:hAnsi="Arial"/>
                      <w:b/>
                      <w:sz w:val="20"/>
                      <w:szCs w:val="20"/>
                    </w:rPr>
                    <w:t>Final Mark</w:t>
                  </w:r>
                </w:p>
                <w:p w14:paraId="3B3EE640" w14:textId="77777777" w:rsidR="005C675E" w:rsidRPr="00116CE6" w:rsidRDefault="005C675E" w:rsidP="00117EEB">
                  <w:pPr>
                    <w:rPr>
                      <w:rFonts w:ascii="Arial" w:hAnsi="Arial"/>
                      <w:sz w:val="20"/>
                      <w:szCs w:val="20"/>
                    </w:rPr>
                  </w:pPr>
                </w:p>
              </w:tc>
              <w:tc>
                <w:tcPr>
                  <w:tcW w:w="1660" w:type="dxa"/>
                </w:tcPr>
                <w:p w14:paraId="7713F499" w14:textId="77777777" w:rsidR="005C675E" w:rsidRPr="00116CE6" w:rsidRDefault="005C675E" w:rsidP="00117EEB">
                  <w:pPr>
                    <w:rPr>
                      <w:rFonts w:ascii="Arial" w:hAnsi="Arial"/>
                      <w:sz w:val="20"/>
                      <w:szCs w:val="20"/>
                    </w:rPr>
                  </w:pPr>
                </w:p>
              </w:tc>
            </w:tr>
          </w:tbl>
          <w:p w14:paraId="0E82E865" w14:textId="77777777" w:rsidR="005C675E" w:rsidRDefault="005C675E" w:rsidP="00117EEB">
            <w:pPr>
              <w:pStyle w:val="NormalWeb"/>
              <w:spacing w:before="0" w:beforeAutospacing="0" w:after="0" w:afterAutospacing="0"/>
              <w:ind w:left="142" w:right="34"/>
              <w:rPr>
                <w:rFonts w:ascii="Arial" w:hAnsi="Arial" w:cs="Arial"/>
                <w:b/>
                <w:sz w:val="22"/>
                <w:szCs w:val="22"/>
              </w:rPr>
            </w:pPr>
          </w:p>
          <w:p w14:paraId="4F1A1267" w14:textId="77777777" w:rsidR="005C675E" w:rsidRPr="00230F35" w:rsidRDefault="005C675E" w:rsidP="00117EE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640DD99" w14:textId="77777777" w:rsidR="005C675E" w:rsidRDefault="005C675E" w:rsidP="00117EEB">
            <w:pPr>
              <w:pStyle w:val="NormalWeb"/>
              <w:spacing w:before="0" w:beforeAutospacing="0" w:after="0" w:afterAutospacing="0"/>
              <w:rPr>
                <w:rFonts w:ascii="Arial" w:hAnsi="Arial" w:cs="Arial"/>
                <w:b/>
                <w:sz w:val="22"/>
                <w:szCs w:val="22"/>
              </w:rPr>
            </w:pPr>
          </w:p>
          <w:p w14:paraId="71820ACC" w14:textId="77777777" w:rsidR="005C675E" w:rsidRDefault="005C675E" w:rsidP="00117EEB">
            <w:pPr>
              <w:pStyle w:val="NormalWeb"/>
              <w:spacing w:before="0" w:beforeAutospacing="0" w:after="0" w:afterAutospacing="0"/>
              <w:rPr>
                <w:rFonts w:ascii="Arial" w:hAnsi="Arial" w:cs="Arial"/>
                <w:b/>
                <w:sz w:val="22"/>
                <w:szCs w:val="22"/>
              </w:rPr>
            </w:pPr>
          </w:p>
          <w:p w14:paraId="24E53A9C" w14:textId="77777777" w:rsidR="005C675E" w:rsidRDefault="005C675E" w:rsidP="00117EEB">
            <w:pPr>
              <w:pStyle w:val="NormalWeb"/>
              <w:spacing w:before="0" w:beforeAutospacing="0" w:after="0" w:afterAutospacing="0"/>
              <w:rPr>
                <w:rFonts w:ascii="Arial" w:hAnsi="Arial" w:cs="Arial"/>
                <w:b/>
                <w:sz w:val="22"/>
                <w:szCs w:val="22"/>
              </w:rPr>
            </w:pPr>
          </w:p>
          <w:p w14:paraId="090627F3" w14:textId="77777777" w:rsidR="005C675E" w:rsidRDefault="005C675E" w:rsidP="00117EEB">
            <w:pPr>
              <w:pStyle w:val="NormalWeb"/>
              <w:spacing w:before="0" w:beforeAutospacing="0" w:after="0" w:afterAutospacing="0"/>
              <w:rPr>
                <w:rFonts w:ascii="Arial" w:hAnsi="Arial" w:cs="Arial"/>
                <w:b/>
                <w:sz w:val="22"/>
                <w:szCs w:val="22"/>
              </w:rPr>
            </w:pPr>
          </w:p>
          <w:p w14:paraId="4C374E5F" w14:textId="77777777" w:rsidR="005C675E" w:rsidRPr="00230F35" w:rsidRDefault="005C675E" w:rsidP="00117EE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BE2C60" w:rsidRPr="00230F35">
              <w:rPr>
                <w:rFonts w:ascii="Arial" w:hAnsi="Arial" w:cs="Arial"/>
                <w:b/>
                <w:sz w:val="22"/>
                <w:szCs w:val="22"/>
              </w:rPr>
              <w:t>1:</w:t>
            </w:r>
          </w:p>
          <w:p w14:paraId="00C67C17" w14:textId="77777777" w:rsidR="005C675E" w:rsidRDefault="005C675E" w:rsidP="00117EE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9932F35" w14:textId="77777777" w:rsidR="005C675E" w:rsidRPr="00001C3B" w:rsidRDefault="005C675E" w:rsidP="00117EEB">
            <w:pPr>
              <w:pStyle w:val="NormalWeb"/>
              <w:rPr>
                <w:rFonts w:ascii="Arial" w:hAnsi="Arial" w:cs="Arial"/>
                <w:sz w:val="22"/>
                <w:szCs w:val="22"/>
              </w:rPr>
            </w:pPr>
          </w:p>
        </w:tc>
      </w:tr>
      <w:tr w:rsidR="005C675E" w:rsidRPr="00230F35" w14:paraId="17C767D3" w14:textId="77777777" w:rsidTr="00117EEB">
        <w:trPr>
          <w:trHeight w:val="492"/>
        </w:trPr>
        <w:tc>
          <w:tcPr>
            <w:tcW w:w="6768" w:type="dxa"/>
            <w:gridSpan w:val="3"/>
          </w:tcPr>
          <w:p w14:paraId="197B7F68" w14:textId="77777777" w:rsidR="005C675E" w:rsidRPr="00230F35" w:rsidRDefault="005C675E" w:rsidP="00117EE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1D371F4" w14:textId="77777777" w:rsidR="005C675E" w:rsidRPr="00230F35" w:rsidRDefault="005C675E" w:rsidP="00117EE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675E" w:rsidRPr="002F467C" w14:paraId="3A381509" w14:textId="77777777" w:rsidTr="00117EEB">
        <w:tc>
          <w:tcPr>
            <w:tcW w:w="8856" w:type="dxa"/>
            <w:gridSpan w:val="5"/>
          </w:tcPr>
          <w:p w14:paraId="57E6B662" w14:textId="77777777" w:rsidR="005C675E" w:rsidRPr="00230F35" w:rsidRDefault="005C675E" w:rsidP="00117EEB">
            <w:pPr>
              <w:pStyle w:val="NormalWeb"/>
              <w:spacing w:before="0" w:beforeAutospacing="0" w:after="0" w:afterAutospacing="0"/>
              <w:ind w:right="-334"/>
              <w:rPr>
                <w:rFonts w:ascii="Arial" w:hAnsi="Arial" w:cs="Arial"/>
                <w:bCs/>
                <w:i/>
                <w:sz w:val="22"/>
                <w:szCs w:val="22"/>
              </w:rPr>
            </w:pPr>
          </w:p>
          <w:p w14:paraId="48EFB84D" w14:textId="77777777" w:rsidR="005C675E" w:rsidRPr="00230F35" w:rsidRDefault="005C675E" w:rsidP="00117EE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F7E2EA0" w14:textId="77777777" w:rsidR="005C675E" w:rsidRPr="00230F35" w:rsidRDefault="005C675E" w:rsidP="00117EEB">
            <w:pPr>
              <w:pStyle w:val="NormalWeb"/>
              <w:spacing w:before="0" w:beforeAutospacing="0" w:after="0" w:afterAutospacing="0"/>
              <w:ind w:right="-334"/>
              <w:rPr>
                <w:rFonts w:ascii="Arial" w:hAnsi="Arial" w:cs="Arial"/>
                <w:b/>
                <w:bCs/>
                <w:sz w:val="22"/>
                <w:szCs w:val="22"/>
              </w:rPr>
            </w:pPr>
          </w:p>
          <w:p w14:paraId="16CF8300"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1E1466E"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p w14:paraId="2A57C2FA"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p w14:paraId="03DFC292"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14:paraId="0A57E5D3" w14:textId="77777777" w:rsidTr="00117EEB">
        <w:trPr>
          <w:trHeight w:val="720"/>
        </w:trPr>
        <w:tc>
          <w:tcPr>
            <w:tcW w:w="5211" w:type="dxa"/>
            <w:gridSpan w:val="2"/>
          </w:tcPr>
          <w:p w14:paraId="148BC460"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F96300"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675E" w:rsidRPr="002F467C" w14:paraId="7589EFFC" w14:textId="77777777" w:rsidTr="00117EEB">
        <w:trPr>
          <w:trHeight w:val="720"/>
        </w:trPr>
        <w:tc>
          <w:tcPr>
            <w:tcW w:w="8856" w:type="dxa"/>
            <w:gridSpan w:val="5"/>
          </w:tcPr>
          <w:p w14:paraId="69187590" w14:textId="77777777" w:rsidR="005C675E" w:rsidRPr="006367FD" w:rsidRDefault="005C675E" w:rsidP="00117EEB">
            <w:pPr>
              <w:rPr>
                <w:rFonts w:ascii="Arial" w:hAnsi="Arial" w:cs="Arial"/>
                <w:b/>
                <w:sz w:val="22"/>
                <w:szCs w:val="22"/>
              </w:rPr>
            </w:pPr>
            <w:r w:rsidRPr="006367FD">
              <w:rPr>
                <w:rFonts w:ascii="Arial" w:hAnsi="Arial" w:cs="Arial"/>
                <w:b/>
                <w:sz w:val="22"/>
                <w:szCs w:val="22"/>
              </w:rPr>
              <w:t>AGREED INTERNAL MARK (where necessary):</w:t>
            </w:r>
          </w:p>
          <w:p w14:paraId="6A631211" w14:textId="77777777" w:rsidR="005C675E" w:rsidRPr="006367FD" w:rsidRDefault="005C675E" w:rsidP="00117EEB">
            <w:pPr>
              <w:rPr>
                <w:rFonts w:ascii="Arial" w:hAnsi="Arial" w:cs="Arial"/>
                <w:b/>
                <w:sz w:val="22"/>
                <w:szCs w:val="22"/>
              </w:rPr>
            </w:pPr>
          </w:p>
          <w:p w14:paraId="75B90092" w14:textId="77777777" w:rsidR="005C675E" w:rsidRDefault="005C675E" w:rsidP="00117EEB">
            <w:pPr>
              <w:rPr>
                <w:rFonts w:ascii="Arial" w:hAnsi="Arial" w:cs="Arial"/>
                <w:b/>
                <w:sz w:val="22"/>
                <w:szCs w:val="22"/>
              </w:rPr>
            </w:pPr>
            <w:r w:rsidRPr="006367FD">
              <w:rPr>
                <w:rFonts w:ascii="Arial" w:hAnsi="Arial" w:cs="Arial"/>
                <w:b/>
                <w:sz w:val="22"/>
                <w:szCs w:val="22"/>
              </w:rPr>
              <w:t>Comment on process of arriving at agreed mark:</w:t>
            </w:r>
          </w:p>
          <w:p w14:paraId="5557DE8B" w14:textId="77777777" w:rsidR="005C675E" w:rsidRDefault="005C675E" w:rsidP="00117EEB">
            <w:pPr>
              <w:rPr>
                <w:rFonts w:ascii="Arial" w:hAnsi="Arial" w:cs="Arial"/>
                <w:b/>
                <w:sz w:val="22"/>
                <w:szCs w:val="22"/>
              </w:rPr>
            </w:pPr>
          </w:p>
          <w:p w14:paraId="27015DEE" w14:textId="77777777" w:rsidR="005C675E" w:rsidRDefault="005C675E" w:rsidP="00117EEB">
            <w:pPr>
              <w:rPr>
                <w:rFonts w:ascii="Arial" w:hAnsi="Arial" w:cs="Arial"/>
                <w:b/>
                <w:sz w:val="22"/>
                <w:szCs w:val="22"/>
              </w:rPr>
            </w:pPr>
          </w:p>
          <w:p w14:paraId="7A7D285B" w14:textId="77777777" w:rsidR="005C675E" w:rsidRDefault="005C675E" w:rsidP="00117EEB">
            <w:pPr>
              <w:rPr>
                <w:rFonts w:ascii="Arial" w:hAnsi="Arial" w:cs="Arial"/>
                <w:b/>
                <w:sz w:val="22"/>
                <w:szCs w:val="22"/>
              </w:rPr>
            </w:pPr>
          </w:p>
          <w:p w14:paraId="2E823467" w14:textId="77777777" w:rsidR="005C675E" w:rsidRDefault="005C675E" w:rsidP="00117EEB">
            <w:pPr>
              <w:rPr>
                <w:rFonts w:ascii="Arial" w:hAnsi="Arial" w:cs="Arial"/>
                <w:b/>
                <w:sz w:val="22"/>
                <w:szCs w:val="22"/>
              </w:rPr>
            </w:pPr>
          </w:p>
          <w:p w14:paraId="54212B4F" w14:textId="77777777" w:rsidR="005C675E" w:rsidRDefault="005C675E" w:rsidP="00117EEB">
            <w:pPr>
              <w:rPr>
                <w:rFonts w:ascii="Arial" w:hAnsi="Arial" w:cs="Arial"/>
                <w:b/>
                <w:sz w:val="22"/>
                <w:szCs w:val="22"/>
              </w:rPr>
            </w:pPr>
          </w:p>
          <w:p w14:paraId="17875203" w14:textId="77777777" w:rsidR="005C675E" w:rsidRDefault="005C675E" w:rsidP="00117EEB">
            <w:pPr>
              <w:rPr>
                <w:rFonts w:ascii="Arial" w:hAnsi="Arial" w:cs="Arial"/>
                <w:b/>
                <w:sz w:val="22"/>
                <w:szCs w:val="22"/>
              </w:rPr>
            </w:pPr>
          </w:p>
          <w:p w14:paraId="3D620E8A" w14:textId="77777777" w:rsidR="005C675E" w:rsidRDefault="005C675E" w:rsidP="00117EEB">
            <w:pPr>
              <w:rPr>
                <w:rFonts w:ascii="Arial" w:hAnsi="Arial" w:cs="Arial"/>
                <w:b/>
                <w:sz w:val="22"/>
                <w:szCs w:val="22"/>
              </w:rPr>
            </w:pPr>
          </w:p>
          <w:p w14:paraId="75D4889D" w14:textId="77777777" w:rsidR="005C675E" w:rsidRPr="00B34964" w:rsidRDefault="005C675E" w:rsidP="00117EEB">
            <w:pPr>
              <w:rPr>
                <w:rFonts w:ascii="Arial" w:hAnsi="Arial" w:cs="Arial"/>
                <w:b/>
                <w:sz w:val="22"/>
                <w:szCs w:val="22"/>
              </w:rPr>
            </w:pPr>
          </w:p>
        </w:tc>
      </w:tr>
      <w:tr w:rsidR="005C675E" w:rsidRPr="002F467C" w14:paraId="70139815" w14:textId="77777777" w:rsidTr="00117EEB">
        <w:trPr>
          <w:trHeight w:val="720"/>
        </w:trPr>
        <w:tc>
          <w:tcPr>
            <w:tcW w:w="8856" w:type="dxa"/>
            <w:gridSpan w:val="5"/>
          </w:tcPr>
          <w:p w14:paraId="47C8879D" w14:textId="77777777" w:rsidR="005C675E" w:rsidRPr="00B34964" w:rsidRDefault="005C675E" w:rsidP="00117EEB">
            <w:pPr>
              <w:rPr>
                <w:rFonts w:ascii="Arial" w:hAnsi="Arial" w:cs="Arial"/>
                <w:b/>
                <w:sz w:val="22"/>
                <w:szCs w:val="22"/>
              </w:rPr>
            </w:pPr>
            <w:r w:rsidRPr="00B34964">
              <w:rPr>
                <w:rFonts w:ascii="Arial" w:hAnsi="Arial" w:cs="Arial"/>
                <w:b/>
                <w:sz w:val="22"/>
                <w:szCs w:val="22"/>
              </w:rPr>
              <w:t>External Examiner’s comments (if relevant)</w:t>
            </w:r>
          </w:p>
          <w:p w14:paraId="73076F9E" w14:textId="77777777" w:rsidR="005C675E" w:rsidRDefault="005C675E" w:rsidP="00117EEB">
            <w:pPr>
              <w:pStyle w:val="NormalWeb"/>
              <w:spacing w:before="0" w:beforeAutospacing="0" w:after="0" w:afterAutospacing="0"/>
              <w:ind w:right="-334"/>
              <w:rPr>
                <w:rFonts w:ascii="Arial" w:hAnsi="Arial" w:cs="Arial"/>
                <w:bCs/>
                <w:sz w:val="22"/>
                <w:szCs w:val="22"/>
              </w:rPr>
            </w:pPr>
          </w:p>
          <w:p w14:paraId="7F51FB94" w14:textId="77777777" w:rsidR="005C675E" w:rsidRDefault="005C675E" w:rsidP="00117EEB">
            <w:pPr>
              <w:pStyle w:val="NormalWeb"/>
              <w:spacing w:before="0" w:beforeAutospacing="0" w:after="0" w:afterAutospacing="0"/>
              <w:ind w:right="-334"/>
              <w:rPr>
                <w:rFonts w:ascii="Arial" w:hAnsi="Arial" w:cs="Arial"/>
                <w:bCs/>
                <w:sz w:val="22"/>
                <w:szCs w:val="22"/>
              </w:rPr>
            </w:pPr>
          </w:p>
          <w:p w14:paraId="072D4E49" w14:textId="77777777" w:rsidR="005C675E" w:rsidRDefault="005C675E" w:rsidP="00117EEB">
            <w:pPr>
              <w:pStyle w:val="NormalWeb"/>
              <w:spacing w:before="0" w:beforeAutospacing="0" w:after="0" w:afterAutospacing="0"/>
              <w:ind w:right="-334"/>
              <w:rPr>
                <w:rFonts w:ascii="Arial" w:hAnsi="Arial" w:cs="Arial"/>
                <w:bCs/>
                <w:sz w:val="22"/>
                <w:szCs w:val="22"/>
              </w:rPr>
            </w:pPr>
          </w:p>
          <w:p w14:paraId="70210130" w14:textId="77777777" w:rsidR="005C675E" w:rsidRDefault="005C675E" w:rsidP="00117EEB">
            <w:pPr>
              <w:pStyle w:val="NormalWeb"/>
              <w:spacing w:before="0" w:beforeAutospacing="0" w:after="0" w:afterAutospacing="0"/>
              <w:ind w:right="-334"/>
              <w:rPr>
                <w:rFonts w:ascii="Arial" w:hAnsi="Arial" w:cs="Arial"/>
                <w:bCs/>
                <w:sz w:val="22"/>
                <w:szCs w:val="22"/>
              </w:rPr>
            </w:pPr>
          </w:p>
          <w:p w14:paraId="3D3770E5"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p w14:paraId="12F2CEBF"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p w14:paraId="07F228CB" w14:textId="77777777"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14:paraId="46F7BEC1" w14:textId="77777777" w:rsidTr="00117EEB">
        <w:trPr>
          <w:trHeight w:val="720"/>
        </w:trPr>
        <w:tc>
          <w:tcPr>
            <w:tcW w:w="5211" w:type="dxa"/>
            <w:gridSpan w:val="2"/>
          </w:tcPr>
          <w:p w14:paraId="3ABE6181" w14:textId="77777777" w:rsidR="005C675E" w:rsidRPr="00230F35" w:rsidRDefault="005C675E" w:rsidP="00117EEB">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4AF5FB7" w14:textId="77777777" w:rsidR="005C675E" w:rsidRPr="00230F35" w:rsidRDefault="005C675E" w:rsidP="00117EEB">
            <w:pPr>
              <w:rPr>
                <w:rFonts w:ascii="Arial" w:hAnsi="Arial" w:cs="Arial"/>
                <w:sz w:val="22"/>
                <w:szCs w:val="22"/>
              </w:rPr>
            </w:pPr>
            <w:r w:rsidRPr="00230F35">
              <w:rPr>
                <w:rFonts w:ascii="Arial" w:hAnsi="Arial" w:cs="Arial"/>
                <w:sz w:val="22"/>
                <w:szCs w:val="22"/>
              </w:rPr>
              <w:t>Date:</w:t>
            </w:r>
          </w:p>
        </w:tc>
      </w:tr>
    </w:tbl>
    <w:p w14:paraId="295DD2B3" w14:textId="77777777" w:rsidR="005C675E" w:rsidRPr="00D67BF8" w:rsidRDefault="005C675E" w:rsidP="005C675E">
      <w:pPr>
        <w:pStyle w:val="NormalWeb"/>
        <w:spacing w:before="0" w:beforeAutospacing="0" w:after="0" w:afterAutospacing="0"/>
        <w:ind w:right="-334"/>
        <w:rPr>
          <w:rFonts w:ascii="Trebuchet MS" w:hAnsi="Trebuchet MS" w:cs="Tahoma"/>
          <w:bCs/>
          <w:sz w:val="24"/>
          <w:szCs w:val="24"/>
        </w:rPr>
      </w:pPr>
    </w:p>
    <w:p w14:paraId="0F68D5AD" w14:textId="77777777" w:rsidR="00C9663B" w:rsidRPr="00C9663B" w:rsidRDefault="00C2385B" w:rsidP="00C9663B">
      <w:pPr>
        <w:rPr>
          <w:b/>
          <w:bCs/>
        </w:rPr>
      </w:pPr>
      <w:r>
        <w:rPr>
          <w:b/>
          <w:sz w:val="28"/>
          <w:szCs w:val="28"/>
        </w:rPr>
        <w:br w:type="page"/>
      </w:r>
      <w:r w:rsidR="001B3435" w:rsidRPr="001B3435">
        <w:rPr>
          <w:b/>
          <w:bCs/>
        </w:rPr>
        <w:lastRenderedPageBreak/>
        <w:t xml:space="preserve">A critical review of Plutarch’s arguments for divination in </w:t>
      </w:r>
      <w:r w:rsidR="001B3435" w:rsidRPr="001B3435">
        <w:rPr>
          <w:b/>
          <w:bCs/>
          <w:i/>
          <w:iCs/>
        </w:rPr>
        <w:t>De defectu oraculorum</w:t>
      </w:r>
      <w:r w:rsidR="00C9663B" w:rsidRPr="00C9663B">
        <w:t xml:space="preserve"> (On the Obsolescence of Oracles</w:t>
      </w:r>
      <w:r w:rsidR="00C9663B">
        <w:t>)</w:t>
      </w:r>
    </w:p>
    <w:p w14:paraId="384C56E9" w14:textId="7E40BC61" w:rsidR="00C83D7A" w:rsidRPr="00A335FC" w:rsidRDefault="00C80480" w:rsidP="001C3251">
      <w:r>
        <w:t xml:space="preserve">Word Count:  </w:t>
      </w:r>
      <w:r w:rsidR="001B3435">
        <w:t>20</w:t>
      </w:r>
      <w:r w:rsidR="00B83FF3">
        <w:t>60</w:t>
      </w:r>
    </w:p>
    <w:p w14:paraId="0E0DB874" w14:textId="77777777" w:rsidR="00601E1E" w:rsidRDefault="00601E1E" w:rsidP="00F07C38">
      <w:pPr>
        <w:jc w:val="both"/>
        <w:rPr>
          <w:b/>
        </w:rPr>
      </w:pPr>
    </w:p>
    <w:p w14:paraId="12C47B7A" w14:textId="246D3EC4" w:rsidR="00E06243" w:rsidRPr="00CD74D2" w:rsidRDefault="009E4E0D" w:rsidP="00F07C38">
      <w:pPr>
        <w:jc w:val="both"/>
        <w:rPr>
          <w:b/>
        </w:rPr>
      </w:pPr>
      <w:r w:rsidRPr="00CD74D2">
        <w:rPr>
          <w:b/>
        </w:rPr>
        <w:t>Introduction</w:t>
      </w:r>
    </w:p>
    <w:p w14:paraId="1FD4C1AE" w14:textId="6B1CEE44" w:rsidR="00296005" w:rsidRPr="00063D6B" w:rsidRDefault="008C5735" w:rsidP="00296005">
      <w:r w:rsidRPr="00CD74D2">
        <w:t xml:space="preserve">The aim of this </w:t>
      </w:r>
      <w:r w:rsidR="002E1569" w:rsidRPr="00CD74D2">
        <w:t>essay</w:t>
      </w:r>
      <w:r w:rsidRPr="00CD74D2">
        <w:t xml:space="preserve"> </w:t>
      </w:r>
      <w:r w:rsidR="00D46CE2" w:rsidRPr="00CD74D2">
        <w:t>is</w:t>
      </w:r>
      <w:r w:rsidR="00CE7A2C" w:rsidRPr="00CD74D2">
        <w:t xml:space="preserve"> to </w:t>
      </w:r>
      <w:r w:rsidR="00926B0C" w:rsidRPr="00CD74D2">
        <w:t>provide a critical review of Plutarch’s arguments for divination</w:t>
      </w:r>
      <w:r w:rsidR="00926B0C" w:rsidRPr="00CD74D2">
        <w:rPr>
          <w:b/>
          <w:bCs/>
        </w:rPr>
        <w:t xml:space="preserve"> </w:t>
      </w:r>
      <w:r w:rsidR="00926B0C" w:rsidRPr="00CD74D2">
        <w:t>in</w:t>
      </w:r>
      <w:r w:rsidR="00257464">
        <w:t xml:space="preserve"> his essay</w:t>
      </w:r>
      <w:r w:rsidR="00926B0C" w:rsidRPr="00CD74D2">
        <w:t xml:space="preserve"> </w:t>
      </w:r>
      <w:r w:rsidR="00926B0C" w:rsidRPr="00CD74D2">
        <w:rPr>
          <w:i/>
          <w:iCs/>
        </w:rPr>
        <w:t>De defectu oraculorum</w:t>
      </w:r>
      <w:r w:rsidR="00926B0C" w:rsidRPr="00CD74D2">
        <w:t xml:space="preserve">. </w:t>
      </w:r>
      <w:r w:rsidR="001C3251" w:rsidRPr="00CD74D2">
        <w:rPr>
          <w:i/>
          <w:iCs/>
        </w:rPr>
        <w:t>De defectu oraculorum</w:t>
      </w:r>
      <w:r w:rsidR="001C3251" w:rsidRPr="00CD74D2">
        <w:t xml:space="preserve"> fits within a compilation of </w:t>
      </w:r>
      <w:r w:rsidR="00901547">
        <w:t>seventy eight</w:t>
      </w:r>
      <w:r w:rsidR="001C3251" w:rsidRPr="00CD74D2">
        <w:t xml:space="preserve"> essays and speeches entitled </w:t>
      </w:r>
      <w:r w:rsidR="001C3251" w:rsidRPr="00CD74D2">
        <w:rPr>
          <w:i/>
          <w:iCs/>
        </w:rPr>
        <w:t>Moralia</w:t>
      </w:r>
      <w:r w:rsidR="00CE7A2C" w:rsidRPr="00CD74D2">
        <w:t xml:space="preserve">, </w:t>
      </w:r>
      <w:r w:rsidR="002817C1" w:rsidRPr="00CD74D2">
        <w:t>otherwise known as</w:t>
      </w:r>
      <w:r w:rsidR="00AF0AFC" w:rsidRPr="00CD74D2">
        <w:t xml:space="preserve"> </w:t>
      </w:r>
      <w:r w:rsidR="00CE7A2C" w:rsidRPr="00CD74D2">
        <w:t>‘</w:t>
      </w:r>
      <w:r w:rsidR="00AF0AFC" w:rsidRPr="00CD74D2">
        <w:t>Ethics</w:t>
      </w:r>
      <w:r w:rsidR="00CE7A2C" w:rsidRPr="00CD74D2">
        <w:t>’</w:t>
      </w:r>
      <w:r w:rsidR="00AF0AFC" w:rsidRPr="00CD74D2">
        <w:t xml:space="preserve">, </w:t>
      </w:r>
      <w:r w:rsidR="00674E49" w:rsidRPr="00CD74D2">
        <w:t xml:space="preserve">which </w:t>
      </w:r>
      <w:r w:rsidR="00AF0AFC" w:rsidRPr="00CD74D2">
        <w:t>cover</w:t>
      </w:r>
      <w:r w:rsidR="008670BA">
        <w:t>ed</w:t>
      </w:r>
      <w:r w:rsidR="00AF0AFC" w:rsidRPr="00CD74D2">
        <w:t xml:space="preserve"> topics ranging</w:t>
      </w:r>
      <w:r w:rsidR="00674E49" w:rsidRPr="00CD74D2">
        <w:t xml:space="preserve"> from</w:t>
      </w:r>
      <w:r w:rsidR="00AF0AFC" w:rsidRPr="00CD74D2">
        <w:t xml:space="preserve"> religion, politics, and general philosophies on life</w:t>
      </w:r>
      <w:r w:rsidR="001C3251" w:rsidRPr="00CD74D2">
        <w:t>.</w:t>
      </w:r>
      <w:r w:rsidR="001C3251" w:rsidRPr="00CD74D2">
        <w:rPr>
          <w:rStyle w:val="FootnoteReference"/>
        </w:rPr>
        <w:footnoteReference w:id="1"/>
      </w:r>
      <w:r w:rsidR="008670BA">
        <w:t xml:space="preserve"> </w:t>
      </w:r>
      <w:r w:rsidR="00C711F7">
        <w:t>Plutarch</w:t>
      </w:r>
      <w:r w:rsidR="001C3251" w:rsidRPr="00CD74D2">
        <w:t xml:space="preserve"> was born in Boeotia, Greece around </w:t>
      </w:r>
      <w:r w:rsidR="00901547">
        <w:t>forty five</w:t>
      </w:r>
      <w:r w:rsidR="001C3251" w:rsidRPr="00CD74D2">
        <w:t xml:space="preserve"> CE</w:t>
      </w:r>
      <w:r w:rsidR="00881C63" w:rsidRPr="00CD74D2">
        <w:t>,</w:t>
      </w:r>
      <w:r w:rsidR="001C3251" w:rsidRPr="00CD74D2">
        <w:t xml:space="preserve"> </w:t>
      </w:r>
      <w:r w:rsidR="00881C63" w:rsidRPr="00CD74D2">
        <w:t>and</w:t>
      </w:r>
      <w:r w:rsidR="00AF0AFC" w:rsidRPr="00CD74D2">
        <w:t xml:space="preserve"> travelled widely</w:t>
      </w:r>
      <w:r w:rsidR="00881C63" w:rsidRPr="00CD74D2">
        <w:t xml:space="preserve"> throughout central Greece, Corinth, Sparta, Sardis, and Alex</w:t>
      </w:r>
      <w:r w:rsidR="00CE7A2C" w:rsidRPr="00CD74D2">
        <w:t>a</w:t>
      </w:r>
      <w:r w:rsidR="00881C63" w:rsidRPr="00CD74D2">
        <w:t>ndria</w:t>
      </w:r>
      <w:r w:rsidR="00677AEA" w:rsidRPr="00CD74D2">
        <w:t xml:space="preserve">, </w:t>
      </w:r>
      <w:r w:rsidR="00E45FF4" w:rsidRPr="00CD74D2">
        <w:t>with his life culminating</w:t>
      </w:r>
      <w:r w:rsidR="00677AEA" w:rsidRPr="00CD74D2">
        <w:t xml:space="preserve"> in his seventies</w:t>
      </w:r>
      <w:r w:rsidR="001C3251" w:rsidRPr="00CD74D2">
        <w:t>.</w:t>
      </w:r>
      <w:r w:rsidR="00881C63" w:rsidRPr="00CD74D2">
        <w:rPr>
          <w:rStyle w:val="FootnoteReference"/>
        </w:rPr>
        <w:footnoteReference w:id="2"/>
      </w:r>
      <w:r w:rsidR="00881C63" w:rsidRPr="00CD74D2">
        <w:t xml:space="preserve"> He </w:t>
      </w:r>
      <w:r w:rsidR="00677AEA" w:rsidRPr="00CD74D2">
        <w:t xml:space="preserve">trained in </w:t>
      </w:r>
      <w:r w:rsidR="00881C63" w:rsidRPr="00CD74D2">
        <w:t>philosoph</w:t>
      </w:r>
      <w:r w:rsidR="00677AEA" w:rsidRPr="00CD74D2">
        <w:t>y, rhetoric</w:t>
      </w:r>
      <w:r w:rsidR="00CD74D2">
        <w:t xml:space="preserve">, and </w:t>
      </w:r>
      <w:r w:rsidR="00677AEA" w:rsidRPr="00CD74D2">
        <w:t>mathematics</w:t>
      </w:r>
      <w:r w:rsidR="00881C63" w:rsidRPr="00CD74D2">
        <w:t>.</w:t>
      </w:r>
      <w:r w:rsidR="00881C63" w:rsidRPr="00CD74D2">
        <w:rPr>
          <w:rStyle w:val="FootnoteReference"/>
        </w:rPr>
        <w:t xml:space="preserve"> </w:t>
      </w:r>
      <w:r w:rsidR="00881C63" w:rsidRPr="00CD74D2">
        <w:rPr>
          <w:rStyle w:val="FootnoteReference"/>
        </w:rPr>
        <w:footnoteReference w:id="3"/>
      </w:r>
      <w:r w:rsidR="00483846" w:rsidRPr="00CD74D2">
        <w:t xml:space="preserve"> </w:t>
      </w:r>
      <w:r w:rsidR="00092E82" w:rsidRPr="00CD74D2">
        <w:t xml:space="preserve">When </w:t>
      </w:r>
      <w:r w:rsidR="00CD74D2">
        <w:t>Plutarch</w:t>
      </w:r>
      <w:r w:rsidR="00092E82" w:rsidRPr="00CD74D2">
        <w:t xml:space="preserve"> came to Rome as a philosophy teacher, he was given consular rank by the emperor.</w:t>
      </w:r>
      <w:r w:rsidR="00092E82" w:rsidRPr="00CD74D2">
        <w:rPr>
          <w:rStyle w:val="FootnoteReference"/>
        </w:rPr>
        <w:footnoteReference w:id="4"/>
      </w:r>
      <w:r w:rsidR="00310759">
        <w:t xml:space="preserve"> The culture of Greece </w:t>
      </w:r>
      <w:r w:rsidR="00E44310">
        <w:t xml:space="preserve">during Plutarch’s time </w:t>
      </w:r>
      <w:r w:rsidR="00310759">
        <w:t>held respect for tradition</w:t>
      </w:r>
      <w:r w:rsidR="008670BA">
        <w:t xml:space="preserve"> and</w:t>
      </w:r>
      <w:r w:rsidR="00310759">
        <w:t xml:space="preserve"> </w:t>
      </w:r>
      <w:r w:rsidR="008670BA">
        <w:t>intellectual abilities</w:t>
      </w:r>
      <w:r w:rsidR="00310759">
        <w:t>, which Arthur Darby Nock commented, ‘to speak very generally, the measure of things in Greece is man, in Rome is law, and in the Near East is the gods</w:t>
      </w:r>
      <w:r w:rsidR="00257464">
        <w:t>,</w:t>
      </w:r>
      <w:r w:rsidR="00310759">
        <w:t xml:space="preserve">’ and that the impact of Rome’s rise to world power created </w:t>
      </w:r>
      <w:r w:rsidR="00257464">
        <w:t xml:space="preserve">a </w:t>
      </w:r>
      <w:r w:rsidR="00310759">
        <w:t>critical and reflective atti</w:t>
      </w:r>
      <w:r w:rsidR="00063D6B">
        <w:t>t</w:t>
      </w:r>
      <w:r w:rsidR="00310759">
        <w:t>u</w:t>
      </w:r>
      <w:r w:rsidR="00063D6B">
        <w:t>d</w:t>
      </w:r>
      <w:r w:rsidR="00310759">
        <w:t>e in Hellenistic thought.</w:t>
      </w:r>
      <w:r w:rsidR="00310759">
        <w:rPr>
          <w:rStyle w:val="FootnoteReference"/>
        </w:rPr>
        <w:footnoteReference w:id="5"/>
      </w:r>
      <w:r w:rsidR="00310759">
        <w:t xml:space="preserve"> </w:t>
      </w:r>
      <w:r w:rsidR="00CD74D2">
        <w:t xml:space="preserve">Plutarch was a priest </w:t>
      </w:r>
      <w:r w:rsidR="008670BA">
        <w:t xml:space="preserve">at </w:t>
      </w:r>
      <w:r w:rsidR="00CD74D2">
        <w:t>Delphi</w:t>
      </w:r>
      <w:r w:rsidR="00310759">
        <w:t>,</w:t>
      </w:r>
      <w:r w:rsidR="00D46CE2" w:rsidRPr="00CD74D2">
        <w:t xml:space="preserve"> an oracular </w:t>
      </w:r>
      <w:r w:rsidR="00947008" w:rsidRPr="00CD74D2">
        <w:t>centre</w:t>
      </w:r>
      <w:r w:rsidR="00C01603">
        <w:t xml:space="preserve"> or</w:t>
      </w:r>
      <w:r w:rsidR="00D46CE2" w:rsidRPr="00CD74D2">
        <w:t xml:space="preserve"> temple </w:t>
      </w:r>
      <w:r w:rsidR="00CD74D2">
        <w:t xml:space="preserve">that </w:t>
      </w:r>
      <w:r w:rsidR="00D46CE2" w:rsidRPr="00CD74D2">
        <w:t>honoured</w:t>
      </w:r>
      <w:r w:rsidR="00CD74D2">
        <w:t xml:space="preserve"> </w:t>
      </w:r>
      <w:r w:rsidR="00CD74D2" w:rsidRPr="00CD74D2">
        <w:rPr>
          <w:i/>
          <w:iCs/>
        </w:rPr>
        <w:t>daimones</w:t>
      </w:r>
      <w:r w:rsidR="00310759">
        <w:rPr>
          <w:i/>
          <w:iCs/>
        </w:rPr>
        <w:t xml:space="preserve"> </w:t>
      </w:r>
      <w:r w:rsidR="00310759">
        <w:t>and the god Apollo</w:t>
      </w:r>
      <w:r w:rsidR="00D46CE2" w:rsidRPr="00CD74D2">
        <w:t xml:space="preserve">. </w:t>
      </w:r>
      <w:r w:rsidR="00CD74D2">
        <w:t xml:space="preserve">Oracular </w:t>
      </w:r>
      <w:r w:rsidR="00947008">
        <w:t>centres</w:t>
      </w:r>
      <w:r w:rsidR="00CD74D2">
        <w:t xml:space="preserve"> were home to the art of divination, </w:t>
      </w:r>
      <w:r w:rsidR="002F5F73">
        <w:t xml:space="preserve">and </w:t>
      </w:r>
      <w:r w:rsidR="0022699D">
        <w:t>as</w:t>
      </w:r>
      <w:r w:rsidR="00D46CE2" w:rsidRPr="00CD74D2">
        <w:t xml:space="preserve"> </w:t>
      </w:r>
      <w:r w:rsidR="00F06F3E">
        <w:t>Schröder</w:t>
      </w:r>
      <w:r w:rsidR="00901547">
        <w:t xml:space="preserve"> stated</w:t>
      </w:r>
      <w:r w:rsidR="00D46CE2" w:rsidRPr="00CD74D2">
        <w:t xml:space="preserve"> divination directly translates into the Greek word </w:t>
      </w:r>
      <w:r w:rsidR="00D46CE2" w:rsidRPr="00CD74D2">
        <w:rPr>
          <w:i/>
          <w:iCs/>
        </w:rPr>
        <w:t>mantike</w:t>
      </w:r>
      <w:r w:rsidR="00D46CE2" w:rsidRPr="00CD74D2">
        <w:t>.</w:t>
      </w:r>
      <w:r w:rsidR="00D46CE2" w:rsidRPr="00CD74D2">
        <w:rPr>
          <w:rStyle w:val="FootnoteReference"/>
        </w:rPr>
        <w:footnoteReference w:id="6"/>
      </w:r>
      <w:r w:rsidR="00D46CE2" w:rsidRPr="00CD74D2">
        <w:t xml:space="preserve"> </w:t>
      </w:r>
      <w:r w:rsidR="00A66CF4">
        <w:t xml:space="preserve">Nock defined </w:t>
      </w:r>
      <w:r w:rsidR="00A66CF4" w:rsidRPr="00A66CF4">
        <w:rPr>
          <w:i/>
          <w:iCs/>
        </w:rPr>
        <w:t>mantike</w:t>
      </w:r>
      <w:r w:rsidR="00A66CF4">
        <w:t xml:space="preserve"> as the art of foreknowing what to do, the interpretation of signs and unusual events, visions, the ability to read internal organs, the flight of birds, and the utilization of texts composed by seers.</w:t>
      </w:r>
      <w:r w:rsidR="00A66CF4">
        <w:rPr>
          <w:rStyle w:val="FootnoteReference"/>
        </w:rPr>
        <w:footnoteReference w:id="7"/>
      </w:r>
      <w:r w:rsidR="00063D6B">
        <w:t xml:space="preserve"> </w:t>
      </w:r>
      <w:r w:rsidR="0022699D">
        <w:t>Michael Flower</w:t>
      </w:r>
      <w:r w:rsidR="005E375E">
        <w:t xml:space="preserve"> outlined in </w:t>
      </w:r>
      <w:r w:rsidR="00C711F7">
        <w:rPr>
          <w:i/>
          <w:iCs/>
        </w:rPr>
        <w:t>Divination as a</w:t>
      </w:r>
      <w:r w:rsidR="005E375E" w:rsidRPr="005E375E">
        <w:rPr>
          <w:i/>
          <w:iCs/>
        </w:rPr>
        <w:t xml:space="preserve"> System of Knowledge and</w:t>
      </w:r>
      <w:r w:rsidR="005E375E">
        <w:t xml:space="preserve"> </w:t>
      </w:r>
      <w:r w:rsidR="005E375E" w:rsidRPr="00C711F7">
        <w:rPr>
          <w:i/>
          <w:iCs/>
        </w:rPr>
        <w:t xml:space="preserve">Belief </w:t>
      </w:r>
      <w:r w:rsidR="005E375E">
        <w:t xml:space="preserve">that </w:t>
      </w:r>
      <w:r w:rsidR="00947008">
        <w:t>Socrates</w:t>
      </w:r>
      <w:r w:rsidR="005E375E">
        <w:t xml:space="preserve"> advised others to seek out divination to see if an action should be taken, however that divination should not be practiced in matters where human intelligence would bring </w:t>
      </w:r>
      <w:r w:rsidR="002F5F73">
        <w:t xml:space="preserve">the needed </w:t>
      </w:r>
      <w:r w:rsidR="005E375E">
        <w:t>answers.</w:t>
      </w:r>
      <w:r w:rsidR="005E375E">
        <w:rPr>
          <w:rStyle w:val="FootnoteReference"/>
        </w:rPr>
        <w:footnoteReference w:id="8"/>
      </w:r>
      <w:r w:rsidR="005E375E">
        <w:t xml:space="preserve"> This </w:t>
      </w:r>
      <w:r w:rsidR="00947008">
        <w:t>exemplifies</w:t>
      </w:r>
      <w:r w:rsidR="00901547">
        <w:t xml:space="preserve"> the understanding</w:t>
      </w:r>
      <w:r w:rsidR="005E375E">
        <w:t xml:space="preserve"> that divination was an inherent part of </w:t>
      </w:r>
      <w:r w:rsidR="00257464">
        <w:t xml:space="preserve">Ancient </w:t>
      </w:r>
      <w:r w:rsidR="005E375E">
        <w:t xml:space="preserve">Greek </w:t>
      </w:r>
      <w:r w:rsidR="002F5F73">
        <w:t>society</w:t>
      </w:r>
      <w:r w:rsidR="005E375E">
        <w:t xml:space="preserve">. </w:t>
      </w:r>
      <w:r w:rsidR="00063D6B">
        <w:t xml:space="preserve">As a priest at Delphi, Plutarch’s duties involved </w:t>
      </w:r>
      <w:r w:rsidR="00947008">
        <w:t>witnessing</w:t>
      </w:r>
      <w:r w:rsidR="00063D6B">
        <w:t xml:space="preserve"> the </w:t>
      </w:r>
      <w:r w:rsidR="00063D6B" w:rsidRPr="00C01603">
        <w:rPr>
          <w:i/>
          <w:iCs/>
        </w:rPr>
        <w:t>Pythia</w:t>
      </w:r>
      <w:r w:rsidR="00063D6B">
        <w:t xml:space="preserve">, or oracle offer responses to questions, and he wrote three treatises concerning the oracle, </w:t>
      </w:r>
      <w:r w:rsidR="00901547">
        <w:t>as well as</w:t>
      </w:r>
      <w:r w:rsidR="00063D6B">
        <w:t xml:space="preserve"> a lost collection of oracles.</w:t>
      </w:r>
      <w:r w:rsidR="00063D6B">
        <w:rPr>
          <w:rStyle w:val="FootnoteReference"/>
        </w:rPr>
        <w:footnoteReference w:id="9"/>
      </w:r>
      <w:r w:rsidR="00063D6B">
        <w:t xml:space="preserve"> </w:t>
      </w:r>
      <w:r w:rsidR="00915626">
        <w:t>Schröder</w:t>
      </w:r>
      <w:r w:rsidR="00063D6B">
        <w:t>,</w:t>
      </w:r>
      <w:r w:rsidR="00296005" w:rsidRPr="00CD74D2">
        <w:t xml:space="preserve"> amongst other academics view</w:t>
      </w:r>
      <w:r w:rsidR="008670BA">
        <w:t>ed</w:t>
      </w:r>
      <w:r w:rsidR="00296005" w:rsidRPr="00CD74D2">
        <w:t xml:space="preserve"> Plutarch’s work as pro-</w:t>
      </w:r>
      <w:r w:rsidR="00296005">
        <w:t xml:space="preserve">divination, </w:t>
      </w:r>
      <w:r w:rsidR="00394647">
        <w:t xml:space="preserve">and </w:t>
      </w:r>
      <w:r w:rsidR="00257464">
        <w:t>Plutarch as</w:t>
      </w:r>
      <w:r w:rsidR="008670BA">
        <w:t xml:space="preserve"> a man that</w:t>
      </w:r>
      <w:r w:rsidR="00296005">
        <w:t xml:space="preserve"> was willing to defend the importance of know</w:t>
      </w:r>
      <w:r w:rsidR="00257464">
        <w:t>ledge</w:t>
      </w:r>
      <w:r w:rsidR="00296005">
        <w:t xml:space="preserve"> of future circumstances through the a</w:t>
      </w:r>
      <w:r w:rsidR="00394647">
        <w:t>ct</w:t>
      </w:r>
      <w:r w:rsidR="00296005">
        <w:t xml:space="preserve"> of divination.</w:t>
      </w:r>
      <w:r w:rsidR="00296005">
        <w:rPr>
          <w:rStyle w:val="FootnoteReference"/>
        </w:rPr>
        <w:footnoteReference w:id="10"/>
      </w:r>
      <w:r w:rsidR="00296005">
        <w:rPr>
          <w:sz w:val="21"/>
          <w:szCs w:val="21"/>
        </w:rPr>
        <w:t xml:space="preserve"> </w:t>
      </w:r>
    </w:p>
    <w:p w14:paraId="569AEB37" w14:textId="4016F4EC" w:rsidR="00D46CE2" w:rsidRDefault="00D46CE2" w:rsidP="00D46CE2"/>
    <w:p w14:paraId="15CE77FB" w14:textId="77777777" w:rsidR="00C711F7" w:rsidRDefault="00C711F7" w:rsidP="00C711F7"/>
    <w:p w14:paraId="16394B09" w14:textId="77777777" w:rsidR="00C711F7" w:rsidRDefault="00C711F7" w:rsidP="00C711F7">
      <w:pPr>
        <w:rPr>
          <w:b/>
          <w:bCs/>
        </w:rPr>
      </w:pPr>
    </w:p>
    <w:p w14:paraId="7DC79E63" w14:textId="49B3EA88" w:rsidR="00C711F7" w:rsidRPr="00C711F7" w:rsidRDefault="00C711F7" w:rsidP="00C711F7">
      <w:pPr>
        <w:rPr>
          <w:b/>
          <w:bCs/>
        </w:rPr>
      </w:pPr>
      <w:r w:rsidRPr="00C711F7">
        <w:rPr>
          <w:b/>
          <w:bCs/>
        </w:rPr>
        <w:lastRenderedPageBreak/>
        <w:t>Plutarch’s Scholarship</w:t>
      </w:r>
    </w:p>
    <w:p w14:paraId="428DB8E1" w14:textId="7525F1D1" w:rsidR="00D46CE2" w:rsidRPr="00C711F7" w:rsidRDefault="00C711F7" w:rsidP="00C13F22">
      <w:pPr>
        <w:rPr>
          <w:color w:val="1A1A1A"/>
          <w:shd w:val="clear" w:color="auto" w:fill="FFFFFF"/>
          <w:lang w:val="en-US"/>
        </w:rPr>
      </w:pPr>
      <w:r w:rsidRPr="00CD74D2">
        <w:t xml:space="preserve">The essays </w:t>
      </w:r>
      <w:r>
        <w:t xml:space="preserve">in </w:t>
      </w:r>
      <w:r w:rsidRPr="008670BA">
        <w:rPr>
          <w:i/>
          <w:iCs/>
        </w:rPr>
        <w:t>Moralia</w:t>
      </w:r>
      <w:r>
        <w:t xml:space="preserve"> </w:t>
      </w:r>
      <w:r w:rsidRPr="00CD74D2">
        <w:t xml:space="preserve">are dialogues that offer different points of view, utilizing metaphors and myth to create an argument, demonstrating both </w:t>
      </w:r>
      <w:r w:rsidRPr="00CD74D2">
        <w:rPr>
          <w:color w:val="1A1A1A"/>
          <w:shd w:val="clear" w:color="auto" w:fill="FFFFFF"/>
          <w:lang w:val="en-US"/>
        </w:rPr>
        <w:t>complexity, and cultural sophistication.</w:t>
      </w:r>
      <w:r w:rsidRPr="00CD74D2">
        <w:rPr>
          <w:rStyle w:val="FootnoteReference"/>
          <w:color w:val="1A1A1A"/>
          <w:shd w:val="clear" w:color="auto" w:fill="FFFFFF"/>
          <w:lang w:val="en-US"/>
        </w:rPr>
        <w:footnoteReference w:id="11"/>
      </w:r>
      <w:r w:rsidRPr="00CD74D2">
        <w:rPr>
          <w:color w:val="1A1A1A"/>
          <w:shd w:val="clear" w:color="auto" w:fill="FFFFFF"/>
          <w:lang w:val="en-US"/>
        </w:rPr>
        <w:t xml:space="preserve"> </w:t>
      </w:r>
      <w:r w:rsidR="003F3C08">
        <w:rPr>
          <w:color w:val="1A1A1A"/>
          <w:shd w:val="clear" w:color="auto" w:fill="FFFFFF"/>
          <w:lang w:val="en-US"/>
        </w:rPr>
        <w:t xml:space="preserve">The evidence suggests that </w:t>
      </w:r>
      <w:r w:rsidRPr="00CD74D2">
        <w:rPr>
          <w:color w:val="1A1A1A"/>
          <w:shd w:val="clear" w:color="auto" w:fill="FFFFFF"/>
          <w:lang w:val="en-US"/>
        </w:rPr>
        <w:t xml:space="preserve">the dialogue format was used as a way to stimulate higher thinking, as the topics of philosophy and religion require an ability to </w:t>
      </w:r>
      <w:r>
        <w:rPr>
          <w:color w:val="1A1A1A"/>
          <w:shd w:val="clear" w:color="auto" w:fill="FFFFFF"/>
          <w:lang w:val="en-US"/>
        </w:rPr>
        <w:t>explore</w:t>
      </w:r>
      <w:r w:rsidRPr="00CD74D2">
        <w:rPr>
          <w:color w:val="1A1A1A"/>
          <w:shd w:val="clear" w:color="auto" w:fill="FFFFFF"/>
          <w:lang w:val="en-US"/>
        </w:rPr>
        <w:t xml:space="preserve"> a myriad of beliefs. Plutarch’s writing comes across as sober, or what Stephan </w:t>
      </w:r>
      <w:r>
        <w:t>Schröder</w:t>
      </w:r>
      <w:r w:rsidRPr="00CD74D2">
        <w:rPr>
          <w:color w:val="1A1A1A"/>
          <w:shd w:val="clear" w:color="auto" w:fill="FFFFFF"/>
          <w:lang w:val="en-US"/>
        </w:rPr>
        <w:t xml:space="preserve"> described as ‘a cautious modesty and wary restraint’.</w:t>
      </w:r>
      <w:r w:rsidRPr="00CD74D2">
        <w:rPr>
          <w:rStyle w:val="FootnoteReference"/>
          <w:color w:val="1A1A1A"/>
          <w:shd w:val="clear" w:color="auto" w:fill="FFFFFF"/>
          <w:lang w:val="en-US"/>
        </w:rPr>
        <w:footnoteReference w:id="12"/>
      </w:r>
      <w:r w:rsidRPr="00CD74D2">
        <w:rPr>
          <w:color w:val="1A1A1A"/>
          <w:shd w:val="clear" w:color="auto" w:fill="FFFFFF"/>
          <w:lang w:val="en-US"/>
        </w:rPr>
        <w:t xml:space="preserve"> Plutarch’s level of intelligence avoided </w:t>
      </w:r>
      <w:r>
        <w:rPr>
          <w:color w:val="1A1A1A"/>
          <w:shd w:val="clear" w:color="auto" w:fill="FFFFFF"/>
          <w:lang w:val="en-US"/>
        </w:rPr>
        <w:t>severe</w:t>
      </w:r>
      <w:r w:rsidRPr="00CD74D2">
        <w:rPr>
          <w:color w:val="1A1A1A"/>
          <w:shd w:val="clear" w:color="auto" w:fill="FFFFFF"/>
          <w:lang w:val="en-US"/>
        </w:rPr>
        <w:t xml:space="preserve"> statements, allowing the reader to find their own belief within the argument.</w:t>
      </w:r>
      <w:r>
        <w:rPr>
          <w:color w:val="1A1A1A"/>
          <w:shd w:val="clear" w:color="auto" w:fill="FFFFFF"/>
          <w:lang w:val="en-US"/>
        </w:rPr>
        <w:t xml:space="preserve"> </w:t>
      </w:r>
      <w:r w:rsidR="001E5E9A">
        <w:t>He</w:t>
      </w:r>
      <w:r w:rsidR="004C495E" w:rsidRPr="00D46CE2">
        <w:t xml:space="preserve"> </w:t>
      </w:r>
      <w:r w:rsidR="00947008" w:rsidRPr="00D46CE2">
        <w:t>refer</w:t>
      </w:r>
      <w:r w:rsidR="00947008">
        <w:t>red</w:t>
      </w:r>
      <w:r w:rsidR="004C495E" w:rsidRPr="00D46CE2">
        <w:t xml:space="preserve"> to scholars such as Hesiod, Plato, </w:t>
      </w:r>
      <w:r w:rsidR="00093DE8" w:rsidRPr="00D46CE2">
        <w:t>Socrates</w:t>
      </w:r>
      <w:r w:rsidR="00092E82" w:rsidRPr="00D46CE2">
        <w:t>, and Cicero.</w:t>
      </w:r>
      <w:r w:rsidR="00DA25FE">
        <w:t xml:space="preserve"> </w:t>
      </w:r>
      <w:r w:rsidR="00935DCB">
        <w:t xml:space="preserve">In addition to the many works he </w:t>
      </w:r>
      <w:r w:rsidR="00DA25FE">
        <w:t>wrote</w:t>
      </w:r>
      <w:r w:rsidR="00935DCB">
        <w:t xml:space="preserve">, he composed </w:t>
      </w:r>
      <w:r w:rsidR="00935DCB">
        <w:t>a biography about Cicero</w:t>
      </w:r>
      <w:r w:rsidR="00935DCB">
        <w:t>,</w:t>
      </w:r>
      <w:r w:rsidR="00DA25FE">
        <w:t xml:space="preserve"> </w:t>
      </w:r>
      <w:r w:rsidR="00DA25FE" w:rsidRPr="00DA25FE">
        <w:rPr>
          <w:i/>
          <w:iCs/>
        </w:rPr>
        <w:t>The Parallel Lives</w:t>
      </w:r>
      <w:r w:rsidR="00394647">
        <w:t>. The evidence suggests that</w:t>
      </w:r>
      <w:r w:rsidR="00DA25FE">
        <w:t xml:space="preserve"> </w:t>
      </w:r>
      <w:r w:rsidR="00E44310">
        <w:t>perhaps</w:t>
      </w:r>
      <w:r w:rsidR="00DA25FE">
        <w:t xml:space="preserve"> </w:t>
      </w:r>
      <w:r w:rsidR="00DA25FE" w:rsidRPr="00926B0C">
        <w:rPr>
          <w:i/>
          <w:iCs/>
        </w:rPr>
        <w:t>De defectu oraculorum</w:t>
      </w:r>
      <w:r w:rsidR="00DA25FE">
        <w:rPr>
          <w:i/>
          <w:iCs/>
        </w:rPr>
        <w:t xml:space="preserve"> </w:t>
      </w:r>
      <w:r w:rsidR="00DA25FE">
        <w:t xml:space="preserve">could be </w:t>
      </w:r>
      <w:r w:rsidR="008670BA">
        <w:t>interpreted</w:t>
      </w:r>
      <w:r w:rsidR="00DA25FE">
        <w:t xml:space="preserve"> as </w:t>
      </w:r>
      <w:r w:rsidR="00CD74D2">
        <w:t>response</w:t>
      </w:r>
      <w:r w:rsidR="00A61C88">
        <w:t xml:space="preserve"> or an elaboration</w:t>
      </w:r>
      <w:r w:rsidR="00CD74D2">
        <w:t xml:space="preserve"> to </w:t>
      </w:r>
      <w:r w:rsidR="00DA25FE">
        <w:t>Cicero</w:t>
      </w:r>
      <w:r w:rsidR="00952AEA">
        <w:t xml:space="preserve">’s </w:t>
      </w:r>
      <w:r w:rsidR="00952AEA" w:rsidRPr="00092E82">
        <w:rPr>
          <w:i/>
          <w:iCs/>
        </w:rPr>
        <w:t>De Divantione</w:t>
      </w:r>
      <w:r w:rsidR="008670BA">
        <w:rPr>
          <w:i/>
          <w:iCs/>
        </w:rPr>
        <w:t xml:space="preserve">, </w:t>
      </w:r>
      <w:r w:rsidR="00E44310">
        <w:t>w</w:t>
      </w:r>
      <w:r w:rsidR="00394647">
        <w:t>hich was w</w:t>
      </w:r>
      <w:r w:rsidR="00E44310">
        <w:t xml:space="preserve">ritten </w:t>
      </w:r>
      <w:r w:rsidR="008670BA">
        <w:t>against the act of divination</w:t>
      </w:r>
      <w:r w:rsidR="00952AEA">
        <w:t>.</w:t>
      </w:r>
      <w:r w:rsidR="001F79F1">
        <w:t xml:space="preserve"> </w:t>
      </w:r>
      <w:r w:rsidR="001E6D82">
        <w:t xml:space="preserve">Peter Jackson </w:t>
      </w:r>
      <w:r w:rsidR="001F79F1">
        <w:t xml:space="preserve">commented that Cicero approached the topic of divination through doubt, coming to the conclusion that </w:t>
      </w:r>
      <w:r w:rsidR="003F3C08">
        <w:t xml:space="preserve">what </w:t>
      </w:r>
      <w:r w:rsidR="001F79F1">
        <w:t>happen</w:t>
      </w:r>
      <w:r w:rsidR="003F3C08">
        <w:t>s</w:t>
      </w:r>
      <w:r w:rsidR="001F79F1">
        <w:t xml:space="preserve"> </w:t>
      </w:r>
      <w:r w:rsidR="003F3C08">
        <w:t xml:space="preserve">is </w:t>
      </w:r>
      <w:r w:rsidR="001F79F1">
        <w:t>by chance</w:t>
      </w:r>
      <w:r w:rsidR="001E5E9A">
        <w:t>,</w:t>
      </w:r>
      <w:r w:rsidR="001F79F1">
        <w:t xml:space="preserve"> and events lie in uncertainty.</w:t>
      </w:r>
      <w:r w:rsidR="001F79F1">
        <w:rPr>
          <w:rStyle w:val="FootnoteReference"/>
        </w:rPr>
        <w:footnoteReference w:id="13"/>
      </w:r>
      <w:r w:rsidR="001F79F1">
        <w:t xml:space="preserve"> </w:t>
      </w:r>
      <w:r w:rsidR="007F4490" w:rsidRPr="00D46CE2">
        <w:t>As Elsa</w:t>
      </w:r>
      <w:r w:rsidR="00CB31E4">
        <w:t xml:space="preserve"> Giovanna Simonetti </w:t>
      </w:r>
      <w:r w:rsidR="007F4490" w:rsidRPr="00D46CE2">
        <w:t>state</w:t>
      </w:r>
      <w:r w:rsidR="00E44310">
        <w:t>d</w:t>
      </w:r>
      <w:r w:rsidR="007F4490" w:rsidRPr="00D46CE2">
        <w:t xml:space="preserve"> in </w:t>
      </w:r>
      <w:r w:rsidR="007F4490" w:rsidRPr="00CB31E4">
        <w:rPr>
          <w:i/>
          <w:iCs/>
        </w:rPr>
        <w:t>A Perfect Medium</w:t>
      </w:r>
      <w:r w:rsidR="007F4490" w:rsidRPr="00D46CE2">
        <w:t>, ‘</w:t>
      </w:r>
      <w:r w:rsidR="007F4490" w:rsidRPr="00D46CE2">
        <w:rPr>
          <w:rFonts w:eastAsiaTheme="minorHAnsi"/>
        </w:rPr>
        <w:t>Plutarch’s philosophy is enriched and vivified by a strong religious spirit</w:t>
      </w:r>
      <w:r w:rsidR="00DA25FE">
        <w:rPr>
          <w:rFonts w:eastAsiaTheme="minorHAnsi"/>
        </w:rPr>
        <w:t>. . .</w:t>
      </w:r>
      <w:r w:rsidR="007F4490" w:rsidRPr="00D46CE2">
        <w:rPr>
          <w:rFonts w:eastAsiaTheme="minorHAnsi"/>
        </w:rPr>
        <w:t xml:space="preserve"> philosophy as an intellectual activity directed towards the acquisition of true knowledge about the gods, achieved by means of learning and research.’</w:t>
      </w:r>
      <w:r w:rsidR="007F4490" w:rsidRPr="00D46CE2">
        <w:rPr>
          <w:rStyle w:val="FootnoteReference"/>
          <w:rFonts w:eastAsiaTheme="minorHAnsi"/>
        </w:rPr>
        <w:footnoteReference w:id="14"/>
      </w:r>
      <w:r w:rsidR="007F4490" w:rsidRPr="00D46CE2">
        <w:rPr>
          <w:rFonts w:eastAsiaTheme="minorHAnsi"/>
        </w:rPr>
        <w:t xml:space="preserve"> </w:t>
      </w:r>
      <w:r>
        <w:t>Schröder</w:t>
      </w:r>
      <w:r w:rsidR="00952AEA">
        <w:rPr>
          <w:rFonts w:eastAsiaTheme="minorHAnsi"/>
        </w:rPr>
        <w:t xml:space="preserve"> </w:t>
      </w:r>
      <w:r w:rsidR="00C01603">
        <w:rPr>
          <w:rFonts w:eastAsiaTheme="minorHAnsi"/>
        </w:rPr>
        <w:t>reported</w:t>
      </w:r>
      <w:r w:rsidR="00952AEA">
        <w:rPr>
          <w:rFonts w:eastAsiaTheme="minorHAnsi"/>
        </w:rPr>
        <w:t xml:space="preserve"> that the concept of prophecy threads through all of Plutarch’s works.</w:t>
      </w:r>
      <w:r w:rsidR="00952AEA">
        <w:rPr>
          <w:rStyle w:val="FootnoteReference"/>
          <w:rFonts w:eastAsiaTheme="minorHAnsi"/>
        </w:rPr>
        <w:footnoteReference w:id="15"/>
      </w:r>
      <w:r w:rsidR="009003FB">
        <w:rPr>
          <w:rFonts w:eastAsiaTheme="minorHAnsi"/>
        </w:rPr>
        <w:t xml:space="preserve"> In </w:t>
      </w:r>
      <w:r w:rsidR="009003FB" w:rsidRPr="00C13F22">
        <w:rPr>
          <w:rFonts w:eastAsiaTheme="minorHAnsi"/>
          <w:i/>
          <w:iCs/>
        </w:rPr>
        <w:t>Isis and Osiris</w:t>
      </w:r>
      <w:r w:rsidR="009003FB">
        <w:rPr>
          <w:rFonts w:eastAsiaTheme="minorHAnsi"/>
        </w:rPr>
        <w:t xml:space="preserve"> Plutarch wrote, ‘the effort to arrive at the Truth, and especially the truth about the gods, is a longing for the divine’.</w:t>
      </w:r>
      <w:r w:rsidR="00C13F22">
        <w:rPr>
          <w:rStyle w:val="FootnoteReference"/>
          <w:rFonts w:eastAsiaTheme="minorHAnsi"/>
        </w:rPr>
        <w:footnoteReference w:id="16"/>
      </w:r>
      <w:r w:rsidR="009003FB">
        <w:rPr>
          <w:rFonts w:eastAsiaTheme="minorHAnsi"/>
        </w:rPr>
        <w:t xml:space="preserve"> He went on to discuss how the </w:t>
      </w:r>
      <w:r w:rsidR="00E0296D">
        <w:rPr>
          <w:rFonts w:eastAsiaTheme="minorHAnsi"/>
        </w:rPr>
        <w:t>search</w:t>
      </w:r>
      <w:r w:rsidR="009003FB">
        <w:rPr>
          <w:rFonts w:eastAsiaTheme="minorHAnsi"/>
        </w:rPr>
        <w:t xml:space="preserve"> for truth requires investigation </w:t>
      </w:r>
      <w:r w:rsidR="00C13F22">
        <w:rPr>
          <w:rFonts w:eastAsiaTheme="minorHAnsi"/>
        </w:rPr>
        <w:t>into sacred subjects, and is a work greater than any form of holy living or temple service.</w:t>
      </w:r>
      <w:r w:rsidR="00C13F22">
        <w:rPr>
          <w:rStyle w:val="FootnoteReference"/>
          <w:rFonts w:eastAsiaTheme="minorHAnsi"/>
        </w:rPr>
        <w:footnoteReference w:id="17"/>
      </w:r>
      <w:r w:rsidR="00C13F22">
        <w:rPr>
          <w:rFonts w:eastAsiaTheme="minorHAnsi"/>
        </w:rPr>
        <w:t xml:space="preserve"> </w:t>
      </w:r>
      <w:r w:rsidR="00394647">
        <w:rPr>
          <w:rFonts w:eastAsiaTheme="minorHAnsi"/>
        </w:rPr>
        <w:t>The evidence suggests that P</w:t>
      </w:r>
      <w:r w:rsidR="00D46CE2" w:rsidRPr="00D46CE2">
        <w:rPr>
          <w:rFonts w:eastAsiaTheme="minorHAnsi"/>
        </w:rPr>
        <w:t>lutarch’s scholarship was ultimately to connect with the truth of divinity</w:t>
      </w:r>
      <w:r w:rsidR="00DA25FE">
        <w:rPr>
          <w:rFonts w:eastAsiaTheme="minorHAnsi"/>
        </w:rPr>
        <w:t>, with prophecy as a portal to that truth</w:t>
      </w:r>
      <w:r w:rsidR="00D46CE2" w:rsidRPr="00D46CE2">
        <w:rPr>
          <w:rFonts w:eastAsiaTheme="minorHAnsi"/>
        </w:rPr>
        <w:t xml:space="preserve">. </w:t>
      </w:r>
    </w:p>
    <w:p w14:paraId="10F2EA72" w14:textId="77777777" w:rsidR="00D46CE2" w:rsidRDefault="00D46CE2" w:rsidP="007F4490">
      <w:pPr>
        <w:autoSpaceDE w:val="0"/>
        <w:autoSpaceDN w:val="0"/>
        <w:adjustRightInd w:val="0"/>
      </w:pPr>
    </w:p>
    <w:p w14:paraId="164CFE4A" w14:textId="77777777" w:rsidR="00FB4DE6" w:rsidRPr="00FB4DE6" w:rsidRDefault="00FB4DE6" w:rsidP="008D7F82">
      <w:pPr>
        <w:jc w:val="both"/>
        <w:rPr>
          <w:b/>
          <w:bCs/>
          <w:i/>
          <w:iCs/>
        </w:rPr>
      </w:pPr>
      <w:r w:rsidRPr="00FB4DE6">
        <w:rPr>
          <w:b/>
          <w:bCs/>
          <w:i/>
          <w:iCs/>
        </w:rPr>
        <w:t>De defectu oraculorum</w:t>
      </w:r>
    </w:p>
    <w:p w14:paraId="42F3074E" w14:textId="09E704FB" w:rsidR="00F56E4E" w:rsidRPr="00DC6750" w:rsidRDefault="00947008" w:rsidP="001824A0">
      <w:pPr>
        <w:jc w:val="both"/>
      </w:pPr>
      <w:r w:rsidRPr="00926B0C">
        <w:rPr>
          <w:i/>
          <w:iCs/>
        </w:rPr>
        <w:t>De defectu oraculorum</w:t>
      </w:r>
      <w:r>
        <w:rPr>
          <w:i/>
          <w:iCs/>
        </w:rPr>
        <w:t xml:space="preserve"> </w:t>
      </w:r>
      <w:r>
        <w:t>was a dialogue between Lamprias (Plutarch’s brother and the narrator of th</w:t>
      </w:r>
      <w:r w:rsidR="003F3C08">
        <w:t>e</w:t>
      </w:r>
      <w:r>
        <w:t xml:space="preserve"> text), Demetrius, Celobrotus, Ammonius, Philip, Didymus, and Heracleon, and was crafted to discuss why the </w:t>
      </w:r>
      <w:r w:rsidR="00E0296D">
        <w:t>number</w:t>
      </w:r>
      <w:r>
        <w:t xml:space="preserve"> of oracles in Greece had lessened and ceased to function. </w:t>
      </w:r>
      <w:r w:rsidR="00886AFD">
        <w:t xml:space="preserve">All of the participants in the </w:t>
      </w:r>
      <w:r>
        <w:t>discussion</w:t>
      </w:r>
      <w:r w:rsidR="00886AFD">
        <w:t xml:space="preserve"> </w:t>
      </w:r>
      <w:r w:rsidR="00E44310">
        <w:t>were</w:t>
      </w:r>
      <w:r w:rsidR="00886AFD">
        <w:t xml:space="preserve"> temple initiates except for Didymus.</w:t>
      </w:r>
      <w:r w:rsidR="007F1C71">
        <w:t xml:space="preserve"> </w:t>
      </w:r>
      <w:r w:rsidR="00886AFD">
        <w:t>This dialogue t</w:t>
      </w:r>
      <w:r w:rsidR="00E44310">
        <w:t>ook</w:t>
      </w:r>
      <w:r w:rsidR="00886AFD">
        <w:t xml:space="preserve"> place in the Delphic setting, where most oracles ha</w:t>
      </w:r>
      <w:r w:rsidR="00E44310">
        <w:t>d</w:t>
      </w:r>
      <w:r w:rsidR="00886AFD">
        <w:t xml:space="preserve"> suspended operation. </w:t>
      </w:r>
      <w:r w:rsidR="008D7F82">
        <w:t>However th</w:t>
      </w:r>
      <w:r w:rsidR="007F1C71">
        <w:t>e</w:t>
      </w:r>
      <w:r w:rsidR="008D7F82">
        <w:t xml:space="preserve"> </w:t>
      </w:r>
      <w:r>
        <w:t>dialogue</w:t>
      </w:r>
      <w:r w:rsidR="008D7F82">
        <w:t xml:space="preserve"> </w:t>
      </w:r>
      <w:r w:rsidR="008670BA">
        <w:t xml:space="preserve">went beyond just an oracular discussion, </w:t>
      </w:r>
      <w:r w:rsidR="00B1426A">
        <w:t>branching out into</w:t>
      </w:r>
      <w:r w:rsidR="008D7F82">
        <w:t xml:space="preserve"> an array of topics ranging from </w:t>
      </w:r>
      <w:r w:rsidR="008D7F82" w:rsidRPr="00AA6DDD">
        <w:rPr>
          <w:i/>
          <w:iCs/>
        </w:rPr>
        <w:t>daimones</w:t>
      </w:r>
      <w:r w:rsidR="008D7F82">
        <w:t xml:space="preserve"> or the demi-gods that preside over the oracles, Apollo’s relationship to the Sun, the death of Pan, the number of the worlds, </w:t>
      </w:r>
      <w:r w:rsidR="00886AFD">
        <w:t xml:space="preserve">astronomy, geometry, </w:t>
      </w:r>
      <w:r w:rsidR="008D7F82">
        <w:t>other aspects of science and religion</w:t>
      </w:r>
      <w:r w:rsidR="00886AFD">
        <w:t xml:space="preserve">, </w:t>
      </w:r>
      <w:r>
        <w:t>Britain</w:t>
      </w:r>
      <w:r w:rsidR="00886AFD">
        <w:t>, and the East</w:t>
      </w:r>
      <w:r w:rsidR="008D7F82">
        <w:t>.</w:t>
      </w:r>
      <w:r w:rsidR="008D7F82">
        <w:rPr>
          <w:rStyle w:val="FootnoteReference"/>
        </w:rPr>
        <w:footnoteReference w:id="18"/>
      </w:r>
      <w:r w:rsidR="008D7F82">
        <w:t xml:space="preserve"> </w:t>
      </w:r>
      <w:r w:rsidR="00F56E4E">
        <w:t>A number of s</w:t>
      </w:r>
      <w:r w:rsidR="008D7F82">
        <w:t xml:space="preserve">cholars who have studied this work </w:t>
      </w:r>
      <w:r w:rsidR="00F56E4E">
        <w:t>have noted</w:t>
      </w:r>
      <w:r w:rsidR="008D7F82">
        <w:t xml:space="preserve"> that within the text Lamprias </w:t>
      </w:r>
      <w:r w:rsidR="00F56E4E">
        <w:t xml:space="preserve">most likely </w:t>
      </w:r>
      <w:r w:rsidR="008D7F82">
        <w:t xml:space="preserve">represents Plutarch himself, </w:t>
      </w:r>
      <w:r w:rsidR="00B1426A">
        <w:t>as</w:t>
      </w:r>
      <w:r w:rsidR="008D7F82">
        <w:t xml:space="preserve"> </w:t>
      </w:r>
      <w:r w:rsidR="00886AFD">
        <w:t xml:space="preserve">he was a priest at Delphi and </w:t>
      </w:r>
      <w:r w:rsidR="008D7F82">
        <w:t xml:space="preserve">Lamprias was </w:t>
      </w:r>
      <w:r w:rsidR="008D7F82">
        <w:lastRenderedPageBreak/>
        <w:t>not.</w:t>
      </w:r>
      <w:r w:rsidR="008D7F82">
        <w:rPr>
          <w:rStyle w:val="FootnoteReference"/>
        </w:rPr>
        <w:footnoteReference w:id="19"/>
      </w:r>
      <w:r w:rsidR="008D7F82">
        <w:t xml:space="preserve"> </w:t>
      </w:r>
      <w:r w:rsidR="00DA25FE" w:rsidRPr="00D46CE2">
        <w:t xml:space="preserve">It is challenging to know the exact date </w:t>
      </w:r>
      <w:r w:rsidR="00DA25FE" w:rsidRPr="00D46CE2">
        <w:rPr>
          <w:i/>
          <w:iCs/>
        </w:rPr>
        <w:t xml:space="preserve">De defectu oraculorum </w:t>
      </w:r>
      <w:r w:rsidR="00DA25FE" w:rsidRPr="00D46CE2">
        <w:t>was crafted, however the scholarly evidence of Ogilvie points to that around 83 CE is the most likely date.</w:t>
      </w:r>
      <w:r w:rsidR="00DA25FE" w:rsidRPr="00D46CE2">
        <w:rPr>
          <w:rStyle w:val="FootnoteReference"/>
        </w:rPr>
        <w:footnoteReference w:id="20"/>
      </w:r>
      <w:r w:rsidR="001824A0">
        <w:t xml:space="preserve"> </w:t>
      </w:r>
      <w:r w:rsidR="00DC6750" w:rsidRPr="00AD019A">
        <w:t xml:space="preserve">Plutarch’s writing style in </w:t>
      </w:r>
      <w:r w:rsidR="00DC6750" w:rsidRPr="00AD019A">
        <w:rPr>
          <w:i/>
          <w:iCs/>
        </w:rPr>
        <w:t>De defectu oraculorum</w:t>
      </w:r>
      <w:r w:rsidR="00DC6750" w:rsidRPr="00AD019A">
        <w:t xml:space="preserve">, is not about definitive answers, rather he </w:t>
      </w:r>
      <w:r w:rsidR="00DC6750">
        <w:t>presented</w:t>
      </w:r>
      <w:r w:rsidR="00DC6750" w:rsidRPr="00AD019A">
        <w:t xml:space="preserve"> alternative points of view offering a breadth of creative thinking.</w:t>
      </w:r>
      <w:r w:rsidR="00DC6750">
        <w:t xml:space="preserve"> </w:t>
      </w:r>
      <w:r w:rsidR="00DC6750" w:rsidRPr="00AD019A">
        <w:t xml:space="preserve">For instance as sated by </w:t>
      </w:r>
      <w:r w:rsidR="00915626">
        <w:t>Schröder</w:t>
      </w:r>
      <w:r w:rsidR="00DC6750" w:rsidRPr="00AD019A">
        <w:t>, Didymus rant</w:t>
      </w:r>
      <w:r w:rsidR="00DC6750">
        <w:t>ed</w:t>
      </w:r>
      <w:r w:rsidR="00DC6750" w:rsidRPr="00AD019A">
        <w:t xml:space="preserve"> that prophecy </w:t>
      </w:r>
      <w:r w:rsidR="00DC6750">
        <w:t>was</w:t>
      </w:r>
      <w:r w:rsidR="00DC6750" w:rsidRPr="00AD019A">
        <w:t xml:space="preserve"> a gift of </w:t>
      </w:r>
      <w:r w:rsidR="00DC6750" w:rsidRPr="00FA7733">
        <w:rPr>
          <w:i/>
          <w:iCs/>
        </w:rPr>
        <w:t>pronoia</w:t>
      </w:r>
      <w:r w:rsidR="001E5E9A">
        <w:rPr>
          <w:i/>
          <w:iCs/>
        </w:rPr>
        <w:t xml:space="preserve"> </w:t>
      </w:r>
      <w:r w:rsidR="001E5E9A">
        <w:t>(a personification of divine providence for humanity)</w:t>
      </w:r>
      <w:r w:rsidR="00DC6750" w:rsidRPr="00AD019A">
        <w:t>, and the gods take back whatever they do only with good cause, however Lamprias wishe</w:t>
      </w:r>
      <w:r w:rsidR="00DC6750">
        <w:t>d</w:t>
      </w:r>
      <w:r w:rsidR="00DC6750" w:rsidRPr="00AD019A">
        <w:t xml:space="preserve"> to not hold the divine responsible at all.</w:t>
      </w:r>
      <w:r w:rsidR="00DC6750" w:rsidRPr="00AD019A">
        <w:rPr>
          <w:rStyle w:val="FootnoteReference"/>
        </w:rPr>
        <w:footnoteReference w:id="21"/>
      </w:r>
      <w:r w:rsidR="00DC6750" w:rsidRPr="00AD019A">
        <w:t xml:space="preserve"> Plutarch </w:t>
      </w:r>
      <w:r w:rsidR="00DC6750">
        <w:t>was</w:t>
      </w:r>
      <w:r w:rsidR="00DC6750" w:rsidRPr="00AD019A">
        <w:t xml:space="preserve"> intentionally offering different opinions, much like how one </w:t>
      </w:r>
      <w:r w:rsidR="00DC6750">
        <w:t>would</w:t>
      </w:r>
      <w:r w:rsidR="00DC6750" w:rsidRPr="00AD019A">
        <w:t xml:space="preserve"> have </w:t>
      </w:r>
      <w:r w:rsidR="00DC6750">
        <w:t xml:space="preserve">a </w:t>
      </w:r>
      <w:r w:rsidR="00DC6750" w:rsidRPr="00AD019A">
        <w:t xml:space="preserve">deep conversation within their own mind. </w:t>
      </w:r>
    </w:p>
    <w:p w14:paraId="4E07CA6C" w14:textId="77777777" w:rsidR="00F56E4E" w:rsidRDefault="00F56E4E" w:rsidP="00D46CE2">
      <w:pPr>
        <w:rPr>
          <w:b/>
          <w:bCs/>
        </w:rPr>
      </w:pPr>
    </w:p>
    <w:p w14:paraId="1E92B1A8" w14:textId="006C1900" w:rsidR="00FB4DE6" w:rsidRPr="00B1426A" w:rsidRDefault="00FB4DE6" w:rsidP="00D46CE2">
      <w:pPr>
        <w:rPr>
          <w:b/>
          <w:bCs/>
        </w:rPr>
      </w:pPr>
      <w:r w:rsidRPr="00B1426A">
        <w:rPr>
          <w:b/>
          <w:bCs/>
        </w:rPr>
        <w:t>Plutarch’s Divination</w:t>
      </w:r>
    </w:p>
    <w:p w14:paraId="47AEC5FF" w14:textId="77777777" w:rsidR="007F1C71" w:rsidRDefault="008E3ACE" w:rsidP="008E3ACE">
      <w:pPr>
        <w:rPr>
          <w:i/>
          <w:iCs/>
          <w:color w:val="000000" w:themeColor="text1"/>
        </w:rPr>
      </w:pPr>
      <w:r w:rsidRPr="00B1426A">
        <w:t>Plutarch stood by his belief in the divine, which was rooted in Egyptian and Greek myth and rites.</w:t>
      </w:r>
      <w:r w:rsidRPr="00B1426A">
        <w:rPr>
          <w:rStyle w:val="FootnoteReference"/>
        </w:rPr>
        <w:footnoteReference w:id="22"/>
      </w:r>
      <w:r w:rsidRPr="00B1426A">
        <w:t xml:space="preserve"> For the Greeks</w:t>
      </w:r>
      <w:r w:rsidR="00B1426A" w:rsidRPr="00B1426A">
        <w:t>,</w:t>
      </w:r>
      <w:r w:rsidRPr="00B1426A">
        <w:t xml:space="preserve"> divination was an experiential way to orient their lives, a way to connect to the past, the present, </w:t>
      </w:r>
      <w:r w:rsidR="00B1426A" w:rsidRPr="00B1426A">
        <w:t xml:space="preserve">and </w:t>
      </w:r>
      <w:r w:rsidRPr="00B1426A">
        <w:t xml:space="preserve">the future. Divination </w:t>
      </w:r>
      <w:r w:rsidR="00DA50D8" w:rsidRPr="00B1426A">
        <w:t xml:space="preserve">was a dialogue with the divine, a portal to link the soul of man with the soul of the divine. Greek divination had formality, rules, choreography, and </w:t>
      </w:r>
      <w:r w:rsidR="00F56E4E">
        <w:t xml:space="preserve">was </w:t>
      </w:r>
      <w:r w:rsidR="00E0296D">
        <w:t>dependent</w:t>
      </w:r>
      <w:r w:rsidR="00F56E4E">
        <w:t xml:space="preserve"> upon specific</w:t>
      </w:r>
      <w:r w:rsidR="00DA50D8" w:rsidRPr="00B1426A">
        <w:t xml:space="preserve"> interpretation.</w:t>
      </w:r>
      <w:r w:rsidR="00B1426A">
        <w:t xml:space="preserve"> Plutarch’s arguments for divination consisted upon a </w:t>
      </w:r>
      <w:r w:rsidR="00B1426A" w:rsidRPr="00B1426A">
        <w:rPr>
          <w:color w:val="000000" w:themeColor="text1"/>
        </w:rPr>
        <w:t xml:space="preserve">connection of the soul to light, the purity of the </w:t>
      </w:r>
      <w:r w:rsidR="001824A0">
        <w:rPr>
          <w:color w:val="000000" w:themeColor="text1"/>
        </w:rPr>
        <w:t>offerings</w:t>
      </w:r>
      <w:r w:rsidR="001824A0" w:rsidRPr="00B1426A">
        <w:rPr>
          <w:color w:val="000000" w:themeColor="text1"/>
        </w:rPr>
        <w:t xml:space="preserve"> </w:t>
      </w:r>
      <w:r w:rsidR="001824A0">
        <w:rPr>
          <w:color w:val="000000" w:themeColor="text1"/>
        </w:rPr>
        <w:t xml:space="preserve">and the </w:t>
      </w:r>
      <w:r w:rsidR="00B1426A" w:rsidRPr="00B1426A">
        <w:rPr>
          <w:color w:val="000000" w:themeColor="text1"/>
        </w:rPr>
        <w:t xml:space="preserve">priestess, and </w:t>
      </w:r>
      <w:r w:rsidR="007F1C71">
        <w:rPr>
          <w:color w:val="000000" w:themeColor="text1"/>
        </w:rPr>
        <w:t xml:space="preserve">a </w:t>
      </w:r>
      <w:r w:rsidR="00E44310">
        <w:rPr>
          <w:color w:val="000000" w:themeColor="text1"/>
        </w:rPr>
        <w:t xml:space="preserve">right </w:t>
      </w:r>
      <w:r w:rsidR="00B1426A" w:rsidRPr="00B1426A">
        <w:rPr>
          <w:color w:val="000000" w:themeColor="text1"/>
        </w:rPr>
        <w:t xml:space="preserve">relationship with the </w:t>
      </w:r>
      <w:r w:rsidR="00B1426A" w:rsidRPr="00B1426A">
        <w:rPr>
          <w:i/>
          <w:iCs/>
          <w:color w:val="000000" w:themeColor="text1"/>
        </w:rPr>
        <w:t>daimones</w:t>
      </w:r>
      <w:r w:rsidR="00FE3EB8">
        <w:rPr>
          <w:i/>
          <w:iCs/>
          <w:color w:val="000000" w:themeColor="text1"/>
        </w:rPr>
        <w:t>.</w:t>
      </w:r>
    </w:p>
    <w:p w14:paraId="5AD56114" w14:textId="77777777" w:rsidR="007F1C71" w:rsidRDefault="007F1C71" w:rsidP="008E3ACE">
      <w:pPr>
        <w:rPr>
          <w:i/>
          <w:iCs/>
          <w:color w:val="000000" w:themeColor="text1"/>
        </w:rPr>
      </w:pPr>
    </w:p>
    <w:p w14:paraId="7DB2E04C" w14:textId="41E589D1" w:rsidR="00AD019A" w:rsidRPr="00FE3EB8" w:rsidRDefault="00DA50D8" w:rsidP="008E3ACE">
      <w:pPr>
        <w:rPr>
          <w:i/>
          <w:iCs/>
          <w:color w:val="000000" w:themeColor="text1"/>
        </w:rPr>
      </w:pPr>
      <w:r w:rsidRPr="00B1426A">
        <w:rPr>
          <w:color w:val="000000" w:themeColor="text1"/>
        </w:rPr>
        <w:t>For Plutarch</w:t>
      </w:r>
      <w:r w:rsidR="00B1426A" w:rsidRPr="00B1426A">
        <w:rPr>
          <w:color w:val="000000" w:themeColor="text1"/>
        </w:rPr>
        <w:t>,</w:t>
      </w:r>
      <w:r w:rsidRPr="00B1426A">
        <w:rPr>
          <w:color w:val="000000" w:themeColor="text1"/>
        </w:rPr>
        <w:t xml:space="preserve"> divination was about a reliance on light</w:t>
      </w:r>
      <w:r w:rsidR="00B1426A" w:rsidRPr="00B1426A">
        <w:rPr>
          <w:color w:val="000000" w:themeColor="text1"/>
        </w:rPr>
        <w:t>, and he wrote about this light as seen through the lens of the eye, ‘</w:t>
      </w:r>
      <w:r w:rsidR="00B1426A" w:rsidRPr="00B1426A">
        <w:rPr>
          <w:color w:val="000000" w:themeColor="text1"/>
          <w:spacing w:val="-2"/>
          <w:shd w:val="clear" w:color="auto" w:fill="FFFFFF"/>
        </w:rPr>
        <w:t>although the eye has the power of vision, there is no function for it to perform without light</w:t>
      </w:r>
      <w:r w:rsidR="00BA4EF8">
        <w:rPr>
          <w:color w:val="000000" w:themeColor="text1"/>
        </w:rPr>
        <w:t>;</w:t>
      </w:r>
      <w:r w:rsidR="00B1426A" w:rsidRPr="00B1426A">
        <w:rPr>
          <w:color w:val="000000" w:themeColor="text1"/>
          <w:spacing w:val="-2"/>
          <w:shd w:val="clear" w:color="auto" w:fill="FFFFFF"/>
        </w:rPr>
        <w:t xml:space="preserve"> and so the prophetic power of the soul, like an eye, has need of something kindred to help to kindle it and stimulate it further’.</w:t>
      </w:r>
      <w:r w:rsidR="00B1426A" w:rsidRPr="00B1426A">
        <w:rPr>
          <w:rStyle w:val="FootnoteReference"/>
          <w:color w:val="000000" w:themeColor="text1"/>
          <w:spacing w:val="-2"/>
          <w:shd w:val="clear" w:color="auto" w:fill="FFFFFF"/>
        </w:rPr>
        <w:footnoteReference w:id="23"/>
      </w:r>
      <w:r w:rsidRPr="00B1426A">
        <w:rPr>
          <w:color w:val="000000" w:themeColor="text1"/>
        </w:rPr>
        <w:t xml:space="preserve"> This reliance on light </w:t>
      </w:r>
      <w:r w:rsidR="00B1426A" w:rsidRPr="00B1426A">
        <w:rPr>
          <w:color w:val="000000" w:themeColor="text1"/>
        </w:rPr>
        <w:t>was directly related to</w:t>
      </w:r>
      <w:r w:rsidRPr="00B1426A">
        <w:rPr>
          <w:color w:val="000000" w:themeColor="text1"/>
        </w:rPr>
        <w:t xml:space="preserve"> man’s connection to the soul</w:t>
      </w:r>
      <w:r w:rsidR="006D47D4" w:rsidRPr="00B1426A">
        <w:rPr>
          <w:color w:val="000000" w:themeColor="text1"/>
        </w:rPr>
        <w:t>,</w:t>
      </w:r>
      <w:r w:rsidR="00B1426A" w:rsidRPr="00B1426A">
        <w:rPr>
          <w:color w:val="000000" w:themeColor="text1"/>
        </w:rPr>
        <w:t xml:space="preserve"> and through that soul connection a space to </w:t>
      </w:r>
      <w:r w:rsidR="004007E5">
        <w:rPr>
          <w:color w:val="000000" w:themeColor="text1"/>
        </w:rPr>
        <w:t xml:space="preserve">the </w:t>
      </w:r>
      <w:r w:rsidR="00B1426A" w:rsidRPr="00B1426A">
        <w:rPr>
          <w:color w:val="000000" w:themeColor="text1"/>
        </w:rPr>
        <w:t>divine was crafted,</w:t>
      </w:r>
      <w:r w:rsidR="006D47D4" w:rsidRPr="00B1426A">
        <w:rPr>
          <w:color w:val="000000" w:themeColor="text1"/>
        </w:rPr>
        <w:t xml:space="preserve"> </w:t>
      </w:r>
      <w:r w:rsidR="00BA4EF8" w:rsidRPr="00A07752">
        <w:rPr>
          <w:color w:val="000000" w:themeColor="text1"/>
        </w:rPr>
        <w:t>‘</w:t>
      </w:r>
      <w:r w:rsidR="006D47D4" w:rsidRPr="00A07752">
        <w:rPr>
          <w:color w:val="000000" w:themeColor="text1"/>
        </w:rPr>
        <w:t>Souls meeting souls should create in them impressions of the future’</w:t>
      </w:r>
      <w:r w:rsidR="006D47D4" w:rsidRPr="00B1426A">
        <w:rPr>
          <w:color w:val="000000" w:themeColor="text1"/>
        </w:rPr>
        <w:t>.</w:t>
      </w:r>
      <w:r w:rsidR="006D47D4" w:rsidRPr="00B1426A">
        <w:rPr>
          <w:rStyle w:val="FootnoteReference"/>
          <w:color w:val="000000" w:themeColor="text1"/>
        </w:rPr>
        <w:footnoteReference w:id="24"/>
      </w:r>
      <w:r w:rsidR="00D22ABA" w:rsidRPr="00B1426A">
        <w:rPr>
          <w:color w:val="000000" w:themeColor="text1"/>
        </w:rPr>
        <w:t xml:space="preserve"> When Plutarch wrote </w:t>
      </w:r>
      <w:r w:rsidR="00B1426A" w:rsidRPr="00B1426A">
        <w:rPr>
          <w:color w:val="000000" w:themeColor="text1"/>
        </w:rPr>
        <w:t>about the soul, he stated that the prophetic spirit ha</w:t>
      </w:r>
      <w:r w:rsidR="001824A0">
        <w:rPr>
          <w:color w:val="000000" w:themeColor="text1"/>
        </w:rPr>
        <w:t>d</w:t>
      </w:r>
      <w:r w:rsidR="00B1426A" w:rsidRPr="00B1426A">
        <w:rPr>
          <w:color w:val="000000" w:themeColor="text1"/>
        </w:rPr>
        <w:t xml:space="preserve"> a close and intimate connection that vision has to light.</w:t>
      </w:r>
      <w:r w:rsidR="00B1426A" w:rsidRPr="00B1426A">
        <w:rPr>
          <w:rStyle w:val="FootnoteReference"/>
          <w:color w:val="000000" w:themeColor="text1"/>
        </w:rPr>
        <w:footnoteReference w:id="25"/>
      </w:r>
      <w:r w:rsidR="00FE3EB8">
        <w:rPr>
          <w:color w:val="000000" w:themeColor="text1"/>
        </w:rPr>
        <w:t xml:space="preserve"> </w:t>
      </w:r>
      <w:r w:rsidR="00C44575">
        <w:rPr>
          <w:color w:val="000000" w:themeColor="text1"/>
        </w:rPr>
        <w:t xml:space="preserve">Divination was about a linking to the prophecy of the soul. </w:t>
      </w:r>
      <w:r w:rsidR="00EB2218">
        <w:t>The offerings that were</w:t>
      </w:r>
      <w:r w:rsidR="001824A0">
        <w:t xml:space="preserve"> to be</w:t>
      </w:r>
      <w:r w:rsidR="00EB2218">
        <w:t xml:space="preserve"> provided</w:t>
      </w:r>
      <w:r w:rsidR="00C44575">
        <w:t xml:space="preserve"> </w:t>
      </w:r>
      <w:r w:rsidR="00EB2218">
        <w:t>had to be immaculate</w:t>
      </w:r>
      <w:r w:rsidR="001824A0">
        <w:t>, meaning t</w:t>
      </w:r>
      <w:r w:rsidR="001824A0">
        <w:t>hat to access the divine realm one must have the proper scent, proper mood</w:t>
      </w:r>
      <w:r w:rsidR="001824A0">
        <w:t>,</w:t>
      </w:r>
      <w:r w:rsidR="001824A0">
        <w:t xml:space="preserve"> and emotional stability</w:t>
      </w:r>
      <w:r w:rsidR="00EB2218">
        <w:t>, ‘what is to be offered in sacrifice must, both in body and in soul, be pure, unblemished, and unmarred.’</w:t>
      </w:r>
      <w:r w:rsidR="00EB2218">
        <w:rPr>
          <w:rStyle w:val="FootnoteReference"/>
        </w:rPr>
        <w:footnoteReference w:id="26"/>
      </w:r>
      <w:r w:rsidR="00EB2218">
        <w:t xml:space="preserve"> </w:t>
      </w:r>
      <w:r w:rsidR="00EB2218" w:rsidRPr="00BA4EF8">
        <w:t xml:space="preserve">Many levels of care were necessary to be </w:t>
      </w:r>
      <w:r w:rsidR="00EB2218">
        <w:t>extended</w:t>
      </w:r>
      <w:r w:rsidR="00EB2218" w:rsidRPr="00BA4EF8">
        <w:t xml:space="preserve"> in the divinatory space</w:t>
      </w:r>
      <w:r w:rsidR="001824A0">
        <w:t>, and a prophetic vapor was needed to align the souls</w:t>
      </w:r>
      <w:r w:rsidR="00EB2218" w:rsidRPr="00BA4EF8">
        <w:t>.</w:t>
      </w:r>
      <w:r w:rsidR="00EB2218">
        <w:rPr>
          <w:rStyle w:val="FootnoteReference"/>
        </w:rPr>
        <w:footnoteReference w:id="27"/>
      </w:r>
      <w:r w:rsidR="00EB2218" w:rsidRPr="00BA4EF8">
        <w:t xml:space="preserve"> </w:t>
      </w:r>
      <w:r w:rsidR="00BA4EF8" w:rsidRPr="00BA4EF8">
        <w:t>For Plutarch divination could only transpire if the offerings and the priestesses were in a state of ritual purity, ‘possessed by inspiration, and able to present their visions’.</w:t>
      </w:r>
      <w:r w:rsidR="00BA4EF8" w:rsidRPr="00BA4EF8">
        <w:rPr>
          <w:rStyle w:val="FootnoteReference"/>
        </w:rPr>
        <w:footnoteReference w:id="28"/>
      </w:r>
      <w:r w:rsidR="00BA4EF8" w:rsidRPr="00BA4EF8">
        <w:t xml:space="preserve"> This elude</w:t>
      </w:r>
      <w:r w:rsidR="000344D7">
        <w:t>d</w:t>
      </w:r>
      <w:r w:rsidR="00BA4EF8" w:rsidRPr="00BA4EF8">
        <w:t xml:space="preserve"> to some sort of ritual preparations that were necessary for the priestess to undergo pr</w:t>
      </w:r>
      <w:r w:rsidR="000344D7">
        <w:t>ior to</w:t>
      </w:r>
      <w:r w:rsidR="00BA4EF8" w:rsidRPr="00BA4EF8">
        <w:t xml:space="preserve"> divination, which may </w:t>
      </w:r>
      <w:r w:rsidR="00AD019A">
        <w:t xml:space="preserve">have </w:t>
      </w:r>
      <w:r w:rsidR="00BA4EF8" w:rsidRPr="00BA4EF8">
        <w:t>include</w:t>
      </w:r>
      <w:r w:rsidR="00AD019A">
        <w:t>d</w:t>
      </w:r>
      <w:r w:rsidR="00BA4EF8" w:rsidRPr="00BA4EF8">
        <w:t xml:space="preserve"> some form of washing, dressing, </w:t>
      </w:r>
      <w:r w:rsidR="000344D7">
        <w:t xml:space="preserve">the </w:t>
      </w:r>
      <w:r w:rsidR="00BA4EF8" w:rsidRPr="00BA4EF8">
        <w:t xml:space="preserve">application of oils, etc. However, what </w:t>
      </w:r>
      <w:r w:rsidR="000344D7">
        <w:t>was</w:t>
      </w:r>
      <w:r w:rsidR="00BA4EF8" w:rsidRPr="00BA4EF8">
        <w:t xml:space="preserve"> also stressed in Plutarch’s writing </w:t>
      </w:r>
      <w:r w:rsidR="00C44575">
        <w:t>wa</w:t>
      </w:r>
      <w:r w:rsidR="00BA4EF8" w:rsidRPr="00BA4EF8">
        <w:t>s that the mood of the diviner</w:t>
      </w:r>
      <w:r w:rsidR="000344D7">
        <w:t xml:space="preserve"> must be preserved</w:t>
      </w:r>
      <w:r w:rsidR="00BA4EF8" w:rsidRPr="00BA4EF8">
        <w:t xml:space="preserve"> and </w:t>
      </w:r>
      <w:r w:rsidR="000344D7">
        <w:t xml:space="preserve">furthermore </w:t>
      </w:r>
      <w:r w:rsidR="00BA4EF8" w:rsidRPr="00BA4EF8">
        <w:t>the</w:t>
      </w:r>
      <w:r w:rsidR="00C44575">
        <w:t xml:space="preserve">y were to be </w:t>
      </w:r>
      <w:r w:rsidR="00BA4EF8" w:rsidRPr="00BA4EF8">
        <w:t>protect</w:t>
      </w:r>
      <w:r w:rsidR="00C44575">
        <w:t>ed</w:t>
      </w:r>
      <w:r w:rsidR="00BA4EF8" w:rsidRPr="00BA4EF8">
        <w:t xml:space="preserve"> against any energy that </w:t>
      </w:r>
      <w:r w:rsidR="00C44575">
        <w:t xml:space="preserve">may </w:t>
      </w:r>
      <w:r w:rsidR="00BA4EF8" w:rsidRPr="00BA4EF8">
        <w:t xml:space="preserve">distort the transmission </w:t>
      </w:r>
      <w:r w:rsidR="00C44575">
        <w:t xml:space="preserve">or </w:t>
      </w:r>
      <w:r w:rsidR="00C44575">
        <w:lastRenderedPageBreak/>
        <w:t>channel the diviner needed to access</w:t>
      </w:r>
      <w:r w:rsidR="00AD019A">
        <w:t xml:space="preserve">, ‘they guard the </w:t>
      </w:r>
      <w:r w:rsidR="00947008">
        <w:t>chastity</w:t>
      </w:r>
      <w:r w:rsidR="00AD019A">
        <w:t xml:space="preserve"> of the priestess, and keep her life free from all association and contact with strangers.’</w:t>
      </w:r>
      <w:r w:rsidR="00AD019A">
        <w:rPr>
          <w:rStyle w:val="FootnoteReference"/>
        </w:rPr>
        <w:footnoteReference w:id="29"/>
      </w:r>
      <w:r w:rsidR="00BA4EF8" w:rsidRPr="00BA4EF8">
        <w:t xml:space="preserve"> </w:t>
      </w:r>
      <w:r w:rsidR="00EB2218">
        <w:t xml:space="preserve">A sense of concern and moral obligation was called to the temple </w:t>
      </w:r>
      <w:r w:rsidR="00E0296D">
        <w:t>practitioners</w:t>
      </w:r>
      <w:r w:rsidR="00A61C88" w:rsidRPr="00914CAC">
        <w:rPr>
          <w:sz w:val="22"/>
          <w:szCs w:val="22"/>
        </w:rPr>
        <w:t>.</w:t>
      </w:r>
      <w:r w:rsidR="00A61C88">
        <w:rPr>
          <w:rStyle w:val="FootnoteReference"/>
          <w:sz w:val="22"/>
          <w:szCs w:val="22"/>
        </w:rPr>
        <w:footnoteReference w:id="30"/>
      </w:r>
      <w:r w:rsidR="00A61C88" w:rsidRPr="00914CAC">
        <w:rPr>
          <w:sz w:val="22"/>
          <w:szCs w:val="22"/>
        </w:rPr>
        <w:t xml:space="preserve"> </w:t>
      </w:r>
      <w:r w:rsidR="00A61C88">
        <w:t xml:space="preserve">This mental </w:t>
      </w:r>
      <w:r w:rsidR="00947008">
        <w:t>capacity</w:t>
      </w:r>
      <w:r w:rsidR="00C44575">
        <w:t xml:space="preserve"> </w:t>
      </w:r>
      <w:r w:rsidR="00A61C88">
        <w:t>that</w:t>
      </w:r>
      <w:r w:rsidR="00E80339">
        <w:t xml:space="preserve"> Jackson </w:t>
      </w:r>
      <w:r w:rsidR="00A61C88">
        <w:t xml:space="preserve">discussed as </w:t>
      </w:r>
      <w:r w:rsidR="00A61C88" w:rsidRPr="00A61C88">
        <w:rPr>
          <w:i/>
          <w:iCs/>
        </w:rPr>
        <w:t xml:space="preserve">nous </w:t>
      </w:r>
      <w:r w:rsidR="00A61C88">
        <w:t xml:space="preserve">was about </w:t>
      </w:r>
      <w:r w:rsidR="00EB2218">
        <w:t xml:space="preserve">a </w:t>
      </w:r>
      <w:r w:rsidR="00A61C88">
        <w:t xml:space="preserve">perception </w:t>
      </w:r>
      <w:r w:rsidR="00EB2218">
        <w:t>of</w:t>
      </w:r>
      <w:r w:rsidR="00A61C88">
        <w:t xml:space="preserve"> meanings and purposes, an ability to extend beyond the rational realms.</w:t>
      </w:r>
      <w:r w:rsidR="00A61C88">
        <w:rPr>
          <w:rStyle w:val="FootnoteReference"/>
        </w:rPr>
        <w:footnoteReference w:id="31"/>
      </w:r>
      <w:r w:rsidR="00A61C88">
        <w:t xml:space="preserve"> </w:t>
      </w:r>
      <w:r w:rsidR="00EB2218">
        <w:t xml:space="preserve">The evidence suggests that the proper state of consciousness was of utmost importance, a state of consciousness that was also about being emerged in symbolism. </w:t>
      </w:r>
    </w:p>
    <w:p w14:paraId="0975F13D" w14:textId="77777777" w:rsidR="00DA50D8" w:rsidRDefault="00DA50D8" w:rsidP="008E3ACE"/>
    <w:p w14:paraId="31474334" w14:textId="4C6C4876" w:rsidR="00FE3EB8" w:rsidRPr="00A375D9" w:rsidRDefault="008E3ACE" w:rsidP="00601E1E">
      <w:pPr>
        <w:rPr>
          <w:color w:val="000000" w:themeColor="text1"/>
        </w:rPr>
      </w:pPr>
      <w:r w:rsidRPr="00B17013">
        <w:t xml:space="preserve">Throughout </w:t>
      </w:r>
      <w:r w:rsidR="00E03AFD" w:rsidRPr="00B17013">
        <w:rPr>
          <w:i/>
          <w:iCs/>
        </w:rPr>
        <w:t xml:space="preserve">De defectu oraculorum </w:t>
      </w:r>
      <w:r w:rsidRPr="00B17013">
        <w:t xml:space="preserve">there </w:t>
      </w:r>
      <w:r w:rsidR="00E03AFD" w:rsidRPr="00B17013">
        <w:t>was</w:t>
      </w:r>
      <w:r w:rsidRPr="00B17013">
        <w:t xml:space="preserve"> a discussion as to </w:t>
      </w:r>
      <w:r w:rsidR="00947008" w:rsidRPr="00B17013">
        <w:t>whether</w:t>
      </w:r>
      <w:r w:rsidRPr="00B17013">
        <w:t xml:space="preserve"> the </w:t>
      </w:r>
      <w:r w:rsidRPr="00B17013">
        <w:rPr>
          <w:i/>
          <w:iCs/>
        </w:rPr>
        <w:t xml:space="preserve">daimones </w:t>
      </w:r>
      <w:r w:rsidRPr="00B17013">
        <w:t xml:space="preserve">were in charge of the oracles. </w:t>
      </w:r>
      <w:r w:rsidR="00915626">
        <w:t>Schröder</w:t>
      </w:r>
      <w:r w:rsidR="00B17013" w:rsidRPr="00B17013">
        <w:t xml:space="preserve"> remarked that their importance was introduced in a roundabout way, however the </w:t>
      </w:r>
      <w:r w:rsidR="00B17013" w:rsidRPr="005E16AF">
        <w:rPr>
          <w:i/>
          <w:iCs/>
        </w:rPr>
        <w:t>daimones</w:t>
      </w:r>
      <w:r w:rsidR="00B17013" w:rsidRPr="00B17013">
        <w:t xml:space="preserve"> were necessary for divination.</w:t>
      </w:r>
      <w:r w:rsidR="00B17013" w:rsidRPr="00B17013">
        <w:rPr>
          <w:rStyle w:val="FootnoteReference"/>
        </w:rPr>
        <w:footnoteReference w:id="32"/>
      </w:r>
      <w:r w:rsidR="00B17013" w:rsidRPr="00B17013">
        <w:t xml:space="preserve"> </w:t>
      </w:r>
      <w:r w:rsidR="006D47D4" w:rsidRPr="00B17013">
        <w:t xml:space="preserve">It was up to humans to honour the relationship between the demigods and humanity. </w:t>
      </w:r>
      <w:r w:rsidR="00B17013">
        <w:t xml:space="preserve">The </w:t>
      </w:r>
      <w:r w:rsidR="00B17013" w:rsidRPr="005E16AF">
        <w:rPr>
          <w:i/>
          <w:iCs/>
        </w:rPr>
        <w:t>daimones</w:t>
      </w:r>
      <w:r w:rsidR="00B17013">
        <w:t xml:space="preserve"> may have been souls freed from a body</w:t>
      </w:r>
      <w:r w:rsidR="00F807EB">
        <w:t xml:space="preserve"> that </w:t>
      </w:r>
      <w:r w:rsidR="00B17013">
        <w:t xml:space="preserve">could </w:t>
      </w:r>
      <w:r w:rsidR="00947008">
        <w:t>enter</w:t>
      </w:r>
      <w:r w:rsidR="00B17013">
        <w:t xml:space="preserve"> into contact with souls that were still within </w:t>
      </w:r>
      <w:r w:rsidR="005E16AF">
        <w:t xml:space="preserve">a </w:t>
      </w:r>
      <w:r w:rsidR="00B17013">
        <w:t xml:space="preserve">body, to produce a </w:t>
      </w:r>
      <w:r w:rsidR="00947008">
        <w:t>representation</w:t>
      </w:r>
      <w:r w:rsidR="00B17013">
        <w:t xml:space="preserve"> of portents.</w:t>
      </w:r>
      <w:r w:rsidR="00B17013">
        <w:rPr>
          <w:rStyle w:val="FootnoteReference"/>
        </w:rPr>
        <w:footnoteReference w:id="33"/>
      </w:r>
      <w:r w:rsidR="00B17013">
        <w:t xml:space="preserve"> </w:t>
      </w:r>
      <w:r w:rsidR="008D7F82" w:rsidRPr="00B17013">
        <w:rPr>
          <w:color w:val="000000"/>
        </w:rPr>
        <w:t xml:space="preserve">Who the demigods </w:t>
      </w:r>
      <w:r w:rsidR="00E03AFD" w:rsidRPr="00B17013">
        <w:rPr>
          <w:color w:val="000000"/>
        </w:rPr>
        <w:t xml:space="preserve">were exactly was </w:t>
      </w:r>
      <w:r w:rsidR="008D7F82" w:rsidRPr="00B17013">
        <w:rPr>
          <w:color w:val="000000"/>
        </w:rPr>
        <w:t xml:space="preserve">debated, however Plutarch wrote that, </w:t>
      </w:r>
      <w:r w:rsidR="004C495E" w:rsidRPr="00B17013">
        <w:t>‘the prophetic current and breath is most divine and holy. . . it is likely that by warmth and diffusion it opens up certain passages through which impressions of the future are transmitted, just as wine, when its fumes rise to the head, reveals many unusual movements and also words stored away and unperceived.</w:t>
      </w:r>
      <w:r w:rsidR="004C495E" w:rsidRPr="00B17013">
        <w:rPr>
          <w:rStyle w:val="FootnoteReference"/>
        </w:rPr>
        <w:footnoteReference w:id="34"/>
      </w:r>
      <w:r w:rsidR="008D7F82" w:rsidRPr="00B17013">
        <w:t xml:space="preserve"> Plutarch’s description of the demigods </w:t>
      </w:r>
      <w:r w:rsidR="00E03AFD" w:rsidRPr="00B17013">
        <w:t>conjure</w:t>
      </w:r>
      <w:r w:rsidR="005E16AF">
        <w:t>d</w:t>
      </w:r>
      <w:r w:rsidR="00E03AFD" w:rsidRPr="00B17013">
        <w:t xml:space="preserve"> an elemental force reminiscent </w:t>
      </w:r>
      <w:r w:rsidR="008D7F82" w:rsidRPr="00B17013">
        <w:t xml:space="preserve">directly to the forces </w:t>
      </w:r>
      <w:r w:rsidR="00E03AFD" w:rsidRPr="00B17013">
        <w:t xml:space="preserve">that were described in </w:t>
      </w:r>
      <w:r w:rsidR="008D7F82" w:rsidRPr="00B17013">
        <w:t xml:space="preserve">Plato’s </w:t>
      </w:r>
      <w:r w:rsidR="00947008" w:rsidRPr="005E16AF">
        <w:rPr>
          <w:i/>
          <w:iCs/>
        </w:rPr>
        <w:t>Timaeus</w:t>
      </w:r>
      <w:r w:rsidR="008D7F82" w:rsidRPr="00B17013">
        <w:t xml:space="preserve">, its very being and power, into </w:t>
      </w:r>
      <w:r w:rsidR="008D7F82" w:rsidRPr="00B17013">
        <w:rPr>
          <w:color w:val="000000" w:themeColor="text1"/>
        </w:rPr>
        <w:t>winds</w:t>
      </w:r>
      <w:r w:rsidR="00F807EB">
        <w:rPr>
          <w:color w:val="000000" w:themeColor="text1"/>
        </w:rPr>
        <w:t>,</w:t>
      </w:r>
      <w:r w:rsidR="008D7F82" w:rsidRPr="00B17013">
        <w:rPr>
          <w:color w:val="000000" w:themeColor="text1"/>
        </w:rPr>
        <w:t xml:space="preserve"> and vapours and exhalations.</w:t>
      </w:r>
      <w:r w:rsidR="008D7F82" w:rsidRPr="00B17013">
        <w:rPr>
          <w:rStyle w:val="FootnoteReference"/>
          <w:color w:val="000000" w:themeColor="text1"/>
        </w:rPr>
        <w:footnoteReference w:id="35"/>
      </w:r>
      <w:r w:rsidR="00AD019A" w:rsidRPr="00B17013">
        <w:rPr>
          <w:color w:val="000000" w:themeColor="text1"/>
        </w:rPr>
        <w:t xml:space="preserve"> </w:t>
      </w:r>
      <w:r w:rsidR="006E0907">
        <w:rPr>
          <w:color w:val="000000" w:themeColor="text1"/>
        </w:rPr>
        <w:t>Simonetti</w:t>
      </w:r>
      <w:r w:rsidR="00AD019A" w:rsidRPr="00B17013">
        <w:rPr>
          <w:color w:val="000000" w:themeColor="text1"/>
        </w:rPr>
        <w:t xml:space="preserve"> commented </w:t>
      </w:r>
      <w:r w:rsidR="002C5759" w:rsidRPr="00B17013">
        <w:rPr>
          <w:color w:val="000000" w:themeColor="text1"/>
        </w:rPr>
        <w:t xml:space="preserve">on the elemental nature of the </w:t>
      </w:r>
      <w:r w:rsidR="002C5759" w:rsidRPr="00B17013">
        <w:rPr>
          <w:i/>
          <w:iCs/>
          <w:color w:val="000000" w:themeColor="text1"/>
        </w:rPr>
        <w:t>daimones</w:t>
      </w:r>
      <w:r w:rsidR="002C5759" w:rsidRPr="00B17013">
        <w:rPr>
          <w:color w:val="000000" w:themeColor="text1"/>
        </w:rPr>
        <w:t xml:space="preserve"> in correlation to the magnetism of the moon, ‘its effective, astronomical role of meditation between the earth and the sun—extended to the demons in the one case, and to the </w:t>
      </w:r>
      <w:r w:rsidR="002C5759" w:rsidRPr="005E16AF">
        <w:rPr>
          <w:i/>
          <w:iCs/>
          <w:color w:val="000000" w:themeColor="text1"/>
        </w:rPr>
        <w:t>Pythia</w:t>
      </w:r>
      <w:r w:rsidR="002C5759" w:rsidRPr="00B17013">
        <w:rPr>
          <w:color w:val="000000" w:themeColor="text1"/>
        </w:rPr>
        <w:t xml:space="preserve"> in the other—is employed to exemplify, in two different manners, the connection between the intelligible and the sensible realm.’</w:t>
      </w:r>
      <w:r w:rsidR="002C5759" w:rsidRPr="00B17013">
        <w:rPr>
          <w:rStyle w:val="FootnoteReference"/>
          <w:color w:val="000000" w:themeColor="text1"/>
        </w:rPr>
        <w:footnoteReference w:id="36"/>
      </w:r>
      <w:r w:rsidR="002C5759" w:rsidRPr="00B17013">
        <w:rPr>
          <w:color w:val="000000" w:themeColor="text1"/>
        </w:rPr>
        <w:t xml:space="preserve"> Th</w:t>
      </w:r>
      <w:r w:rsidR="00B411F3">
        <w:rPr>
          <w:color w:val="000000" w:themeColor="text1"/>
        </w:rPr>
        <w:t>e</w:t>
      </w:r>
      <w:r w:rsidR="002C5759" w:rsidRPr="00B17013">
        <w:rPr>
          <w:color w:val="000000" w:themeColor="text1"/>
        </w:rPr>
        <w:t xml:space="preserve"> elemental nature </w:t>
      </w:r>
      <w:r w:rsidR="00B411F3">
        <w:rPr>
          <w:color w:val="000000" w:themeColor="text1"/>
        </w:rPr>
        <w:t>was</w:t>
      </w:r>
      <w:r w:rsidR="002C5759" w:rsidRPr="00B17013">
        <w:rPr>
          <w:color w:val="000000" w:themeColor="text1"/>
        </w:rPr>
        <w:t xml:space="preserve"> also </w:t>
      </w:r>
      <w:r w:rsidR="005E16AF">
        <w:rPr>
          <w:color w:val="000000" w:themeColor="text1"/>
        </w:rPr>
        <w:t>associated with the concept of</w:t>
      </w:r>
      <w:r w:rsidR="002C5759" w:rsidRPr="00B17013">
        <w:rPr>
          <w:color w:val="000000" w:themeColor="text1"/>
        </w:rPr>
        <w:t xml:space="preserve"> </w:t>
      </w:r>
      <w:r w:rsidR="00947008" w:rsidRPr="00B17013">
        <w:rPr>
          <w:color w:val="000000" w:themeColor="text1"/>
        </w:rPr>
        <w:t>temperaments</w:t>
      </w:r>
      <w:r w:rsidR="00F807EB">
        <w:rPr>
          <w:color w:val="000000" w:themeColor="text1"/>
        </w:rPr>
        <w:t xml:space="preserve">, </w:t>
      </w:r>
      <w:r w:rsidR="00505449">
        <w:rPr>
          <w:color w:val="000000" w:themeColor="text1"/>
        </w:rPr>
        <w:t xml:space="preserve">as </w:t>
      </w:r>
      <w:r w:rsidR="00C43389">
        <w:rPr>
          <w:color w:val="000000" w:themeColor="text1"/>
        </w:rPr>
        <w:t xml:space="preserve">Plutarch wrote </w:t>
      </w:r>
      <w:r w:rsidR="00505449">
        <w:rPr>
          <w:color w:val="000000" w:themeColor="text1"/>
        </w:rPr>
        <w:t>about how that by warmth and diffusion certain passages were opened up to receive future knowledge</w:t>
      </w:r>
      <w:r w:rsidR="002C5759" w:rsidRPr="00B17013">
        <w:rPr>
          <w:color w:val="000000" w:themeColor="text1"/>
        </w:rPr>
        <w:t>.</w:t>
      </w:r>
      <w:r w:rsidR="00505449">
        <w:rPr>
          <w:rStyle w:val="FootnoteReference"/>
          <w:color w:val="000000" w:themeColor="text1"/>
        </w:rPr>
        <w:footnoteReference w:id="37"/>
      </w:r>
      <w:r w:rsidR="00A375D9">
        <w:rPr>
          <w:color w:val="000000" w:themeColor="text1"/>
        </w:rPr>
        <w:t xml:space="preserve"> </w:t>
      </w:r>
      <w:r w:rsidR="00C43389">
        <w:rPr>
          <w:color w:val="000000" w:themeColor="text1"/>
        </w:rPr>
        <w:t>He emphasize it</w:t>
      </w:r>
      <w:r w:rsidR="00F807EB">
        <w:rPr>
          <w:color w:val="000000" w:themeColor="text1"/>
        </w:rPr>
        <w:t xml:space="preserve"> was</w:t>
      </w:r>
      <w:r w:rsidR="00A375D9">
        <w:rPr>
          <w:color w:val="000000" w:themeColor="text1"/>
        </w:rPr>
        <w:t xml:space="preserve"> necess</w:t>
      </w:r>
      <w:r w:rsidR="00F807EB">
        <w:rPr>
          <w:color w:val="000000" w:themeColor="text1"/>
        </w:rPr>
        <w:t>ary for</w:t>
      </w:r>
      <w:r w:rsidR="00A375D9">
        <w:rPr>
          <w:color w:val="000000" w:themeColor="text1"/>
        </w:rPr>
        <w:t xml:space="preserve"> the priestess to have a particular temperament to be able to connect to the divine free of harm.</w:t>
      </w:r>
      <w:r w:rsidR="00A375D9">
        <w:rPr>
          <w:rStyle w:val="FootnoteReference"/>
          <w:color w:val="000000" w:themeColor="text1"/>
        </w:rPr>
        <w:footnoteReference w:id="38"/>
      </w:r>
    </w:p>
    <w:p w14:paraId="3A44D7A4" w14:textId="75161466" w:rsidR="00AD019A" w:rsidRPr="00B17013" w:rsidRDefault="00AD019A" w:rsidP="0094243A"/>
    <w:p w14:paraId="4B740D58" w14:textId="5B041465" w:rsidR="002817C1" w:rsidRPr="00B17013" w:rsidRDefault="008D7F82" w:rsidP="0094243A">
      <w:r w:rsidRPr="00B17013">
        <w:t>Plutarch suggested that the demigods were driven away from the oracle by humans</w:t>
      </w:r>
      <w:r w:rsidR="00B17013" w:rsidRPr="00B17013">
        <w:t xml:space="preserve">, </w:t>
      </w:r>
      <w:r w:rsidR="00E0296D">
        <w:t>particularly</w:t>
      </w:r>
      <w:r w:rsidR="00B17013" w:rsidRPr="00B17013">
        <w:t xml:space="preserve"> when Cleombrotus spoke</w:t>
      </w:r>
      <w:r w:rsidR="00C424C0">
        <w:t xml:space="preserve"> of</w:t>
      </w:r>
      <w:r w:rsidR="00B17013" w:rsidRPr="00B17013">
        <w:t xml:space="preserve"> the death of the </w:t>
      </w:r>
      <w:r w:rsidR="00B17013" w:rsidRPr="005E16AF">
        <w:rPr>
          <w:i/>
          <w:iCs/>
        </w:rPr>
        <w:t>daimones</w:t>
      </w:r>
      <w:r w:rsidR="00B17013" w:rsidRPr="00B17013">
        <w:t xml:space="preserve"> to be the direct cause of the drying up of the oracles.</w:t>
      </w:r>
      <w:r w:rsidR="00B17013" w:rsidRPr="00B17013">
        <w:rPr>
          <w:rStyle w:val="FootnoteReference"/>
        </w:rPr>
        <w:footnoteReference w:id="39"/>
      </w:r>
      <w:r w:rsidR="00B17013" w:rsidRPr="00B17013">
        <w:t xml:space="preserve"> </w:t>
      </w:r>
      <w:r w:rsidR="00915626">
        <w:t>Schröder</w:t>
      </w:r>
      <w:r w:rsidRPr="00B17013">
        <w:t xml:space="preserve"> commented that the death of the </w:t>
      </w:r>
      <w:r w:rsidRPr="005E16AF">
        <w:rPr>
          <w:i/>
          <w:iCs/>
        </w:rPr>
        <w:t>daimones</w:t>
      </w:r>
      <w:r w:rsidRPr="00B17013">
        <w:t xml:space="preserve"> </w:t>
      </w:r>
      <w:r w:rsidR="007D3E89">
        <w:t>was because of</w:t>
      </w:r>
      <w:r w:rsidRPr="00B17013">
        <w:t xml:space="preserve"> the decline in Greek population itself.</w:t>
      </w:r>
      <w:r w:rsidRPr="00B17013">
        <w:rPr>
          <w:rStyle w:val="FootnoteReference"/>
        </w:rPr>
        <w:footnoteReference w:id="40"/>
      </w:r>
      <w:r w:rsidRPr="00B17013">
        <w:t xml:space="preserve"> However, </w:t>
      </w:r>
      <w:r w:rsidR="006E0907">
        <w:t>Simonetti</w:t>
      </w:r>
      <w:r w:rsidR="0078678C" w:rsidRPr="00B17013">
        <w:t xml:space="preserve"> </w:t>
      </w:r>
      <w:r w:rsidR="00B411F3">
        <w:t xml:space="preserve">referred </w:t>
      </w:r>
      <w:r w:rsidR="0078678C" w:rsidRPr="00B17013">
        <w:t>the gods move</w:t>
      </w:r>
      <w:r w:rsidR="00B17013" w:rsidRPr="00B17013">
        <w:t>d</w:t>
      </w:r>
      <w:r w:rsidR="0078678C" w:rsidRPr="00B17013">
        <w:t xml:space="preserve"> because</w:t>
      </w:r>
      <w:r w:rsidRPr="00B17013">
        <w:t xml:space="preserve"> when Cleombrotus explained that demonological theory </w:t>
      </w:r>
      <w:r w:rsidR="009310B3">
        <w:t>was</w:t>
      </w:r>
      <w:r w:rsidRPr="00B17013">
        <w:t xml:space="preserve"> anchored in natural science, </w:t>
      </w:r>
      <w:r w:rsidR="00B411F3">
        <w:t xml:space="preserve">such as the result of meteorological and geological forces, </w:t>
      </w:r>
      <w:r w:rsidRPr="00B17013">
        <w:t>that the demons left to another world, and this silenced the oracles.</w:t>
      </w:r>
      <w:r w:rsidRPr="00B17013">
        <w:rPr>
          <w:rStyle w:val="FootnoteReference"/>
        </w:rPr>
        <w:footnoteReference w:id="41"/>
      </w:r>
      <w:r w:rsidR="006D47D4" w:rsidRPr="00B17013">
        <w:t xml:space="preserve"> Perhaps</w:t>
      </w:r>
      <w:r w:rsidR="00C8447E">
        <w:t xml:space="preserve"> the</w:t>
      </w:r>
      <w:r w:rsidR="006D47D4" w:rsidRPr="00B17013">
        <w:t xml:space="preserve"> </w:t>
      </w:r>
      <w:r w:rsidR="00C8447E" w:rsidRPr="00B17013">
        <w:rPr>
          <w:i/>
          <w:iCs/>
        </w:rPr>
        <w:t>daimones</w:t>
      </w:r>
      <w:r w:rsidR="00C8447E" w:rsidRPr="00B17013">
        <w:t xml:space="preserve"> </w:t>
      </w:r>
      <w:r w:rsidR="00C8447E">
        <w:t>were driven</w:t>
      </w:r>
      <w:r w:rsidR="002817C1" w:rsidRPr="00B17013">
        <w:t xml:space="preserve"> out because the</w:t>
      </w:r>
      <w:r w:rsidR="00C8447E">
        <w:t>y</w:t>
      </w:r>
      <w:r w:rsidR="002817C1" w:rsidRPr="00B17013">
        <w:t xml:space="preserve"> </w:t>
      </w:r>
      <w:r w:rsidR="00C8447E">
        <w:t>had</w:t>
      </w:r>
      <w:r w:rsidR="002817C1" w:rsidRPr="00B17013">
        <w:t xml:space="preserve"> not been </w:t>
      </w:r>
      <w:r w:rsidR="002817C1" w:rsidRPr="00B17013">
        <w:lastRenderedPageBreak/>
        <w:t>honoured</w:t>
      </w:r>
      <w:r w:rsidR="006D47D4" w:rsidRPr="00B17013">
        <w:t xml:space="preserve"> and </w:t>
      </w:r>
      <w:r w:rsidR="002817C1" w:rsidRPr="00B17013">
        <w:t>respected</w:t>
      </w:r>
      <w:r w:rsidR="006D47D4" w:rsidRPr="00B17013">
        <w:t xml:space="preserve"> by human culture</w:t>
      </w:r>
      <w:r w:rsidR="009310B3">
        <w:t>.</w:t>
      </w:r>
      <w:r w:rsidR="002817C1" w:rsidRPr="00B17013">
        <w:t xml:space="preserve"> </w:t>
      </w:r>
      <w:r w:rsidR="006E0907">
        <w:t>Simonetti</w:t>
      </w:r>
      <w:r w:rsidR="00947008" w:rsidRPr="00B17013">
        <w:t xml:space="preserve"> suggested that Plutarch wished to suspend judgement on objects of knowledge that c</w:t>
      </w:r>
      <w:r w:rsidR="009310B3">
        <w:t xml:space="preserve">ould not </w:t>
      </w:r>
      <w:r w:rsidR="00947008" w:rsidRPr="00B17013">
        <w:t xml:space="preserve">be attained, and instead </w:t>
      </w:r>
      <w:r w:rsidR="009310B3">
        <w:t xml:space="preserve">urged others to </w:t>
      </w:r>
      <w:r w:rsidR="00947008" w:rsidRPr="00B17013">
        <w:t xml:space="preserve">show </w:t>
      </w:r>
      <w:r w:rsidR="009310B3">
        <w:t xml:space="preserve">a </w:t>
      </w:r>
      <w:r w:rsidR="00947008" w:rsidRPr="00B17013">
        <w:t>deep reverence to the divine, which was to be demonstrated by self-knowledge, and avoidance of groundless certain</w:t>
      </w:r>
      <w:r w:rsidR="00947008">
        <w:t>ty</w:t>
      </w:r>
      <w:r w:rsidR="00947008" w:rsidRPr="00B17013">
        <w:t xml:space="preserve"> in religion, as it would add to extremes of superstition.</w:t>
      </w:r>
      <w:r w:rsidR="00947008" w:rsidRPr="00B17013">
        <w:rPr>
          <w:rStyle w:val="FootnoteReference"/>
        </w:rPr>
        <w:footnoteReference w:id="42"/>
      </w:r>
      <w:r w:rsidR="00DC6750">
        <w:t xml:space="preserve"> Ultimately, Plutarch </w:t>
      </w:r>
      <w:r w:rsidR="00E0296D">
        <w:t>conceded</w:t>
      </w:r>
      <w:r w:rsidR="00DC6750">
        <w:t xml:space="preserve"> that the decline of the oracles was in the hands of god, as there was no force more powerful than god that could abolish divination.</w:t>
      </w:r>
      <w:r w:rsidR="00DC6750">
        <w:rPr>
          <w:rStyle w:val="FootnoteReference"/>
        </w:rPr>
        <w:footnoteReference w:id="43"/>
      </w:r>
    </w:p>
    <w:p w14:paraId="1A004702" w14:textId="77777777" w:rsidR="000A214A" w:rsidRDefault="000A214A" w:rsidP="0086074B">
      <w:pPr>
        <w:jc w:val="both"/>
        <w:rPr>
          <w:rFonts w:ascii="Calibri" w:eastAsiaTheme="minorHAnsi" w:hAnsi="Calibri" w:cs="Calibri"/>
          <w:color w:val="000000"/>
          <w:sz w:val="23"/>
          <w:szCs w:val="23"/>
        </w:rPr>
      </w:pPr>
    </w:p>
    <w:p w14:paraId="17B0E654" w14:textId="5C8E2B9B" w:rsidR="009D5834" w:rsidRPr="00AD019A" w:rsidRDefault="001950B1" w:rsidP="00340142">
      <w:pPr>
        <w:jc w:val="both"/>
        <w:rPr>
          <w:b/>
        </w:rPr>
      </w:pPr>
      <w:r w:rsidRPr="00AD019A">
        <w:rPr>
          <w:b/>
        </w:rPr>
        <w:t>Conclusion</w:t>
      </w:r>
    </w:p>
    <w:p w14:paraId="04E3B8BD" w14:textId="7245D483" w:rsidR="00FE3EB8" w:rsidRPr="009C207E" w:rsidRDefault="008E6F49">
      <w:r w:rsidRPr="00AD019A">
        <w:t xml:space="preserve">The aim of this </w:t>
      </w:r>
      <w:r w:rsidR="00540E4F" w:rsidRPr="00AD019A">
        <w:t>essay</w:t>
      </w:r>
      <w:r w:rsidRPr="00AD019A">
        <w:t xml:space="preserve"> was to</w:t>
      </w:r>
      <w:r w:rsidR="00196D34" w:rsidRPr="00AD019A">
        <w:t xml:space="preserve"> </w:t>
      </w:r>
      <w:r w:rsidR="00540E4F" w:rsidRPr="00AD019A">
        <w:t xml:space="preserve">offer </w:t>
      </w:r>
      <w:r w:rsidR="00CE7A2C" w:rsidRPr="00AD019A">
        <w:t>insights into</w:t>
      </w:r>
      <w:r w:rsidR="00540E4F" w:rsidRPr="00AD019A">
        <w:t xml:space="preserve"> Plutarch’s arguments for divination in </w:t>
      </w:r>
      <w:r w:rsidR="00540E4F" w:rsidRPr="00AD019A">
        <w:rPr>
          <w:i/>
          <w:iCs/>
        </w:rPr>
        <w:t>De defectu oraculorum.</w:t>
      </w:r>
      <w:r w:rsidR="00AD019A" w:rsidRPr="00AD019A">
        <w:rPr>
          <w:i/>
          <w:iCs/>
        </w:rPr>
        <w:t xml:space="preserve"> </w:t>
      </w:r>
      <w:r w:rsidR="00AD019A" w:rsidRPr="00AD019A">
        <w:t xml:space="preserve">As a Greek Platonist writer and temple priest at Delphi, </w:t>
      </w:r>
      <w:r w:rsidR="00296005" w:rsidRPr="00AD019A">
        <w:t xml:space="preserve">Plutarch sought to combine philosophical and religious </w:t>
      </w:r>
      <w:r w:rsidR="00AD019A" w:rsidRPr="00AD019A">
        <w:t>concepts</w:t>
      </w:r>
      <w:r w:rsidR="00FE3EB8">
        <w:t>, utilizing the</w:t>
      </w:r>
      <w:r w:rsidR="00C424C0">
        <w:t xml:space="preserve"> framework of</w:t>
      </w:r>
      <w:r w:rsidR="00FE3EB8">
        <w:t xml:space="preserve"> dialogue</w:t>
      </w:r>
      <w:r w:rsidR="00AD019A" w:rsidRPr="00AD019A">
        <w:rPr>
          <w:color w:val="1A1A1A"/>
          <w:shd w:val="clear" w:color="auto" w:fill="FFFFFF"/>
          <w:lang w:val="en-US"/>
        </w:rPr>
        <w:t xml:space="preserve"> </w:t>
      </w:r>
      <w:r w:rsidR="00F44F22">
        <w:rPr>
          <w:color w:val="1A1A1A"/>
          <w:shd w:val="clear" w:color="auto" w:fill="FFFFFF"/>
          <w:lang w:val="en-US"/>
        </w:rPr>
        <w:t xml:space="preserve">to </w:t>
      </w:r>
      <w:r w:rsidR="00AD019A" w:rsidRPr="00AD019A">
        <w:rPr>
          <w:color w:val="1A1A1A"/>
          <w:shd w:val="clear" w:color="auto" w:fill="FFFFFF"/>
          <w:lang w:val="en-US"/>
        </w:rPr>
        <w:t>stimulate higher thinking</w:t>
      </w:r>
      <w:r w:rsidR="00F44F22">
        <w:rPr>
          <w:color w:val="1A1A1A"/>
          <w:shd w:val="clear" w:color="auto" w:fill="FFFFFF"/>
          <w:lang w:val="en-US"/>
        </w:rPr>
        <w:t xml:space="preserve"> </w:t>
      </w:r>
      <w:r w:rsidR="00C424C0">
        <w:rPr>
          <w:color w:val="1A1A1A"/>
          <w:shd w:val="clear" w:color="auto" w:fill="FFFFFF"/>
          <w:lang w:val="en-US"/>
        </w:rPr>
        <w:t>within</w:t>
      </w:r>
      <w:r w:rsidR="00F44F22">
        <w:rPr>
          <w:color w:val="1A1A1A"/>
          <w:shd w:val="clear" w:color="auto" w:fill="FFFFFF"/>
          <w:lang w:val="en-US"/>
        </w:rPr>
        <w:t xml:space="preserve"> the reader</w:t>
      </w:r>
      <w:r w:rsidR="00AD019A" w:rsidRPr="00AD019A">
        <w:rPr>
          <w:color w:val="1A1A1A"/>
          <w:shd w:val="clear" w:color="auto" w:fill="FFFFFF"/>
          <w:lang w:val="en-US"/>
        </w:rPr>
        <w:t xml:space="preserve">, </w:t>
      </w:r>
      <w:r w:rsidR="00C424C0">
        <w:rPr>
          <w:color w:val="1A1A1A"/>
          <w:shd w:val="clear" w:color="auto" w:fill="FFFFFF"/>
          <w:lang w:val="en-US"/>
        </w:rPr>
        <w:t xml:space="preserve">to </w:t>
      </w:r>
      <w:r w:rsidR="00AD019A" w:rsidRPr="00AD019A">
        <w:rPr>
          <w:color w:val="1A1A1A"/>
          <w:shd w:val="clear" w:color="auto" w:fill="FFFFFF"/>
          <w:lang w:val="en-US"/>
        </w:rPr>
        <w:t>expand the</w:t>
      </w:r>
      <w:r w:rsidR="00F44F22">
        <w:rPr>
          <w:color w:val="1A1A1A"/>
          <w:shd w:val="clear" w:color="auto" w:fill="FFFFFF"/>
          <w:lang w:val="en-US"/>
        </w:rPr>
        <w:t>ir</w:t>
      </w:r>
      <w:r w:rsidR="00AD019A" w:rsidRPr="00AD019A">
        <w:rPr>
          <w:color w:val="1A1A1A"/>
          <w:shd w:val="clear" w:color="auto" w:fill="FFFFFF"/>
          <w:lang w:val="en-US"/>
        </w:rPr>
        <w:t xml:space="preserve"> mind, </w:t>
      </w:r>
      <w:r w:rsidR="00F44F22">
        <w:rPr>
          <w:color w:val="1A1A1A"/>
          <w:shd w:val="clear" w:color="auto" w:fill="FFFFFF"/>
          <w:lang w:val="en-US"/>
        </w:rPr>
        <w:t xml:space="preserve">and </w:t>
      </w:r>
      <w:r w:rsidR="00AD019A" w:rsidRPr="00AD019A">
        <w:rPr>
          <w:color w:val="1A1A1A"/>
          <w:shd w:val="clear" w:color="auto" w:fill="FFFFFF"/>
          <w:lang w:val="en-US"/>
        </w:rPr>
        <w:t xml:space="preserve">create an atmosphere </w:t>
      </w:r>
      <w:r w:rsidR="00F44F22">
        <w:rPr>
          <w:color w:val="1A1A1A"/>
          <w:shd w:val="clear" w:color="auto" w:fill="FFFFFF"/>
          <w:lang w:val="en-US"/>
        </w:rPr>
        <w:t xml:space="preserve">where one would be </w:t>
      </w:r>
      <w:r w:rsidR="00AD019A" w:rsidRPr="00AD019A">
        <w:rPr>
          <w:color w:val="1A1A1A"/>
          <w:shd w:val="clear" w:color="auto" w:fill="FFFFFF"/>
          <w:lang w:val="en-US"/>
        </w:rPr>
        <w:t>philosophical</w:t>
      </w:r>
      <w:r w:rsidR="00F44F22">
        <w:rPr>
          <w:color w:val="1A1A1A"/>
          <w:shd w:val="clear" w:color="auto" w:fill="FFFFFF"/>
          <w:lang w:val="en-US"/>
        </w:rPr>
        <w:t>ly</w:t>
      </w:r>
      <w:r w:rsidR="00AD019A" w:rsidRPr="00AD019A">
        <w:rPr>
          <w:color w:val="1A1A1A"/>
          <w:shd w:val="clear" w:color="auto" w:fill="FFFFFF"/>
          <w:lang w:val="en-US"/>
        </w:rPr>
        <w:t xml:space="preserve"> stretch</w:t>
      </w:r>
      <w:r w:rsidR="00F44F22">
        <w:rPr>
          <w:color w:val="1A1A1A"/>
          <w:shd w:val="clear" w:color="auto" w:fill="FFFFFF"/>
          <w:lang w:val="en-US"/>
        </w:rPr>
        <w:t>ed</w:t>
      </w:r>
      <w:r w:rsidR="00AD019A" w:rsidRPr="00AD019A">
        <w:rPr>
          <w:color w:val="1A1A1A"/>
          <w:shd w:val="clear" w:color="auto" w:fill="FFFFFF"/>
          <w:lang w:val="en-US"/>
        </w:rPr>
        <w:t>.</w:t>
      </w:r>
      <w:r w:rsidR="00E44310">
        <w:rPr>
          <w:color w:val="1A1A1A"/>
          <w:shd w:val="clear" w:color="auto" w:fill="FFFFFF"/>
          <w:lang w:val="en-US"/>
        </w:rPr>
        <w:t xml:space="preserve"> </w:t>
      </w:r>
      <w:r w:rsidR="00E44310" w:rsidRPr="00B1426A">
        <w:t>Divination</w:t>
      </w:r>
      <w:r w:rsidR="00F44F22">
        <w:t xml:space="preserve"> itself</w:t>
      </w:r>
      <w:r w:rsidR="00E44310" w:rsidRPr="00B1426A">
        <w:t xml:space="preserve"> was a dialogue with the divine, a portal to link the soul of man with the soul of the divine.</w:t>
      </w:r>
      <w:r w:rsidR="00F44F22">
        <w:t xml:space="preserve"> For Plutarch divination was dependent upon the soul coupled with light, the purity of offerings and the priestess, and </w:t>
      </w:r>
      <w:r w:rsidR="00F44F22" w:rsidRPr="00B1426A">
        <w:rPr>
          <w:color w:val="000000" w:themeColor="text1"/>
        </w:rPr>
        <w:t>the</w:t>
      </w:r>
      <w:r w:rsidR="00C424C0">
        <w:rPr>
          <w:color w:val="000000" w:themeColor="text1"/>
        </w:rPr>
        <w:t xml:space="preserve"> existence of</w:t>
      </w:r>
      <w:r w:rsidR="00F44F22" w:rsidRPr="00B1426A">
        <w:rPr>
          <w:color w:val="000000" w:themeColor="text1"/>
        </w:rPr>
        <w:t xml:space="preserve"> </w:t>
      </w:r>
      <w:r w:rsidR="00F44F22" w:rsidRPr="00B1426A">
        <w:rPr>
          <w:i/>
          <w:iCs/>
          <w:color w:val="000000" w:themeColor="text1"/>
        </w:rPr>
        <w:t>daimones.</w:t>
      </w:r>
      <w:r w:rsidR="001824A0">
        <w:rPr>
          <w:i/>
          <w:iCs/>
          <w:color w:val="000000" w:themeColor="text1"/>
        </w:rPr>
        <w:t xml:space="preserve"> </w:t>
      </w:r>
      <w:r w:rsidR="001824A0">
        <w:rPr>
          <w:rFonts w:eastAsiaTheme="minorHAnsi"/>
        </w:rPr>
        <w:t>The evidence suggests that P</w:t>
      </w:r>
      <w:r w:rsidR="001824A0" w:rsidRPr="00D46CE2">
        <w:rPr>
          <w:rFonts w:eastAsiaTheme="minorHAnsi"/>
        </w:rPr>
        <w:t>lutarch’s scholarship was ultimately to connect with the truth of divinity</w:t>
      </w:r>
      <w:r w:rsidR="001824A0">
        <w:rPr>
          <w:rFonts w:eastAsiaTheme="minorHAnsi"/>
        </w:rPr>
        <w:t xml:space="preserve">, </w:t>
      </w:r>
      <w:r w:rsidR="00FE3EB8">
        <w:rPr>
          <w:rFonts w:eastAsiaTheme="minorHAnsi"/>
        </w:rPr>
        <w:t xml:space="preserve">and divination was a means </w:t>
      </w:r>
      <w:r w:rsidR="00FE3EB8">
        <w:t xml:space="preserve">to </w:t>
      </w:r>
      <w:r w:rsidR="00FE3EB8">
        <w:t>reach the</w:t>
      </w:r>
      <w:r w:rsidR="00FE3EB8">
        <w:t xml:space="preserve"> truth.</w:t>
      </w:r>
    </w:p>
    <w:p w14:paraId="4760E0D3" w14:textId="77777777" w:rsidR="009C207E" w:rsidRDefault="009C207E">
      <w:pPr>
        <w:rPr>
          <w:rFonts w:ascii="Georgia" w:hAnsi="Georgia"/>
          <w:b/>
          <w:sz w:val="22"/>
          <w:szCs w:val="22"/>
        </w:rPr>
      </w:pPr>
      <w:r>
        <w:rPr>
          <w:rFonts w:ascii="Georgia" w:hAnsi="Georgia"/>
          <w:b/>
          <w:sz w:val="22"/>
          <w:szCs w:val="22"/>
        </w:rPr>
        <w:br w:type="page"/>
      </w:r>
    </w:p>
    <w:p w14:paraId="01273D19" w14:textId="5AAD59F5" w:rsidR="00160F45" w:rsidRPr="00B95785" w:rsidRDefault="00160F45" w:rsidP="00160F45">
      <w:pPr>
        <w:rPr>
          <w:rFonts w:eastAsiaTheme="minorHAnsi"/>
        </w:rPr>
      </w:pPr>
      <w:r w:rsidRPr="00B565B4">
        <w:rPr>
          <w:rFonts w:ascii="Georgia" w:hAnsi="Georgia"/>
          <w:b/>
          <w:sz w:val="22"/>
          <w:szCs w:val="22"/>
        </w:rPr>
        <w:lastRenderedPageBreak/>
        <w:t>Bibliography</w:t>
      </w:r>
    </w:p>
    <w:p w14:paraId="3FA3463C" w14:textId="6A58DADB" w:rsidR="00E80339" w:rsidRDefault="00E80339" w:rsidP="00160F45">
      <w:r>
        <w:t>Flower,</w:t>
      </w:r>
      <w:r>
        <w:t xml:space="preserve"> </w:t>
      </w:r>
      <w:r>
        <w:t>Michael Attyah</w:t>
      </w:r>
      <w:r>
        <w:t>,</w:t>
      </w:r>
      <w:r>
        <w:t xml:space="preserve"> ‘Divination as a System of Knowledge and Belief’ in </w:t>
      </w:r>
      <w:r>
        <w:rPr>
          <w:i/>
          <w:iCs/>
        </w:rPr>
        <w:t xml:space="preserve">The Seer in Ancient Greece, </w:t>
      </w:r>
      <w:r>
        <w:t>(Berkeley: University of California Press, 2007), pp. 104-131</w:t>
      </w:r>
    </w:p>
    <w:p w14:paraId="6D653E4C" w14:textId="77777777" w:rsidR="00E80339" w:rsidRDefault="00E80339" w:rsidP="00160F45"/>
    <w:p w14:paraId="3A473E8D" w14:textId="75CA4FD3" w:rsidR="006C1C61" w:rsidRDefault="006C1C61" w:rsidP="00160F45">
      <w:pPr>
        <w:rPr>
          <w:sz w:val="23"/>
          <w:szCs w:val="23"/>
        </w:rPr>
      </w:pPr>
      <w:r>
        <w:rPr>
          <w:sz w:val="23"/>
          <w:szCs w:val="23"/>
        </w:rPr>
        <w:t>Harvard University Press,</w:t>
      </w:r>
      <w:r>
        <w:t xml:space="preserve"> &lt;</w:t>
      </w:r>
      <w:hyperlink r:id="rId9" w:history="1">
        <w:r w:rsidRPr="001557E0">
          <w:rPr>
            <w:rStyle w:val="Hyperlink"/>
          </w:rPr>
          <w:t>https://www.hup.harvard.edu/catalog.php?isbn=9780674993372</w:t>
        </w:r>
      </w:hyperlink>
      <w:r>
        <w:t>&gt;, [</w:t>
      </w:r>
      <w:r>
        <w:rPr>
          <w:sz w:val="23"/>
          <w:szCs w:val="23"/>
        </w:rPr>
        <w:t>accessed 31 May 2020]</w:t>
      </w:r>
    </w:p>
    <w:p w14:paraId="1F0B8CBA" w14:textId="77777777" w:rsidR="006C1C61" w:rsidRDefault="006C1C61" w:rsidP="00160F45">
      <w:pPr>
        <w:rPr>
          <w:sz w:val="23"/>
          <w:szCs w:val="23"/>
        </w:rPr>
      </w:pPr>
    </w:p>
    <w:p w14:paraId="4BED2178" w14:textId="424BDF15" w:rsidR="001E6D82" w:rsidRPr="001E6D82" w:rsidRDefault="001E6D82" w:rsidP="00160F45">
      <w:r w:rsidRPr="001E6D82">
        <w:t>Jackson,</w:t>
      </w:r>
      <w:r w:rsidRPr="001E6D82">
        <w:t xml:space="preserve"> </w:t>
      </w:r>
      <w:r w:rsidRPr="001E6D82">
        <w:t xml:space="preserve">Peter ‘Apparitions and Apparatuses: On the Framing and Staging of Religious Events’, </w:t>
      </w:r>
      <w:r w:rsidRPr="001E6D82">
        <w:rPr>
          <w:i/>
          <w:iCs/>
        </w:rPr>
        <w:t>Method &amp; Theory in the S</w:t>
      </w:r>
      <w:r>
        <w:rPr>
          <w:i/>
          <w:iCs/>
        </w:rPr>
        <w:t>t</w:t>
      </w:r>
      <w:r w:rsidRPr="001E6D82">
        <w:rPr>
          <w:i/>
          <w:iCs/>
        </w:rPr>
        <w:t xml:space="preserve">udy of Religion, </w:t>
      </w:r>
      <w:r w:rsidRPr="001E6D82">
        <w:t xml:space="preserve">Vol. 24, No. 3, (2012), 291-300 </w:t>
      </w:r>
    </w:p>
    <w:p w14:paraId="417B4A2B" w14:textId="3AE0F4B8" w:rsidR="000A214A" w:rsidRPr="00E0296D" w:rsidRDefault="000A214A" w:rsidP="00160F45">
      <w:pPr>
        <w:rPr>
          <w:rFonts w:ascii="Arial" w:hAnsi="Arial" w:cs="Arial"/>
          <w:color w:val="000000"/>
        </w:rPr>
      </w:pPr>
    </w:p>
    <w:p w14:paraId="7BF0A071" w14:textId="236A5405" w:rsidR="00E0296D" w:rsidRDefault="00E0296D" w:rsidP="00A335FC">
      <w:pPr>
        <w:rPr>
          <w:lang w:val="en-US"/>
        </w:rPr>
      </w:pPr>
      <w:r w:rsidRPr="00E0296D">
        <w:rPr>
          <w:lang w:val="en-US"/>
        </w:rPr>
        <w:t>Karamanolis, George, ‘Plutarch’, Stanford Encyclopedia of Philosophy, (published Sept 2010, revised Nov 2014) &lt;</w:t>
      </w:r>
      <w:hyperlink r:id="rId10" w:history="1">
        <w:r w:rsidRPr="00E0296D">
          <w:rPr>
            <w:rStyle w:val="Hyperlink"/>
          </w:rPr>
          <w:t>https://plato.stanford.edu/entries/plutarch/</w:t>
        </w:r>
      </w:hyperlink>
      <w:r w:rsidRPr="00E0296D">
        <w:t>&gt;, [</w:t>
      </w:r>
      <w:r w:rsidRPr="00E0296D">
        <w:rPr>
          <w:lang w:val="en-US"/>
        </w:rPr>
        <w:t>accessed 1 June 2020]</w:t>
      </w:r>
    </w:p>
    <w:p w14:paraId="41261843" w14:textId="6D7D9103" w:rsidR="00E0296D" w:rsidRDefault="00E0296D" w:rsidP="00A335FC">
      <w:pPr>
        <w:rPr>
          <w:lang w:val="en-US"/>
        </w:rPr>
      </w:pPr>
    </w:p>
    <w:p w14:paraId="525617C4" w14:textId="767CC001" w:rsidR="006C1C61" w:rsidRPr="00554CE2" w:rsidRDefault="006C1C61" w:rsidP="00E0296D">
      <w:r w:rsidRPr="005B71E0">
        <w:t>Nock,</w:t>
      </w:r>
      <w:r w:rsidRPr="005B71E0">
        <w:t xml:space="preserve"> </w:t>
      </w:r>
      <w:r w:rsidRPr="005B71E0">
        <w:t>Arthur Darby</w:t>
      </w:r>
      <w:r w:rsidRPr="005B71E0">
        <w:t>,</w:t>
      </w:r>
      <w:r w:rsidRPr="005B71E0">
        <w:t xml:space="preserve"> ‘Religious Attitudes of the Ancient Greeks,’ </w:t>
      </w:r>
      <w:r w:rsidRPr="005B71E0">
        <w:rPr>
          <w:i/>
          <w:iCs/>
        </w:rPr>
        <w:t xml:space="preserve">Proceedings of the American </w:t>
      </w:r>
      <w:r w:rsidRPr="00554CE2">
        <w:rPr>
          <w:i/>
          <w:iCs/>
        </w:rPr>
        <w:t>Philosophical Society</w:t>
      </w:r>
      <w:r w:rsidRPr="00554CE2">
        <w:t xml:space="preserve">. Vol. 85, No. 5 (1942), 472-482 </w:t>
      </w:r>
    </w:p>
    <w:p w14:paraId="1CF52A15" w14:textId="77777777" w:rsidR="006C1C61" w:rsidRPr="00554CE2" w:rsidRDefault="006C1C61" w:rsidP="00E0296D"/>
    <w:p w14:paraId="370A5BF2" w14:textId="5F04BFC9" w:rsidR="00554CE2" w:rsidRPr="00554CE2" w:rsidRDefault="00554CE2" w:rsidP="00E0296D">
      <w:pPr>
        <w:rPr>
          <w:lang w:val="en-US"/>
        </w:rPr>
      </w:pPr>
      <w:r w:rsidRPr="00554CE2">
        <w:rPr>
          <w:lang w:val="en-US"/>
        </w:rPr>
        <w:t>Ogilvie, R. M.</w:t>
      </w:r>
      <w:r w:rsidR="002F5F73" w:rsidRPr="00554CE2">
        <w:rPr>
          <w:lang w:val="en-US"/>
        </w:rPr>
        <w:t>, ‘</w:t>
      </w:r>
      <w:r w:rsidRPr="00554CE2">
        <w:rPr>
          <w:lang w:val="en-US"/>
        </w:rPr>
        <w:t xml:space="preserve">The Date of the "De Defectu Oraculorum,"’ </w:t>
      </w:r>
      <w:r w:rsidRPr="00554CE2">
        <w:rPr>
          <w:i/>
          <w:iCs/>
          <w:lang w:val="en-US"/>
        </w:rPr>
        <w:t>Phoenix</w:t>
      </w:r>
      <w:r w:rsidRPr="00554CE2">
        <w:rPr>
          <w:lang w:val="en-US"/>
        </w:rPr>
        <w:t>, Vol. 21, No. 2 (Summer, 1967), pp. 108-119</w:t>
      </w:r>
    </w:p>
    <w:p w14:paraId="06078C27" w14:textId="77777777" w:rsidR="00554CE2" w:rsidRDefault="00554CE2" w:rsidP="00E0296D">
      <w:pPr>
        <w:rPr>
          <w:sz w:val="20"/>
          <w:szCs w:val="20"/>
          <w:lang w:val="en-US"/>
        </w:rPr>
      </w:pPr>
    </w:p>
    <w:p w14:paraId="73197228" w14:textId="2376221E" w:rsidR="00554CE2" w:rsidRPr="00554CE2" w:rsidRDefault="00554CE2" w:rsidP="00E0296D">
      <w:pPr>
        <w:rPr>
          <w:color w:val="000000"/>
          <w:lang w:val="en-US"/>
        </w:rPr>
      </w:pPr>
      <w:r w:rsidRPr="00554CE2">
        <w:rPr>
          <w:lang w:val="en-US"/>
        </w:rPr>
        <w:t xml:space="preserve">Plutarch, </w:t>
      </w:r>
      <w:r w:rsidRPr="00554CE2">
        <w:rPr>
          <w:i/>
          <w:iCs/>
          <w:lang w:val="en-US"/>
        </w:rPr>
        <w:t>Isis and Osiris</w:t>
      </w:r>
      <w:r w:rsidRPr="00554CE2">
        <w:rPr>
          <w:color w:val="000000"/>
          <w:lang w:val="en-US"/>
        </w:rPr>
        <w:t>: Frank Cole Babbitt (trans.), Loeb Classical Library, Moralia vol. V, Cambridge, MA: Harvard University Press, 1936</w:t>
      </w:r>
      <w:r w:rsidRPr="00554CE2">
        <w:rPr>
          <w:color w:val="000000"/>
          <w:lang w:val="en-US"/>
        </w:rPr>
        <w:t>.</w:t>
      </w:r>
    </w:p>
    <w:p w14:paraId="76BCFF13" w14:textId="77777777" w:rsidR="00554CE2" w:rsidRDefault="00554CE2" w:rsidP="00E0296D">
      <w:pPr>
        <w:rPr>
          <w:color w:val="000000"/>
          <w:lang w:val="en-US"/>
        </w:rPr>
      </w:pPr>
    </w:p>
    <w:p w14:paraId="4718815B" w14:textId="323D5A46" w:rsidR="00E0296D" w:rsidRDefault="00E0296D" w:rsidP="00E0296D">
      <w:pPr>
        <w:rPr>
          <w:color w:val="000000"/>
          <w:lang w:val="en-US"/>
        </w:rPr>
      </w:pPr>
      <w:r w:rsidRPr="000A214A">
        <w:rPr>
          <w:color w:val="000000"/>
          <w:lang w:val="en-US"/>
        </w:rPr>
        <w:t xml:space="preserve">Plutarch, </w:t>
      </w:r>
      <w:r w:rsidRPr="000A214A">
        <w:rPr>
          <w:i/>
          <w:iCs/>
          <w:color w:val="000000"/>
          <w:lang w:val="en-US"/>
        </w:rPr>
        <w:t>The Obsolescence of Oracles (De defectu oraculorum</w:t>
      </w:r>
      <w:r w:rsidRPr="000A214A">
        <w:rPr>
          <w:color w:val="000000"/>
          <w:lang w:val="en-US"/>
        </w:rPr>
        <w:t>): Frank Cole Babbitt (trans.), Loeb Classical Library, Moralia vol. V, Cambridge, MA: Harvard University Press, 1936</w:t>
      </w:r>
    </w:p>
    <w:p w14:paraId="7D0AFA77" w14:textId="29379274" w:rsidR="002D7A08" w:rsidRDefault="002D7A08" w:rsidP="00E0296D">
      <w:pPr>
        <w:rPr>
          <w:color w:val="000000"/>
          <w:lang w:val="en-US"/>
        </w:rPr>
      </w:pPr>
    </w:p>
    <w:p w14:paraId="42F40483" w14:textId="3D6F848C" w:rsidR="002D7A08" w:rsidRDefault="002D7A08" w:rsidP="002D7A08">
      <w:pPr>
        <w:rPr>
          <w:sz w:val="23"/>
          <w:szCs w:val="23"/>
        </w:rPr>
      </w:pPr>
      <w:r>
        <w:t>Schröder, Stephan, ‘</w:t>
      </w:r>
      <w:r w:rsidRPr="002D7A08">
        <w:rPr>
          <w:sz w:val="23"/>
          <w:szCs w:val="23"/>
        </w:rPr>
        <w:t>Plutarch on oracles and divine inspiration</w:t>
      </w:r>
      <w:r>
        <w:rPr>
          <w:sz w:val="23"/>
          <w:szCs w:val="23"/>
        </w:rPr>
        <w:t>,</w:t>
      </w:r>
      <w:r w:rsidRPr="002D7A08">
        <w:rPr>
          <w:sz w:val="23"/>
          <w:szCs w:val="23"/>
        </w:rPr>
        <w:t>’</w:t>
      </w:r>
      <w:r>
        <w:rPr>
          <w:sz w:val="23"/>
          <w:szCs w:val="23"/>
        </w:rPr>
        <w:t xml:space="preserve"> in </w:t>
      </w:r>
      <w:r w:rsidRPr="002D7A08">
        <w:rPr>
          <w:i/>
          <w:iCs/>
          <w:sz w:val="23"/>
          <w:szCs w:val="23"/>
        </w:rPr>
        <w:t>On the daimonion of Socrates: Plutarch</w:t>
      </w:r>
      <w:r>
        <w:rPr>
          <w:sz w:val="23"/>
          <w:szCs w:val="23"/>
        </w:rPr>
        <w:t>, ed. by Heinz-Gunther Nesselrath (Mohr Siebeck GmbH and Co. KG, 2010)</w:t>
      </w:r>
    </w:p>
    <w:p w14:paraId="7A3CC0C1" w14:textId="07BB9A69" w:rsidR="00F663FD" w:rsidRPr="00F663FD" w:rsidRDefault="00F663FD" w:rsidP="002D7A08"/>
    <w:p w14:paraId="76D1C2E3" w14:textId="7C5E9EA7" w:rsidR="00922141" w:rsidRDefault="00922141" w:rsidP="002D7A08">
      <w:r>
        <w:t xml:space="preserve">Simonetti, Elsa </w:t>
      </w:r>
      <w:r w:rsidR="002F5F73">
        <w:t>Giovanna,</w:t>
      </w:r>
      <w:r>
        <w:t xml:space="preserve"> </w:t>
      </w:r>
      <w:r>
        <w:rPr>
          <w:i/>
          <w:iCs/>
        </w:rPr>
        <w:t xml:space="preserve">A Perfect Medium? Oracular Divination in the Thought of Plutarch, </w:t>
      </w:r>
      <w:r>
        <w:t>(Belgium: Leuven University Press 2017)</w:t>
      </w:r>
    </w:p>
    <w:p w14:paraId="57FDF7A0" w14:textId="77777777" w:rsidR="00922141" w:rsidRDefault="00922141" w:rsidP="002D7A08"/>
    <w:p w14:paraId="431F7002" w14:textId="682E6C4F" w:rsidR="00F663FD" w:rsidRPr="00F663FD" w:rsidRDefault="00F663FD" w:rsidP="002D7A08">
      <w:pPr>
        <w:rPr>
          <w:b/>
          <w:bCs/>
        </w:rPr>
      </w:pPr>
      <w:r w:rsidRPr="00F663FD">
        <w:t>Walbank, Frank W., ‘Plutarch’, Encyclopaedia Britannica,</w:t>
      </w:r>
      <w:r w:rsidRPr="00F663FD">
        <w:rPr>
          <w:lang w:val="en-US"/>
        </w:rPr>
        <w:t xml:space="preserve"> &lt;</w:t>
      </w:r>
      <w:hyperlink r:id="rId11" w:history="1">
        <w:r w:rsidRPr="00F663FD">
          <w:rPr>
            <w:rStyle w:val="Hyperlink"/>
          </w:rPr>
          <w:t>https://www.britannica.com/biography/Plutarch</w:t>
        </w:r>
      </w:hyperlink>
      <w:r w:rsidRPr="00F663FD">
        <w:t>&gt;, [accessed 1 June 2020]</w:t>
      </w:r>
    </w:p>
    <w:p w14:paraId="4EDDBDF6" w14:textId="77777777" w:rsidR="00C83D7A" w:rsidRDefault="00C83D7A" w:rsidP="00C83D7A"/>
    <w:p w14:paraId="4D8681D1" w14:textId="77777777" w:rsidR="00C83D7A" w:rsidRDefault="00C83D7A" w:rsidP="00160F45">
      <w:pPr>
        <w:rPr>
          <w:rStyle w:val="Hyperlink"/>
          <w:color w:val="000000" w:themeColor="text1"/>
        </w:rPr>
      </w:pPr>
    </w:p>
    <w:p w14:paraId="6E93ED4E" w14:textId="77777777" w:rsidR="0098790E" w:rsidRDefault="0098790E" w:rsidP="00160F45">
      <w:pPr>
        <w:rPr>
          <w:rStyle w:val="Hyperlink"/>
          <w:color w:val="000000" w:themeColor="text1"/>
        </w:rPr>
      </w:pPr>
    </w:p>
    <w:p w14:paraId="023B655B" w14:textId="77777777" w:rsidR="001C5BB4" w:rsidRPr="00166CEE" w:rsidRDefault="001C5BB4" w:rsidP="00166CEE"/>
    <w:p w14:paraId="3BAC08BC" w14:textId="77777777" w:rsidR="00166CEE" w:rsidRPr="00166CEE" w:rsidRDefault="00166CEE" w:rsidP="00160F45">
      <w:pPr>
        <w:rPr>
          <w:rFonts w:ascii="Georgia" w:hAnsi="Georgia"/>
          <w:b/>
        </w:rPr>
      </w:pPr>
    </w:p>
    <w:p w14:paraId="51D7E260" w14:textId="77777777" w:rsidR="00160F45" w:rsidRDefault="00160F45" w:rsidP="00160F45">
      <w:pPr>
        <w:ind w:left="720"/>
        <w:rPr>
          <w:rFonts w:ascii="Georgia" w:hAnsi="Georgia"/>
          <w:sz w:val="22"/>
          <w:szCs w:val="22"/>
        </w:rPr>
      </w:pPr>
    </w:p>
    <w:p w14:paraId="621451B1" w14:textId="77777777" w:rsidR="009B77B0" w:rsidRDefault="009B77B0" w:rsidP="00160F45">
      <w:pPr>
        <w:ind w:left="720"/>
        <w:rPr>
          <w:rFonts w:ascii="Georgia" w:hAnsi="Georgia"/>
          <w:sz w:val="22"/>
          <w:szCs w:val="22"/>
        </w:rPr>
      </w:pPr>
    </w:p>
    <w:p w14:paraId="408EE4D1" w14:textId="77777777" w:rsidR="0098790E" w:rsidRPr="00532BD7" w:rsidRDefault="0098790E" w:rsidP="00160F45">
      <w:pPr>
        <w:ind w:left="720"/>
        <w:rPr>
          <w:rFonts w:ascii="Georgia" w:hAnsi="Georgia"/>
          <w:sz w:val="22"/>
          <w:szCs w:val="22"/>
        </w:rPr>
      </w:pPr>
    </w:p>
    <w:p w14:paraId="44ED06E2" w14:textId="77777777" w:rsidR="008543D6" w:rsidRPr="00740EE8" w:rsidRDefault="008543D6" w:rsidP="00BD52D6">
      <w:pPr>
        <w:rPr>
          <w:b/>
          <w:bCs/>
        </w:rPr>
      </w:pPr>
    </w:p>
    <w:sectPr w:rsidR="008543D6" w:rsidRPr="00740EE8" w:rsidSect="00C80480">
      <w:headerReference w:type="even" r:id="rId1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E60E40" w14:textId="77777777" w:rsidR="0092297F" w:rsidRDefault="0092297F" w:rsidP="00C80480">
      <w:r>
        <w:separator/>
      </w:r>
    </w:p>
  </w:endnote>
  <w:endnote w:type="continuationSeparator" w:id="0">
    <w:p w14:paraId="29DA7031" w14:textId="77777777" w:rsidR="0092297F" w:rsidRDefault="0092297F" w:rsidP="00C80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FA42B" w14:textId="77777777" w:rsidR="0092297F" w:rsidRDefault="0092297F" w:rsidP="00C80480">
      <w:r>
        <w:separator/>
      </w:r>
    </w:p>
  </w:footnote>
  <w:footnote w:type="continuationSeparator" w:id="0">
    <w:p w14:paraId="4F1153CE" w14:textId="77777777" w:rsidR="0092297F" w:rsidRDefault="0092297F" w:rsidP="00C80480">
      <w:r>
        <w:continuationSeparator/>
      </w:r>
    </w:p>
  </w:footnote>
  <w:footnote w:id="1">
    <w:p w14:paraId="54E3F53A" w14:textId="2471FA90" w:rsidR="00F663FD" w:rsidRPr="00E80339" w:rsidRDefault="00F663FD" w:rsidP="001C3251">
      <w:pPr>
        <w:rPr>
          <w:sz w:val="20"/>
          <w:szCs w:val="20"/>
          <w:lang w:val="en-US"/>
        </w:rPr>
      </w:pPr>
      <w:r w:rsidRPr="00E80339">
        <w:rPr>
          <w:rStyle w:val="FootnoteReference"/>
          <w:sz w:val="20"/>
          <w:szCs w:val="20"/>
        </w:rPr>
        <w:footnoteRef/>
      </w:r>
      <w:r w:rsidRPr="00E80339">
        <w:rPr>
          <w:sz w:val="20"/>
          <w:szCs w:val="20"/>
        </w:rPr>
        <w:t xml:space="preserve"> </w:t>
      </w:r>
      <w:r w:rsidRPr="00E80339">
        <w:rPr>
          <w:sz w:val="20"/>
          <w:szCs w:val="20"/>
          <w:lang w:val="en-US"/>
        </w:rPr>
        <w:t>George Karamanolis, ‘Plutarch’, Stanford Encyclopedia of Philosophy, (published Sept 2010, revised Nov 2014) &lt;</w:t>
      </w:r>
      <w:hyperlink r:id="rId1" w:history="1">
        <w:r w:rsidRPr="00E80339">
          <w:rPr>
            <w:rStyle w:val="Hyperlink"/>
            <w:sz w:val="20"/>
            <w:szCs w:val="20"/>
          </w:rPr>
          <w:t>https://plato.stanford</w:t>
        </w:r>
        <w:r w:rsidRPr="00E80339">
          <w:rPr>
            <w:rStyle w:val="Hyperlink"/>
            <w:sz w:val="20"/>
            <w:szCs w:val="20"/>
          </w:rPr>
          <w:t>.</w:t>
        </w:r>
        <w:r w:rsidRPr="00E80339">
          <w:rPr>
            <w:rStyle w:val="Hyperlink"/>
            <w:sz w:val="20"/>
            <w:szCs w:val="20"/>
          </w:rPr>
          <w:t>edu/entries/pluta</w:t>
        </w:r>
        <w:r w:rsidRPr="00E80339">
          <w:rPr>
            <w:rStyle w:val="Hyperlink"/>
            <w:sz w:val="20"/>
            <w:szCs w:val="20"/>
          </w:rPr>
          <w:t>r</w:t>
        </w:r>
        <w:r w:rsidRPr="00E80339">
          <w:rPr>
            <w:rStyle w:val="Hyperlink"/>
            <w:sz w:val="20"/>
            <w:szCs w:val="20"/>
          </w:rPr>
          <w:t>ch/</w:t>
        </w:r>
      </w:hyperlink>
      <w:r w:rsidRPr="00E80339">
        <w:rPr>
          <w:sz w:val="20"/>
          <w:szCs w:val="20"/>
        </w:rPr>
        <w:t>&gt;, [</w:t>
      </w:r>
      <w:r w:rsidRPr="00E80339">
        <w:rPr>
          <w:sz w:val="20"/>
          <w:szCs w:val="20"/>
          <w:lang w:val="en-US"/>
        </w:rPr>
        <w:t>accessed 1 June 2020].</w:t>
      </w:r>
    </w:p>
  </w:footnote>
  <w:footnote w:id="2">
    <w:p w14:paraId="4477CB91" w14:textId="4AB532FD" w:rsidR="00F663FD" w:rsidRPr="00E80339" w:rsidRDefault="00F663FD" w:rsidP="00881C63">
      <w:pPr>
        <w:rPr>
          <w:sz w:val="20"/>
          <w:szCs w:val="20"/>
          <w:lang w:val="en-US"/>
        </w:rPr>
      </w:pPr>
      <w:r w:rsidRPr="00E80339">
        <w:rPr>
          <w:rStyle w:val="FootnoteReference"/>
          <w:sz w:val="20"/>
          <w:szCs w:val="20"/>
        </w:rPr>
        <w:footnoteRef/>
      </w:r>
      <w:r w:rsidRPr="00E80339">
        <w:rPr>
          <w:sz w:val="20"/>
          <w:szCs w:val="20"/>
        </w:rPr>
        <w:t xml:space="preserve"> Frank W. Walbank, ‘Plutarch’, Encyclopaedia Britannica,</w:t>
      </w:r>
      <w:r w:rsidRPr="00E80339">
        <w:rPr>
          <w:sz w:val="20"/>
          <w:szCs w:val="20"/>
          <w:lang w:val="en-US"/>
        </w:rPr>
        <w:t xml:space="preserve"> &lt;</w:t>
      </w:r>
      <w:hyperlink r:id="rId2" w:history="1">
        <w:r w:rsidRPr="00E80339">
          <w:rPr>
            <w:rStyle w:val="Hyperlink"/>
            <w:sz w:val="20"/>
            <w:szCs w:val="20"/>
          </w:rPr>
          <w:t>https://www.britannica.com/biogr</w:t>
        </w:r>
        <w:r w:rsidRPr="00E80339">
          <w:rPr>
            <w:rStyle w:val="Hyperlink"/>
            <w:sz w:val="20"/>
            <w:szCs w:val="20"/>
          </w:rPr>
          <w:t>a</w:t>
        </w:r>
        <w:r w:rsidRPr="00E80339">
          <w:rPr>
            <w:rStyle w:val="Hyperlink"/>
            <w:sz w:val="20"/>
            <w:szCs w:val="20"/>
          </w:rPr>
          <w:t>ph</w:t>
        </w:r>
        <w:r w:rsidRPr="00E80339">
          <w:rPr>
            <w:rStyle w:val="Hyperlink"/>
            <w:sz w:val="20"/>
            <w:szCs w:val="20"/>
          </w:rPr>
          <w:t>y</w:t>
        </w:r>
        <w:r w:rsidRPr="00E80339">
          <w:rPr>
            <w:rStyle w:val="Hyperlink"/>
            <w:sz w:val="20"/>
            <w:szCs w:val="20"/>
          </w:rPr>
          <w:t>/Plutarch</w:t>
        </w:r>
      </w:hyperlink>
      <w:r w:rsidRPr="00E80339">
        <w:rPr>
          <w:sz w:val="20"/>
          <w:szCs w:val="20"/>
        </w:rPr>
        <w:t>&gt;, [accessed 1 June 2020].</w:t>
      </w:r>
    </w:p>
  </w:footnote>
  <w:footnote w:id="3">
    <w:p w14:paraId="0C091816" w14:textId="713A34A4" w:rsidR="00F663FD" w:rsidRPr="00E80339" w:rsidRDefault="00F663FD" w:rsidP="00881C63">
      <w:pPr>
        <w:pStyle w:val="FootnoteText"/>
        <w:rPr>
          <w:lang w:val="en-US"/>
        </w:rPr>
      </w:pPr>
      <w:r w:rsidRPr="00E80339">
        <w:rPr>
          <w:rStyle w:val="FootnoteReference"/>
        </w:rPr>
        <w:footnoteRef/>
      </w:r>
      <w:r w:rsidRPr="00E80339">
        <w:t xml:space="preserve"> </w:t>
      </w:r>
      <w:r w:rsidRPr="00E80339">
        <w:rPr>
          <w:lang w:val="en-US"/>
        </w:rPr>
        <w:t>Karamanolis, ‘Plutarch’.</w:t>
      </w:r>
    </w:p>
  </w:footnote>
  <w:footnote w:id="4">
    <w:p w14:paraId="7159E1B2" w14:textId="379B252D" w:rsidR="00F663FD" w:rsidRPr="00E80339" w:rsidRDefault="00F663FD" w:rsidP="00092E82">
      <w:pPr>
        <w:rPr>
          <w:sz w:val="20"/>
          <w:szCs w:val="20"/>
        </w:rPr>
      </w:pPr>
      <w:r w:rsidRPr="00E80339">
        <w:rPr>
          <w:rStyle w:val="FootnoteReference"/>
          <w:sz w:val="20"/>
          <w:szCs w:val="20"/>
        </w:rPr>
        <w:footnoteRef/>
      </w:r>
      <w:r w:rsidRPr="00E80339">
        <w:rPr>
          <w:sz w:val="20"/>
          <w:szCs w:val="20"/>
        </w:rPr>
        <w:t xml:space="preserve"> </w:t>
      </w:r>
      <w:r w:rsidR="006C1C61" w:rsidRPr="00E80339">
        <w:rPr>
          <w:sz w:val="20"/>
          <w:szCs w:val="20"/>
        </w:rPr>
        <w:t>Harvard University Press</w:t>
      </w:r>
      <w:r w:rsidR="006C1C61" w:rsidRPr="00E80339">
        <w:rPr>
          <w:sz w:val="20"/>
          <w:szCs w:val="20"/>
        </w:rPr>
        <w:t>, &lt;</w:t>
      </w:r>
      <w:hyperlink r:id="rId3" w:history="1">
        <w:r w:rsidR="006C1C61" w:rsidRPr="00E80339">
          <w:rPr>
            <w:rStyle w:val="Hyperlink"/>
            <w:sz w:val="20"/>
            <w:szCs w:val="20"/>
          </w:rPr>
          <w:t>https://www.hup.harvard.edu/</w:t>
        </w:r>
        <w:r w:rsidR="006C1C61" w:rsidRPr="00E80339">
          <w:rPr>
            <w:rStyle w:val="Hyperlink"/>
            <w:sz w:val="20"/>
            <w:szCs w:val="20"/>
          </w:rPr>
          <w:t>c</w:t>
        </w:r>
        <w:r w:rsidR="006C1C61" w:rsidRPr="00E80339">
          <w:rPr>
            <w:rStyle w:val="Hyperlink"/>
            <w:sz w:val="20"/>
            <w:szCs w:val="20"/>
          </w:rPr>
          <w:t>atalog.php?isbn=9780674993</w:t>
        </w:r>
        <w:r w:rsidR="006C1C61" w:rsidRPr="00E80339">
          <w:rPr>
            <w:rStyle w:val="Hyperlink"/>
            <w:sz w:val="20"/>
            <w:szCs w:val="20"/>
          </w:rPr>
          <w:t>3</w:t>
        </w:r>
        <w:r w:rsidR="006C1C61" w:rsidRPr="00E80339">
          <w:rPr>
            <w:rStyle w:val="Hyperlink"/>
            <w:sz w:val="20"/>
            <w:szCs w:val="20"/>
          </w:rPr>
          <w:t>72</w:t>
        </w:r>
      </w:hyperlink>
      <w:r w:rsidR="006C1C61" w:rsidRPr="00E80339">
        <w:rPr>
          <w:sz w:val="20"/>
          <w:szCs w:val="20"/>
        </w:rPr>
        <w:t>&gt;, [</w:t>
      </w:r>
      <w:r w:rsidRPr="00E80339">
        <w:rPr>
          <w:sz w:val="20"/>
          <w:szCs w:val="20"/>
        </w:rPr>
        <w:t xml:space="preserve">accessed </w:t>
      </w:r>
      <w:r w:rsidR="006C1C61" w:rsidRPr="00E80339">
        <w:rPr>
          <w:sz w:val="20"/>
          <w:szCs w:val="20"/>
        </w:rPr>
        <w:t xml:space="preserve">31 </w:t>
      </w:r>
      <w:r w:rsidRPr="00E80339">
        <w:rPr>
          <w:sz w:val="20"/>
          <w:szCs w:val="20"/>
        </w:rPr>
        <w:t>May 2020</w:t>
      </w:r>
      <w:r w:rsidR="006C1C61" w:rsidRPr="00E80339">
        <w:rPr>
          <w:sz w:val="20"/>
          <w:szCs w:val="20"/>
        </w:rPr>
        <w:t>].</w:t>
      </w:r>
      <w:r w:rsidRPr="00E80339">
        <w:rPr>
          <w:sz w:val="20"/>
          <w:szCs w:val="20"/>
        </w:rPr>
        <w:t xml:space="preserve"> </w:t>
      </w:r>
    </w:p>
  </w:footnote>
  <w:footnote w:id="5">
    <w:p w14:paraId="40B1212D" w14:textId="6D9ACC5C" w:rsidR="00F663FD" w:rsidRPr="00E80339" w:rsidRDefault="00F663FD" w:rsidP="006C1C61">
      <w:pPr>
        <w:rPr>
          <w:b/>
          <w:bCs/>
          <w:i/>
          <w:iCs/>
          <w:sz w:val="20"/>
          <w:szCs w:val="20"/>
        </w:rPr>
      </w:pPr>
      <w:r w:rsidRPr="00E80339">
        <w:rPr>
          <w:rStyle w:val="FootnoteReference"/>
          <w:sz w:val="20"/>
          <w:szCs w:val="20"/>
        </w:rPr>
        <w:footnoteRef/>
      </w:r>
      <w:r w:rsidRPr="00E80339">
        <w:rPr>
          <w:sz w:val="20"/>
          <w:szCs w:val="20"/>
        </w:rPr>
        <w:t xml:space="preserve"> </w:t>
      </w:r>
      <w:r w:rsidR="006C1C61" w:rsidRPr="00E80339">
        <w:rPr>
          <w:sz w:val="20"/>
          <w:szCs w:val="20"/>
        </w:rPr>
        <w:t>Arthur Darby Nock</w:t>
      </w:r>
      <w:r w:rsidR="006C1C61" w:rsidRPr="00E80339">
        <w:rPr>
          <w:sz w:val="20"/>
          <w:szCs w:val="20"/>
        </w:rPr>
        <w:t>, ‘</w:t>
      </w:r>
      <w:r w:rsidRPr="00E80339">
        <w:rPr>
          <w:sz w:val="20"/>
          <w:szCs w:val="20"/>
        </w:rPr>
        <w:t>Religious Attitudes of the Ancient Greeks</w:t>
      </w:r>
      <w:r w:rsidR="006C1C61" w:rsidRPr="00E80339">
        <w:rPr>
          <w:sz w:val="20"/>
          <w:szCs w:val="20"/>
        </w:rPr>
        <w:t xml:space="preserve">,’ </w:t>
      </w:r>
      <w:r w:rsidR="006C1C61" w:rsidRPr="00E80339">
        <w:rPr>
          <w:i/>
          <w:iCs/>
          <w:sz w:val="20"/>
          <w:szCs w:val="20"/>
        </w:rPr>
        <w:t>Proceedings of the American Philosophical Society</w:t>
      </w:r>
      <w:r w:rsidR="006C1C61" w:rsidRPr="00E80339">
        <w:rPr>
          <w:sz w:val="20"/>
          <w:szCs w:val="20"/>
        </w:rPr>
        <w:t>. Vol. 85, No. 5 (1942), 472-482, p. 480.</w:t>
      </w:r>
      <w:r w:rsidRPr="00E80339">
        <w:rPr>
          <w:sz w:val="20"/>
          <w:szCs w:val="20"/>
        </w:rPr>
        <w:t xml:space="preserve"> </w:t>
      </w:r>
    </w:p>
  </w:footnote>
  <w:footnote w:id="6">
    <w:p w14:paraId="7F7B6C44" w14:textId="734EA9B2" w:rsidR="00F663FD" w:rsidRPr="00E80339" w:rsidRDefault="00F663FD" w:rsidP="0070197C">
      <w:pPr>
        <w:rPr>
          <w:b/>
          <w:bCs/>
          <w:i/>
          <w:iCs/>
          <w:sz w:val="20"/>
          <w:szCs w:val="20"/>
        </w:rPr>
      </w:pPr>
      <w:r w:rsidRPr="00E80339">
        <w:rPr>
          <w:rStyle w:val="FootnoteReference"/>
          <w:sz w:val="20"/>
          <w:szCs w:val="20"/>
        </w:rPr>
        <w:footnoteRef/>
      </w:r>
      <w:r w:rsidRPr="00E80339">
        <w:rPr>
          <w:sz w:val="20"/>
          <w:szCs w:val="20"/>
        </w:rPr>
        <w:t xml:space="preserve"> Schröder, ‘Plutarch on oracles and divine inspiration,’ p. 145.</w:t>
      </w:r>
    </w:p>
  </w:footnote>
  <w:footnote w:id="7">
    <w:p w14:paraId="0913FBA4" w14:textId="31B9812D" w:rsidR="00F663FD" w:rsidRPr="00E80339" w:rsidRDefault="00F663FD" w:rsidP="005B71E0">
      <w:pPr>
        <w:rPr>
          <w:b/>
          <w:bCs/>
          <w:i/>
          <w:iCs/>
          <w:sz w:val="20"/>
          <w:szCs w:val="20"/>
        </w:rPr>
      </w:pPr>
      <w:r w:rsidRPr="00E80339">
        <w:rPr>
          <w:rStyle w:val="FootnoteReference"/>
          <w:sz w:val="20"/>
          <w:szCs w:val="20"/>
        </w:rPr>
        <w:footnoteRef/>
      </w:r>
      <w:r w:rsidRPr="00E80339">
        <w:rPr>
          <w:sz w:val="20"/>
          <w:szCs w:val="20"/>
        </w:rPr>
        <w:t xml:space="preserve"> </w:t>
      </w:r>
      <w:r w:rsidR="005B71E0" w:rsidRPr="00E80339">
        <w:rPr>
          <w:sz w:val="20"/>
          <w:szCs w:val="20"/>
        </w:rPr>
        <w:t>Nock, ‘Religious Attitudes of the Ancient Greeks,’</w:t>
      </w:r>
      <w:r w:rsidR="005B71E0" w:rsidRPr="00E80339">
        <w:rPr>
          <w:sz w:val="20"/>
          <w:szCs w:val="20"/>
        </w:rPr>
        <w:t xml:space="preserve"> p.475.</w:t>
      </w:r>
    </w:p>
  </w:footnote>
  <w:footnote w:id="8">
    <w:p w14:paraId="1B60B02A" w14:textId="071F81F8" w:rsidR="00F663FD" w:rsidRPr="005E375E" w:rsidRDefault="00F663FD" w:rsidP="005E375E">
      <w:pPr>
        <w:rPr>
          <w:b/>
          <w:bCs/>
          <w:i/>
          <w:iCs/>
          <w:sz w:val="22"/>
          <w:szCs w:val="22"/>
        </w:rPr>
      </w:pPr>
      <w:r w:rsidRPr="00E80339">
        <w:rPr>
          <w:rStyle w:val="FootnoteReference"/>
          <w:sz w:val="20"/>
          <w:szCs w:val="20"/>
        </w:rPr>
        <w:footnoteRef/>
      </w:r>
      <w:r w:rsidRPr="00E80339">
        <w:rPr>
          <w:sz w:val="20"/>
          <w:szCs w:val="20"/>
        </w:rPr>
        <w:t xml:space="preserve"> </w:t>
      </w:r>
      <w:r w:rsidR="00E80339" w:rsidRPr="00E80339">
        <w:rPr>
          <w:sz w:val="20"/>
          <w:szCs w:val="20"/>
        </w:rPr>
        <w:t xml:space="preserve">Michael Attyah Flower, ‘Divination as a System of Knowledge and Belief’ in </w:t>
      </w:r>
      <w:r w:rsidR="00E80339" w:rsidRPr="00E80339">
        <w:rPr>
          <w:i/>
          <w:iCs/>
          <w:sz w:val="20"/>
          <w:szCs w:val="20"/>
        </w:rPr>
        <w:t xml:space="preserve">The Seer in Ancient Greece, </w:t>
      </w:r>
      <w:r w:rsidR="00E80339" w:rsidRPr="00E80339">
        <w:rPr>
          <w:sz w:val="20"/>
          <w:szCs w:val="20"/>
        </w:rPr>
        <w:t>(Berkeley: University of California Press, 2007), pp. 104-131, p. 107.</w:t>
      </w:r>
    </w:p>
  </w:footnote>
  <w:footnote w:id="9">
    <w:p w14:paraId="68EAFD94" w14:textId="03E21941" w:rsidR="00F663FD" w:rsidRPr="00130DA1" w:rsidRDefault="00F663FD" w:rsidP="005B71E0">
      <w:pPr>
        <w:rPr>
          <w:b/>
          <w:bCs/>
          <w:i/>
          <w:iCs/>
          <w:sz w:val="20"/>
          <w:szCs w:val="20"/>
        </w:rPr>
      </w:pPr>
      <w:r w:rsidRPr="00130DA1">
        <w:rPr>
          <w:rStyle w:val="FootnoteReference"/>
          <w:sz w:val="20"/>
          <w:szCs w:val="20"/>
        </w:rPr>
        <w:footnoteRef/>
      </w:r>
      <w:r w:rsidRPr="00130DA1">
        <w:rPr>
          <w:sz w:val="20"/>
          <w:szCs w:val="20"/>
        </w:rPr>
        <w:t xml:space="preserve"> </w:t>
      </w:r>
      <w:r w:rsidR="005B71E0" w:rsidRPr="00130DA1">
        <w:rPr>
          <w:sz w:val="20"/>
          <w:szCs w:val="20"/>
        </w:rPr>
        <w:t>Nock, ‘Religious Attitudes of the Ancient Greeks,’</w:t>
      </w:r>
      <w:r w:rsidR="005B71E0" w:rsidRPr="00130DA1">
        <w:rPr>
          <w:sz w:val="20"/>
          <w:szCs w:val="20"/>
        </w:rPr>
        <w:t xml:space="preserve"> p. 473.</w:t>
      </w:r>
    </w:p>
  </w:footnote>
  <w:footnote w:id="10">
    <w:p w14:paraId="43C4FDC0" w14:textId="554F475F" w:rsidR="00F663FD" w:rsidRPr="00130DA1" w:rsidRDefault="00F663FD" w:rsidP="00B95785">
      <w:pPr>
        <w:rPr>
          <w:sz w:val="20"/>
          <w:szCs w:val="20"/>
          <w:lang w:val="en-US"/>
        </w:rPr>
      </w:pPr>
      <w:r w:rsidRPr="00130DA1">
        <w:rPr>
          <w:rStyle w:val="FootnoteReference"/>
          <w:sz w:val="20"/>
          <w:szCs w:val="20"/>
        </w:rPr>
        <w:footnoteRef/>
      </w:r>
      <w:r w:rsidRPr="00130DA1">
        <w:rPr>
          <w:sz w:val="20"/>
          <w:szCs w:val="20"/>
        </w:rPr>
        <w:t xml:space="preserve"> Schröder, ‘Plutarch on oracles and divine inspiration,’ p. 145.</w:t>
      </w:r>
    </w:p>
  </w:footnote>
  <w:footnote w:id="11">
    <w:p w14:paraId="2B68143C" w14:textId="77777777" w:rsidR="00C711F7" w:rsidRPr="00E80339" w:rsidRDefault="00C711F7" w:rsidP="00C711F7">
      <w:pPr>
        <w:pStyle w:val="FootnoteText"/>
        <w:rPr>
          <w:lang w:val="en-US"/>
        </w:rPr>
      </w:pPr>
      <w:r w:rsidRPr="00E80339">
        <w:rPr>
          <w:rStyle w:val="FootnoteReference"/>
        </w:rPr>
        <w:footnoteRef/>
      </w:r>
      <w:r w:rsidRPr="00E80339">
        <w:t xml:space="preserve"> </w:t>
      </w:r>
      <w:r w:rsidRPr="00E80339">
        <w:rPr>
          <w:lang w:val="en-US"/>
        </w:rPr>
        <w:t>Karamanolis, ‘Plutarch’.</w:t>
      </w:r>
    </w:p>
  </w:footnote>
  <w:footnote w:id="12">
    <w:p w14:paraId="52DD0BAD" w14:textId="77777777" w:rsidR="00C711F7" w:rsidRPr="00E80339" w:rsidRDefault="00C711F7" w:rsidP="00C711F7">
      <w:pPr>
        <w:rPr>
          <w:b/>
          <w:bCs/>
          <w:sz w:val="20"/>
          <w:szCs w:val="20"/>
        </w:rPr>
      </w:pPr>
      <w:r w:rsidRPr="00E80339">
        <w:rPr>
          <w:rStyle w:val="FootnoteReference"/>
          <w:sz w:val="20"/>
          <w:szCs w:val="20"/>
        </w:rPr>
        <w:footnoteRef/>
      </w:r>
      <w:r w:rsidRPr="00E80339">
        <w:rPr>
          <w:sz w:val="20"/>
          <w:szCs w:val="20"/>
        </w:rPr>
        <w:t xml:space="preserve"> Stephan Schröder, ‘Plutarch on oracles and divine inspiration,’ in </w:t>
      </w:r>
      <w:r w:rsidRPr="00E80339">
        <w:rPr>
          <w:i/>
          <w:iCs/>
          <w:sz w:val="20"/>
          <w:szCs w:val="20"/>
        </w:rPr>
        <w:t>On the daimonion of Socrates: Plutarch</w:t>
      </w:r>
      <w:r w:rsidRPr="00E80339">
        <w:rPr>
          <w:sz w:val="20"/>
          <w:szCs w:val="20"/>
        </w:rPr>
        <w:t>, ed. by Heinz-Gunther Nesselrath (Mohr Siebeck GmbH and Co. KG, 2010), p. 168.</w:t>
      </w:r>
    </w:p>
  </w:footnote>
  <w:footnote w:id="13">
    <w:p w14:paraId="48A5C4B1" w14:textId="425DE732" w:rsidR="00F663FD" w:rsidRPr="00130DA1" w:rsidRDefault="00F663FD" w:rsidP="001F79F1">
      <w:pPr>
        <w:rPr>
          <w:b/>
          <w:bCs/>
          <w:i/>
          <w:iCs/>
          <w:sz w:val="20"/>
          <w:szCs w:val="20"/>
        </w:rPr>
      </w:pPr>
      <w:r w:rsidRPr="00130DA1">
        <w:rPr>
          <w:rStyle w:val="FootnoteReference"/>
          <w:sz w:val="20"/>
          <w:szCs w:val="20"/>
        </w:rPr>
        <w:footnoteRef/>
      </w:r>
      <w:r w:rsidRPr="00130DA1">
        <w:rPr>
          <w:sz w:val="20"/>
          <w:szCs w:val="20"/>
        </w:rPr>
        <w:t xml:space="preserve"> </w:t>
      </w:r>
      <w:r w:rsidR="005B71E0" w:rsidRPr="00130DA1">
        <w:rPr>
          <w:sz w:val="20"/>
          <w:szCs w:val="20"/>
        </w:rPr>
        <w:t>Peter Jackson, ‘</w:t>
      </w:r>
      <w:r w:rsidRPr="00130DA1">
        <w:rPr>
          <w:sz w:val="20"/>
          <w:szCs w:val="20"/>
        </w:rPr>
        <w:t>Appar</w:t>
      </w:r>
      <w:r w:rsidR="005B71E0" w:rsidRPr="00130DA1">
        <w:rPr>
          <w:sz w:val="20"/>
          <w:szCs w:val="20"/>
        </w:rPr>
        <w:t>i</w:t>
      </w:r>
      <w:r w:rsidRPr="00130DA1">
        <w:rPr>
          <w:sz w:val="20"/>
          <w:szCs w:val="20"/>
        </w:rPr>
        <w:t xml:space="preserve">tions and </w:t>
      </w:r>
      <w:r w:rsidR="005B71E0" w:rsidRPr="00130DA1">
        <w:rPr>
          <w:sz w:val="20"/>
          <w:szCs w:val="20"/>
        </w:rPr>
        <w:t>A</w:t>
      </w:r>
      <w:r w:rsidRPr="00130DA1">
        <w:rPr>
          <w:sz w:val="20"/>
          <w:szCs w:val="20"/>
        </w:rPr>
        <w:t xml:space="preserve">pparatuses: </w:t>
      </w:r>
      <w:r w:rsidR="005B71E0" w:rsidRPr="00130DA1">
        <w:rPr>
          <w:sz w:val="20"/>
          <w:szCs w:val="20"/>
        </w:rPr>
        <w:t>O</w:t>
      </w:r>
      <w:r w:rsidRPr="00130DA1">
        <w:rPr>
          <w:sz w:val="20"/>
          <w:szCs w:val="20"/>
        </w:rPr>
        <w:t xml:space="preserve">n the </w:t>
      </w:r>
      <w:r w:rsidR="005B71E0" w:rsidRPr="00130DA1">
        <w:rPr>
          <w:sz w:val="20"/>
          <w:szCs w:val="20"/>
        </w:rPr>
        <w:t>F</w:t>
      </w:r>
      <w:r w:rsidRPr="00130DA1">
        <w:rPr>
          <w:sz w:val="20"/>
          <w:szCs w:val="20"/>
        </w:rPr>
        <w:t xml:space="preserve">raming and </w:t>
      </w:r>
      <w:r w:rsidR="005B71E0" w:rsidRPr="00130DA1">
        <w:rPr>
          <w:sz w:val="20"/>
          <w:szCs w:val="20"/>
        </w:rPr>
        <w:t>S</w:t>
      </w:r>
      <w:r w:rsidRPr="00130DA1">
        <w:rPr>
          <w:sz w:val="20"/>
          <w:szCs w:val="20"/>
        </w:rPr>
        <w:t xml:space="preserve">taging of </w:t>
      </w:r>
      <w:r w:rsidR="005B71E0" w:rsidRPr="00130DA1">
        <w:rPr>
          <w:sz w:val="20"/>
          <w:szCs w:val="20"/>
        </w:rPr>
        <w:t>R</w:t>
      </w:r>
      <w:r w:rsidRPr="00130DA1">
        <w:rPr>
          <w:sz w:val="20"/>
          <w:szCs w:val="20"/>
        </w:rPr>
        <w:t xml:space="preserve">eligious </w:t>
      </w:r>
      <w:r w:rsidR="005B71E0" w:rsidRPr="00130DA1">
        <w:rPr>
          <w:sz w:val="20"/>
          <w:szCs w:val="20"/>
        </w:rPr>
        <w:t>E</w:t>
      </w:r>
      <w:r w:rsidRPr="00130DA1">
        <w:rPr>
          <w:sz w:val="20"/>
          <w:szCs w:val="20"/>
        </w:rPr>
        <w:t>vents</w:t>
      </w:r>
      <w:r w:rsidR="005B71E0" w:rsidRPr="00130DA1">
        <w:rPr>
          <w:sz w:val="20"/>
          <w:szCs w:val="20"/>
        </w:rPr>
        <w:t xml:space="preserve">’, </w:t>
      </w:r>
      <w:r w:rsidR="005B71E0" w:rsidRPr="00130DA1">
        <w:rPr>
          <w:i/>
          <w:iCs/>
          <w:sz w:val="20"/>
          <w:szCs w:val="20"/>
        </w:rPr>
        <w:t>Method &amp; Theory in the S</w:t>
      </w:r>
      <w:r w:rsidR="00E80339" w:rsidRPr="00130DA1">
        <w:rPr>
          <w:i/>
          <w:iCs/>
          <w:sz w:val="20"/>
          <w:szCs w:val="20"/>
        </w:rPr>
        <w:t>t</w:t>
      </w:r>
      <w:r w:rsidR="005B71E0" w:rsidRPr="00130DA1">
        <w:rPr>
          <w:i/>
          <w:iCs/>
          <w:sz w:val="20"/>
          <w:szCs w:val="20"/>
        </w:rPr>
        <w:t xml:space="preserve">udy of Religion, </w:t>
      </w:r>
      <w:r w:rsidR="001E6D82" w:rsidRPr="00130DA1">
        <w:rPr>
          <w:sz w:val="20"/>
          <w:szCs w:val="20"/>
        </w:rPr>
        <w:t xml:space="preserve">Vol. 24, No. 3, (2012), 291-300, p. 293. </w:t>
      </w:r>
    </w:p>
  </w:footnote>
  <w:footnote w:id="14">
    <w:p w14:paraId="5F78EB5C" w14:textId="37BB17F6" w:rsidR="00F663FD" w:rsidRPr="00130DA1" w:rsidRDefault="00F663FD" w:rsidP="007F4490">
      <w:pPr>
        <w:rPr>
          <w:rFonts w:eastAsiaTheme="minorHAnsi"/>
          <w:sz w:val="20"/>
          <w:szCs w:val="20"/>
        </w:rPr>
      </w:pPr>
      <w:r w:rsidRPr="00130DA1">
        <w:rPr>
          <w:rStyle w:val="FootnoteReference"/>
          <w:sz w:val="20"/>
          <w:szCs w:val="20"/>
        </w:rPr>
        <w:footnoteRef/>
      </w:r>
      <w:r w:rsidRPr="00130DA1">
        <w:rPr>
          <w:sz w:val="20"/>
          <w:szCs w:val="20"/>
        </w:rPr>
        <w:t xml:space="preserve"> </w:t>
      </w:r>
      <w:r w:rsidR="009D75EA" w:rsidRPr="00130DA1">
        <w:rPr>
          <w:sz w:val="20"/>
          <w:szCs w:val="20"/>
        </w:rPr>
        <w:t xml:space="preserve">Elsa Giovanna Simonetti, </w:t>
      </w:r>
      <w:r w:rsidR="009D75EA" w:rsidRPr="00130DA1">
        <w:rPr>
          <w:i/>
          <w:iCs/>
          <w:sz w:val="20"/>
          <w:szCs w:val="20"/>
        </w:rPr>
        <w:t xml:space="preserve">A Perfect Medium? Oracular Divination in the Thought of Plutarch, </w:t>
      </w:r>
      <w:r w:rsidR="009D75EA" w:rsidRPr="00130DA1">
        <w:rPr>
          <w:sz w:val="20"/>
          <w:szCs w:val="20"/>
        </w:rPr>
        <w:t>(Belgium: Leuven University Press 2017), p. 73.</w:t>
      </w:r>
    </w:p>
  </w:footnote>
  <w:footnote w:id="15">
    <w:p w14:paraId="55FAD043" w14:textId="2D6391B9" w:rsidR="00F663FD" w:rsidRPr="00130DA1" w:rsidRDefault="00F663FD" w:rsidP="00B95785">
      <w:pPr>
        <w:rPr>
          <w:b/>
          <w:bCs/>
          <w:i/>
          <w:iCs/>
          <w:sz w:val="20"/>
          <w:szCs w:val="20"/>
        </w:rPr>
      </w:pPr>
      <w:r w:rsidRPr="00130DA1">
        <w:rPr>
          <w:rStyle w:val="FootnoteReference"/>
          <w:sz w:val="20"/>
          <w:szCs w:val="20"/>
        </w:rPr>
        <w:footnoteRef/>
      </w:r>
      <w:r w:rsidRPr="00130DA1">
        <w:rPr>
          <w:sz w:val="20"/>
          <w:szCs w:val="20"/>
        </w:rPr>
        <w:t xml:space="preserve"> Schröder, ‘Plutarch on oracles and divine inspiration,’ p. 145.</w:t>
      </w:r>
    </w:p>
  </w:footnote>
  <w:footnote w:id="16">
    <w:p w14:paraId="67751291" w14:textId="20785B19" w:rsidR="00F663FD" w:rsidRPr="00130DA1" w:rsidRDefault="00F663FD">
      <w:pPr>
        <w:pStyle w:val="FootnoteText"/>
        <w:rPr>
          <w:lang w:val="en-US"/>
        </w:rPr>
      </w:pPr>
      <w:r w:rsidRPr="00130DA1">
        <w:rPr>
          <w:rStyle w:val="FootnoteReference"/>
        </w:rPr>
        <w:footnoteRef/>
      </w:r>
      <w:r w:rsidRPr="00130DA1">
        <w:t xml:space="preserve"> </w:t>
      </w:r>
      <w:r w:rsidRPr="00130DA1">
        <w:rPr>
          <w:lang w:val="en-US"/>
        </w:rPr>
        <w:t xml:space="preserve">Plutarch, </w:t>
      </w:r>
      <w:r w:rsidRPr="00130DA1">
        <w:rPr>
          <w:i/>
          <w:iCs/>
          <w:lang w:val="en-US"/>
        </w:rPr>
        <w:t>Isis and Osiris</w:t>
      </w:r>
      <w:r w:rsidR="00554CE2" w:rsidRPr="00130DA1">
        <w:rPr>
          <w:color w:val="000000"/>
          <w:lang w:val="en-US"/>
        </w:rPr>
        <w:t xml:space="preserve">: Frank Cole Babbitt (trans.), Loeb Classical Library, Moralia vol. V, Cambridge, MA: Harvard University Press, 1936, </w:t>
      </w:r>
      <w:r w:rsidR="00554CE2" w:rsidRPr="00130DA1">
        <w:rPr>
          <w:color w:val="000000"/>
          <w:lang w:val="en-US"/>
        </w:rPr>
        <w:t xml:space="preserve">351 </w:t>
      </w:r>
      <w:r w:rsidR="00B83FF3">
        <w:rPr>
          <w:color w:val="000000"/>
          <w:lang w:val="en-US"/>
        </w:rPr>
        <w:t xml:space="preserve">F </w:t>
      </w:r>
      <w:r w:rsidR="00554CE2" w:rsidRPr="00130DA1">
        <w:rPr>
          <w:color w:val="000000"/>
          <w:lang w:val="en-US"/>
        </w:rPr>
        <w:t>(section 2).</w:t>
      </w:r>
    </w:p>
  </w:footnote>
  <w:footnote w:id="17">
    <w:p w14:paraId="10565711" w14:textId="1FF839A6" w:rsidR="00F663FD" w:rsidRPr="00130DA1" w:rsidRDefault="00F663FD">
      <w:pPr>
        <w:pStyle w:val="FootnoteText"/>
        <w:rPr>
          <w:lang w:val="en-US"/>
        </w:rPr>
      </w:pPr>
      <w:r w:rsidRPr="00130DA1">
        <w:rPr>
          <w:rStyle w:val="FootnoteReference"/>
        </w:rPr>
        <w:footnoteRef/>
      </w:r>
      <w:r w:rsidRPr="00130DA1">
        <w:t xml:space="preserve"> </w:t>
      </w:r>
      <w:r w:rsidR="00554CE2" w:rsidRPr="00130DA1">
        <w:rPr>
          <w:lang w:val="en-US"/>
        </w:rPr>
        <w:t xml:space="preserve">Plutarch, </w:t>
      </w:r>
      <w:r w:rsidR="00554CE2" w:rsidRPr="00130DA1">
        <w:rPr>
          <w:i/>
          <w:iCs/>
          <w:lang w:val="en-US"/>
        </w:rPr>
        <w:t>Isis and Osiri</w:t>
      </w:r>
      <w:r w:rsidR="00554CE2" w:rsidRPr="00130DA1">
        <w:rPr>
          <w:i/>
          <w:iCs/>
          <w:lang w:val="en-US"/>
        </w:rPr>
        <w:t>s,</w:t>
      </w:r>
      <w:r w:rsidR="00554CE2" w:rsidRPr="00130DA1">
        <w:rPr>
          <w:color w:val="000000"/>
          <w:lang w:val="en-US"/>
        </w:rPr>
        <w:t xml:space="preserve"> </w:t>
      </w:r>
      <w:r w:rsidR="00554CE2" w:rsidRPr="00130DA1">
        <w:rPr>
          <w:color w:val="000000"/>
          <w:lang w:val="en-US"/>
        </w:rPr>
        <w:t xml:space="preserve">351 </w:t>
      </w:r>
      <w:r w:rsidR="00B83FF3">
        <w:rPr>
          <w:color w:val="000000"/>
          <w:lang w:val="en-US"/>
        </w:rPr>
        <w:t>F</w:t>
      </w:r>
      <w:r w:rsidR="00554CE2" w:rsidRPr="00130DA1">
        <w:rPr>
          <w:color w:val="000000"/>
          <w:lang w:val="en-US"/>
        </w:rPr>
        <w:t xml:space="preserve"> (section 2).</w:t>
      </w:r>
    </w:p>
  </w:footnote>
  <w:footnote w:id="18">
    <w:p w14:paraId="7F51F7A0" w14:textId="157B21AD" w:rsidR="00F663FD" w:rsidRPr="00130DA1" w:rsidRDefault="00F663FD" w:rsidP="00F663FD">
      <w:pPr>
        <w:rPr>
          <w:color w:val="000000"/>
          <w:lang w:val="en-US"/>
        </w:rPr>
      </w:pPr>
      <w:r w:rsidRPr="00130DA1">
        <w:rPr>
          <w:rStyle w:val="FootnoteReference"/>
          <w:sz w:val="20"/>
          <w:szCs w:val="20"/>
        </w:rPr>
        <w:footnoteRef/>
      </w:r>
      <w:r w:rsidRPr="00130DA1">
        <w:rPr>
          <w:sz w:val="20"/>
          <w:szCs w:val="20"/>
        </w:rPr>
        <w:t xml:space="preserve"> </w:t>
      </w:r>
      <w:r w:rsidRPr="00130DA1">
        <w:rPr>
          <w:color w:val="000000"/>
          <w:sz w:val="20"/>
          <w:szCs w:val="20"/>
          <w:lang w:val="en-US"/>
        </w:rPr>
        <w:t xml:space="preserve">Plutarch, </w:t>
      </w:r>
      <w:r w:rsidRPr="00130DA1">
        <w:rPr>
          <w:i/>
          <w:iCs/>
          <w:color w:val="000000"/>
          <w:sz w:val="20"/>
          <w:szCs w:val="20"/>
          <w:lang w:val="en-US"/>
        </w:rPr>
        <w:t>The Obsolescence of Oracles (De defectu oraculorum</w:t>
      </w:r>
      <w:r w:rsidRPr="00130DA1">
        <w:rPr>
          <w:color w:val="000000"/>
          <w:sz w:val="20"/>
          <w:szCs w:val="20"/>
          <w:lang w:val="en-US"/>
        </w:rPr>
        <w:t xml:space="preserve">): Frank Cole Babbitt (trans.), Loeb Classical Library, Moralia vol. V, Cambridge, MA: Harvard University Press, 1936, </w:t>
      </w:r>
      <w:r w:rsidR="00130DA1" w:rsidRPr="00130DA1">
        <w:rPr>
          <w:color w:val="000000"/>
          <w:sz w:val="20"/>
          <w:szCs w:val="20"/>
          <w:lang w:val="en-US"/>
        </w:rPr>
        <w:t>introduction.</w:t>
      </w:r>
    </w:p>
  </w:footnote>
  <w:footnote w:id="19">
    <w:p w14:paraId="0695BF5F" w14:textId="0C97053C" w:rsidR="00F663FD" w:rsidRPr="005E137D" w:rsidRDefault="00F663FD" w:rsidP="008D7F82">
      <w:pPr>
        <w:pStyle w:val="FootnoteText"/>
        <w:rPr>
          <w:lang w:val="en-US"/>
        </w:rPr>
      </w:pPr>
      <w:r w:rsidRPr="005E137D">
        <w:rPr>
          <w:rStyle w:val="FootnoteReference"/>
        </w:rPr>
        <w:footnoteRef/>
      </w:r>
      <w:r w:rsidRPr="005E137D">
        <w:t xml:space="preserve"> </w:t>
      </w:r>
      <w:r w:rsidR="00130DA1" w:rsidRPr="005E137D">
        <w:rPr>
          <w:color w:val="000000"/>
          <w:lang w:val="en-US"/>
        </w:rPr>
        <w:t xml:space="preserve">Plutarch, </w:t>
      </w:r>
      <w:r w:rsidR="00130DA1" w:rsidRPr="005E137D">
        <w:rPr>
          <w:i/>
          <w:iCs/>
          <w:color w:val="000000"/>
          <w:lang w:val="en-US"/>
        </w:rPr>
        <w:t>The Obsolescence of Oracle</w:t>
      </w:r>
      <w:r w:rsidR="00130DA1" w:rsidRPr="005E137D">
        <w:rPr>
          <w:i/>
          <w:iCs/>
          <w:color w:val="000000"/>
          <w:lang w:val="en-US"/>
        </w:rPr>
        <w:t xml:space="preserve">s, </w:t>
      </w:r>
      <w:r w:rsidR="00130DA1" w:rsidRPr="005E137D">
        <w:rPr>
          <w:color w:val="000000"/>
          <w:lang w:val="en-US"/>
        </w:rPr>
        <w:t>introduction.</w:t>
      </w:r>
    </w:p>
  </w:footnote>
  <w:footnote w:id="20">
    <w:p w14:paraId="09D779AA" w14:textId="787DF63B" w:rsidR="00F663FD" w:rsidRPr="005E137D" w:rsidRDefault="00F663FD" w:rsidP="00DA25FE">
      <w:pPr>
        <w:rPr>
          <w:sz w:val="20"/>
          <w:szCs w:val="20"/>
          <w:lang w:val="en-US"/>
        </w:rPr>
      </w:pPr>
      <w:r w:rsidRPr="005E137D">
        <w:rPr>
          <w:rStyle w:val="FootnoteReference"/>
          <w:sz w:val="20"/>
          <w:szCs w:val="20"/>
        </w:rPr>
        <w:footnoteRef/>
      </w:r>
      <w:r w:rsidRPr="005E137D">
        <w:rPr>
          <w:sz w:val="20"/>
          <w:szCs w:val="20"/>
        </w:rPr>
        <w:t xml:space="preserve"> </w:t>
      </w:r>
      <w:r w:rsidR="00554CE2" w:rsidRPr="005E137D">
        <w:rPr>
          <w:sz w:val="20"/>
          <w:szCs w:val="20"/>
          <w:lang w:val="en-US"/>
        </w:rPr>
        <w:t>R. M. Ogilvie</w:t>
      </w:r>
      <w:r w:rsidR="00554CE2" w:rsidRPr="005E137D">
        <w:rPr>
          <w:sz w:val="20"/>
          <w:szCs w:val="20"/>
          <w:lang w:val="en-US"/>
        </w:rPr>
        <w:t>, ‘</w:t>
      </w:r>
      <w:r w:rsidRPr="005E137D">
        <w:rPr>
          <w:sz w:val="20"/>
          <w:szCs w:val="20"/>
          <w:lang w:val="en-US"/>
        </w:rPr>
        <w:t>The Date of the "De Defectu Oraculorum</w:t>
      </w:r>
      <w:r w:rsidR="00554CE2" w:rsidRPr="005E137D">
        <w:rPr>
          <w:sz w:val="20"/>
          <w:szCs w:val="20"/>
          <w:lang w:val="en-US"/>
        </w:rPr>
        <w:t>,</w:t>
      </w:r>
      <w:r w:rsidRPr="005E137D">
        <w:rPr>
          <w:sz w:val="20"/>
          <w:szCs w:val="20"/>
          <w:lang w:val="en-US"/>
        </w:rPr>
        <w:t>"</w:t>
      </w:r>
      <w:r w:rsidR="00554CE2" w:rsidRPr="005E137D">
        <w:rPr>
          <w:sz w:val="20"/>
          <w:szCs w:val="20"/>
          <w:lang w:val="en-US"/>
        </w:rPr>
        <w:t>’</w:t>
      </w:r>
      <w:r w:rsidRPr="005E137D">
        <w:rPr>
          <w:sz w:val="20"/>
          <w:szCs w:val="20"/>
          <w:lang w:val="en-US"/>
        </w:rPr>
        <w:t xml:space="preserve"> </w:t>
      </w:r>
      <w:r w:rsidRPr="005E137D">
        <w:rPr>
          <w:i/>
          <w:iCs/>
          <w:sz w:val="20"/>
          <w:szCs w:val="20"/>
          <w:lang w:val="en-US"/>
        </w:rPr>
        <w:t>Phoenix</w:t>
      </w:r>
      <w:r w:rsidRPr="005E137D">
        <w:rPr>
          <w:sz w:val="20"/>
          <w:szCs w:val="20"/>
          <w:lang w:val="en-US"/>
        </w:rPr>
        <w:t>, Vol. 21, No. 2 (Summer, 1967), pp. 108-119</w:t>
      </w:r>
      <w:r w:rsidR="00554CE2" w:rsidRPr="005E137D">
        <w:rPr>
          <w:b/>
          <w:bCs/>
          <w:sz w:val="20"/>
          <w:szCs w:val="20"/>
          <w:lang w:val="en-US"/>
        </w:rPr>
        <w:t xml:space="preserve">, </w:t>
      </w:r>
      <w:r w:rsidR="00554CE2" w:rsidRPr="005E137D">
        <w:rPr>
          <w:sz w:val="20"/>
          <w:szCs w:val="20"/>
          <w:lang w:val="en-US"/>
        </w:rPr>
        <w:t>p. 119.</w:t>
      </w:r>
    </w:p>
  </w:footnote>
  <w:footnote w:id="21">
    <w:p w14:paraId="01835138" w14:textId="012C991D" w:rsidR="00F663FD" w:rsidRPr="005E137D" w:rsidRDefault="00F663FD" w:rsidP="00DC6750">
      <w:pPr>
        <w:pStyle w:val="FootnoteText"/>
        <w:rPr>
          <w:lang w:val="en-US"/>
        </w:rPr>
      </w:pPr>
      <w:r w:rsidRPr="005E137D">
        <w:rPr>
          <w:rStyle w:val="FootnoteReference"/>
        </w:rPr>
        <w:footnoteRef/>
      </w:r>
      <w:r w:rsidRPr="005E137D">
        <w:t xml:space="preserve"> Schröder, ‘Plutarch on oracles and divine inspiration,’ p. 153.</w:t>
      </w:r>
    </w:p>
  </w:footnote>
  <w:footnote w:id="22">
    <w:p w14:paraId="7DA7AB09" w14:textId="76183990" w:rsidR="00F663FD" w:rsidRPr="005E137D" w:rsidRDefault="00F663FD" w:rsidP="00DA50D8">
      <w:pPr>
        <w:rPr>
          <w:b/>
          <w:bCs/>
          <w:i/>
          <w:iCs/>
          <w:sz w:val="20"/>
          <w:szCs w:val="20"/>
        </w:rPr>
      </w:pPr>
      <w:r w:rsidRPr="005E137D">
        <w:rPr>
          <w:rStyle w:val="FootnoteReference"/>
          <w:sz w:val="20"/>
          <w:szCs w:val="20"/>
        </w:rPr>
        <w:footnoteRef/>
      </w:r>
      <w:r w:rsidRPr="005E137D">
        <w:rPr>
          <w:sz w:val="20"/>
          <w:szCs w:val="20"/>
        </w:rPr>
        <w:t xml:space="preserve"> </w:t>
      </w:r>
      <w:r w:rsidR="005B71E0" w:rsidRPr="005E137D">
        <w:rPr>
          <w:sz w:val="20"/>
          <w:szCs w:val="20"/>
        </w:rPr>
        <w:t>Nock, ‘Religious Attitudes of the Ancient Greeks,’</w:t>
      </w:r>
      <w:r w:rsidR="005B71E0" w:rsidRPr="005E137D">
        <w:rPr>
          <w:sz w:val="20"/>
          <w:szCs w:val="20"/>
        </w:rPr>
        <w:t xml:space="preserve"> pp. 476-477.</w:t>
      </w:r>
    </w:p>
  </w:footnote>
  <w:footnote w:id="23">
    <w:p w14:paraId="700CB676" w14:textId="43718851" w:rsidR="00F663FD" w:rsidRPr="005E137D" w:rsidRDefault="00F663FD">
      <w:pPr>
        <w:pStyle w:val="FootnoteText"/>
        <w:rPr>
          <w:lang w:val="en-US"/>
        </w:rPr>
      </w:pPr>
      <w:r w:rsidRPr="005E137D">
        <w:rPr>
          <w:rStyle w:val="FootnoteReference"/>
        </w:rPr>
        <w:footnoteRef/>
      </w:r>
      <w:r w:rsidRPr="005E137D">
        <w:t xml:space="preserve"> </w:t>
      </w:r>
      <w:r w:rsidR="00130DA1" w:rsidRPr="005E137D">
        <w:rPr>
          <w:color w:val="000000"/>
          <w:lang w:val="en-US"/>
        </w:rPr>
        <w:t xml:space="preserve">Plutarch, </w:t>
      </w:r>
      <w:r w:rsidR="00130DA1" w:rsidRPr="005E137D">
        <w:rPr>
          <w:i/>
          <w:iCs/>
          <w:color w:val="000000"/>
          <w:lang w:val="en-US"/>
        </w:rPr>
        <w:t>The Obsolescence of Oracles,</w:t>
      </w:r>
      <w:r w:rsidR="00130DA1" w:rsidRPr="005E137D">
        <w:rPr>
          <w:color w:val="000000"/>
          <w:lang w:val="en-US"/>
        </w:rPr>
        <w:t xml:space="preserve"> </w:t>
      </w:r>
      <w:r w:rsidR="005E137D" w:rsidRPr="005E137D">
        <w:rPr>
          <w:color w:val="000000"/>
          <w:lang w:val="en-US"/>
        </w:rPr>
        <w:t>433 D (section 42).</w:t>
      </w:r>
    </w:p>
  </w:footnote>
  <w:footnote w:id="24">
    <w:p w14:paraId="1A85E88E" w14:textId="15D28E13" w:rsidR="00F663FD" w:rsidRPr="005E137D" w:rsidRDefault="00F663FD">
      <w:pPr>
        <w:pStyle w:val="FootnoteText"/>
        <w:rPr>
          <w:lang w:val="en-US"/>
        </w:rPr>
      </w:pPr>
      <w:r w:rsidRPr="005E137D">
        <w:rPr>
          <w:rStyle w:val="FootnoteReference"/>
        </w:rPr>
        <w:footnoteRef/>
      </w:r>
      <w:r w:rsidRPr="005E137D">
        <w:t xml:space="preserve"> </w:t>
      </w:r>
      <w:r w:rsidR="00130DA1" w:rsidRPr="00A07752">
        <w:rPr>
          <w:color w:val="000000"/>
          <w:lang w:val="en-US"/>
        </w:rPr>
        <w:t xml:space="preserve">Plutarch, </w:t>
      </w:r>
      <w:r w:rsidR="00130DA1" w:rsidRPr="00A07752">
        <w:rPr>
          <w:i/>
          <w:iCs/>
          <w:color w:val="000000"/>
          <w:lang w:val="en-US"/>
        </w:rPr>
        <w:t xml:space="preserve">The Obsolescence of Oracles, </w:t>
      </w:r>
      <w:r w:rsidR="00A07752">
        <w:rPr>
          <w:lang w:val="en-US"/>
        </w:rPr>
        <w:t>431 C (section 38).</w:t>
      </w:r>
    </w:p>
  </w:footnote>
  <w:footnote w:id="25">
    <w:p w14:paraId="03D7BDCF" w14:textId="75EAD4D0" w:rsidR="00F663FD" w:rsidRPr="005E137D" w:rsidRDefault="00F663FD" w:rsidP="00B1426A">
      <w:pPr>
        <w:rPr>
          <w:color w:val="333333"/>
          <w:spacing w:val="-2"/>
          <w:sz w:val="20"/>
          <w:szCs w:val="20"/>
          <w:shd w:val="clear" w:color="auto" w:fill="FFFFFF"/>
        </w:rPr>
      </w:pPr>
      <w:r w:rsidRPr="005E137D">
        <w:rPr>
          <w:rStyle w:val="FootnoteReference"/>
          <w:sz w:val="20"/>
          <w:szCs w:val="20"/>
        </w:rPr>
        <w:footnoteRef/>
      </w:r>
      <w:r w:rsidRPr="005E137D">
        <w:rPr>
          <w:sz w:val="20"/>
          <w:szCs w:val="20"/>
        </w:rPr>
        <w:t xml:space="preserve"> </w:t>
      </w:r>
      <w:r w:rsidR="00130DA1" w:rsidRPr="005E137D">
        <w:rPr>
          <w:color w:val="000000"/>
          <w:sz w:val="20"/>
          <w:szCs w:val="20"/>
          <w:lang w:val="en-US"/>
        </w:rPr>
        <w:t xml:space="preserve">Plutarch, </w:t>
      </w:r>
      <w:r w:rsidR="00130DA1" w:rsidRPr="005E137D">
        <w:rPr>
          <w:i/>
          <w:iCs/>
          <w:color w:val="000000"/>
          <w:sz w:val="20"/>
          <w:szCs w:val="20"/>
          <w:lang w:val="en-US"/>
        </w:rPr>
        <w:t>The Obsolescence of Oracle</w:t>
      </w:r>
      <w:r w:rsidR="00130DA1" w:rsidRPr="005E137D">
        <w:rPr>
          <w:i/>
          <w:iCs/>
          <w:color w:val="000000"/>
          <w:sz w:val="20"/>
          <w:szCs w:val="20"/>
          <w:lang w:val="en-US"/>
        </w:rPr>
        <w:t>s</w:t>
      </w:r>
      <w:r w:rsidR="00130DA1" w:rsidRPr="005E137D">
        <w:rPr>
          <w:i/>
          <w:iCs/>
          <w:color w:val="000000"/>
          <w:sz w:val="20"/>
          <w:szCs w:val="20"/>
          <w:lang w:val="en-US"/>
        </w:rPr>
        <w:t xml:space="preserve">, </w:t>
      </w:r>
      <w:r w:rsidR="005E137D">
        <w:rPr>
          <w:color w:val="000000"/>
          <w:sz w:val="20"/>
          <w:szCs w:val="20"/>
          <w:lang w:val="en-US"/>
        </w:rPr>
        <w:t xml:space="preserve">433 D-E (section </w:t>
      </w:r>
      <w:r w:rsidRPr="005E137D">
        <w:rPr>
          <w:color w:val="333333"/>
          <w:spacing w:val="-2"/>
          <w:sz w:val="20"/>
          <w:szCs w:val="20"/>
          <w:shd w:val="clear" w:color="auto" w:fill="FFFFFF"/>
        </w:rPr>
        <w:t>42</w:t>
      </w:r>
      <w:r w:rsidR="005E137D">
        <w:rPr>
          <w:color w:val="333333"/>
          <w:spacing w:val="-2"/>
          <w:sz w:val="20"/>
          <w:szCs w:val="20"/>
          <w:shd w:val="clear" w:color="auto" w:fill="FFFFFF"/>
        </w:rPr>
        <w:t>).</w:t>
      </w:r>
    </w:p>
  </w:footnote>
  <w:footnote w:id="26">
    <w:p w14:paraId="5004D8EA" w14:textId="3BD39C80" w:rsidR="00F663FD" w:rsidRPr="005E137D" w:rsidRDefault="00F663FD" w:rsidP="00EB2218">
      <w:pPr>
        <w:rPr>
          <w:sz w:val="20"/>
          <w:szCs w:val="20"/>
        </w:rPr>
      </w:pPr>
      <w:r w:rsidRPr="005E137D">
        <w:rPr>
          <w:rStyle w:val="FootnoteReference"/>
          <w:sz w:val="20"/>
          <w:szCs w:val="20"/>
        </w:rPr>
        <w:footnoteRef/>
      </w:r>
      <w:r w:rsidRPr="005E137D">
        <w:rPr>
          <w:sz w:val="20"/>
          <w:szCs w:val="20"/>
        </w:rPr>
        <w:t xml:space="preserve"> </w:t>
      </w:r>
      <w:r w:rsidR="00130DA1" w:rsidRPr="005E137D">
        <w:rPr>
          <w:color w:val="000000"/>
          <w:sz w:val="20"/>
          <w:szCs w:val="20"/>
          <w:lang w:val="en-US"/>
        </w:rPr>
        <w:t xml:space="preserve">Plutarch, </w:t>
      </w:r>
      <w:r w:rsidR="00130DA1" w:rsidRPr="005E137D">
        <w:rPr>
          <w:i/>
          <w:iCs/>
          <w:color w:val="000000"/>
          <w:sz w:val="20"/>
          <w:szCs w:val="20"/>
          <w:lang w:val="en-US"/>
        </w:rPr>
        <w:t xml:space="preserve">The Obsolescence of Oracles, </w:t>
      </w:r>
      <w:r w:rsidRPr="005E137D">
        <w:rPr>
          <w:sz w:val="20"/>
          <w:szCs w:val="20"/>
        </w:rPr>
        <w:t xml:space="preserve">437 B </w:t>
      </w:r>
      <w:r w:rsidR="000B459B">
        <w:rPr>
          <w:sz w:val="20"/>
          <w:szCs w:val="20"/>
        </w:rPr>
        <w:t>(section 48).</w:t>
      </w:r>
    </w:p>
  </w:footnote>
  <w:footnote w:id="27">
    <w:p w14:paraId="6502694A" w14:textId="11E8D5A3" w:rsidR="00F663FD" w:rsidRPr="005E137D" w:rsidRDefault="00F663FD" w:rsidP="00EB2218">
      <w:pPr>
        <w:pStyle w:val="FootnoteText"/>
        <w:rPr>
          <w:lang w:val="en-US"/>
        </w:rPr>
      </w:pPr>
      <w:r w:rsidRPr="005E137D">
        <w:rPr>
          <w:rStyle w:val="FootnoteReference"/>
        </w:rPr>
        <w:footnoteRef/>
      </w:r>
      <w:r w:rsidRPr="005E137D">
        <w:t xml:space="preserve"> </w:t>
      </w:r>
      <w:r w:rsidR="00130DA1" w:rsidRPr="005E137D">
        <w:rPr>
          <w:color w:val="000000"/>
          <w:lang w:val="en-US"/>
        </w:rPr>
        <w:t xml:space="preserve">Plutarch, </w:t>
      </w:r>
      <w:r w:rsidR="00130DA1" w:rsidRPr="005E137D">
        <w:rPr>
          <w:i/>
          <w:iCs/>
          <w:color w:val="000000"/>
          <w:lang w:val="en-US"/>
        </w:rPr>
        <w:t xml:space="preserve">The Obsolescence of Oracles, </w:t>
      </w:r>
      <w:r w:rsidRPr="005E137D">
        <w:t xml:space="preserve">438 </w:t>
      </w:r>
      <w:r w:rsidR="000B459B">
        <w:t>C (section 51).</w:t>
      </w:r>
    </w:p>
  </w:footnote>
  <w:footnote w:id="28">
    <w:p w14:paraId="3A6A3A1E" w14:textId="10C85CA4" w:rsidR="00F663FD" w:rsidRPr="00873F29" w:rsidRDefault="00F663FD" w:rsidP="008064CD">
      <w:pPr>
        <w:rPr>
          <w:sz w:val="20"/>
          <w:szCs w:val="20"/>
        </w:rPr>
      </w:pPr>
      <w:r w:rsidRPr="00873F29">
        <w:rPr>
          <w:rStyle w:val="FootnoteReference"/>
          <w:sz w:val="20"/>
          <w:szCs w:val="20"/>
        </w:rPr>
        <w:footnoteRef/>
      </w:r>
      <w:r w:rsidRPr="00873F29">
        <w:rPr>
          <w:sz w:val="20"/>
          <w:szCs w:val="20"/>
        </w:rPr>
        <w:t xml:space="preserve"> </w:t>
      </w:r>
      <w:r w:rsidR="00130DA1" w:rsidRPr="00873F29">
        <w:rPr>
          <w:color w:val="000000"/>
          <w:sz w:val="20"/>
          <w:szCs w:val="20"/>
          <w:lang w:val="en-US"/>
        </w:rPr>
        <w:t xml:space="preserve">Plutarch, </w:t>
      </w:r>
      <w:r w:rsidR="00130DA1" w:rsidRPr="00873F29">
        <w:rPr>
          <w:i/>
          <w:iCs/>
          <w:color w:val="000000"/>
          <w:sz w:val="20"/>
          <w:szCs w:val="20"/>
          <w:lang w:val="en-US"/>
        </w:rPr>
        <w:t>The Obsolescence of Oracles,</w:t>
      </w:r>
      <w:r w:rsidR="00B83FF3">
        <w:rPr>
          <w:i/>
          <w:iCs/>
          <w:color w:val="000000"/>
          <w:sz w:val="20"/>
          <w:szCs w:val="20"/>
          <w:lang w:val="en-US"/>
        </w:rPr>
        <w:t xml:space="preserve"> </w:t>
      </w:r>
      <w:r w:rsidR="008064CD" w:rsidRPr="00873F29">
        <w:rPr>
          <w:sz w:val="20"/>
          <w:szCs w:val="20"/>
        </w:rPr>
        <w:t>431 B (section 38).</w:t>
      </w:r>
    </w:p>
  </w:footnote>
  <w:footnote w:id="29">
    <w:p w14:paraId="1D379357" w14:textId="775AC531" w:rsidR="00F663FD" w:rsidRPr="00873F29" w:rsidRDefault="00F663FD">
      <w:pPr>
        <w:pStyle w:val="FootnoteText"/>
        <w:rPr>
          <w:lang w:val="en-US"/>
        </w:rPr>
      </w:pPr>
      <w:r w:rsidRPr="00873F29">
        <w:rPr>
          <w:rStyle w:val="FootnoteReference"/>
        </w:rPr>
        <w:footnoteRef/>
      </w:r>
      <w:r w:rsidRPr="00873F29">
        <w:t xml:space="preserve"> </w:t>
      </w:r>
      <w:r w:rsidR="00130DA1" w:rsidRPr="00873F29">
        <w:rPr>
          <w:color w:val="000000"/>
          <w:lang w:val="en-US"/>
        </w:rPr>
        <w:t xml:space="preserve">Plutarch, </w:t>
      </w:r>
      <w:r w:rsidR="00130DA1" w:rsidRPr="00873F29">
        <w:rPr>
          <w:i/>
          <w:iCs/>
          <w:color w:val="000000"/>
          <w:lang w:val="en-US"/>
        </w:rPr>
        <w:t xml:space="preserve">The Obsolescence of Oracles, </w:t>
      </w:r>
      <w:r w:rsidRPr="00873F29">
        <w:t xml:space="preserve">438 </w:t>
      </w:r>
      <w:r w:rsidR="008064CD" w:rsidRPr="00873F29">
        <w:t>C (section 51).</w:t>
      </w:r>
    </w:p>
  </w:footnote>
  <w:footnote w:id="30">
    <w:p w14:paraId="1F0D0402" w14:textId="699A8F85" w:rsidR="00F663FD" w:rsidRPr="00873F29" w:rsidRDefault="00F663FD" w:rsidP="00A61C88">
      <w:pPr>
        <w:rPr>
          <w:sz w:val="20"/>
          <w:szCs w:val="20"/>
        </w:rPr>
      </w:pPr>
      <w:r w:rsidRPr="00873F29">
        <w:rPr>
          <w:rStyle w:val="FootnoteReference"/>
          <w:sz w:val="20"/>
          <w:szCs w:val="20"/>
        </w:rPr>
        <w:footnoteRef/>
      </w:r>
      <w:r w:rsidRPr="00873F29">
        <w:rPr>
          <w:sz w:val="20"/>
          <w:szCs w:val="20"/>
        </w:rPr>
        <w:t xml:space="preserve"> </w:t>
      </w:r>
      <w:r w:rsidR="00E80339" w:rsidRPr="00873F29">
        <w:rPr>
          <w:sz w:val="20"/>
          <w:szCs w:val="20"/>
        </w:rPr>
        <w:t>Jackson, ‘Apparitions and Apparatuses</w:t>
      </w:r>
      <w:r w:rsidR="00E80339" w:rsidRPr="00873F29">
        <w:rPr>
          <w:sz w:val="20"/>
          <w:szCs w:val="20"/>
        </w:rPr>
        <w:t>’, p. 295.</w:t>
      </w:r>
    </w:p>
  </w:footnote>
  <w:footnote w:id="31">
    <w:p w14:paraId="22FC8768" w14:textId="4C0D2822" w:rsidR="00F663FD" w:rsidRPr="00873F29" w:rsidRDefault="00F663FD" w:rsidP="00A61C88">
      <w:pPr>
        <w:rPr>
          <w:b/>
          <w:bCs/>
          <w:i/>
          <w:iCs/>
          <w:sz w:val="20"/>
          <w:szCs w:val="20"/>
        </w:rPr>
      </w:pPr>
      <w:r w:rsidRPr="00873F29">
        <w:rPr>
          <w:rStyle w:val="FootnoteReference"/>
          <w:sz w:val="20"/>
          <w:szCs w:val="20"/>
        </w:rPr>
        <w:footnoteRef/>
      </w:r>
      <w:r w:rsidRPr="00873F29">
        <w:rPr>
          <w:sz w:val="20"/>
          <w:szCs w:val="20"/>
        </w:rPr>
        <w:t xml:space="preserve"> </w:t>
      </w:r>
      <w:r w:rsidR="00E80339" w:rsidRPr="00873F29">
        <w:rPr>
          <w:sz w:val="20"/>
          <w:szCs w:val="20"/>
        </w:rPr>
        <w:t>Jackson, ‘Apparitions and Apparatuses</w:t>
      </w:r>
      <w:r w:rsidR="00E80339" w:rsidRPr="00873F29">
        <w:rPr>
          <w:sz w:val="20"/>
          <w:szCs w:val="20"/>
        </w:rPr>
        <w:t>’, p. 294.</w:t>
      </w:r>
    </w:p>
  </w:footnote>
  <w:footnote w:id="32">
    <w:p w14:paraId="738F86D3" w14:textId="31A331A8" w:rsidR="00F663FD" w:rsidRPr="00873F29" w:rsidRDefault="00F663FD">
      <w:pPr>
        <w:pStyle w:val="FootnoteText"/>
        <w:rPr>
          <w:lang w:val="en-US"/>
        </w:rPr>
      </w:pPr>
      <w:r w:rsidRPr="00873F29">
        <w:rPr>
          <w:rStyle w:val="FootnoteReference"/>
        </w:rPr>
        <w:footnoteRef/>
      </w:r>
      <w:r w:rsidRPr="00873F29">
        <w:t xml:space="preserve"> Schröder, ‘Plutarch on oracles and divine inspiration,’ p. 167.</w:t>
      </w:r>
    </w:p>
  </w:footnote>
  <w:footnote w:id="33">
    <w:p w14:paraId="33559F2D" w14:textId="344085C8" w:rsidR="00F663FD" w:rsidRPr="00873F29" w:rsidRDefault="00F663FD">
      <w:pPr>
        <w:pStyle w:val="FootnoteText"/>
        <w:rPr>
          <w:lang w:val="en-US"/>
        </w:rPr>
      </w:pPr>
      <w:r w:rsidRPr="00873F29">
        <w:rPr>
          <w:rStyle w:val="FootnoteReference"/>
        </w:rPr>
        <w:footnoteRef/>
      </w:r>
      <w:r w:rsidRPr="00873F29">
        <w:t xml:space="preserve"> Schröder, ‘Plutarch on oracles and divine inspiration,’ p. 156.</w:t>
      </w:r>
    </w:p>
  </w:footnote>
  <w:footnote w:id="34">
    <w:p w14:paraId="6AB031C3" w14:textId="5045F75D" w:rsidR="00F663FD" w:rsidRPr="00873F29" w:rsidRDefault="00F663FD">
      <w:pPr>
        <w:pStyle w:val="FootnoteText"/>
        <w:rPr>
          <w:lang w:val="en-US"/>
        </w:rPr>
      </w:pPr>
      <w:r w:rsidRPr="00873F29">
        <w:rPr>
          <w:rStyle w:val="FootnoteReference"/>
        </w:rPr>
        <w:footnoteRef/>
      </w:r>
      <w:r w:rsidRPr="00873F29">
        <w:t xml:space="preserve"> </w:t>
      </w:r>
      <w:r w:rsidR="00130DA1" w:rsidRPr="00873F29">
        <w:rPr>
          <w:color w:val="000000"/>
          <w:lang w:val="en-US"/>
        </w:rPr>
        <w:t xml:space="preserve">Plutarch, </w:t>
      </w:r>
      <w:r w:rsidR="00130DA1" w:rsidRPr="00873F29">
        <w:rPr>
          <w:i/>
          <w:iCs/>
          <w:color w:val="000000"/>
          <w:lang w:val="en-US"/>
        </w:rPr>
        <w:t>The Obsolescence of Oracles,</w:t>
      </w:r>
      <w:r w:rsidRPr="00873F29">
        <w:rPr>
          <w:color w:val="000000"/>
          <w:lang w:val="en-US"/>
        </w:rPr>
        <w:t>4</w:t>
      </w:r>
      <w:r w:rsidR="00873F29" w:rsidRPr="00873F29">
        <w:rPr>
          <w:color w:val="000000"/>
          <w:lang w:val="en-US"/>
        </w:rPr>
        <w:t xml:space="preserve">32 </w:t>
      </w:r>
      <w:r w:rsidRPr="00873F29">
        <w:rPr>
          <w:color w:val="000000"/>
          <w:lang w:val="en-US"/>
        </w:rPr>
        <w:t>D-E</w:t>
      </w:r>
      <w:r w:rsidR="00873F29" w:rsidRPr="00873F29">
        <w:rPr>
          <w:color w:val="000000"/>
          <w:lang w:val="en-US"/>
        </w:rPr>
        <w:t xml:space="preserve"> (section 40).</w:t>
      </w:r>
    </w:p>
  </w:footnote>
  <w:footnote w:id="35">
    <w:p w14:paraId="048151D0" w14:textId="4918D105" w:rsidR="00F663FD" w:rsidRPr="00873F29" w:rsidRDefault="00F663FD">
      <w:pPr>
        <w:pStyle w:val="FootnoteText"/>
        <w:rPr>
          <w:lang w:val="en-US"/>
        </w:rPr>
      </w:pPr>
      <w:r w:rsidRPr="00873F29">
        <w:rPr>
          <w:rStyle w:val="FootnoteReference"/>
        </w:rPr>
        <w:footnoteRef/>
      </w:r>
      <w:r w:rsidRPr="00873F29">
        <w:t xml:space="preserve"> </w:t>
      </w:r>
      <w:r w:rsidR="00130DA1" w:rsidRPr="00873F29">
        <w:rPr>
          <w:color w:val="000000"/>
          <w:lang w:val="en-US"/>
        </w:rPr>
        <w:t xml:space="preserve">Plutarch, </w:t>
      </w:r>
      <w:r w:rsidR="00130DA1" w:rsidRPr="00873F29">
        <w:rPr>
          <w:i/>
          <w:iCs/>
          <w:color w:val="000000"/>
          <w:lang w:val="en-US"/>
        </w:rPr>
        <w:t xml:space="preserve">The Obsolescence of Oracles, </w:t>
      </w:r>
      <w:r w:rsidR="008064CD" w:rsidRPr="00873F29">
        <w:rPr>
          <w:color w:val="000000"/>
          <w:lang w:val="en-US"/>
        </w:rPr>
        <w:t xml:space="preserve">section </w:t>
      </w:r>
      <w:r w:rsidRPr="00873F29">
        <w:t>435</w:t>
      </w:r>
      <w:r w:rsidR="00873F29" w:rsidRPr="00873F29">
        <w:t xml:space="preserve"> A-B (section 46).</w:t>
      </w:r>
    </w:p>
  </w:footnote>
  <w:footnote w:id="36">
    <w:p w14:paraId="71541983" w14:textId="3F5EF98B" w:rsidR="00F663FD" w:rsidRPr="00873F29" w:rsidRDefault="00F663FD" w:rsidP="00E44310">
      <w:pPr>
        <w:rPr>
          <w:rFonts w:eastAsiaTheme="minorHAnsi"/>
          <w:sz w:val="20"/>
          <w:szCs w:val="20"/>
        </w:rPr>
      </w:pPr>
      <w:r w:rsidRPr="00873F29">
        <w:rPr>
          <w:rStyle w:val="FootnoteReference"/>
          <w:sz w:val="20"/>
          <w:szCs w:val="20"/>
        </w:rPr>
        <w:footnoteRef/>
      </w:r>
      <w:r w:rsidRPr="00873F29">
        <w:rPr>
          <w:sz w:val="20"/>
          <w:szCs w:val="20"/>
        </w:rPr>
        <w:t xml:space="preserve"> </w:t>
      </w:r>
      <w:r w:rsidR="006E0907" w:rsidRPr="00873F29">
        <w:rPr>
          <w:sz w:val="20"/>
          <w:szCs w:val="20"/>
        </w:rPr>
        <w:t xml:space="preserve">Simonetti, </w:t>
      </w:r>
      <w:r w:rsidR="006E0907" w:rsidRPr="00873F29">
        <w:rPr>
          <w:i/>
          <w:iCs/>
          <w:sz w:val="20"/>
          <w:szCs w:val="20"/>
        </w:rPr>
        <w:t>A Perfect Medium?</w:t>
      </w:r>
      <w:r w:rsidR="006E0907" w:rsidRPr="00873F29">
        <w:rPr>
          <w:i/>
          <w:iCs/>
          <w:sz w:val="20"/>
          <w:szCs w:val="20"/>
        </w:rPr>
        <w:t xml:space="preserve">, </w:t>
      </w:r>
      <w:r w:rsidR="006E0907" w:rsidRPr="00873F29">
        <w:rPr>
          <w:sz w:val="20"/>
          <w:szCs w:val="20"/>
        </w:rPr>
        <w:t>p. 83.</w:t>
      </w:r>
    </w:p>
  </w:footnote>
  <w:footnote w:id="37">
    <w:p w14:paraId="001B10AD" w14:textId="79AE2551" w:rsidR="00505449" w:rsidRPr="00505449" w:rsidRDefault="00505449">
      <w:pPr>
        <w:pStyle w:val="FootnoteText"/>
        <w:rPr>
          <w:lang w:val="en-US"/>
        </w:rPr>
      </w:pPr>
      <w:r>
        <w:rPr>
          <w:rStyle w:val="FootnoteReference"/>
        </w:rPr>
        <w:footnoteRef/>
      </w:r>
      <w:r>
        <w:t xml:space="preserve"> </w:t>
      </w:r>
      <w:r w:rsidRPr="00873F29">
        <w:rPr>
          <w:color w:val="000000"/>
          <w:lang w:val="en-US"/>
        </w:rPr>
        <w:t xml:space="preserve">Plutarch, </w:t>
      </w:r>
      <w:r w:rsidRPr="00873F29">
        <w:rPr>
          <w:i/>
          <w:iCs/>
          <w:color w:val="000000"/>
          <w:lang w:val="en-US"/>
        </w:rPr>
        <w:t>The Obsolescence of Oracles,</w:t>
      </w:r>
      <w:r>
        <w:rPr>
          <w:color w:val="000000"/>
          <w:lang w:val="en-US"/>
        </w:rPr>
        <w:t>432 E (section 40).</w:t>
      </w:r>
    </w:p>
  </w:footnote>
  <w:footnote w:id="38">
    <w:p w14:paraId="634748B9" w14:textId="4A56EF2C" w:rsidR="00A375D9" w:rsidRPr="00A375D9" w:rsidRDefault="00A375D9">
      <w:pPr>
        <w:pStyle w:val="FootnoteText"/>
        <w:rPr>
          <w:lang w:val="en-US"/>
        </w:rPr>
      </w:pPr>
      <w:r>
        <w:rPr>
          <w:rStyle w:val="FootnoteReference"/>
        </w:rPr>
        <w:footnoteRef/>
      </w:r>
      <w:r>
        <w:t xml:space="preserve"> </w:t>
      </w:r>
      <w:r w:rsidRPr="00873F29">
        <w:rPr>
          <w:color w:val="000000"/>
          <w:lang w:val="en-US"/>
        </w:rPr>
        <w:t xml:space="preserve">Plutarch, </w:t>
      </w:r>
      <w:r w:rsidRPr="00873F29">
        <w:rPr>
          <w:i/>
          <w:iCs/>
          <w:color w:val="000000"/>
          <w:lang w:val="en-US"/>
        </w:rPr>
        <w:t xml:space="preserve">The Obsolescence of Oracles, </w:t>
      </w:r>
      <w:r w:rsidRPr="00873F29">
        <w:rPr>
          <w:color w:val="000000"/>
          <w:lang w:val="en-US"/>
        </w:rPr>
        <w:t xml:space="preserve">section </w:t>
      </w:r>
      <w:r w:rsidRPr="00873F29">
        <w:t>43</w:t>
      </w:r>
      <w:r>
        <w:t>8 C</w:t>
      </w:r>
      <w:r w:rsidRPr="00873F29">
        <w:t xml:space="preserve"> (section </w:t>
      </w:r>
      <w:r>
        <w:t>51</w:t>
      </w:r>
      <w:r w:rsidRPr="00873F29">
        <w:t>).</w:t>
      </w:r>
    </w:p>
  </w:footnote>
  <w:footnote w:id="39">
    <w:p w14:paraId="7A7BCCDA" w14:textId="150020B7" w:rsidR="00F663FD" w:rsidRPr="00B17013" w:rsidRDefault="00F663FD">
      <w:pPr>
        <w:pStyle w:val="FootnoteText"/>
        <w:rPr>
          <w:lang w:val="en-US"/>
        </w:rPr>
      </w:pPr>
      <w:r>
        <w:rPr>
          <w:rStyle w:val="FootnoteReference"/>
        </w:rPr>
        <w:footnoteRef/>
      </w:r>
      <w:r>
        <w:t xml:space="preserve"> </w:t>
      </w:r>
      <w:r w:rsidR="00130DA1" w:rsidRPr="00130DA1">
        <w:rPr>
          <w:color w:val="000000"/>
          <w:lang w:val="en-US"/>
        </w:rPr>
        <w:t xml:space="preserve">Plutarch, </w:t>
      </w:r>
      <w:r w:rsidR="00130DA1" w:rsidRPr="00130DA1">
        <w:rPr>
          <w:i/>
          <w:iCs/>
          <w:color w:val="000000"/>
          <w:lang w:val="en-US"/>
        </w:rPr>
        <w:t>The Obsolescence of Oracle</w:t>
      </w:r>
      <w:r w:rsidR="00130DA1">
        <w:rPr>
          <w:i/>
          <w:iCs/>
          <w:color w:val="000000"/>
          <w:lang w:val="en-US"/>
        </w:rPr>
        <w:t xml:space="preserve">s, </w:t>
      </w:r>
      <w:r>
        <w:t>435</w:t>
      </w:r>
      <w:r w:rsidR="00A07752">
        <w:t xml:space="preserve"> B (section 46).</w:t>
      </w:r>
    </w:p>
  </w:footnote>
  <w:footnote w:id="40">
    <w:p w14:paraId="7349FC1F" w14:textId="30237834" w:rsidR="00F663FD" w:rsidRPr="008D7F82" w:rsidRDefault="00F663FD">
      <w:pPr>
        <w:pStyle w:val="FootnoteText"/>
        <w:rPr>
          <w:lang w:val="en-US"/>
        </w:rPr>
      </w:pPr>
      <w:r>
        <w:rPr>
          <w:rStyle w:val="FootnoteReference"/>
        </w:rPr>
        <w:footnoteRef/>
      </w:r>
      <w:r>
        <w:t xml:space="preserve"> </w:t>
      </w:r>
      <w:r w:rsidRPr="00B95785">
        <w:t>Schröder, ‘Plutarch on oracles and divine inspiration,’</w:t>
      </w:r>
      <w:r>
        <w:t xml:space="preserve"> p. 154.</w:t>
      </w:r>
    </w:p>
  </w:footnote>
  <w:footnote w:id="41">
    <w:p w14:paraId="67044EBF" w14:textId="38FD6EA4" w:rsidR="00F663FD" w:rsidRPr="006E0907" w:rsidRDefault="00F663FD" w:rsidP="008D7F82">
      <w:pPr>
        <w:rPr>
          <w:rFonts w:eastAsiaTheme="minorHAnsi"/>
          <w:sz w:val="20"/>
          <w:szCs w:val="20"/>
        </w:rPr>
      </w:pPr>
      <w:r w:rsidRPr="006E0907">
        <w:rPr>
          <w:rStyle w:val="FootnoteReference"/>
          <w:sz w:val="20"/>
          <w:szCs w:val="20"/>
        </w:rPr>
        <w:footnoteRef/>
      </w:r>
      <w:r w:rsidRPr="006E0907">
        <w:rPr>
          <w:sz w:val="20"/>
          <w:szCs w:val="20"/>
        </w:rPr>
        <w:t xml:space="preserve"> </w:t>
      </w:r>
      <w:r w:rsidR="006E0907" w:rsidRPr="006E0907">
        <w:rPr>
          <w:sz w:val="20"/>
          <w:szCs w:val="20"/>
        </w:rPr>
        <w:t xml:space="preserve">Simonetti, </w:t>
      </w:r>
      <w:r w:rsidR="006E0907" w:rsidRPr="006E0907">
        <w:rPr>
          <w:i/>
          <w:iCs/>
          <w:sz w:val="20"/>
          <w:szCs w:val="20"/>
        </w:rPr>
        <w:t>A Perfect Medium</w:t>
      </w:r>
      <w:r w:rsidR="006E0907" w:rsidRPr="006E0907">
        <w:rPr>
          <w:i/>
          <w:iCs/>
          <w:sz w:val="20"/>
          <w:szCs w:val="20"/>
        </w:rPr>
        <w:t>?</w:t>
      </w:r>
      <w:r w:rsidR="006E0907" w:rsidRPr="006E0907">
        <w:rPr>
          <w:sz w:val="20"/>
          <w:szCs w:val="20"/>
        </w:rPr>
        <w:t>, p. 60.</w:t>
      </w:r>
    </w:p>
  </w:footnote>
  <w:footnote w:id="42">
    <w:p w14:paraId="447EF833" w14:textId="740F76B3" w:rsidR="00F663FD" w:rsidRPr="006E0907" w:rsidRDefault="00F663FD">
      <w:pPr>
        <w:pStyle w:val="FootnoteText"/>
        <w:rPr>
          <w:lang w:val="en-US"/>
        </w:rPr>
      </w:pPr>
      <w:r w:rsidRPr="006E0907">
        <w:rPr>
          <w:rStyle w:val="FootnoteReference"/>
        </w:rPr>
        <w:footnoteRef/>
      </w:r>
      <w:r w:rsidRPr="006E0907">
        <w:t xml:space="preserve"> </w:t>
      </w:r>
      <w:r w:rsidR="006E0907" w:rsidRPr="006E0907">
        <w:t xml:space="preserve">Simonetti, </w:t>
      </w:r>
      <w:r w:rsidR="006E0907" w:rsidRPr="006E0907">
        <w:rPr>
          <w:i/>
          <w:iCs/>
        </w:rPr>
        <w:t>A Perfect Medium?</w:t>
      </w:r>
      <w:r w:rsidR="006E0907" w:rsidRPr="006E0907">
        <w:t xml:space="preserve">, p. </w:t>
      </w:r>
      <w:r w:rsidR="006E0907" w:rsidRPr="006E0907">
        <w:t>65.</w:t>
      </w:r>
    </w:p>
  </w:footnote>
  <w:footnote w:id="43">
    <w:p w14:paraId="45F06AF5" w14:textId="5A45DC86" w:rsidR="00F663FD" w:rsidRPr="006E0907" w:rsidRDefault="00F663FD" w:rsidP="00DC6750">
      <w:pPr>
        <w:rPr>
          <w:rFonts w:eastAsiaTheme="minorHAnsi"/>
          <w:sz w:val="20"/>
          <w:szCs w:val="20"/>
        </w:rPr>
      </w:pPr>
      <w:r w:rsidRPr="006E0907">
        <w:rPr>
          <w:rStyle w:val="FootnoteReference"/>
          <w:sz w:val="20"/>
          <w:szCs w:val="20"/>
        </w:rPr>
        <w:footnoteRef/>
      </w:r>
      <w:r w:rsidRPr="006E0907">
        <w:rPr>
          <w:sz w:val="20"/>
          <w:szCs w:val="20"/>
        </w:rPr>
        <w:t xml:space="preserve"> </w:t>
      </w:r>
      <w:r w:rsidR="006E0907" w:rsidRPr="006E0907">
        <w:rPr>
          <w:sz w:val="20"/>
          <w:szCs w:val="20"/>
        </w:rPr>
        <w:t xml:space="preserve">Simonetti, </w:t>
      </w:r>
      <w:r w:rsidR="006E0907" w:rsidRPr="006E0907">
        <w:rPr>
          <w:i/>
          <w:iCs/>
          <w:sz w:val="20"/>
          <w:szCs w:val="20"/>
        </w:rPr>
        <w:t>A Perfect Medium?</w:t>
      </w:r>
      <w:r w:rsidR="006E0907" w:rsidRPr="006E0907">
        <w:rPr>
          <w:sz w:val="20"/>
          <w:szCs w:val="20"/>
        </w:rPr>
        <w:t xml:space="preserve">, p. </w:t>
      </w:r>
      <w:r w:rsidR="006E0907" w:rsidRPr="006E0907">
        <w:rPr>
          <w:sz w:val="20"/>
          <w:szCs w:val="20"/>
        </w:rPr>
        <w:t xml:space="preserve">76.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4365731"/>
      <w:docPartObj>
        <w:docPartGallery w:val="Page Numbers (Top of Page)"/>
        <w:docPartUnique/>
      </w:docPartObj>
    </w:sdtPr>
    <w:sdtContent>
      <w:p w14:paraId="514B2248" w14:textId="77777777" w:rsidR="00F663FD" w:rsidRDefault="00F663FD"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6EFD78" w14:textId="77777777" w:rsidR="00F663FD" w:rsidRDefault="00F663FD" w:rsidP="00C804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9160234"/>
      <w:docPartObj>
        <w:docPartGallery w:val="Page Numbers (Top of Page)"/>
        <w:docPartUnique/>
      </w:docPartObj>
    </w:sdtPr>
    <w:sdtContent>
      <w:p w14:paraId="30D357DB" w14:textId="77777777" w:rsidR="00F663FD" w:rsidRDefault="00F663FD"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sdt>
    <w:sdtPr>
      <w:rPr>
        <w:caps/>
        <w:color w:val="44546A" w:themeColor="text2"/>
        <w:sz w:val="20"/>
        <w:szCs w:val="20"/>
      </w:rPr>
      <w:alias w:val="Author"/>
      <w:tag w:val=""/>
      <w:id w:val="-1701008461"/>
      <w:dataBinding w:prefixMappings="xmlns:ns0='http://purl.org/dc/elements/1.1/' xmlns:ns1='http://schemas.openxmlformats.org/package/2006/metadata/core-properties' " w:xpath="/ns1:coreProperties[1]/ns0:creator[1]" w:storeItemID="{6C3C8BC8-F283-45AE-878A-BAB7291924A1}"/>
      <w:text/>
    </w:sdtPr>
    <w:sdtContent>
      <w:p w14:paraId="36DE382A" w14:textId="77777777" w:rsidR="00F663FD" w:rsidRDefault="00F663FD" w:rsidP="00C80480">
        <w:pPr>
          <w:pStyle w:val="Header"/>
          <w:ind w:right="360"/>
          <w:jc w:val="right"/>
          <w:rPr>
            <w:caps/>
            <w:color w:val="44546A" w:themeColor="text2"/>
            <w:sz w:val="20"/>
            <w:szCs w:val="20"/>
          </w:rPr>
        </w:pPr>
        <w:r>
          <w:rPr>
            <w:caps/>
            <w:color w:val="44546A" w:themeColor="text2"/>
            <w:sz w:val="20"/>
            <w:szCs w:val="20"/>
          </w:rPr>
          <w:t>Danielle Goldstein (1710933)</w:t>
        </w:r>
      </w:p>
    </w:sdtContent>
  </w:sdt>
  <w:p w14:paraId="061D614D" w14:textId="77777777" w:rsidR="00F663FD" w:rsidRDefault="00F663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F6149"/>
    <w:multiLevelType w:val="hybridMultilevel"/>
    <w:tmpl w:val="2A242A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E5368F"/>
    <w:multiLevelType w:val="hybridMultilevel"/>
    <w:tmpl w:val="706A157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2E1406"/>
    <w:multiLevelType w:val="hybridMultilevel"/>
    <w:tmpl w:val="C4BE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num w:numId="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5E"/>
    <w:rsid w:val="00002EA3"/>
    <w:rsid w:val="00005F4F"/>
    <w:rsid w:val="0001172E"/>
    <w:rsid w:val="0002374F"/>
    <w:rsid w:val="00030CA8"/>
    <w:rsid w:val="000344D7"/>
    <w:rsid w:val="00040368"/>
    <w:rsid w:val="00046441"/>
    <w:rsid w:val="000510BD"/>
    <w:rsid w:val="0005189A"/>
    <w:rsid w:val="00052B09"/>
    <w:rsid w:val="0005363E"/>
    <w:rsid w:val="00053F89"/>
    <w:rsid w:val="00054B45"/>
    <w:rsid w:val="00063D6B"/>
    <w:rsid w:val="00067C47"/>
    <w:rsid w:val="00070441"/>
    <w:rsid w:val="00071602"/>
    <w:rsid w:val="0007453F"/>
    <w:rsid w:val="000805B5"/>
    <w:rsid w:val="00080D2E"/>
    <w:rsid w:val="00092E82"/>
    <w:rsid w:val="00093DE8"/>
    <w:rsid w:val="000A214A"/>
    <w:rsid w:val="000A65DF"/>
    <w:rsid w:val="000B459B"/>
    <w:rsid w:val="000B4919"/>
    <w:rsid w:val="000C1E0D"/>
    <w:rsid w:val="000D5386"/>
    <w:rsid w:val="000D5401"/>
    <w:rsid w:val="000E0089"/>
    <w:rsid w:val="000E4DF7"/>
    <w:rsid w:val="000F22E5"/>
    <w:rsid w:val="00100515"/>
    <w:rsid w:val="00104214"/>
    <w:rsid w:val="001048EC"/>
    <w:rsid w:val="001057F7"/>
    <w:rsid w:val="001157BB"/>
    <w:rsid w:val="00117EEB"/>
    <w:rsid w:val="00121C85"/>
    <w:rsid w:val="00122BEC"/>
    <w:rsid w:val="0012499F"/>
    <w:rsid w:val="00126957"/>
    <w:rsid w:val="00130DA1"/>
    <w:rsid w:val="0013308F"/>
    <w:rsid w:val="00135778"/>
    <w:rsid w:val="00150BF9"/>
    <w:rsid w:val="00160F45"/>
    <w:rsid w:val="001629A3"/>
    <w:rsid w:val="0016352C"/>
    <w:rsid w:val="00164775"/>
    <w:rsid w:val="00164910"/>
    <w:rsid w:val="0016525D"/>
    <w:rsid w:val="00165CCA"/>
    <w:rsid w:val="00166CEE"/>
    <w:rsid w:val="00175B81"/>
    <w:rsid w:val="001824A0"/>
    <w:rsid w:val="001900A3"/>
    <w:rsid w:val="001923D1"/>
    <w:rsid w:val="001950B1"/>
    <w:rsid w:val="00196D34"/>
    <w:rsid w:val="001A1DB6"/>
    <w:rsid w:val="001A2B80"/>
    <w:rsid w:val="001A3806"/>
    <w:rsid w:val="001B3435"/>
    <w:rsid w:val="001B674B"/>
    <w:rsid w:val="001C26BB"/>
    <w:rsid w:val="001C30F8"/>
    <w:rsid w:val="001C3251"/>
    <w:rsid w:val="001C5BB4"/>
    <w:rsid w:val="001C7245"/>
    <w:rsid w:val="001C734F"/>
    <w:rsid w:val="001D1C7B"/>
    <w:rsid w:val="001D203B"/>
    <w:rsid w:val="001D26DB"/>
    <w:rsid w:val="001E052A"/>
    <w:rsid w:val="001E3416"/>
    <w:rsid w:val="001E36DE"/>
    <w:rsid w:val="001E5E9A"/>
    <w:rsid w:val="001E6D82"/>
    <w:rsid w:val="001E6EE8"/>
    <w:rsid w:val="001F01B1"/>
    <w:rsid w:val="001F0517"/>
    <w:rsid w:val="001F0AC0"/>
    <w:rsid w:val="001F275F"/>
    <w:rsid w:val="001F69BD"/>
    <w:rsid w:val="001F79F1"/>
    <w:rsid w:val="00200A3E"/>
    <w:rsid w:val="00200F20"/>
    <w:rsid w:val="00206182"/>
    <w:rsid w:val="00212085"/>
    <w:rsid w:val="00215468"/>
    <w:rsid w:val="00216BAB"/>
    <w:rsid w:val="00217DD2"/>
    <w:rsid w:val="00220609"/>
    <w:rsid w:val="00223CFD"/>
    <w:rsid w:val="0022699D"/>
    <w:rsid w:val="00230890"/>
    <w:rsid w:val="002311E0"/>
    <w:rsid w:val="00232D58"/>
    <w:rsid w:val="00237402"/>
    <w:rsid w:val="002400EC"/>
    <w:rsid w:val="002426A0"/>
    <w:rsid w:val="00243BB9"/>
    <w:rsid w:val="00246DA3"/>
    <w:rsid w:val="00257464"/>
    <w:rsid w:val="00260824"/>
    <w:rsid w:val="00261EC8"/>
    <w:rsid w:val="00262269"/>
    <w:rsid w:val="00264987"/>
    <w:rsid w:val="00270FA7"/>
    <w:rsid w:val="00272013"/>
    <w:rsid w:val="002721DE"/>
    <w:rsid w:val="00275A18"/>
    <w:rsid w:val="002817A3"/>
    <w:rsid w:val="002817C1"/>
    <w:rsid w:val="002873C0"/>
    <w:rsid w:val="00296005"/>
    <w:rsid w:val="00296524"/>
    <w:rsid w:val="002B165A"/>
    <w:rsid w:val="002B3EC2"/>
    <w:rsid w:val="002B7F22"/>
    <w:rsid w:val="002C0C73"/>
    <w:rsid w:val="002C2AB2"/>
    <w:rsid w:val="002C5759"/>
    <w:rsid w:val="002D0F98"/>
    <w:rsid w:val="002D10B7"/>
    <w:rsid w:val="002D1ACF"/>
    <w:rsid w:val="002D1AD2"/>
    <w:rsid w:val="002D7A08"/>
    <w:rsid w:val="002D7EA9"/>
    <w:rsid w:val="002E0307"/>
    <w:rsid w:val="002E1470"/>
    <w:rsid w:val="002E1569"/>
    <w:rsid w:val="002E4D4C"/>
    <w:rsid w:val="002E5457"/>
    <w:rsid w:val="002E6F6A"/>
    <w:rsid w:val="002F2762"/>
    <w:rsid w:val="002F5F73"/>
    <w:rsid w:val="00300EC0"/>
    <w:rsid w:val="00302D16"/>
    <w:rsid w:val="00302E0C"/>
    <w:rsid w:val="00310759"/>
    <w:rsid w:val="00316D51"/>
    <w:rsid w:val="003202A1"/>
    <w:rsid w:val="0032142D"/>
    <w:rsid w:val="00321C2B"/>
    <w:rsid w:val="0032536F"/>
    <w:rsid w:val="00327EE9"/>
    <w:rsid w:val="00335600"/>
    <w:rsid w:val="00340142"/>
    <w:rsid w:val="0034475F"/>
    <w:rsid w:val="00344E85"/>
    <w:rsid w:val="00346C76"/>
    <w:rsid w:val="0035131E"/>
    <w:rsid w:val="00357F01"/>
    <w:rsid w:val="00360788"/>
    <w:rsid w:val="00360A67"/>
    <w:rsid w:val="00362085"/>
    <w:rsid w:val="0037000E"/>
    <w:rsid w:val="0037343F"/>
    <w:rsid w:val="0039234D"/>
    <w:rsid w:val="00394647"/>
    <w:rsid w:val="00396812"/>
    <w:rsid w:val="003A3B56"/>
    <w:rsid w:val="003B4586"/>
    <w:rsid w:val="003B4A55"/>
    <w:rsid w:val="003B7B9C"/>
    <w:rsid w:val="003B7DF2"/>
    <w:rsid w:val="003C1449"/>
    <w:rsid w:val="003D38A6"/>
    <w:rsid w:val="003E4350"/>
    <w:rsid w:val="003F3C08"/>
    <w:rsid w:val="003F4C77"/>
    <w:rsid w:val="00400030"/>
    <w:rsid w:val="004007E5"/>
    <w:rsid w:val="0040646E"/>
    <w:rsid w:val="0040696C"/>
    <w:rsid w:val="004143F3"/>
    <w:rsid w:val="0042391D"/>
    <w:rsid w:val="00426432"/>
    <w:rsid w:val="00431824"/>
    <w:rsid w:val="0043629D"/>
    <w:rsid w:val="00442425"/>
    <w:rsid w:val="004524FE"/>
    <w:rsid w:val="00461A1E"/>
    <w:rsid w:val="00463819"/>
    <w:rsid w:val="004645EA"/>
    <w:rsid w:val="004718F2"/>
    <w:rsid w:val="00483846"/>
    <w:rsid w:val="00487D95"/>
    <w:rsid w:val="004931A1"/>
    <w:rsid w:val="0049714E"/>
    <w:rsid w:val="004A4E01"/>
    <w:rsid w:val="004B0F22"/>
    <w:rsid w:val="004C05B6"/>
    <w:rsid w:val="004C1438"/>
    <w:rsid w:val="004C495E"/>
    <w:rsid w:val="004C6D12"/>
    <w:rsid w:val="004C6F29"/>
    <w:rsid w:val="004D05C3"/>
    <w:rsid w:val="004D2359"/>
    <w:rsid w:val="004E34D7"/>
    <w:rsid w:val="004F336F"/>
    <w:rsid w:val="004F4D6A"/>
    <w:rsid w:val="00500401"/>
    <w:rsid w:val="00501085"/>
    <w:rsid w:val="00505449"/>
    <w:rsid w:val="00506C5D"/>
    <w:rsid w:val="00507E84"/>
    <w:rsid w:val="005104FB"/>
    <w:rsid w:val="005161C9"/>
    <w:rsid w:val="00516A3C"/>
    <w:rsid w:val="00516ECF"/>
    <w:rsid w:val="0052257F"/>
    <w:rsid w:val="00523025"/>
    <w:rsid w:val="00527AB6"/>
    <w:rsid w:val="00531D42"/>
    <w:rsid w:val="00540E4F"/>
    <w:rsid w:val="00554CE2"/>
    <w:rsid w:val="00564258"/>
    <w:rsid w:val="00582957"/>
    <w:rsid w:val="0058301D"/>
    <w:rsid w:val="0059745C"/>
    <w:rsid w:val="00597916"/>
    <w:rsid w:val="00597D5B"/>
    <w:rsid w:val="005A3544"/>
    <w:rsid w:val="005B71E0"/>
    <w:rsid w:val="005C3C1A"/>
    <w:rsid w:val="005C675E"/>
    <w:rsid w:val="005C6D88"/>
    <w:rsid w:val="005E137D"/>
    <w:rsid w:val="005E147B"/>
    <w:rsid w:val="005E16AF"/>
    <w:rsid w:val="005E1870"/>
    <w:rsid w:val="005E210D"/>
    <w:rsid w:val="005E3055"/>
    <w:rsid w:val="005E375E"/>
    <w:rsid w:val="005E4A42"/>
    <w:rsid w:val="005E7616"/>
    <w:rsid w:val="005F2119"/>
    <w:rsid w:val="005F2C8D"/>
    <w:rsid w:val="005F7EF3"/>
    <w:rsid w:val="00601E1E"/>
    <w:rsid w:val="00607F5E"/>
    <w:rsid w:val="006108CB"/>
    <w:rsid w:val="0061124D"/>
    <w:rsid w:val="006114D2"/>
    <w:rsid w:val="006122BA"/>
    <w:rsid w:val="0061322C"/>
    <w:rsid w:val="0061349B"/>
    <w:rsid w:val="006216AA"/>
    <w:rsid w:val="00625893"/>
    <w:rsid w:val="00627403"/>
    <w:rsid w:val="0062798F"/>
    <w:rsid w:val="00633DC5"/>
    <w:rsid w:val="00646BF1"/>
    <w:rsid w:val="00653C36"/>
    <w:rsid w:val="00654E47"/>
    <w:rsid w:val="00655C22"/>
    <w:rsid w:val="006568CC"/>
    <w:rsid w:val="00657145"/>
    <w:rsid w:val="00660941"/>
    <w:rsid w:val="00662926"/>
    <w:rsid w:val="0066721E"/>
    <w:rsid w:val="00670DB0"/>
    <w:rsid w:val="00674E49"/>
    <w:rsid w:val="00677AEA"/>
    <w:rsid w:val="0068013E"/>
    <w:rsid w:val="00690867"/>
    <w:rsid w:val="00697101"/>
    <w:rsid w:val="00697B03"/>
    <w:rsid w:val="006A0A7D"/>
    <w:rsid w:val="006A29F5"/>
    <w:rsid w:val="006A37BB"/>
    <w:rsid w:val="006A6A54"/>
    <w:rsid w:val="006B03F1"/>
    <w:rsid w:val="006B6D96"/>
    <w:rsid w:val="006B77D8"/>
    <w:rsid w:val="006C1C61"/>
    <w:rsid w:val="006C2BFB"/>
    <w:rsid w:val="006D01D5"/>
    <w:rsid w:val="006D2018"/>
    <w:rsid w:val="006D281C"/>
    <w:rsid w:val="006D2BA2"/>
    <w:rsid w:val="006D2FFB"/>
    <w:rsid w:val="006D47D4"/>
    <w:rsid w:val="006D6E0C"/>
    <w:rsid w:val="006E0907"/>
    <w:rsid w:val="006E61E5"/>
    <w:rsid w:val="006F7F61"/>
    <w:rsid w:val="00700540"/>
    <w:rsid w:val="00700A07"/>
    <w:rsid w:val="0070197C"/>
    <w:rsid w:val="00702C29"/>
    <w:rsid w:val="00705440"/>
    <w:rsid w:val="007137AD"/>
    <w:rsid w:val="00720362"/>
    <w:rsid w:val="0073515A"/>
    <w:rsid w:val="00735495"/>
    <w:rsid w:val="007362C0"/>
    <w:rsid w:val="00740EE8"/>
    <w:rsid w:val="007469A9"/>
    <w:rsid w:val="007526C2"/>
    <w:rsid w:val="0075511A"/>
    <w:rsid w:val="00755398"/>
    <w:rsid w:val="00761AAC"/>
    <w:rsid w:val="00762A28"/>
    <w:rsid w:val="00763AA5"/>
    <w:rsid w:val="007642AC"/>
    <w:rsid w:val="00770360"/>
    <w:rsid w:val="00770511"/>
    <w:rsid w:val="0077245C"/>
    <w:rsid w:val="00773356"/>
    <w:rsid w:val="00775E82"/>
    <w:rsid w:val="00784D47"/>
    <w:rsid w:val="00784F1B"/>
    <w:rsid w:val="0078678C"/>
    <w:rsid w:val="00792E02"/>
    <w:rsid w:val="007A1915"/>
    <w:rsid w:val="007A3697"/>
    <w:rsid w:val="007C1ABD"/>
    <w:rsid w:val="007C4A23"/>
    <w:rsid w:val="007C787B"/>
    <w:rsid w:val="007D09A1"/>
    <w:rsid w:val="007D37C2"/>
    <w:rsid w:val="007D3E89"/>
    <w:rsid w:val="007D7AE3"/>
    <w:rsid w:val="007F1C71"/>
    <w:rsid w:val="007F4490"/>
    <w:rsid w:val="00803FDD"/>
    <w:rsid w:val="008064CD"/>
    <w:rsid w:val="00807D9C"/>
    <w:rsid w:val="00807FA8"/>
    <w:rsid w:val="00814C81"/>
    <w:rsid w:val="00823613"/>
    <w:rsid w:val="00825C2E"/>
    <w:rsid w:val="00845A98"/>
    <w:rsid w:val="0085259A"/>
    <w:rsid w:val="008543D6"/>
    <w:rsid w:val="00855DDB"/>
    <w:rsid w:val="0086074B"/>
    <w:rsid w:val="00860F3A"/>
    <w:rsid w:val="00861098"/>
    <w:rsid w:val="008663B6"/>
    <w:rsid w:val="008666FE"/>
    <w:rsid w:val="008670BA"/>
    <w:rsid w:val="00870791"/>
    <w:rsid w:val="00873F29"/>
    <w:rsid w:val="008753FF"/>
    <w:rsid w:val="00881480"/>
    <w:rsid w:val="00881C63"/>
    <w:rsid w:val="00883807"/>
    <w:rsid w:val="00886A60"/>
    <w:rsid w:val="00886AFD"/>
    <w:rsid w:val="008942A7"/>
    <w:rsid w:val="00895907"/>
    <w:rsid w:val="008A0EDE"/>
    <w:rsid w:val="008A207D"/>
    <w:rsid w:val="008A4CFB"/>
    <w:rsid w:val="008A6AA6"/>
    <w:rsid w:val="008A7553"/>
    <w:rsid w:val="008C0107"/>
    <w:rsid w:val="008C5735"/>
    <w:rsid w:val="008D06D0"/>
    <w:rsid w:val="008D33FF"/>
    <w:rsid w:val="008D7F82"/>
    <w:rsid w:val="008E26C1"/>
    <w:rsid w:val="008E31F6"/>
    <w:rsid w:val="008E3AAC"/>
    <w:rsid w:val="008E3ACE"/>
    <w:rsid w:val="008E6115"/>
    <w:rsid w:val="008E6F49"/>
    <w:rsid w:val="009003FB"/>
    <w:rsid w:val="00901547"/>
    <w:rsid w:val="00913017"/>
    <w:rsid w:val="009154DD"/>
    <w:rsid w:val="00915626"/>
    <w:rsid w:val="00922141"/>
    <w:rsid w:val="00922481"/>
    <w:rsid w:val="0092297F"/>
    <w:rsid w:val="00926B0C"/>
    <w:rsid w:val="009310B3"/>
    <w:rsid w:val="00933C3F"/>
    <w:rsid w:val="00934A11"/>
    <w:rsid w:val="0093524B"/>
    <w:rsid w:val="00935DBD"/>
    <w:rsid w:val="00935DCB"/>
    <w:rsid w:val="0094243A"/>
    <w:rsid w:val="00944566"/>
    <w:rsid w:val="00945096"/>
    <w:rsid w:val="00946591"/>
    <w:rsid w:val="00947008"/>
    <w:rsid w:val="009523AA"/>
    <w:rsid w:val="00952AEA"/>
    <w:rsid w:val="009719C6"/>
    <w:rsid w:val="00976AD4"/>
    <w:rsid w:val="00976B9D"/>
    <w:rsid w:val="0098790E"/>
    <w:rsid w:val="009906AD"/>
    <w:rsid w:val="00990C91"/>
    <w:rsid w:val="00995FE9"/>
    <w:rsid w:val="009A138A"/>
    <w:rsid w:val="009A6280"/>
    <w:rsid w:val="009B4556"/>
    <w:rsid w:val="009B77B0"/>
    <w:rsid w:val="009B7CD5"/>
    <w:rsid w:val="009C207E"/>
    <w:rsid w:val="009C595C"/>
    <w:rsid w:val="009C6F6D"/>
    <w:rsid w:val="009D5834"/>
    <w:rsid w:val="009D75EA"/>
    <w:rsid w:val="009E02D1"/>
    <w:rsid w:val="009E4C32"/>
    <w:rsid w:val="009E4E0D"/>
    <w:rsid w:val="009E4E4A"/>
    <w:rsid w:val="009E6188"/>
    <w:rsid w:val="009F0CCE"/>
    <w:rsid w:val="009F5F85"/>
    <w:rsid w:val="009F7847"/>
    <w:rsid w:val="00A022FA"/>
    <w:rsid w:val="00A07752"/>
    <w:rsid w:val="00A12B01"/>
    <w:rsid w:val="00A1428B"/>
    <w:rsid w:val="00A152D0"/>
    <w:rsid w:val="00A16080"/>
    <w:rsid w:val="00A228FA"/>
    <w:rsid w:val="00A307FC"/>
    <w:rsid w:val="00A321BD"/>
    <w:rsid w:val="00A335FC"/>
    <w:rsid w:val="00A375D9"/>
    <w:rsid w:val="00A40C5C"/>
    <w:rsid w:val="00A4292A"/>
    <w:rsid w:val="00A47275"/>
    <w:rsid w:val="00A52814"/>
    <w:rsid w:val="00A61BC5"/>
    <w:rsid w:val="00A61C88"/>
    <w:rsid w:val="00A66CF4"/>
    <w:rsid w:val="00A67093"/>
    <w:rsid w:val="00A7426B"/>
    <w:rsid w:val="00A759FD"/>
    <w:rsid w:val="00A855C7"/>
    <w:rsid w:val="00A861B7"/>
    <w:rsid w:val="00A93976"/>
    <w:rsid w:val="00AA45CE"/>
    <w:rsid w:val="00AA6DDD"/>
    <w:rsid w:val="00AB581D"/>
    <w:rsid w:val="00AC256B"/>
    <w:rsid w:val="00AC2BC4"/>
    <w:rsid w:val="00AC7F8E"/>
    <w:rsid w:val="00AD019A"/>
    <w:rsid w:val="00AD24D1"/>
    <w:rsid w:val="00AD4E26"/>
    <w:rsid w:val="00AD6035"/>
    <w:rsid w:val="00AE1842"/>
    <w:rsid w:val="00AE27A6"/>
    <w:rsid w:val="00AE30D6"/>
    <w:rsid w:val="00AE5F2B"/>
    <w:rsid w:val="00AE6177"/>
    <w:rsid w:val="00AF0AFC"/>
    <w:rsid w:val="00AF413B"/>
    <w:rsid w:val="00AF71B8"/>
    <w:rsid w:val="00B1426A"/>
    <w:rsid w:val="00B15634"/>
    <w:rsid w:val="00B17013"/>
    <w:rsid w:val="00B234DE"/>
    <w:rsid w:val="00B23563"/>
    <w:rsid w:val="00B27CF4"/>
    <w:rsid w:val="00B30262"/>
    <w:rsid w:val="00B33615"/>
    <w:rsid w:val="00B37F94"/>
    <w:rsid w:val="00B411F3"/>
    <w:rsid w:val="00B44788"/>
    <w:rsid w:val="00B46D20"/>
    <w:rsid w:val="00B54BB6"/>
    <w:rsid w:val="00B61248"/>
    <w:rsid w:val="00B61699"/>
    <w:rsid w:val="00B63751"/>
    <w:rsid w:val="00B678A4"/>
    <w:rsid w:val="00B67993"/>
    <w:rsid w:val="00B67F19"/>
    <w:rsid w:val="00B73BD0"/>
    <w:rsid w:val="00B7408C"/>
    <w:rsid w:val="00B745B2"/>
    <w:rsid w:val="00B76F92"/>
    <w:rsid w:val="00B773AB"/>
    <w:rsid w:val="00B830AF"/>
    <w:rsid w:val="00B83FF3"/>
    <w:rsid w:val="00B840F5"/>
    <w:rsid w:val="00B85383"/>
    <w:rsid w:val="00B946A2"/>
    <w:rsid w:val="00B953C4"/>
    <w:rsid w:val="00B95785"/>
    <w:rsid w:val="00B96762"/>
    <w:rsid w:val="00BA1757"/>
    <w:rsid w:val="00BA4EF8"/>
    <w:rsid w:val="00BA6C85"/>
    <w:rsid w:val="00BB01C9"/>
    <w:rsid w:val="00BB16CC"/>
    <w:rsid w:val="00BB7B78"/>
    <w:rsid w:val="00BC0808"/>
    <w:rsid w:val="00BD13B9"/>
    <w:rsid w:val="00BD1B23"/>
    <w:rsid w:val="00BD52D6"/>
    <w:rsid w:val="00BE2C60"/>
    <w:rsid w:val="00BF2167"/>
    <w:rsid w:val="00BF2BCB"/>
    <w:rsid w:val="00BF4CD0"/>
    <w:rsid w:val="00BF5F70"/>
    <w:rsid w:val="00C01603"/>
    <w:rsid w:val="00C0181D"/>
    <w:rsid w:val="00C02A3D"/>
    <w:rsid w:val="00C13F22"/>
    <w:rsid w:val="00C20372"/>
    <w:rsid w:val="00C2385B"/>
    <w:rsid w:val="00C23D13"/>
    <w:rsid w:val="00C2682F"/>
    <w:rsid w:val="00C30FE3"/>
    <w:rsid w:val="00C31FE6"/>
    <w:rsid w:val="00C33245"/>
    <w:rsid w:val="00C34237"/>
    <w:rsid w:val="00C424C0"/>
    <w:rsid w:val="00C43389"/>
    <w:rsid w:val="00C44575"/>
    <w:rsid w:val="00C45B64"/>
    <w:rsid w:val="00C46066"/>
    <w:rsid w:val="00C46DEF"/>
    <w:rsid w:val="00C50D85"/>
    <w:rsid w:val="00C54BFF"/>
    <w:rsid w:val="00C6012F"/>
    <w:rsid w:val="00C644F9"/>
    <w:rsid w:val="00C711F7"/>
    <w:rsid w:val="00C74CEB"/>
    <w:rsid w:val="00C7687D"/>
    <w:rsid w:val="00C80480"/>
    <w:rsid w:val="00C83D7A"/>
    <w:rsid w:val="00C8447E"/>
    <w:rsid w:val="00C84A12"/>
    <w:rsid w:val="00C86CC4"/>
    <w:rsid w:val="00C90013"/>
    <w:rsid w:val="00C90D44"/>
    <w:rsid w:val="00C95283"/>
    <w:rsid w:val="00C9663B"/>
    <w:rsid w:val="00CA64D4"/>
    <w:rsid w:val="00CB0E52"/>
    <w:rsid w:val="00CB31E4"/>
    <w:rsid w:val="00CC6D73"/>
    <w:rsid w:val="00CC77CD"/>
    <w:rsid w:val="00CD106F"/>
    <w:rsid w:val="00CD3004"/>
    <w:rsid w:val="00CD74D2"/>
    <w:rsid w:val="00CE0D09"/>
    <w:rsid w:val="00CE51B6"/>
    <w:rsid w:val="00CE7A2C"/>
    <w:rsid w:val="00CF0A11"/>
    <w:rsid w:val="00CF3977"/>
    <w:rsid w:val="00D02E09"/>
    <w:rsid w:val="00D04285"/>
    <w:rsid w:val="00D073D3"/>
    <w:rsid w:val="00D11144"/>
    <w:rsid w:val="00D15F14"/>
    <w:rsid w:val="00D17C06"/>
    <w:rsid w:val="00D22ABA"/>
    <w:rsid w:val="00D31C11"/>
    <w:rsid w:val="00D321CD"/>
    <w:rsid w:val="00D325D6"/>
    <w:rsid w:val="00D41727"/>
    <w:rsid w:val="00D452A7"/>
    <w:rsid w:val="00D459D9"/>
    <w:rsid w:val="00D46CE2"/>
    <w:rsid w:val="00D70EF7"/>
    <w:rsid w:val="00D9372C"/>
    <w:rsid w:val="00D9697E"/>
    <w:rsid w:val="00DA0483"/>
    <w:rsid w:val="00DA0E98"/>
    <w:rsid w:val="00DA1608"/>
    <w:rsid w:val="00DA25FE"/>
    <w:rsid w:val="00DA50D8"/>
    <w:rsid w:val="00DA7123"/>
    <w:rsid w:val="00DC222D"/>
    <w:rsid w:val="00DC6750"/>
    <w:rsid w:val="00DD2E08"/>
    <w:rsid w:val="00DD776E"/>
    <w:rsid w:val="00DE1CE9"/>
    <w:rsid w:val="00DE22BD"/>
    <w:rsid w:val="00DE31E4"/>
    <w:rsid w:val="00DE50F6"/>
    <w:rsid w:val="00DE52DB"/>
    <w:rsid w:val="00DE6CBC"/>
    <w:rsid w:val="00DE7DEC"/>
    <w:rsid w:val="00DF4016"/>
    <w:rsid w:val="00E0296D"/>
    <w:rsid w:val="00E03AFD"/>
    <w:rsid w:val="00E06243"/>
    <w:rsid w:val="00E225F4"/>
    <w:rsid w:val="00E244CB"/>
    <w:rsid w:val="00E25E1F"/>
    <w:rsid w:val="00E37633"/>
    <w:rsid w:val="00E429EA"/>
    <w:rsid w:val="00E44310"/>
    <w:rsid w:val="00E45FF4"/>
    <w:rsid w:val="00E52FE3"/>
    <w:rsid w:val="00E56A9B"/>
    <w:rsid w:val="00E60272"/>
    <w:rsid w:val="00E618FC"/>
    <w:rsid w:val="00E66C57"/>
    <w:rsid w:val="00E70F0F"/>
    <w:rsid w:val="00E72F3C"/>
    <w:rsid w:val="00E80339"/>
    <w:rsid w:val="00E81D48"/>
    <w:rsid w:val="00E85824"/>
    <w:rsid w:val="00E93883"/>
    <w:rsid w:val="00E93900"/>
    <w:rsid w:val="00E9554D"/>
    <w:rsid w:val="00EA7B99"/>
    <w:rsid w:val="00EB2218"/>
    <w:rsid w:val="00EB350C"/>
    <w:rsid w:val="00EB3DFB"/>
    <w:rsid w:val="00EC7062"/>
    <w:rsid w:val="00EC7B12"/>
    <w:rsid w:val="00ED473A"/>
    <w:rsid w:val="00EE0C3F"/>
    <w:rsid w:val="00EE3924"/>
    <w:rsid w:val="00EE549A"/>
    <w:rsid w:val="00EF7FEE"/>
    <w:rsid w:val="00F02B86"/>
    <w:rsid w:val="00F06F3E"/>
    <w:rsid w:val="00F07C38"/>
    <w:rsid w:val="00F138C8"/>
    <w:rsid w:val="00F14F30"/>
    <w:rsid w:val="00F21936"/>
    <w:rsid w:val="00F273AE"/>
    <w:rsid w:val="00F370B2"/>
    <w:rsid w:val="00F40909"/>
    <w:rsid w:val="00F425C4"/>
    <w:rsid w:val="00F44F22"/>
    <w:rsid w:val="00F51CC1"/>
    <w:rsid w:val="00F52482"/>
    <w:rsid w:val="00F533E1"/>
    <w:rsid w:val="00F56E4E"/>
    <w:rsid w:val="00F616F3"/>
    <w:rsid w:val="00F63CDC"/>
    <w:rsid w:val="00F649D1"/>
    <w:rsid w:val="00F66093"/>
    <w:rsid w:val="00F663FD"/>
    <w:rsid w:val="00F67556"/>
    <w:rsid w:val="00F71F06"/>
    <w:rsid w:val="00F774DE"/>
    <w:rsid w:val="00F807EB"/>
    <w:rsid w:val="00F817A9"/>
    <w:rsid w:val="00F871AD"/>
    <w:rsid w:val="00F9100F"/>
    <w:rsid w:val="00F9561B"/>
    <w:rsid w:val="00FA0CFB"/>
    <w:rsid w:val="00FA0EA4"/>
    <w:rsid w:val="00FA142A"/>
    <w:rsid w:val="00FA18AE"/>
    <w:rsid w:val="00FA1B87"/>
    <w:rsid w:val="00FA68C6"/>
    <w:rsid w:val="00FA7733"/>
    <w:rsid w:val="00FB1DED"/>
    <w:rsid w:val="00FB4DE6"/>
    <w:rsid w:val="00FC07D9"/>
    <w:rsid w:val="00FC0E2A"/>
    <w:rsid w:val="00FC42FB"/>
    <w:rsid w:val="00FC4F95"/>
    <w:rsid w:val="00FC4FCA"/>
    <w:rsid w:val="00FD0D8A"/>
    <w:rsid w:val="00FD5C3E"/>
    <w:rsid w:val="00FE3EB8"/>
    <w:rsid w:val="00FE51DE"/>
    <w:rsid w:val="00FE5EF9"/>
    <w:rsid w:val="00FF05D8"/>
    <w:rsid w:val="00FF50F3"/>
    <w:rsid w:val="00FF7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8C6025"/>
  <w14:defaultImageDpi w14:val="32767"/>
  <w15:chartTrackingRefBased/>
  <w15:docId w15:val="{C2A5D468-430D-8146-BED7-2397F22BA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C5BB4"/>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EA7B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5C675E"/>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5C675E"/>
    <w:rPr>
      <w:rFonts w:ascii="Tahoma" w:eastAsia="SimSun" w:hAnsi="Tahoma" w:cs="Tahoma"/>
      <w:b/>
      <w:bCs/>
      <w:sz w:val="20"/>
      <w:szCs w:val="20"/>
      <w:lang w:val="en-GB" w:eastAsia="zh-CN"/>
    </w:rPr>
  </w:style>
  <w:style w:type="paragraph" w:styleId="NormalWeb">
    <w:name w:val="Normal (Web)"/>
    <w:basedOn w:val="Normal"/>
    <w:uiPriority w:val="99"/>
    <w:rsid w:val="005C675E"/>
    <w:pPr>
      <w:spacing w:before="100" w:beforeAutospacing="1" w:after="100" w:afterAutospacing="1"/>
    </w:pPr>
    <w:rPr>
      <w:rFonts w:ascii="Georgia" w:eastAsia="SimSun" w:hAnsi="Georgia"/>
      <w:color w:val="000000"/>
      <w:sz w:val="21"/>
      <w:szCs w:val="21"/>
      <w:lang w:eastAsia="zh-CN"/>
    </w:rPr>
  </w:style>
  <w:style w:type="character" w:styleId="Hyperlink">
    <w:name w:val="Hyperlink"/>
    <w:basedOn w:val="DefaultParagraphFont"/>
    <w:uiPriority w:val="99"/>
    <w:unhideWhenUsed/>
    <w:rsid w:val="00117EEB"/>
    <w:rPr>
      <w:color w:val="0000FF"/>
      <w:u w:val="single"/>
    </w:rPr>
  </w:style>
  <w:style w:type="paragraph" w:styleId="Header">
    <w:name w:val="header"/>
    <w:basedOn w:val="Normal"/>
    <w:link w:val="HeaderChar"/>
    <w:uiPriority w:val="99"/>
    <w:unhideWhenUsed/>
    <w:rsid w:val="00C80480"/>
    <w:pPr>
      <w:tabs>
        <w:tab w:val="center" w:pos="4680"/>
        <w:tab w:val="right" w:pos="9360"/>
      </w:tabs>
    </w:pPr>
    <w:rPr>
      <w:rFonts w:eastAsia="SimSun"/>
      <w:lang w:eastAsia="zh-CN"/>
    </w:rPr>
  </w:style>
  <w:style w:type="character" w:customStyle="1" w:styleId="HeaderChar">
    <w:name w:val="Header Char"/>
    <w:basedOn w:val="DefaultParagraphFont"/>
    <w:link w:val="Header"/>
    <w:uiPriority w:val="99"/>
    <w:rsid w:val="00C80480"/>
    <w:rPr>
      <w:rFonts w:ascii="Times New Roman" w:eastAsia="SimSun" w:hAnsi="Times New Roman" w:cs="Times New Roman"/>
      <w:lang w:val="en-GB" w:eastAsia="zh-CN"/>
    </w:rPr>
  </w:style>
  <w:style w:type="paragraph" w:styleId="Footer">
    <w:name w:val="footer"/>
    <w:basedOn w:val="Normal"/>
    <w:link w:val="FooterChar"/>
    <w:uiPriority w:val="99"/>
    <w:unhideWhenUsed/>
    <w:rsid w:val="00C80480"/>
    <w:pPr>
      <w:tabs>
        <w:tab w:val="center" w:pos="4680"/>
        <w:tab w:val="right" w:pos="9360"/>
      </w:tabs>
    </w:pPr>
    <w:rPr>
      <w:rFonts w:eastAsia="SimSun"/>
      <w:lang w:eastAsia="zh-CN"/>
    </w:rPr>
  </w:style>
  <w:style w:type="character" w:customStyle="1" w:styleId="FooterChar">
    <w:name w:val="Footer Char"/>
    <w:basedOn w:val="DefaultParagraphFont"/>
    <w:link w:val="Footer"/>
    <w:uiPriority w:val="99"/>
    <w:rsid w:val="00C80480"/>
    <w:rPr>
      <w:rFonts w:ascii="Times New Roman" w:eastAsia="SimSun" w:hAnsi="Times New Roman" w:cs="Times New Roman"/>
      <w:lang w:val="en-GB" w:eastAsia="zh-CN"/>
    </w:rPr>
  </w:style>
  <w:style w:type="character" w:styleId="PageNumber">
    <w:name w:val="page number"/>
    <w:basedOn w:val="DefaultParagraphFont"/>
    <w:uiPriority w:val="99"/>
    <w:semiHidden/>
    <w:unhideWhenUsed/>
    <w:rsid w:val="00C80480"/>
  </w:style>
  <w:style w:type="character" w:styleId="Strong">
    <w:name w:val="Strong"/>
    <w:basedOn w:val="DefaultParagraphFont"/>
    <w:uiPriority w:val="22"/>
    <w:qFormat/>
    <w:rsid w:val="00935DBD"/>
    <w:rPr>
      <w:b/>
      <w:bCs/>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uiPriority w:val="99"/>
    <w:unhideWhenUsed/>
    <w:rsid w:val="0001172E"/>
    <w:rPr>
      <w:rFonts w:eastAsia="SimSun"/>
      <w:sz w:val="20"/>
      <w:szCs w:val="20"/>
      <w:lang w:eastAsia="zh-CN"/>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basedOn w:val="DefaultParagraphFont"/>
    <w:link w:val="FootnoteText"/>
    <w:uiPriority w:val="99"/>
    <w:rsid w:val="0001172E"/>
    <w:rPr>
      <w:rFonts w:ascii="Times New Roman" w:eastAsia="SimSun" w:hAnsi="Times New Roman" w:cs="Times New Roman"/>
      <w:sz w:val="20"/>
      <w:szCs w:val="20"/>
      <w:lang w:val="en-GB" w:eastAsia="zh-CN"/>
    </w:rPr>
  </w:style>
  <w:style w:type="character" w:styleId="FootnoteReference">
    <w:name w:val="footnote reference"/>
    <w:basedOn w:val="DefaultParagraphFont"/>
    <w:uiPriority w:val="99"/>
    <w:semiHidden/>
    <w:unhideWhenUsed/>
    <w:rsid w:val="0001172E"/>
    <w:rPr>
      <w:vertAlign w:val="superscript"/>
    </w:rPr>
  </w:style>
  <w:style w:type="paragraph" w:customStyle="1" w:styleId="bullet">
    <w:name w:val="bullet"/>
    <w:link w:val="bulletChar"/>
    <w:qFormat/>
    <w:rsid w:val="00AF71B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2"/>
      <w:szCs w:val="22"/>
      <w:lang w:eastAsia="en-GB"/>
    </w:rPr>
  </w:style>
  <w:style w:type="character" w:customStyle="1" w:styleId="bulletChar">
    <w:name w:val="bullet Char"/>
    <w:link w:val="bullet"/>
    <w:qFormat/>
    <w:locked/>
    <w:rsid w:val="00AF71B8"/>
    <w:rPr>
      <w:rFonts w:ascii="Times New Roman" w:eastAsia="Times New Roman" w:hAnsi="Times New Roman" w:cs="Times New Roman"/>
      <w:sz w:val="22"/>
      <w:szCs w:val="22"/>
      <w:lang w:eastAsia="en-GB"/>
    </w:rPr>
  </w:style>
  <w:style w:type="paragraph" w:styleId="PlainText">
    <w:name w:val="Plain Text"/>
    <w:basedOn w:val="Normal"/>
    <w:link w:val="PlainTextChar"/>
    <w:rsid w:val="00AF71B8"/>
    <w:rPr>
      <w:rFonts w:ascii="Courier New" w:hAnsi="Courier New"/>
      <w:sz w:val="20"/>
      <w:szCs w:val="20"/>
      <w:lang w:val="x-none"/>
    </w:rPr>
  </w:style>
  <w:style w:type="character" w:customStyle="1" w:styleId="PlainTextChar">
    <w:name w:val="Plain Text Char"/>
    <w:basedOn w:val="DefaultParagraphFont"/>
    <w:link w:val="PlainText"/>
    <w:rsid w:val="00AF71B8"/>
    <w:rPr>
      <w:rFonts w:ascii="Courier New" w:eastAsia="Times New Roman" w:hAnsi="Courier New" w:cs="Times New Roman"/>
      <w:sz w:val="20"/>
      <w:szCs w:val="20"/>
      <w:lang w:val="x-none"/>
    </w:rPr>
  </w:style>
  <w:style w:type="paragraph" w:customStyle="1" w:styleId="Footnote">
    <w:name w:val="Footnote"/>
    <w:rsid w:val="000D5386"/>
    <w:pPr>
      <w:pBdr>
        <w:top w:val="nil"/>
        <w:left w:val="nil"/>
        <w:bottom w:val="nil"/>
        <w:right w:val="nil"/>
        <w:between w:val="nil"/>
        <w:bar w:val="nil"/>
      </w:pBdr>
    </w:pPr>
    <w:rPr>
      <w:rFonts w:ascii="Helvetica Neue" w:eastAsia="Helvetica Neue" w:hAnsi="Helvetica Neue" w:cs="Helvetica Neue"/>
      <w:color w:val="000000"/>
      <w:sz w:val="22"/>
      <w:szCs w:val="22"/>
      <w:bdr w:val="nil"/>
      <w:lang w:val="en-GB" w:bidi="hi-IN"/>
    </w:rPr>
  </w:style>
  <w:style w:type="paragraph" w:styleId="ListParagraph">
    <w:name w:val="List Paragraph"/>
    <w:basedOn w:val="Normal"/>
    <w:link w:val="ListParagraphChar"/>
    <w:uiPriority w:val="99"/>
    <w:qFormat/>
    <w:rsid w:val="000D5386"/>
    <w:pPr>
      <w:ind w:left="720"/>
      <w:contextualSpacing/>
    </w:pPr>
    <w:rPr>
      <w:sz w:val="20"/>
      <w:szCs w:val="20"/>
      <w:lang w:val="x-none" w:eastAsia="en-GB"/>
    </w:rPr>
  </w:style>
  <w:style w:type="character" w:customStyle="1" w:styleId="ListParagraphChar">
    <w:name w:val="List Paragraph Char"/>
    <w:link w:val="ListParagraph"/>
    <w:uiPriority w:val="99"/>
    <w:locked/>
    <w:rsid w:val="000D5386"/>
    <w:rPr>
      <w:rFonts w:ascii="Times New Roman" w:eastAsia="Times New Roman" w:hAnsi="Times New Roman" w:cs="Times New Roman"/>
      <w:sz w:val="20"/>
      <w:szCs w:val="20"/>
      <w:lang w:val="x-none" w:eastAsia="en-GB"/>
    </w:rPr>
  </w:style>
  <w:style w:type="paragraph" w:styleId="EndnoteText">
    <w:name w:val="endnote text"/>
    <w:basedOn w:val="Normal"/>
    <w:link w:val="EndnoteTextChar"/>
    <w:uiPriority w:val="99"/>
    <w:semiHidden/>
    <w:unhideWhenUsed/>
    <w:rsid w:val="00321C2B"/>
    <w:rPr>
      <w:sz w:val="20"/>
      <w:szCs w:val="20"/>
    </w:rPr>
  </w:style>
  <w:style w:type="character" w:customStyle="1" w:styleId="EndnoteTextChar">
    <w:name w:val="Endnote Text Char"/>
    <w:basedOn w:val="DefaultParagraphFont"/>
    <w:link w:val="EndnoteText"/>
    <w:uiPriority w:val="99"/>
    <w:semiHidden/>
    <w:rsid w:val="00321C2B"/>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321C2B"/>
    <w:rPr>
      <w:vertAlign w:val="superscript"/>
    </w:rPr>
  </w:style>
  <w:style w:type="paragraph" w:customStyle="1" w:styleId="Default">
    <w:name w:val="Default"/>
    <w:rsid w:val="008C5735"/>
    <w:pPr>
      <w:autoSpaceDE w:val="0"/>
      <w:autoSpaceDN w:val="0"/>
      <w:adjustRightInd w:val="0"/>
    </w:pPr>
    <w:rPr>
      <w:rFonts w:ascii="Trebuchet MS" w:hAnsi="Trebuchet MS" w:cs="Trebuchet MS"/>
      <w:color w:val="000000"/>
    </w:rPr>
  </w:style>
  <w:style w:type="character" w:styleId="FollowedHyperlink">
    <w:name w:val="FollowedHyperlink"/>
    <w:basedOn w:val="DefaultParagraphFont"/>
    <w:uiPriority w:val="99"/>
    <w:semiHidden/>
    <w:unhideWhenUsed/>
    <w:rsid w:val="004E34D7"/>
    <w:rPr>
      <w:color w:val="954F72" w:themeColor="followedHyperlink"/>
      <w:u w:val="single"/>
    </w:rPr>
  </w:style>
  <w:style w:type="character" w:customStyle="1" w:styleId="Heading1Char">
    <w:name w:val="Heading 1 Char"/>
    <w:basedOn w:val="DefaultParagraphFont"/>
    <w:link w:val="Heading1"/>
    <w:uiPriority w:val="9"/>
    <w:rsid w:val="00EA7B99"/>
    <w:rPr>
      <w:rFonts w:asciiTheme="majorHAnsi" w:eastAsiaTheme="majorEastAsia" w:hAnsiTheme="majorHAnsi" w:cstheme="majorBidi"/>
      <w:color w:val="2F5496" w:themeColor="accent1" w:themeShade="BF"/>
      <w:sz w:val="32"/>
      <w:szCs w:val="32"/>
    </w:rPr>
  </w:style>
  <w:style w:type="character" w:customStyle="1" w:styleId="c-txt">
    <w:name w:val="c-txt"/>
    <w:basedOn w:val="DefaultParagraphFont"/>
    <w:rsid w:val="00EA7B99"/>
  </w:style>
  <w:style w:type="character" w:styleId="UnresolvedMention">
    <w:name w:val="Unresolved Mention"/>
    <w:basedOn w:val="DefaultParagraphFont"/>
    <w:uiPriority w:val="99"/>
    <w:rsid w:val="009B77B0"/>
    <w:rPr>
      <w:color w:val="605E5C"/>
      <w:shd w:val="clear" w:color="auto" w:fill="E1DFDD"/>
    </w:rPr>
  </w:style>
  <w:style w:type="paragraph" w:styleId="Caption">
    <w:name w:val="caption"/>
    <w:basedOn w:val="Normal"/>
    <w:next w:val="Normal"/>
    <w:uiPriority w:val="35"/>
    <w:unhideWhenUsed/>
    <w:qFormat/>
    <w:rsid w:val="00005F4F"/>
    <w:pPr>
      <w:spacing w:after="200"/>
    </w:pPr>
    <w:rPr>
      <w:i/>
      <w:iCs/>
      <w:color w:val="44546A" w:themeColor="text2"/>
      <w:sz w:val="18"/>
      <w:szCs w:val="18"/>
    </w:rPr>
  </w:style>
  <w:style w:type="character" w:styleId="Emphasis">
    <w:name w:val="Emphasis"/>
    <w:basedOn w:val="DefaultParagraphFont"/>
    <w:uiPriority w:val="20"/>
    <w:qFormat/>
    <w:rsid w:val="001C32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78817">
      <w:bodyDiv w:val="1"/>
      <w:marLeft w:val="0"/>
      <w:marRight w:val="0"/>
      <w:marTop w:val="0"/>
      <w:marBottom w:val="0"/>
      <w:divBdr>
        <w:top w:val="none" w:sz="0" w:space="0" w:color="auto"/>
        <w:left w:val="none" w:sz="0" w:space="0" w:color="auto"/>
        <w:bottom w:val="none" w:sz="0" w:space="0" w:color="auto"/>
        <w:right w:val="none" w:sz="0" w:space="0" w:color="auto"/>
      </w:divBdr>
    </w:div>
    <w:div w:id="261034551">
      <w:bodyDiv w:val="1"/>
      <w:marLeft w:val="0"/>
      <w:marRight w:val="0"/>
      <w:marTop w:val="0"/>
      <w:marBottom w:val="0"/>
      <w:divBdr>
        <w:top w:val="none" w:sz="0" w:space="0" w:color="auto"/>
        <w:left w:val="none" w:sz="0" w:space="0" w:color="auto"/>
        <w:bottom w:val="none" w:sz="0" w:space="0" w:color="auto"/>
        <w:right w:val="none" w:sz="0" w:space="0" w:color="auto"/>
      </w:divBdr>
    </w:div>
    <w:div w:id="363094106">
      <w:bodyDiv w:val="1"/>
      <w:marLeft w:val="0"/>
      <w:marRight w:val="0"/>
      <w:marTop w:val="0"/>
      <w:marBottom w:val="0"/>
      <w:divBdr>
        <w:top w:val="none" w:sz="0" w:space="0" w:color="auto"/>
        <w:left w:val="none" w:sz="0" w:space="0" w:color="auto"/>
        <w:bottom w:val="none" w:sz="0" w:space="0" w:color="auto"/>
        <w:right w:val="none" w:sz="0" w:space="0" w:color="auto"/>
      </w:divBdr>
    </w:div>
    <w:div w:id="459570815">
      <w:bodyDiv w:val="1"/>
      <w:marLeft w:val="0"/>
      <w:marRight w:val="0"/>
      <w:marTop w:val="0"/>
      <w:marBottom w:val="0"/>
      <w:divBdr>
        <w:top w:val="none" w:sz="0" w:space="0" w:color="auto"/>
        <w:left w:val="none" w:sz="0" w:space="0" w:color="auto"/>
        <w:bottom w:val="none" w:sz="0" w:space="0" w:color="auto"/>
        <w:right w:val="none" w:sz="0" w:space="0" w:color="auto"/>
      </w:divBdr>
    </w:div>
    <w:div w:id="477041270">
      <w:bodyDiv w:val="1"/>
      <w:marLeft w:val="0"/>
      <w:marRight w:val="0"/>
      <w:marTop w:val="0"/>
      <w:marBottom w:val="0"/>
      <w:divBdr>
        <w:top w:val="none" w:sz="0" w:space="0" w:color="auto"/>
        <w:left w:val="none" w:sz="0" w:space="0" w:color="auto"/>
        <w:bottom w:val="none" w:sz="0" w:space="0" w:color="auto"/>
        <w:right w:val="none" w:sz="0" w:space="0" w:color="auto"/>
      </w:divBdr>
    </w:div>
    <w:div w:id="494224024">
      <w:bodyDiv w:val="1"/>
      <w:marLeft w:val="0"/>
      <w:marRight w:val="0"/>
      <w:marTop w:val="0"/>
      <w:marBottom w:val="0"/>
      <w:divBdr>
        <w:top w:val="none" w:sz="0" w:space="0" w:color="auto"/>
        <w:left w:val="none" w:sz="0" w:space="0" w:color="auto"/>
        <w:bottom w:val="none" w:sz="0" w:space="0" w:color="auto"/>
        <w:right w:val="none" w:sz="0" w:space="0" w:color="auto"/>
      </w:divBdr>
    </w:div>
    <w:div w:id="545029168">
      <w:bodyDiv w:val="1"/>
      <w:marLeft w:val="0"/>
      <w:marRight w:val="0"/>
      <w:marTop w:val="0"/>
      <w:marBottom w:val="0"/>
      <w:divBdr>
        <w:top w:val="none" w:sz="0" w:space="0" w:color="auto"/>
        <w:left w:val="none" w:sz="0" w:space="0" w:color="auto"/>
        <w:bottom w:val="none" w:sz="0" w:space="0" w:color="auto"/>
        <w:right w:val="none" w:sz="0" w:space="0" w:color="auto"/>
      </w:divBdr>
    </w:div>
    <w:div w:id="586621858">
      <w:bodyDiv w:val="1"/>
      <w:marLeft w:val="0"/>
      <w:marRight w:val="0"/>
      <w:marTop w:val="0"/>
      <w:marBottom w:val="0"/>
      <w:divBdr>
        <w:top w:val="none" w:sz="0" w:space="0" w:color="auto"/>
        <w:left w:val="none" w:sz="0" w:space="0" w:color="auto"/>
        <w:bottom w:val="none" w:sz="0" w:space="0" w:color="auto"/>
        <w:right w:val="none" w:sz="0" w:space="0" w:color="auto"/>
      </w:divBdr>
    </w:div>
    <w:div w:id="591011910">
      <w:bodyDiv w:val="1"/>
      <w:marLeft w:val="0"/>
      <w:marRight w:val="0"/>
      <w:marTop w:val="0"/>
      <w:marBottom w:val="0"/>
      <w:divBdr>
        <w:top w:val="none" w:sz="0" w:space="0" w:color="auto"/>
        <w:left w:val="none" w:sz="0" w:space="0" w:color="auto"/>
        <w:bottom w:val="none" w:sz="0" w:space="0" w:color="auto"/>
        <w:right w:val="none" w:sz="0" w:space="0" w:color="auto"/>
      </w:divBdr>
    </w:div>
    <w:div w:id="633364636">
      <w:bodyDiv w:val="1"/>
      <w:marLeft w:val="0"/>
      <w:marRight w:val="0"/>
      <w:marTop w:val="0"/>
      <w:marBottom w:val="0"/>
      <w:divBdr>
        <w:top w:val="none" w:sz="0" w:space="0" w:color="auto"/>
        <w:left w:val="none" w:sz="0" w:space="0" w:color="auto"/>
        <w:bottom w:val="none" w:sz="0" w:space="0" w:color="auto"/>
        <w:right w:val="none" w:sz="0" w:space="0" w:color="auto"/>
      </w:divBdr>
    </w:div>
    <w:div w:id="674114533">
      <w:bodyDiv w:val="1"/>
      <w:marLeft w:val="0"/>
      <w:marRight w:val="0"/>
      <w:marTop w:val="0"/>
      <w:marBottom w:val="0"/>
      <w:divBdr>
        <w:top w:val="none" w:sz="0" w:space="0" w:color="auto"/>
        <w:left w:val="none" w:sz="0" w:space="0" w:color="auto"/>
        <w:bottom w:val="none" w:sz="0" w:space="0" w:color="auto"/>
        <w:right w:val="none" w:sz="0" w:space="0" w:color="auto"/>
      </w:divBdr>
    </w:div>
    <w:div w:id="887379530">
      <w:bodyDiv w:val="1"/>
      <w:marLeft w:val="0"/>
      <w:marRight w:val="0"/>
      <w:marTop w:val="0"/>
      <w:marBottom w:val="0"/>
      <w:divBdr>
        <w:top w:val="none" w:sz="0" w:space="0" w:color="auto"/>
        <w:left w:val="none" w:sz="0" w:space="0" w:color="auto"/>
        <w:bottom w:val="none" w:sz="0" w:space="0" w:color="auto"/>
        <w:right w:val="none" w:sz="0" w:space="0" w:color="auto"/>
      </w:divBdr>
    </w:div>
    <w:div w:id="942686706">
      <w:bodyDiv w:val="1"/>
      <w:marLeft w:val="0"/>
      <w:marRight w:val="0"/>
      <w:marTop w:val="0"/>
      <w:marBottom w:val="0"/>
      <w:divBdr>
        <w:top w:val="none" w:sz="0" w:space="0" w:color="auto"/>
        <w:left w:val="none" w:sz="0" w:space="0" w:color="auto"/>
        <w:bottom w:val="none" w:sz="0" w:space="0" w:color="auto"/>
        <w:right w:val="none" w:sz="0" w:space="0" w:color="auto"/>
      </w:divBdr>
    </w:div>
    <w:div w:id="1243025734">
      <w:bodyDiv w:val="1"/>
      <w:marLeft w:val="0"/>
      <w:marRight w:val="0"/>
      <w:marTop w:val="0"/>
      <w:marBottom w:val="0"/>
      <w:divBdr>
        <w:top w:val="none" w:sz="0" w:space="0" w:color="auto"/>
        <w:left w:val="none" w:sz="0" w:space="0" w:color="auto"/>
        <w:bottom w:val="none" w:sz="0" w:space="0" w:color="auto"/>
        <w:right w:val="none" w:sz="0" w:space="0" w:color="auto"/>
      </w:divBdr>
    </w:div>
    <w:div w:id="1264995970">
      <w:bodyDiv w:val="1"/>
      <w:marLeft w:val="0"/>
      <w:marRight w:val="0"/>
      <w:marTop w:val="0"/>
      <w:marBottom w:val="0"/>
      <w:divBdr>
        <w:top w:val="none" w:sz="0" w:space="0" w:color="auto"/>
        <w:left w:val="none" w:sz="0" w:space="0" w:color="auto"/>
        <w:bottom w:val="none" w:sz="0" w:space="0" w:color="auto"/>
        <w:right w:val="none" w:sz="0" w:space="0" w:color="auto"/>
      </w:divBdr>
    </w:div>
    <w:div w:id="1340162376">
      <w:bodyDiv w:val="1"/>
      <w:marLeft w:val="0"/>
      <w:marRight w:val="0"/>
      <w:marTop w:val="0"/>
      <w:marBottom w:val="0"/>
      <w:divBdr>
        <w:top w:val="none" w:sz="0" w:space="0" w:color="auto"/>
        <w:left w:val="none" w:sz="0" w:space="0" w:color="auto"/>
        <w:bottom w:val="none" w:sz="0" w:space="0" w:color="auto"/>
        <w:right w:val="none" w:sz="0" w:space="0" w:color="auto"/>
      </w:divBdr>
    </w:div>
    <w:div w:id="1353532628">
      <w:bodyDiv w:val="1"/>
      <w:marLeft w:val="0"/>
      <w:marRight w:val="0"/>
      <w:marTop w:val="0"/>
      <w:marBottom w:val="0"/>
      <w:divBdr>
        <w:top w:val="none" w:sz="0" w:space="0" w:color="auto"/>
        <w:left w:val="none" w:sz="0" w:space="0" w:color="auto"/>
        <w:bottom w:val="none" w:sz="0" w:space="0" w:color="auto"/>
        <w:right w:val="none" w:sz="0" w:space="0" w:color="auto"/>
      </w:divBdr>
    </w:div>
    <w:div w:id="1462765241">
      <w:bodyDiv w:val="1"/>
      <w:marLeft w:val="0"/>
      <w:marRight w:val="0"/>
      <w:marTop w:val="0"/>
      <w:marBottom w:val="0"/>
      <w:divBdr>
        <w:top w:val="none" w:sz="0" w:space="0" w:color="auto"/>
        <w:left w:val="none" w:sz="0" w:space="0" w:color="auto"/>
        <w:bottom w:val="none" w:sz="0" w:space="0" w:color="auto"/>
        <w:right w:val="none" w:sz="0" w:space="0" w:color="auto"/>
      </w:divBdr>
    </w:div>
    <w:div w:id="1505320821">
      <w:bodyDiv w:val="1"/>
      <w:marLeft w:val="0"/>
      <w:marRight w:val="0"/>
      <w:marTop w:val="0"/>
      <w:marBottom w:val="0"/>
      <w:divBdr>
        <w:top w:val="none" w:sz="0" w:space="0" w:color="auto"/>
        <w:left w:val="none" w:sz="0" w:space="0" w:color="auto"/>
        <w:bottom w:val="none" w:sz="0" w:space="0" w:color="auto"/>
        <w:right w:val="none" w:sz="0" w:space="0" w:color="auto"/>
      </w:divBdr>
    </w:div>
    <w:div w:id="1529682740">
      <w:bodyDiv w:val="1"/>
      <w:marLeft w:val="0"/>
      <w:marRight w:val="0"/>
      <w:marTop w:val="0"/>
      <w:marBottom w:val="0"/>
      <w:divBdr>
        <w:top w:val="none" w:sz="0" w:space="0" w:color="auto"/>
        <w:left w:val="none" w:sz="0" w:space="0" w:color="auto"/>
        <w:bottom w:val="none" w:sz="0" w:space="0" w:color="auto"/>
        <w:right w:val="none" w:sz="0" w:space="0" w:color="auto"/>
      </w:divBdr>
    </w:div>
    <w:div w:id="1556047983">
      <w:bodyDiv w:val="1"/>
      <w:marLeft w:val="0"/>
      <w:marRight w:val="0"/>
      <w:marTop w:val="0"/>
      <w:marBottom w:val="0"/>
      <w:divBdr>
        <w:top w:val="none" w:sz="0" w:space="0" w:color="auto"/>
        <w:left w:val="none" w:sz="0" w:space="0" w:color="auto"/>
        <w:bottom w:val="none" w:sz="0" w:space="0" w:color="auto"/>
        <w:right w:val="none" w:sz="0" w:space="0" w:color="auto"/>
      </w:divBdr>
    </w:div>
    <w:div w:id="1718318076">
      <w:bodyDiv w:val="1"/>
      <w:marLeft w:val="0"/>
      <w:marRight w:val="0"/>
      <w:marTop w:val="0"/>
      <w:marBottom w:val="0"/>
      <w:divBdr>
        <w:top w:val="none" w:sz="0" w:space="0" w:color="auto"/>
        <w:left w:val="none" w:sz="0" w:space="0" w:color="auto"/>
        <w:bottom w:val="none" w:sz="0" w:space="0" w:color="auto"/>
        <w:right w:val="none" w:sz="0" w:space="0" w:color="auto"/>
      </w:divBdr>
    </w:div>
    <w:div w:id="1730419354">
      <w:bodyDiv w:val="1"/>
      <w:marLeft w:val="0"/>
      <w:marRight w:val="0"/>
      <w:marTop w:val="0"/>
      <w:marBottom w:val="0"/>
      <w:divBdr>
        <w:top w:val="none" w:sz="0" w:space="0" w:color="auto"/>
        <w:left w:val="none" w:sz="0" w:space="0" w:color="auto"/>
        <w:bottom w:val="none" w:sz="0" w:space="0" w:color="auto"/>
        <w:right w:val="none" w:sz="0" w:space="0" w:color="auto"/>
      </w:divBdr>
    </w:div>
    <w:div w:id="1750078164">
      <w:bodyDiv w:val="1"/>
      <w:marLeft w:val="0"/>
      <w:marRight w:val="0"/>
      <w:marTop w:val="0"/>
      <w:marBottom w:val="0"/>
      <w:divBdr>
        <w:top w:val="none" w:sz="0" w:space="0" w:color="auto"/>
        <w:left w:val="none" w:sz="0" w:space="0" w:color="auto"/>
        <w:bottom w:val="none" w:sz="0" w:space="0" w:color="auto"/>
        <w:right w:val="none" w:sz="0" w:space="0" w:color="auto"/>
      </w:divBdr>
    </w:div>
    <w:div w:id="1853301217">
      <w:bodyDiv w:val="1"/>
      <w:marLeft w:val="0"/>
      <w:marRight w:val="0"/>
      <w:marTop w:val="0"/>
      <w:marBottom w:val="0"/>
      <w:divBdr>
        <w:top w:val="none" w:sz="0" w:space="0" w:color="auto"/>
        <w:left w:val="none" w:sz="0" w:space="0" w:color="auto"/>
        <w:bottom w:val="none" w:sz="0" w:space="0" w:color="auto"/>
        <w:right w:val="none" w:sz="0" w:space="0" w:color="auto"/>
      </w:divBdr>
    </w:div>
    <w:div w:id="1964580796">
      <w:bodyDiv w:val="1"/>
      <w:marLeft w:val="0"/>
      <w:marRight w:val="0"/>
      <w:marTop w:val="0"/>
      <w:marBottom w:val="0"/>
      <w:divBdr>
        <w:top w:val="none" w:sz="0" w:space="0" w:color="auto"/>
        <w:left w:val="none" w:sz="0" w:space="0" w:color="auto"/>
        <w:bottom w:val="none" w:sz="0" w:space="0" w:color="auto"/>
        <w:right w:val="none" w:sz="0" w:space="0" w:color="auto"/>
      </w:divBdr>
    </w:div>
    <w:div w:id="2034724791">
      <w:bodyDiv w:val="1"/>
      <w:marLeft w:val="0"/>
      <w:marRight w:val="0"/>
      <w:marTop w:val="0"/>
      <w:marBottom w:val="0"/>
      <w:divBdr>
        <w:top w:val="none" w:sz="0" w:space="0" w:color="auto"/>
        <w:left w:val="none" w:sz="0" w:space="0" w:color="auto"/>
        <w:bottom w:val="none" w:sz="0" w:space="0" w:color="auto"/>
        <w:right w:val="none" w:sz="0" w:space="0" w:color="auto"/>
      </w:divBdr>
    </w:div>
    <w:div w:id="2048555917">
      <w:bodyDiv w:val="1"/>
      <w:marLeft w:val="0"/>
      <w:marRight w:val="0"/>
      <w:marTop w:val="0"/>
      <w:marBottom w:val="0"/>
      <w:divBdr>
        <w:top w:val="none" w:sz="0" w:space="0" w:color="auto"/>
        <w:left w:val="none" w:sz="0" w:space="0" w:color="auto"/>
        <w:bottom w:val="none" w:sz="0" w:space="0" w:color="auto"/>
        <w:right w:val="none" w:sz="0" w:space="0" w:color="auto"/>
      </w:divBdr>
    </w:div>
    <w:div w:id="2110736946">
      <w:bodyDiv w:val="1"/>
      <w:marLeft w:val="0"/>
      <w:marRight w:val="0"/>
      <w:marTop w:val="0"/>
      <w:marBottom w:val="0"/>
      <w:divBdr>
        <w:top w:val="none" w:sz="0" w:space="0" w:color="auto"/>
        <w:left w:val="none" w:sz="0" w:space="0" w:color="auto"/>
        <w:bottom w:val="none" w:sz="0" w:space="0" w:color="auto"/>
        <w:right w:val="none" w:sz="0" w:space="0" w:color="auto"/>
      </w:divBdr>
    </w:div>
    <w:div w:id="213551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Plut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lato.stanford.edu/entries/plutarch/" TargetMode="External"/><Relationship Id="rId4" Type="http://schemas.openxmlformats.org/officeDocument/2006/relationships/settings" Target="settings.xml"/><Relationship Id="rId9" Type="http://schemas.openxmlformats.org/officeDocument/2006/relationships/hyperlink" Target="https://www.hup.harvard.edu/catalog.php?isbn=9780674993372"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hup.harvard.edu/catalog.php?isbn=9780674993372" TargetMode="External"/><Relationship Id="rId2" Type="http://schemas.openxmlformats.org/officeDocument/2006/relationships/hyperlink" Target="https://www.britannica.com/biography/Plutarch" TargetMode="External"/><Relationship Id="rId1" Type="http://schemas.openxmlformats.org/officeDocument/2006/relationships/hyperlink" Target="https://plato.stanford.edu/entries/plut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7FDA04D1-7CE7-3844-B04B-736F2168C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9</Pages>
  <Words>2448</Words>
  <Characters>13959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Goldstein (1710933)</dc:creator>
  <cp:keywords/>
  <dc:description/>
  <cp:lastModifiedBy>Danielle Goldstein (1710933)</cp:lastModifiedBy>
  <cp:revision>101</cp:revision>
  <cp:lastPrinted>2019-12-14T22:11:00Z</cp:lastPrinted>
  <dcterms:created xsi:type="dcterms:W3CDTF">2020-05-03T21:47:00Z</dcterms:created>
  <dcterms:modified xsi:type="dcterms:W3CDTF">2020-06-08T21:01:00Z</dcterms:modified>
</cp:coreProperties>
</file>