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Zhuoying </w:t>
            </w:r>
            <w:r>
              <w:rPr>
                <w:rFonts w:hint="default" w:ascii="Arial" w:hAnsi="Arial" w:eastAsia="宋体" w:cs="Arial"/>
                <w:sz w:val="22"/>
                <w:szCs w:val="22"/>
                <w:lang w:val="en-US" w:eastAsia="zh-CN"/>
              </w:rPr>
              <w:t>H</w:t>
            </w:r>
            <w:r>
              <w:rPr>
                <w:rFonts w:hint="eastAsia" w:ascii="Arial" w:hAnsi="Arial" w:eastAsia="宋体" w:cs="Arial"/>
                <w:sz w:val="22"/>
                <w:szCs w:val="22"/>
                <w:lang w:val="en-US" w:eastAsia="zh-CN"/>
              </w:rPr>
              <w:t>an</w:t>
            </w: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Education and humanity</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Swansea</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fldChar w:fldCharType="begin"/>
            </w:r>
            <w:r>
              <w:rPr>
                <w:rFonts w:hint="eastAsia" w:ascii="Arial" w:hAnsi="Arial" w:eastAsia="宋体" w:cs="Arial"/>
                <w:sz w:val="22"/>
                <w:szCs w:val="22"/>
                <w:lang w:val="en-US" w:eastAsia="zh-CN"/>
              </w:rPr>
              <w:instrText xml:space="preserve"> HYPERLINK "mailto:2408614@student.uwtsd.ac.uk" </w:instrText>
            </w:r>
            <w:r>
              <w:rPr>
                <w:rFonts w:hint="eastAsia" w:ascii="Arial" w:hAnsi="Arial" w:eastAsia="宋体" w:cs="Arial"/>
                <w:sz w:val="22"/>
                <w:szCs w:val="22"/>
                <w:lang w:val="en-US" w:eastAsia="zh-CN"/>
              </w:rPr>
              <w:fldChar w:fldCharType="separate"/>
            </w:r>
            <w:r>
              <w:rPr>
                <w:rStyle w:val="17"/>
                <w:rFonts w:hint="eastAsia" w:ascii="Arial" w:hAnsi="Arial" w:eastAsia="宋体" w:cs="Arial"/>
                <w:sz w:val="22"/>
                <w:szCs w:val="22"/>
                <w:lang w:val="en-US" w:eastAsia="zh-CN"/>
              </w:rPr>
              <w:t>2408614@student</w:t>
            </w:r>
            <w:r>
              <w:rPr>
                <w:rStyle w:val="17"/>
                <w:rFonts w:hint="default" w:ascii="Arial" w:hAnsi="Arial" w:eastAsia="宋体" w:cs="Arial"/>
                <w:sz w:val="22"/>
                <w:szCs w:val="22"/>
                <w:lang w:val="en-US" w:eastAsia="zh-CN"/>
              </w:rPr>
              <w:t>.uwtsd.ac.uk</w:t>
            </w:r>
            <w:r>
              <w:rPr>
                <w:rFonts w:hint="eastAsia" w:ascii="Arial" w:hAnsi="Arial" w:eastAsia="宋体" w:cs="Arial"/>
                <w:sz w:val="22"/>
                <w:szCs w:val="22"/>
                <w:lang w:val="en-US" w:eastAsia="zh-CN"/>
              </w:rPr>
              <w:fldChar w:fldCharType="end"/>
            </w:r>
          </w:p>
          <w:p>
            <w:pPr>
              <w:rPr>
                <w:rFonts w:hint="default" w:ascii="Arial" w:hAnsi="Arial" w:eastAsia="宋体" w:cs="Arial"/>
                <w:sz w:val="22"/>
                <w:szCs w:val="22"/>
                <w:lang w:val="en-US" w:eastAsia="zh-CN"/>
              </w:rPr>
            </w:pP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7410626248</w:t>
            </w: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2408614</w:t>
            </w:r>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ascii="Arial" w:hAnsi="Arial" w:cs="Arial"/>
                <w:sz w:val="22"/>
                <w:szCs w:val="22"/>
              </w:rPr>
            </w:pP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hint="default" w:ascii="Arial" w:hAnsi="Arial" w:eastAsia="宋体" w:cs="Arial"/>
                <w:sz w:val="22"/>
                <w:szCs w:val="22"/>
                <w:lang w:val="en-US" w:eastAsia="zh-CN"/>
              </w:rPr>
            </w:pPr>
            <w:r>
              <w:rPr>
                <w:rFonts w:hint="default" w:ascii="Arial" w:hAnsi="Arial" w:eastAsia="宋体" w:cs="Arial"/>
                <w:sz w:val="22"/>
                <w:szCs w:val="22"/>
                <w:lang w:val="en-US" w:eastAsia="zh-CN"/>
              </w:rPr>
              <w:t>D</w:t>
            </w:r>
            <w:r>
              <w:rPr>
                <w:rFonts w:hint="eastAsia" w:ascii="Arial" w:hAnsi="Arial" w:eastAsia="宋体" w:cs="Arial"/>
                <w:sz w:val="22"/>
                <w:szCs w:val="22"/>
                <w:lang w:val="en-US" w:eastAsia="zh-CN"/>
              </w:rPr>
              <w:t>r</w:t>
            </w:r>
            <w:r>
              <w:rPr>
                <w:rFonts w:hint="default" w:ascii="Arial" w:hAnsi="Arial" w:eastAsia="宋体" w:cs="Arial"/>
                <w:sz w:val="22"/>
                <w:szCs w:val="22"/>
                <w:lang w:val="en-US" w:eastAsia="zh-CN"/>
              </w:rPr>
              <w:t>.Catherine Morgan</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20/3/2025</w:t>
            </w: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r>
      <w:tr>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r>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hint="default" w:ascii="Arial" w:hAnsi="Arial" w:cs="Arial"/>
                <w:i/>
                <w:sz w:val="22"/>
                <w:szCs w:val="22"/>
                <w:lang w:val="en-US"/>
              </w:rPr>
            </w:pPr>
            <w:r>
              <w:rPr>
                <w:rFonts w:hint="default" w:ascii="Arial" w:hAnsi="Arial" w:cs="Arial"/>
                <w:i/>
                <w:sz w:val="22"/>
                <w:szCs w:val="22"/>
                <w:lang w:val="en-US"/>
              </w:rPr>
              <w:t xml:space="preserve"> BERA (2024)Ethical guideline for educational  research</w:t>
            </w:r>
          </w:p>
        </w:tc>
        <w:tc>
          <w:tcPr>
            <w:tcW w:w="1134"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sz w:val="22"/>
                    <w:szCs w:val="22"/>
                    <w:lang w:val="en-GB" w:eastAsia="en-US" w:bidi="ar-SA"/>
                  </w:rPr>
                  <w:t>☐</w:t>
                </w:r>
              </w:p>
            </w:sdtContent>
          </w:sdt>
        </w:tc>
      </w:tr>
      <w:tr>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Research on teaching methods of Chinese broadcasting and vocali</w:t>
            </w:r>
            <w:r>
              <w:rPr>
                <w:rFonts w:hint="eastAsia" w:ascii="Arial" w:hAnsi="Arial" w:eastAsia="宋体" w:cs="Arial"/>
                <w:sz w:val="22"/>
                <w:szCs w:val="22"/>
                <w:lang w:val="en-US" w:eastAsia="zh-CN"/>
              </w:rPr>
              <w:t>s</w:t>
            </w:r>
            <w:r>
              <w:rPr>
                <w:rFonts w:hint="eastAsia" w:ascii="Arial" w:hAnsi="Arial" w:cs="Arial"/>
                <w:sz w:val="22"/>
                <w:szCs w:val="22"/>
              </w:rPr>
              <w:t>ation course</w:t>
            </w:r>
          </w:p>
        </w:tc>
      </w:tr>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10/2025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ind w:firstLine="220" w:firstLineChars="100"/>
              <w:jc w:val="both"/>
              <w:rPr>
                <w:rFonts w:hint="default" w:ascii="Arial" w:hAnsi="Arial" w:eastAsia="宋体" w:cs="Arial"/>
                <w:sz w:val="22"/>
                <w:szCs w:val="22"/>
                <w:lang w:val="en-US" w:eastAsia="zh-CN"/>
              </w:rPr>
            </w:pPr>
            <w:r>
              <w:rPr>
                <w:rFonts w:hint="eastAsia" w:ascii="Arial" w:hAnsi="Arial" w:eastAsia="宋体" w:cs="Arial"/>
                <w:sz w:val="22"/>
                <w:szCs w:val="22"/>
                <w:lang w:val="en-US" w:eastAsia="zh-CN"/>
              </w:rPr>
              <w:t>4/2027</w:t>
            </w:r>
          </w:p>
        </w:tc>
      </w:tr>
      <w:tr>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hint="eastAsia" w:ascii="Arial" w:hAnsi="Arial" w:cs="Arial"/>
                <w:sz w:val="22"/>
                <w:szCs w:val="22"/>
              </w:rPr>
            </w:pPr>
            <w:r>
              <w:rPr>
                <w:rFonts w:hint="eastAsia" w:ascii="Arial" w:hAnsi="Arial" w:cs="Arial"/>
                <w:sz w:val="22"/>
                <w:szCs w:val="22"/>
              </w:rPr>
              <w:t>The Broadcasting and Vocalisation Course is a basic course for broadcasting and hosting majors, through which students can master correct pronunciation and pronunciation training skills to meet the requirements of related careers (Li,2017).2021 The third-party data platform, Softech China's Best Disciplines Ranking, for the first time ranked the broadcasting and hosting majors of China's 142 colleges and universities in a graded manner. The index system of the ranking includes five categories: talent cultivation, platform projects, achievement awards, academic papers, and high-end talents, based on which the professional grades are classified into four grades: A+, A, B+, and B (ShanghaiRanking Consultancy, 2024).</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This study will select universities of different grades to understand the teaching methods of their broadcasting and vocalisation course based on the discipline rankings of Chinese broadcasting and hosting majors released by the platform in 2025, and reveal the correlation mechanism between the level of university resources, teachers' teaching methods and students' willingness to learn choices by comparing the teaching practices of universities of different grades.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Teaching tools in Chinese universities have become diversified nowadays (Xiao,2019), and teachers' pronunciation training for students should also meet the needs of the times (Liu,2017). Through a comparative study of institutions at different levels, this study expects to provide a new perspective on the teaching practice of broadcasting and vocalisation course in China, and the researcher hopes to identify the key factors that help to improve the teaching quality of broadcasting and vocalisation course, and provide theoretical support and practical guidance for the educational reform of the course.</w:t>
            </w:r>
          </w:p>
          <w:p>
            <w:pPr>
              <w:rPr>
                <w:rFonts w:hint="eastAsia" w:ascii="Arial" w:hAnsi="Arial" w:cs="Arial"/>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numPr>
                <w:ilvl w:val="0"/>
                <w:numId w:val="2"/>
              </w:numPr>
              <w:bidi w:val="0"/>
              <w:rPr>
                <w:rFonts w:hint="default" w:ascii="Arial Regular" w:hAnsi="Arial Regular" w:cs="Arial Regular"/>
                <w:sz w:val="22"/>
                <w:szCs w:val="22"/>
              </w:rPr>
            </w:pPr>
            <w:r>
              <w:rPr>
                <w:rFonts w:hint="default" w:ascii="Arial Regular" w:hAnsi="Arial Regular" w:cs="Arial Regular"/>
                <w:sz w:val="22"/>
                <w:szCs w:val="22"/>
              </w:rPr>
              <w:t>What teaching methods do teachers use in broadcasting and vocalisation courses?</w:t>
            </w:r>
          </w:p>
          <w:p>
            <w:pPr>
              <w:numPr>
                <w:numId w:val="0"/>
              </w:num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Based on the findings of the literature, many scholars believe that traditional teaching is still the dominant method in broadcasting and vocalisation course (Hu, 2023). This question was posed wanting to clarify the teaching methods of the instructors at the selected institutions to corroborate the findings of the literature. This question focuses on whether the teachers use traditional or blended teaching methods and what teaching tools and instruments are used in the teaching process, which can be directly understood through classroom observation.</w:t>
            </w:r>
          </w:p>
          <w:p>
            <w:pPr>
              <w:bidi w:val="0"/>
              <w:rPr>
                <w:rFonts w:hint="default" w:ascii="Arial Regular" w:hAnsi="Arial Regular" w:cs="Arial Regular"/>
                <w:sz w:val="22"/>
                <w:szCs w:val="22"/>
              </w:rPr>
            </w:pPr>
          </w:p>
          <w:p>
            <w:pPr>
              <w:numPr>
                <w:ilvl w:val="0"/>
                <w:numId w:val="2"/>
              </w:numPr>
              <w:bidi w:val="0"/>
              <w:ind w:left="0" w:leftChars="0" w:firstLine="0" w:firstLineChars="0"/>
              <w:rPr>
                <w:rFonts w:hint="default" w:ascii="Arial Regular" w:hAnsi="Arial Regular" w:cs="Arial Regular"/>
                <w:sz w:val="22"/>
                <w:szCs w:val="22"/>
              </w:rPr>
            </w:pPr>
            <w:r>
              <w:rPr>
                <w:rFonts w:hint="default" w:ascii="Arial Regular" w:hAnsi="Arial Regular" w:cs="Arial Regular"/>
                <w:sz w:val="22"/>
                <w:szCs w:val="22"/>
              </w:rPr>
              <w:t>What is the basis for the teachers' choice of different teaching methods and what are the advantages and disadvantages of each of these methods?</w:t>
            </w:r>
          </w:p>
          <w:p>
            <w:pPr>
              <w:numPr>
                <w:numId w:val="0"/>
              </w:numPr>
              <w:bidi w:val="0"/>
              <w:ind w:leftChars="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This question seeks to explore the relationship between a teacher's choice of teaching methods and the teacher's past learning experiences, school resources, school or government policy requirements, and the professionalism of the students they teach. Answers to this question were obtained mainly in the form of in-depth interviews, where the researcher expected to understand the specific reasons why teachers chose their current teaching methods, and expected to get teachers' views on different educational methods, as well as to understand what teachers perceived to be the core factors affecting the effectiveness of teaching in broadcasting and vocalisation courses in the context of their individual teaching experiences.</w:t>
            </w:r>
          </w:p>
          <w:p>
            <w:pPr>
              <w:bidi w:val="0"/>
              <w:rPr>
                <w:rFonts w:hint="default" w:ascii="Arial Regular" w:hAnsi="Arial Regular" w:cs="Arial Regular"/>
                <w:sz w:val="22"/>
                <w:szCs w:val="22"/>
              </w:rPr>
            </w:pPr>
          </w:p>
          <w:p>
            <w:pPr>
              <w:numPr>
                <w:ilvl w:val="0"/>
                <w:numId w:val="2"/>
              </w:numPr>
              <w:bidi w:val="0"/>
              <w:ind w:left="0" w:leftChars="0" w:firstLine="0" w:firstLineChars="0"/>
              <w:rPr>
                <w:rFonts w:hint="default" w:ascii="Arial Regular" w:hAnsi="Arial Regular" w:cs="Arial Regular"/>
                <w:sz w:val="22"/>
                <w:szCs w:val="22"/>
              </w:rPr>
            </w:pPr>
            <w:r>
              <w:rPr>
                <w:rFonts w:hint="default" w:ascii="Arial Regular" w:hAnsi="Arial Regular" w:cs="Arial Regular"/>
                <w:sz w:val="22"/>
                <w:szCs w:val="22"/>
                <w:lang w:val="en-US"/>
              </w:rPr>
              <w:t>W</w:t>
            </w:r>
            <w:r>
              <w:rPr>
                <w:rFonts w:hint="default" w:ascii="Arial Regular" w:hAnsi="Arial Regular" w:cs="Arial Regular"/>
                <w:sz w:val="22"/>
                <w:szCs w:val="22"/>
              </w:rPr>
              <w:t>hat are students' learning experiences in broadcasting and vocalisation courses?</w:t>
            </w:r>
          </w:p>
          <w:p>
            <w:pPr>
              <w:numPr>
                <w:numId w:val="0"/>
              </w:numPr>
              <w:bidi w:val="0"/>
              <w:ind w:leftChars="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Through in-depth interviews with students, the researcher will collect feedback on their evaluation of their adaptation to the current teaching methods, their learning effectiveness and suggestions for improvement, with a focus on analysing the differences in the experiences of students from different geographical regions and with different levels of achievement, in order to reveal the relationship between the teaching methods and individual students.</w:t>
            </w:r>
          </w:p>
          <w:p>
            <w:pPr>
              <w:autoSpaceDE w:val="0"/>
              <w:autoSpaceDN w:val="0"/>
              <w:adjustRightInd w:val="0"/>
              <w:rPr>
                <w:rFonts w:ascii="Arial" w:hAnsi="Arial" w:cs="Arial"/>
                <w:b/>
                <w:bCs/>
                <w:sz w:val="22"/>
                <w:szCs w:val="22"/>
              </w:rPr>
            </w:pPr>
          </w:p>
        </w:tc>
      </w:tr>
      <w:tr>
        <w:trPr>
          <w:trHeight w:val="90"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numPr>
                <w:ilvl w:val="0"/>
                <w:numId w:val="3"/>
              </w:numPr>
              <w:rPr>
                <w:rFonts w:hint="eastAsia" w:ascii="Arial" w:hAnsi="Arial" w:cs="Arial"/>
                <w:sz w:val="22"/>
                <w:szCs w:val="22"/>
              </w:rPr>
            </w:pPr>
            <w:bookmarkStart w:id="0" w:name="_GoBack"/>
            <w:r>
              <w:rPr>
                <w:rFonts w:hint="eastAsia" w:ascii="Arial" w:hAnsi="Arial" w:cs="Arial"/>
                <w:sz w:val="22"/>
                <w:szCs w:val="22"/>
              </w:rPr>
              <w:t>Understand the current situation of the teaching method of broadcasting and vocali</w:t>
            </w:r>
            <w:r>
              <w:rPr>
                <w:rFonts w:hint="eastAsia" w:ascii="Arial" w:hAnsi="Arial" w:eastAsia="宋体" w:cs="Arial"/>
                <w:sz w:val="22"/>
                <w:szCs w:val="22"/>
                <w:lang w:val="en-US" w:eastAsia="zh-CN"/>
              </w:rPr>
              <w:t>s</w:t>
            </w:r>
            <w:r>
              <w:rPr>
                <w:rFonts w:hint="eastAsia" w:ascii="Arial" w:hAnsi="Arial" w:cs="Arial"/>
                <w:sz w:val="22"/>
                <w:szCs w:val="22"/>
              </w:rPr>
              <w:t>ation course</w:t>
            </w:r>
          </w:p>
          <w:p>
            <w:pPr>
              <w:numPr>
                <w:numId w:val="0"/>
              </w:num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2. Identify the core influencing factors of teachers' choice of teaching methods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3. Identify resource-driven teaching bottlenecks and advantages</w:t>
            </w:r>
          </w:p>
          <w:p>
            <w:pPr>
              <w:rPr>
                <w:rFonts w:hint="eastAsia" w:ascii="Arial" w:hAnsi="Arial" w:cs="Arial"/>
                <w:sz w:val="22"/>
                <w:szCs w:val="22"/>
              </w:rPr>
            </w:pPr>
            <w:r>
              <w:rPr>
                <w:rFonts w:hint="eastAsia" w:ascii="Arial" w:hAnsi="Arial" w:cs="Arial"/>
                <w:sz w:val="22"/>
                <w:szCs w:val="22"/>
              </w:rPr>
              <w:t>Analyze the core constraints (such as high cost of equipment and insufficient digital ability of teachers) of the successful experience of top universities (A+) (such as technology integration of mixed teaching mode) and ordinary universities (B level), and clarify the internal logic of teaching method selection under different resource levels.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4. Construct hierarchical optimization strategy model</w:t>
            </w:r>
          </w:p>
          <w:p>
            <w:pPr>
              <w:rPr>
                <w:rFonts w:hint="eastAsia" w:ascii="Arial" w:hAnsi="Arial" w:cs="Arial"/>
                <w:sz w:val="22"/>
                <w:szCs w:val="22"/>
              </w:rPr>
            </w:pPr>
            <w:r>
              <w:rPr>
                <w:rFonts w:hint="eastAsia" w:ascii="Arial" w:hAnsi="Arial" w:cs="Arial"/>
                <w:sz w:val="22"/>
                <w:szCs w:val="22"/>
              </w:rPr>
              <w:t>Based on the differences of college resources, adaptive teaching improvement schemes are proposed:</w:t>
            </w:r>
          </w:p>
          <w:p>
            <w:pPr>
              <w:rPr>
                <w:rFonts w:hint="eastAsia" w:ascii="Arial" w:hAnsi="Arial" w:cs="Arial"/>
                <w:sz w:val="22"/>
                <w:szCs w:val="22"/>
              </w:rPr>
            </w:pPr>
            <w:r>
              <w:rPr>
                <w:rFonts w:hint="eastAsia" w:ascii="Arial" w:hAnsi="Arial" w:cs="Arial"/>
                <w:sz w:val="22"/>
                <w:szCs w:val="22"/>
              </w:rPr>
              <w:t>High resource colleges: explore cutting-edge technology applications (such as virtual reality scenario simulation);</w:t>
            </w:r>
          </w:p>
          <w:p>
            <w:pPr>
              <w:rPr>
                <w:rFonts w:hint="eastAsia" w:ascii="Arial" w:hAnsi="Arial" w:cs="Arial"/>
                <w:sz w:val="22"/>
                <w:szCs w:val="22"/>
              </w:rPr>
            </w:pPr>
            <w:r>
              <w:rPr>
                <w:rFonts w:hint="eastAsia" w:ascii="Arial" w:hAnsi="Arial" w:cs="Arial"/>
                <w:sz w:val="22"/>
                <w:szCs w:val="22"/>
              </w:rPr>
              <w:t>General universities: Design low-cost alternatives (such as "mobile phone recording +AI voice evaluation tool") to break through hardware and financial constraints.</w:t>
            </w:r>
          </w:p>
          <w:p>
            <w:pPr>
              <w:rPr>
                <w:rFonts w:hint="eastAsia" w:ascii="Arial" w:hAnsi="Arial" w:cs="Arial"/>
                <w:sz w:val="22"/>
                <w:szCs w:val="22"/>
              </w:rPr>
            </w:pPr>
          </w:p>
          <w:p>
            <w:pPr>
              <w:rPr>
                <w:rFonts w:hint="eastAsia" w:ascii="Arial" w:hAnsi="Arial" w:cs="Arial"/>
                <w:sz w:val="22"/>
                <w:szCs w:val="22"/>
              </w:rPr>
            </w:pPr>
            <w:r>
              <w:rPr>
                <w:rFonts w:hint="eastAsia" w:ascii="Arial" w:hAnsi="Arial" w:eastAsia="宋体" w:cs="Arial"/>
                <w:sz w:val="22"/>
                <w:szCs w:val="22"/>
                <w:lang w:val="en-US" w:eastAsia="zh-CN"/>
              </w:rPr>
              <w:t>5</w:t>
            </w:r>
            <w:r>
              <w:rPr>
                <w:rFonts w:hint="eastAsia" w:ascii="Arial" w:hAnsi="Arial" w:cs="Arial"/>
                <w:sz w:val="22"/>
                <w:szCs w:val="22"/>
              </w:rPr>
              <w:t>. Promote educational equity and policy optimization</w:t>
            </w:r>
          </w:p>
          <w:p>
            <w:pPr>
              <w:rPr>
                <w:rFonts w:hint="eastAsia" w:ascii="Arial" w:hAnsi="Arial" w:cs="Arial"/>
                <w:sz w:val="22"/>
                <w:szCs w:val="22"/>
              </w:rPr>
            </w:pPr>
            <w:r>
              <w:rPr>
                <w:rFonts w:hint="eastAsia" w:ascii="Arial" w:hAnsi="Arial" w:cs="Arial"/>
                <w:sz w:val="22"/>
                <w:szCs w:val="22"/>
              </w:rPr>
              <w:t>Through comparative analysis, policy suggestions (such as regional technology resource sharing platform) are put forward to reduce the gap between colleges and universities in digital reform, help ordinary colleges and universities improve teaching quality with limited resources, and promote education equity.</w:t>
            </w:r>
          </w:p>
          <w:p>
            <w:pPr>
              <w:rPr>
                <w:rFonts w:hint="eastAsia" w:ascii="Arial" w:hAnsi="Arial" w:cs="Arial"/>
                <w:sz w:val="22"/>
                <w:szCs w:val="22"/>
              </w:rPr>
            </w:pPr>
          </w:p>
          <w:p>
            <w:pPr>
              <w:rPr>
                <w:rFonts w:hint="eastAsia" w:ascii="Arial" w:hAnsi="Arial" w:cs="Arial"/>
                <w:sz w:val="22"/>
                <w:szCs w:val="22"/>
              </w:rPr>
            </w:pPr>
            <w:r>
              <w:rPr>
                <w:rFonts w:hint="eastAsia" w:ascii="Arial" w:hAnsi="Arial" w:eastAsia="宋体" w:cs="Arial"/>
                <w:sz w:val="22"/>
                <w:szCs w:val="22"/>
                <w:lang w:val="en-US" w:eastAsia="zh-CN"/>
              </w:rPr>
              <w:t>6</w:t>
            </w:r>
            <w:r>
              <w:rPr>
                <w:rFonts w:hint="eastAsia" w:ascii="Arial" w:hAnsi="Arial" w:cs="Arial"/>
                <w:sz w:val="22"/>
                <w:szCs w:val="22"/>
              </w:rPr>
              <w:t>. Connect industry needs with talent training</w:t>
            </w:r>
          </w:p>
          <w:p>
            <w:pPr>
              <w:rPr>
                <w:rFonts w:hint="eastAsia" w:ascii="Arial" w:hAnsi="Arial" w:cs="Arial"/>
                <w:sz w:val="22"/>
                <w:szCs w:val="22"/>
              </w:rPr>
            </w:pPr>
            <w:r>
              <w:rPr>
                <w:rFonts w:hint="eastAsia" w:ascii="Arial" w:hAnsi="Arial" w:cs="Arial"/>
                <w:sz w:val="22"/>
                <w:szCs w:val="22"/>
              </w:rPr>
              <w:t>In combination with the skill requirements of emerging professions (such as e-sports narration and network live broadcasting), the course design is optimized, the employment competitiveness of students is enhanced, and the gap between college education and industry practice is narrowed.</w:t>
            </w:r>
          </w:p>
          <w:bookmarkEnd w:id="0"/>
          <w:p>
            <w:pPr>
              <w:rPr>
                <w:rFonts w:hint="eastAsia" w:ascii="Arial" w:hAnsi="Arial" w:cs="Arial"/>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autoSpaceDE w:val="0"/>
              <w:autoSpaceDN w:val="0"/>
              <w:adjustRightInd w:val="0"/>
              <w:rPr>
                <w:rFonts w:ascii="Arial" w:hAnsi="Arial" w:cs="Arial"/>
                <w:b/>
                <w:bCs/>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Existing studies have pointed out the limitations of broadcasting and vocalisation courses in teaching practical skills using traditional teaching modes (Hu, 2023), while blended teaching modes can enhance resource integration and training efficiency (Li, 2023). Although the Chinese Ministry of Education has continued to promote the construction of online educational resources since 2013 (Yin, 2024), the construction of online courses for broadcasting and hosting majors is still insufficient (Xu, 2020). Most of the current literature focuses on cases from a single institution and lacks comparative analyses across colleges, which limits a comprehensive understanding of teaching method choices.</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This study will fill this gap by comparing the teaching practices of institutions at different levels and exploring the teaching methods used in four different levels of broadcasting and vocalisation course. By analysing classroom observations and interview data, we will reveal the reasons why instructors at different levels of institutions choose their teaching methods, as well as the strengths and weaknesses of these methods in practice, and provide practical advice for instructors. In addition, it is expected that this study will explore how to overcome the obstacles faced in the process of blended teaching in order to improve the efficiency of faculty mentoring.</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The study plans to systematically collect and analyse feedback from teachers and students through classroom observations and in-depth interviews in order to reveal the impact of different teaching methods on student learning outcomes. In addition, the study will take into account the differences in resource allocation in different institutions, so as to provide more targeted recommendations on the choice of teaching methods.</w:t>
            </w:r>
          </w:p>
          <w:p>
            <w:pPr>
              <w:rPr>
                <w:rFonts w:ascii="Arial" w:hAnsi="Arial" w:cs="Arial"/>
                <w:sz w:val="22"/>
                <w:szCs w:val="22"/>
              </w:rPr>
            </w:pPr>
          </w:p>
        </w:tc>
      </w:tr>
      <w:tr>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hint="eastAsia" w:ascii="Arial" w:hAnsi="Arial" w:eastAsia="宋体" w:cs="Arial"/>
                <w:color w:val="000000" w:themeColor="text1"/>
                <w:sz w:val="22"/>
                <w:szCs w:val="22"/>
                <w:highlight w:val="darkGray"/>
                <w:lang w:val="en-US" w:eastAsia="zh-CN"/>
                <w14:textFill>
                  <w14:solidFill>
                    <w14:schemeClr w14:val="tx1"/>
                  </w14:solidFill>
                </w14:textFill>
              </w:rPr>
            </w:pPr>
          </w:p>
          <w:p>
            <w:pPr>
              <w:rPr>
                <w:rFonts w:hint="eastAsia" w:ascii="Arial" w:hAnsi="Arial" w:eastAsia="宋体" w:cs="Arial"/>
                <w:b/>
                <w:bCs/>
                <w:color w:val="000000" w:themeColor="text1"/>
                <w:sz w:val="22"/>
                <w:szCs w:val="22"/>
                <w:highlight w:val="none"/>
                <w:lang w:val="en-US" w:eastAsia="zh-CN"/>
                <w14:textFill>
                  <w14:solidFill>
                    <w14:schemeClr w14:val="tx1"/>
                  </w14:solidFill>
                </w14:textFill>
              </w:rPr>
            </w:pPr>
            <w:r>
              <w:rPr>
                <w:rFonts w:hint="default" w:ascii="Arial" w:hAnsi="Arial" w:eastAsia="宋体" w:cs="Arial"/>
                <w:b/>
                <w:bCs/>
                <w:color w:val="000000" w:themeColor="text1"/>
                <w:sz w:val="22"/>
                <w:szCs w:val="22"/>
                <w:highlight w:val="none"/>
                <w:lang w:val="en-US" w:eastAsia="zh-CN"/>
                <w14:textFill>
                  <w14:solidFill>
                    <w14:schemeClr w14:val="tx1"/>
                  </w14:solidFill>
                </w14:textFill>
              </w:rPr>
              <w:t>Correspondence between methodology and research questions</w:t>
            </w:r>
            <w:r>
              <w:rPr>
                <w:rFonts w:hint="eastAsia" w:ascii="Arial" w:hAnsi="Arial" w:eastAsia="宋体" w:cs="Arial"/>
                <w:b/>
                <w:bCs/>
                <w:color w:val="000000" w:themeColor="text1"/>
                <w:sz w:val="22"/>
                <w:szCs w:val="22"/>
                <w:highlight w:val="none"/>
                <w:lang w:val="en-US" w:eastAsia="zh-CN"/>
                <w14:textFill>
                  <w14:solidFill>
                    <w14:schemeClr w14:val="tx1"/>
                  </w14:solidFill>
                </w14:textFill>
              </w:rPr>
              <w:t>：</w:t>
            </w:r>
          </w:p>
          <w:p>
            <w:pPr>
              <w:rPr>
                <w:rFonts w:hint="default" w:ascii="Arial" w:hAnsi="Arial" w:eastAsia="宋体" w:cs="Arial"/>
                <w:b/>
                <w:bCs/>
                <w:color w:val="000000" w:themeColor="text1"/>
                <w:sz w:val="22"/>
                <w:szCs w:val="22"/>
                <w:highlight w:val="none"/>
                <w:lang w:val="en-US" w:eastAsia="zh-CN"/>
                <w14:textFill>
                  <w14:solidFill>
                    <w14:schemeClr w14:val="tx1"/>
                  </w14:solidFill>
                </w14:textFill>
              </w:rPr>
            </w:pP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Question 1 (Status of teachers‘ teaching methods): classroom observation provides direct and accurate access to teaching behaviours, avoiding variability and subjectivity in teachers’ identification of teaching methods;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Question 2 (teachers' decision-making logic): teacher interviews reveal the relationship between teaching method choices and personal experiences, school resources, policy requirements, and student profiles, and explore the relationship between teaching method choices and different levels of institutions;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Question 3 (student experience): student interviews provide subjective feedback, triangulation validates associative approaches and learning outcomes.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p>
          <w:p>
            <w:pPr>
              <w:numPr>
                <w:ilvl w:val="0"/>
                <w:numId w:val="4"/>
              </w:num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Classroom Observation</w:t>
            </w:r>
          </w:p>
          <w:p>
            <w:pPr>
              <w:numPr>
                <w:numId w:val="0"/>
              </w:num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 xml:space="preserve">Purpose: </w:t>
            </w:r>
            <w:r>
              <w:rPr>
                <w:rFonts w:hint="default" w:ascii="Arial" w:hAnsi="Arial" w:eastAsia="宋体" w:cs="Arial"/>
                <w:color w:val="000000" w:themeColor="text1"/>
                <w:sz w:val="22"/>
                <w:szCs w:val="22"/>
                <w:highlight w:val="none"/>
                <w:lang w:val="en-US" w:eastAsia="zh-CN"/>
                <w14:textFill>
                  <w14:solidFill>
                    <w14:schemeClr w14:val="tx1"/>
                  </w14:solidFill>
                </w14:textFill>
              </w:rPr>
              <w:t>To systematically record the actual use of teaching methods and technological tools in broadcasting and vocalisation courses in four types of institutions (A+ to B level).</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Specific techniques: a form of remote online observation was used. 1-2 computers were placed in the classroom to record the details of the course using as many cameras and angles as possible, using Tencent conferencing (a commonly used conferencing software in China) or TEAM software to conduct synchronised course observation and record the process. The researcher observes remotely online and does not interrupt the operation of the classroom without participating in the teaching and interaction of the classroom, minimising the impact on the teacher's behaviour and the students' behaviour.</w:t>
            </w:r>
          </w:p>
          <w:p>
            <w:p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Participatory observation:</w:t>
            </w:r>
            <w:r>
              <w:rPr>
                <w:rFonts w:hint="default" w:ascii="Arial" w:hAnsi="Arial" w:eastAsia="宋体" w:cs="Arial"/>
                <w:color w:val="000000" w:themeColor="text1"/>
                <w:sz w:val="22"/>
                <w:szCs w:val="22"/>
                <w:highlight w:val="none"/>
                <w:lang w:val="en-US" w:eastAsia="zh-CN"/>
                <w14:textFill>
                  <w14:solidFill>
                    <w14:schemeClr w14:val="tx1"/>
                  </w14:solidFill>
                </w14:textFill>
              </w:rPr>
              <w:t xml:space="preserve"> At least 2 class periods were observed in each institution, focusing on core practical aspects (e.g. breath control, tongue-twister training) and recording details of teacher behaviour (e.g. number of demonstrations), teaching methods and student interaction patterns. A tabular format was also used to record the number of questions asked by the teacher, the frequency of classroom training for each student participant, the frequency of one-on-one training, the frequency of small group training, and the average length of time students spent practising in the classroom.</w:t>
            </w:r>
          </w:p>
          <w:p>
            <w:p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Video recordings:</w:t>
            </w:r>
            <w:r>
              <w:rPr>
                <w:rFonts w:hint="default" w:ascii="Arial" w:hAnsi="Arial" w:eastAsia="宋体" w:cs="Arial"/>
                <w:color w:val="000000" w:themeColor="text1"/>
                <w:sz w:val="22"/>
                <w:szCs w:val="22"/>
                <w:highlight w:val="none"/>
                <w:lang w:val="en-US" w:eastAsia="zh-CN"/>
                <w14:textFill>
                  <w14:solidFill>
                    <w14:schemeClr w14:val="tx1"/>
                  </w14:solidFill>
                </w14:textFill>
              </w:rPr>
              <w:t xml:space="preserve"> classroom footage was recorded with permission to capture non-verbal instructional details (e.g., gesture instruction) and use of technology tools (e.g., Praat speech analysis software interface).</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p>
          <w:p>
            <w:p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Data collection focus: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Frequency of application of instructional methods (e.g., traditional presentations vs. digital tools);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Level of technology integration (e.g., real-time speech analysis tools, online platform usage).</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Sample Scope:</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4 institutions (A+, A, B+, B) with at least 1 class observed at each institution;</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Total length of observation: ≥ 8 class hours.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p>
          <w:p>
            <w:pPr>
              <w:numPr>
                <w:ilvl w:val="0"/>
                <w:numId w:val="4"/>
              </w:numPr>
              <w:ind w:left="0" w:leftChars="0" w:firstLine="0" w:firstLineChars="0"/>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Semi-structured interviews</w:t>
            </w:r>
          </w:p>
          <w:p>
            <w:pPr>
              <w:numPr>
                <w:numId w:val="0"/>
              </w:numPr>
              <w:ind w:leftChars="0"/>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 xml:space="preserve">Purpose: </w:t>
            </w:r>
            <w:r>
              <w:rPr>
                <w:rFonts w:hint="default" w:ascii="Arial" w:hAnsi="Arial" w:eastAsia="宋体" w:cs="Arial"/>
                <w:color w:val="000000" w:themeColor="text1"/>
                <w:sz w:val="22"/>
                <w:szCs w:val="22"/>
                <w:highlight w:val="none"/>
                <w:lang w:val="en-US" w:eastAsia="zh-CN"/>
                <w14:textFill>
                  <w14:solidFill>
                    <w14:schemeClr w14:val="tx1"/>
                  </w14:solidFill>
                </w14:textFill>
              </w:rPr>
              <w:t>To reveal the logic of teachers‘ decision-making in choosing teaching methods, as well as students’ subjective experience of the course.</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p>
          <w:p>
            <w:p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Teacher interviews: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Participants: at least 1 teacher from each institution, 4 in total;</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Focus questions: Motivation for the choice of method (e.g., ‘Why do you insist on traditional vocal training? Is the choice of teaching method influenced by the teacher's personal learning experience"), resource constraints (e.g., funding for equipment), and policy requirements (e.g., online course metrics);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Process: Kvale's (1996) ‘funnel questioning’ was used to transition from macro-concepts (e.g., pedagogical views) to specific teaching styles and choices (e.g., perceptions of the use of technological tools, perceptions of blended learning).</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p>
          <w:p>
            <w:p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Student Interviews: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Participants: a stratified sample of 10% of the observed class size was used to select as many participants from as many different regions as possible, thus further exploring the impact of the choice of teaching methods in the broadcasting and vocalisation course on targeting students from different dialect areas.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Focus questions: evaluation of current teaching methods, individual learning outcomes, satisfaction with teaching methods and suggestions for improvement;</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Process: open-ended questions linked to classroom observations.</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Data collection:</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Audio recordings were transcribed verbatim and coded for themes (e.g., ‘resource-driven decision making,’ ‘barriers to student engagement’) using Nvivo12.</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p>
          <w:p>
            <w:pP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pPr>
            <w:r>
              <w:rPr>
                <w:rFonts w:hint="default" w:ascii="Arial Bold" w:hAnsi="Arial Bold" w:eastAsia="宋体" w:cs="Arial Bold"/>
                <w:b/>
                <w:bCs/>
                <w:color w:val="000000" w:themeColor="text1"/>
                <w:sz w:val="22"/>
                <w:szCs w:val="22"/>
                <w:highlight w:val="none"/>
                <w:lang w:val="en-US" w:eastAsia="zh-CN"/>
                <w14:textFill>
                  <w14:solidFill>
                    <w14:schemeClr w14:val="tx1"/>
                  </w14:solidFill>
                </w14:textFill>
              </w:rPr>
              <w:t>Sample size:</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Teachers: 4 interviews, 60-90 minutes each;</w:t>
            </w:r>
          </w:p>
          <w:p>
            <w:pPr>
              <w:rPr>
                <w:rFonts w:hint="default" w:ascii="Arial" w:hAnsi="Arial" w:eastAsia="宋体" w:cs="Arial"/>
                <w:color w:val="000000" w:themeColor="text1"/>
                <w:sz w:val="22"/>
                <w:szCs w:val="22"/>
                <w:highlight w:val="none"/>
                <w:lang w:val="en-US" w:eastAsia="zh-CN"/>
                <w14:textFill>
                  <w14:solidFill>
                    <w14:schemeClr w14:val="tx1"/>
                  </w14:solidFill>
                </w14:textFill>
              </w:rPr>
            </w:pPr>
            <w:r>
              <w:rPr>
                <w:rFonts w:hint="default" w:ascii="Arial" w:hAnsi="Arial" w:eastAsia="宋体" w:cs="Arial"/>
                <w:color w:val="000000" w:themeColor="text1"/>
                <w:sz w:val="22"/>
                <w:szCs w:val="22"/>
                <w:highlight w:val="none"/>
                <w:lang w:val="en-US" w:eastAsia="zh-CN"/>
                <w14:textFill>
                  <w14:solidFill>
                    <w14:schemeClr w14:val="tx1"/>
                  </w14:solidFill>
                </w14:textFill>
              </w:rPr>
              <w:t>Students: 20-30 interviews, 15-20 minutes each.</w:t>
            </w:r>
          </w:p>
          <w:p>
            <w:pPr>
              <w:rPr>
                <w:rFonts w:ascii="Arial" w:hAnsi="Arial" w:cs="Arial"/>
                <w:b/>
                <w:sz w:val="22"/>
                <w:szCs w:val="22"/>
              </w:rPr>
            </w:pP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cs="Arial"/>
                <w:b/>
                <w:sz w:val="22"/>
                <w:szCs w:val="22"/>
              </w:rPr>
            </w:pPr>
            <w:r>
              <w:rPr>
                <w:rFonts w:hint="eastAsia" w:ascii="Arial" w:hAnsi="Arial" w:cs="Arial"/>
                <w:b w:val="0"/>
                <w:bCs/>
                <w:sz w:val="22"/>
                <w:szCs w:val="22"/>
              </w:rPr>
              <w:t>The research activities are expected to be carried out in four universities offering broadcasting and hosting programmes in the north-central region of China. The research will not address the ethical requirements of the region and will comply with the requirements of BERA (2024) during the research process.</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hint="eastAsia" w:ascii="Arial" w:hAnsi="Arial" w:cs="Arial"/>
                <w:sz w:val="22"/>
                <w:szCs w:val="22"/>
              </w:rPr>
            </w:pPr>
            <w:r>
              <w:rPr>
                <w:rFonts w:hint="eastAsia" w:ascii="Arial" w:hAnsi="Arial" w:cs="Arial"/>
                <w:sz w:val="22"/>
                <w:szCs w:val="22"/>
              </w:rPr>
              <w:t>The researcher will conduct the study in the north-central region of China. There are currently no regional guidelines regarding the content of this study, and the geographic setting does not raise particular ethical issues and does not involve cultural sensitivities. The study will be conducted overseas and the researcher will conduct the study in the north-central region of China. There are currently no guidelines regarding the content of this research in the region concerned, and the geographic setting does not raise particular ethical issues and does not involve cultural sensitivities.</w:t>
            </w:r>
          </w:p>
          <w:p>
            <w:pPr>
              <w:rPr>
                <w:rFonts w:hint="eastAsia" w:ascii="Arial" w:hAnsi="Arial" w:cs="Arial"/>
                <w:sz w:val="22"/>
                <w:szCs w:val="22"/>
              </w:rPr>
            </w:pPr>
          </w:p>
        </w:tc>
      </w:tr>
    </w:tbl>
    <w:p>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It is currently anticipated that faculty members from four universities with different levels of broadcasting and hosting majors will be selected, with at least one faculty member from each school participating, for a total of at least four faculty members. The number of students will be based on the number of students enrolled in the broadcast hosting programme at the selected institutions and the number of students taught by these four teachers.</w:t>
            </w:r>
          </w:p>
          <w:p>
            <w:pPr>
              <w:bidi w:val="0"/>
              <w:rPr>
                <w:rFonts w:hint="default" w:ascii="Arial Regular" w:hAnsi="Arial Regular" w:cs="Arial Regular"/>
                <w:sz w:val="22"/>
                <w:szCs w:val="22"/>
              </w:rPr>
            </w:pPr>
            <w:r>
              <w:rPr>
                <w:rFonts w:hint="default" w:ascii="Arial Regular" w:hAnsi="Arial Regular" w:cs="Arial Regular"/>
                <w:sz w:val="22"/>
                <w:szCs w:val="22"/>
              </w:rPr>
              <w:t>The selection of the four institutions is based on the four grades (</w:t>
            </w:r>
            <w:r>
              <w:rPr>
                <w:rFonts w:hint="eastAsia" w:ascii="Arial Regular" w:hAnsi="Arial Regular" w:eastAsia="宋体" w:cs="Arial Regular"/>
                <w:sz w:val="22"/>
                <w:szCs w:val="22"/>
                <w:lang w:val="en-US" w:eastAsia="zh-CN"/>
              </w:rPr>
              <w:t>A</w:t>
            </w:r>
            <w:r>
              <w:rPr>
                <w:rFonts w:hint="default" w:ascii="Arial Regular" w:hAnsi="Arial Regular" w:cs="Arial Regular"/>
                <w:sz w:val="22"/>
                <w:szCs w:val="22"/>
              </w:rPr>
              <w:t>+ A B+ B) given by the 2025 Softech China Broadcast Hosting Ranking, and the selection of the four schools facilitates the exploration of the connection between the teaching methods used by the different grades of the universities and their professional rankings.</w:t>
            </w:r>
          </w:p>
          <w:p>
            <w:pPr>
              <w:bidi w:val="0"/>
              <w:rPr>
                <w:rFonts w:ascii="Arial" w:hAnsi="Arial" w:cs="Arial"/>
                <w:b/>
                <w:szCs w:val="22"/>
              </w:rPr>
            </w:pPr>
            <w:r>
              <w:rPr>
                <w:rFonts w:hint="default" w:ascii="Arial Regular" w:hAnsi="Arial Regular" w:cs="Arial Regular"/>
                <w:sz w:val="22"/>
                <w:szCs w:val="22"/>
              </w:rPr>
              <w:t>One teacher per school was chosen because of the small number of teachers teaching the broadcasting and vocalisation course and to avoid comparisons of teaching styles between teachers from the same school. However, if there is a possibility of increasing the number of teacher participants during implementation, the researcher may increase the sample size to improve the anonymity of the sample as appropriate.</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i/>
                <w:color w:val="808080"/>
                <w:sz w:val="18"/>
                <w:szCs w:val="18"/>
              </w:rPr>
            </w:pPr>
            <w:r>
              <w:rPr>
                <w:rFonts w:hint="eastAsia" w:ascii="Arial" w:hAnsi="Arial" w:cs="Arial"/>
                <w:sz w:val="22"/>
                <w:szCs w:val="22"/>
              </w:rPr>
              <w:t>Participants were broadcasting and vocalisation course instructors from four institutions and the students they teach..</w:t>
            </w:r>
          </w:p>
        </w:tc>
      </w:tr>
      <w:tr>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hint="eastAsia" w:ascii="Arial" w:hAnsi="Arial" w:cs="Arial"/>
                <w:sz w:val="22"/>
                <w:szCs w:val="22"/>
              </w:rPr>
            </w:pPr>
            <w:r>
              <w:rPr>
                <w:rFonts w:hint="eastAsia" w:ascii="Arial" w:hAnsi="Arial" w:cs="Arial"/>
                <w:sz w:val="22"/>
                <w:szCs w:val="22"/>
              </w:rPr>
              <w:t>The teaching method of broadcasting and vocalisation course involves the influence of dialects in different regions of China, and similar regions are influenced by dialects to a similar extent (Li, 2020). Therefore, the researcher will firstly screen out the colleges and universities that offer broadcasting and vocalisation courses in north-central China (major cities: Beijing, Xi'an, Taiyuan), secondly classify the colleges and universities according to the ranking of the majors, and then log into the official websites of different colleges and universities according to the classified list of the colleges and universities to look for broadcasting and vocalisation course teachers, and then send the proposed research report to the teachers' email addresses that can locate the information of the email addresses in an email format to seek consent from the teacher participants. The proposed study was then emailed to the teachers whose email addresses could be found to seek permission from the teacher participants.</w:t>
            </w:r>
          </w:p>
          <w:p>
            <w:pPr>
              <w:rPr>
                <w:rFonts w:hint="eastAsia" w:ascii="Arial" w:hAnsi="Arial" w:eastAsia="宋体" w:cs="Arial"/>
                <w:sz w:val="22"/>
                <w:szCs w:val="22"/>
                <w:lang w:val="en-US" w:eastAsia="zh-CN"/>
              </w:rPr>
            </w:pPr>
            <w:r>
              <w:rPr>
                <w:rFonts w:hint="eastAsia" w:ascii="Arial" w:hAnsi="Arial" w:cs="Arial"/>
                <w:sz w:val="22"/>
                <w:szCs w:val="22"/>
              </w:rPr>
              <w:t>At the same time, based on the previous learning background, the researcher know some teachers who teach broadcasting and vocali</w:t>
            </w:r>
            <w:r>
              <w:rPr>
                <w:rFonts w:hint="eastAsia" w:ascii="Arial" w:hAnsi="Arial" w:eastAsia="宋体" w:cs="Arial"/>
                <w:sz w:val="22"/>
                <w:szCs w:val="22"/>
                <w:lang w:val="en-US" w:eastAsia="zh-CN"/>
              </w:rPr>
              <w:t>s</w:t>
            </w:r>
            <w:r>
              <w:rPr>
                <w:rFonts w:hint="eastAsia" w:ascii="Arial" w:hAnsi="Arial" w:cs="Arial"/>
                <w:sz w:val="22"/>
                <w:szCs w:val="22"/>
              </w:rPr>
              <w:t>ation courses, and can solicit their willingness to participate or find teachers to participate in the research through their recommendations</w:t>
            </w:r>
            <w:r>
              <w:rPr>
                <w:rFonts w:hint="eastAsia" w:ascii="Arial" w:hAnsi="Arial" w:eastAsia="宋体" w:cs="Arial"/>
                <w:sz w:val="22"/>
                <w:szCs w:val="22"/>
                <w:lang w:val="en-US" w:eastAsia="zh-CN"/>
              </w:rPr>
              <w:t>.</w:t>
            </w:r>
          </w:p>
          <w:p>
            <w:pPr>
              <w:rPr>
                <w:rFonts w:hint="eastAsia" w:ascii="Arial" w:hAnsi="Arial" w:cs="Arial"/>
                <w:sz w:val="22"/>
                <w:szCs w:val="22"/>
              </w:rPr>
            </w:pPr>
            <w:r>
              <w:rPr>
                <w:rFonts w:hint="eastAsia" w:ascii="Arial" w:hAnsi="Arial" w:cs="Arial"/>
                <w:sz w:val="22"/>
                <w:szCs w:val="22"/>
              </w:rPr>
              <w:t>The student participants were mainly the students taught by the teacher participants, who could be found through the introduction of the teacher participants.</w:t>
            </w:r>
          </w:p>
          <w:p>
            <w:pPr>
              <w:rPr>
                <w:rFonts w:ascii="Arial" w:hAnsi="Arial" w:cs="Arial"/>
                <w:color w:val="808080"/>
                <w:sz w:val="18"/>
                <w:szCs w:val="18"/>
              </w:rPr>
            </w:pPr>
          </w:p>
        </w:tc>
      </w:tr>
    </w:tbl>
    <w:p>
      <w:pPr>
        <w:rPr>
          <w:rFonts w:ascii="Arial" w:hAnsi="Arial" w:cs="Arial"/>
          <w:bCs/>
          <w:sz w:val="24"/>
          <w:szCs w:val="24"/>
        </w:rPr>
      </w:pPr>
    </w:p>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This is a study of course teaching methods used in broadcast vocalisation classes at four universities in China, which may involve different personal information about teachers and students as well as positions and perceptions of different teaching methods.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This study anticipates the use of both (online) lesson observation and in-depth interviews.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Lesson observation involves specific teaching methods of the teachers, e.g. lesson or exercise materials used by the teachers will be recorded, which may violate intellectual property rights. Also the number of teachers selected for this study is small, four teachers are currently planned, which will affect the anonymity of the study as combined with the way the lessons are delivered, the researcher runs the risk of identifying the participants.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As for the students, classroom observations may record their behaviour and language, as well as their status when participating in the teaching, exercises and questions involving personal pronunciation may be recorded. At the same time if there is a situation where the teacher and the majority of the students in the classroom agree to participate in the study (more than eighty percents) a small number of students do not agree to the study will continue, which infringes on the rights and wishes of a small number of people.</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In the course of in-depth interviews, teachers will be required to disclose some detailed personal information such as the language environment in which they have grown up for a long period of time, the teaching styles they have received in the past when they studied broadcasting and vocalisation course, the school resources and policy requirements, and other topics that are restrictive to teaching. Conversations involving specific personal feelings will be recorded, which perhaps contain negative comments or sensitive topics about current school or government policies.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During the in-depth interview, students will also be required to disclose detailed personal information, such as the language environment in which they have grown up, the language spoken by their parents or family members, and so on. The interview also requires the student to provide grades for the course, as well as current opinions about the course, which may involve personal information and sensitive topics.</w:t>
            </w:r>
          </w:p>
          <w:p>
            <w:pPr>
              <w:pStyle w:val="9"/>
              <w:keepNext w:val="0"/>
              <w:keepLines w:val="0"/>
              <w:widowControl/>
              <w:suppressLineNumbers w:val="0"/>
              <w:rPr>
                <w:rFonts w:hint="default" w:ascii="Arial Regular" w:hAnsi="Arial Regular" w:cs="Arial Regular"/>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In response to the risks posed by classroom observation to teachers, the researcher expects to seek to increase the number of classroom observation samples in the course of the actual study and to ensure that the data from the study will not be used publicly, which will reduce the risks posed by the study.</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As for the small number of students who do not agree to participate in the study, the researcher will deal with the video and audio materials that appear, such as blurring the images of the characters and eliminating the audio, to ensure that their information will not be applied to the study.</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2.The risk posed by in-depth interviews will be reduced by anonymising the data and using telephone interviews, which can be reduced by coding the interviewee. Consent will also be sought from participants for questions related to student achievement, informing them that they can refuse to answer the question or provide a range of scores.</w:t>
            </w:r>
          </w:p>
          <w:p>
            <w:pPr>
              <w:autoSpaceDE w:val="0"/>
              <w:autoSpaceDN w:val="0"/>
              <w:adjustRightInd w:val="0"/>
              <w:rPr>
                <w:rFonts w:ascii="Arial" w:hAnsi="Arial" w:cs="Arial"/>
                <w:i/>
              </w:rPr>
            </w:pP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The study did not include criminal, drug or sexual activity. Participants were only interviewed about their learning experiences and feelings.</w:t>
            </w: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hint="default" w:ascii="Arial" w:hAnsi="Arial" w:cs="Arial"/>
                <w:sz w:val="22"/>
                <w:szCs w:val="22"/>
                <w:lang w:val="en-US"/>
              </w:rPr>
            </w:pPr>
            <w:r>
              <w:rPr>
                <w:rFonts w:hint="eastAsia" w:ascii="Arial" w:hAnsi="Arial" w:cs="Arial"/>
                <w:sz w:val="22"/>
                <w:szCs w:val="22"/>
              </w:rPr>
              <w:t>1. Time pressure for research completion</w:t>
            </w:r>
            <w:r>
              <w:rPr>
                <w:rFonts w:hint="default" w:ascii="Arial" w:hAnsi="Arial" w:cs="Arial"/>
                <w:sz w:val="22"/>
                <w:szCs w:val="22"/>
                <w:lang w:val="en-US"/>
              </w:rPr>
              <w:t>.</w:t>
            </w:r>
          </w:p>
          <w:p>
            <w:pPr>
              <w:rPr>
                <w:rFonts w:hint="eastAsia" w:ascii="Arial" w:hAnsi="Arial" w:cs="Arial"/>
                <w:sz w:val="22"/>
                <w:szCs w:val="22"/>
              </w:rPr>
            </w:pPr>
            <w:r>
              <w:rPr>
                <w:rFonts w:hint="eastAsia" w:ascii="Arial" w:hAnsi="Arial" w:cs="Arial"/>
                <w:sz w:val="22"/>
                <w:szCs w:val="22"/>
              </w:rPr>
              <w:t xml:space="preserve">2. The pressure of data collection and sample analysis. </w:t>
            </w:r>
          </w:p>
          <w:p>
            <w:pPr>
              <w:rPr>
                <w:rFonts w:hint="default" w:ascii="Arial" w:hAnsi="Arial" w:cs="Arial"/>
                <w:sz w:val="22"/>
                <w:szCs w:val="22"/>
                <w:lang w:val="en-US"/>
              </w:rPr>
            </w:pPr>
            <w:r>
              <w:rPr>
                <w:rFonts w:hint="eastAsia" w:ascii="Arial" w:hAnsi="Arial" w:cs="Arial"/>
                <w:sz w:val="22"/>
                <w:szCs w:val="22"/>
              </w:rPr>
              <w:t>3. The pressure of research data mishandling</w:t>
            </w:r>
            <w:r>
              <w:rPr>
                <w:rFonts w:hint="default" w:ascii="Arial" w:hAnsi="Arial" w:cs="Arial"/>
                <w:sz w:val="22"/>
                <w:szCs w:val="22"/>
                <w:lang w:val="en-US"/>
              </w:rPr>
              <w:t>.</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hint="default" w:ascii="Arial" w:hAnsi="Arial" w:cs="Arial"/>
                <w:sz w:val="22"/>
                <w:szCs w:val="22"/>
                <w:lang w:val="en-US"/>
              </w:rPr>
            </w:pPr>
            <w:r>
              <w:rPr>
                <w:rFonts w:hint="eastAsia" w:ascii="Arial" w:hAnsi="Arial" w:cs="Arial"/>
                <w:sz w:val="22"/>
                <w:szCs w:val="22"/>
              </w:rPr>
              <w:t>1.Understand the situation in advance, sort out the schedule, and strictly follow the plan</w:t>
            </w:r>
            <w:r>
              <w:rPr>
                <w:rFonts w:hint="default" w:ascii="Arial" w:hAnsi="Arial" w:cs="Arial"/>
                <w:sz w:val="22"/>
                <w:szCs w:val="22"/>
                <w:lang w:val="en-US"/>
              </w:rPr>
              <w:t>.</w:t>
            </w:r>
          </w:p>
          <w:p>
            <w:pPr>
              <w:autoSpaceDE w:val="0"/>
              <w:autoSpaceDN w:val="0"/>
              <w:adjustRightInd w:val="0"/>
              <w:rPr>
                <w:rFonts w:hint="default" w:ascii="Arial" w:hAnsi="Arial" w:cs="Arial"/>
                <w:sz w:val="22"/>
                <w:szCs w:val="22"/>
                <w:lang w:val="en-US"/>
              </w:rPr>
            </w:pPr>
            <w:r>
              <w:rPr>
                <w:rFonts w:hint="eastAsia" w:ascii="Arial" w:hAnsi="Arial" w:cs="Arial"/>
                <w:sz w:val="22"/>
                <w:szCs w:val="22"/>
              </w:rPr>
              <w:t>2. Actively communicate with researchers and prepare a table of classroom observation and research in advance, such as the number of questions asked by teachers, the interaction between teachers and students, the number of exchanges between students, the number of demonstrations by teachers, etc. At the same time, the in-depth interview should also write out the outline and semi-structured questions in detail in advance</w:t>
            </w:r>
            <w:r>
              <w:rPr>
                <w:rFonts w:hint="default" w:ascii="Arial" w:hAnsi="Arial" w:cs="Arial"/>
                <w:sz w:val="22"/>
                <w:szCs w:val="22"/>
                <w:lang w:val="en-US"/>
              </w:rPr>
              <w:t>.</w:t>
            </w:r>
          </w:p>
          <w:p>
            <w:pPr>
              <w:autoSpaceDE w:val="0"/>
              <w:autoSpaceDN w:val="0"/>
              <w:adjustRightInd w:val="0"/>
              <w:rPr>
                <w:rFonts w:hint="eastAsia" w:ascii="Arial" w:hAnsi="Arial" w:eastAsia="宋体" w:cs="Arial"/>
                <w:i/>
                <w:sz w:val="18"/>
                <w:szCs w:val="18"/>
                <w:lang w:val="en-US" w:eastAsia="zh-CN"/>
              </w:rPr>
            </w:pPr>
            <w:r>
              <w:rPr>
                <w:rFonts w:hint="eastAsia" w:ascii="Arial" w:hAnsi="Arial" w:cs="Arial"/>
                <w:sz w:val="22"/>
                <w:szCs w:val="22"/>
              </w:rPr>
              <w:t>3. Actively communicated with supervisor to inquire about the correctness of data processing steps, and systematically learned the method of data analysis</w:t>
            </w:r>
            <w:r>
              <w:rPr>
                <w:rFonts w:hint="eastAsia" w:ascii="Arial" w:hAnsi="Arial" w:eastAsia="宋体" w:cs="Arial"/>
                <w:sz w:val="22"/>
                <w:szCs w:val="22"/>
                <w:lang w:val="en-US" w:eastAsia="zh-CN"/>
              </w:rPr>
              <w:t>.</w:t>
            </w:r>
          </w:p>
          <w:p>
            <w:pPr>
              <w:autoSpaceDE w:val="0"/>
              <w:autoSpaceDN w:val="0"/>
              <w:adjustRightInd w:val="0"/>
              <w:rPr>
                <w:rFonts w:hint="default" w:ascii="Arial" w:hAnsi="Arial" w:eastAsia="宋体" w:cs="Arial"/>
                <w:i/>
                <w:sz w:val="18"/>
                <w:szCs w:val="18"/>
                <w:lang w:val="en-US" w:eastAsia="zh-CN"/>
              </w:rPr>
            </w:pP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risks to schools are minimal</w:t>
            </w:r>
            <w:r>
              <w:rPr>
                <w:rFonts w:hint="default" w:ascii="Arial Regular" w:hAnsi="Arial Regular" w:eastAsia="宋体" w:cs="Arial Regular"/>
                <w:sz w:val="22"/>
                <w:szCs w:val="22"/>
                <w:lang w:val="en-US" w:eastAsia="zh-CN"/>
              </w:rPr>
              <w:t>.</w:t>
            </w:r>
            <w:r>
              <w:rPr>
                <w:rFonts w:hint="default" w:ascii="Arial Regular" w:hAnsi="Arial Regular" w:cs="Arial Regular"/>
                <w:sz w:val="22"/>
                <w:szCs w:val="22"/>
              </w:rPr>
              <w:t>However, it may involve sensitive information about different universities' requirements for broadcast vocalisation courses and development plans, such as the use of educational resources and the importance attached to resource building.</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bidi w:val="0"/>
              <w:rPr>
                <w:rFonts w:hint="default" w:ascii="Arial Regular" w:hAnsi="Arial Regular" w:cs="Arial Regular"/>
              </w:rPr>
            </w:pPr>
          </w:p>
          <w:p>
            <w:pPr>
              <w:bidi w:val="0"/>
              <w:rPr>
                <w:rFonts w:hint="default" w:ascii="Arial Regular" w:hAnsi="Arial Regular" w:eastAsia="宋体" w:cs="Arial Regular"/>
                <w:sz w:val="22"/>
                <w:szCs w:val="22"/>
                <w:lang w:val="en-US" w:eastAsia="zh-CN"/>
              </w:rPr>
            </w:pPr>
            <w:r>
              <w:rPr>
                <w:rFonts w:hint="default" w:ascii="Arial Regular" w:hAnsi="Arial Regular" w:eastAsia="宋体" w:cs="Arial Regular"/>
                <w:sz w:val="22"/>
                <w:szCs w:val="22"/>
                <w:lang w:val="en-US" w:eastAsia="zh-CN"/>
              </w:rPr>
              <w:t>If these school policy requirements limit professional development, they may have to be discussed, but researcher will discuss them in accordance with the ethical requirements of BERA(2024).</w:t>
            </w: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hint="eastAsia" w:ascii="Arial" w:hAnsi="Arial" w:eastAsia="宋体" w:cs="Arial"/>
                <w:sz w:val="22"/>
                <w:szCs w:val="22"/>
                <w:lang w:val="en-US" w:eastAsia="zh-CN"/>
              </w:rPr>
            </w:pPr>
            <w:r>
              <w:rPr>
                <w:rFonts w:hint="eastAsia" w:ascii="Arial" w:hAnsi="Arial" w:cs="Arial"/>
                <w:sz w:val="22"/>
                <w:szCs w:val="22"/>
              </w:rPr>
              <w:t>There are no environmental risks involved</w:t>
            </w:r>
            <w:r>
              <w:rPr>
                <w:rFonts w:hint="eastAsia" w:ascii="Arial" w:hAnsi="Arial" w:eastAsia="宋体" w:cs="Arial"/>
                <w:sz w:val="22"/>
                <w:szCs w:val="22"/>
                <w:lang w:val="en-US" w:eastAsia="zh-CN"/>
              </w:rPr>
              <w:t>.</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i/>
                <w:sz w:val="18"/>
                <w:szCs w:val="18"/>
              </w:rPr>
              <w:t>How you will mitigate the risk to environment:</w:t>
            </w:r>
          </w:p>
          <w:p>
            <w:pPr>
              <w:rPr>
                <w:rFonts w:ascii="Arial" w:hAnsi="Arial" w:cs="Arial"/>
                <w:sz w:val="22"/>
                <w:szCs w:val="22"/>
              </w:rPr>
            </w:pPr>
          </w:p>
          <w:p>
            <w:pPr>
              <w:autoSpaceDE w:val="0"/>
              <w:autoSpaceDN w:val="0"/>
              <w:adjustRightInd w:val="0"/>
              <w:rPr>
                <w:rFonts w:ascii="Arial" w:hAnsi="Arial" w:cs="Arial"/>
              </w:rPr>
            </w:pPr>
          </w:p>
        </w:tc>
      </w:tr>
    </w:tbl>
    <w:p>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bidi w:val="0"/>
              <w:rPr>
                <w:rFonts w:hint="default" w:ascii="Arial Regular" w:hAnsi="Arial Regular" w:cs="Arial Regular"/>
                <w:sz w:val="22"/>
                <w:szCs w:val="22"/>
              </w:rPr>
            </w:pPr>
            <w:r>
              <w:rPr>
                <w:rFonts w:hint="default" w:ascii="Arial Bold" w:hAnsi="Arial Bold" w:cs="Arial Bold"/>
                <w:b/>
                <w:bCs/>
                <w:sz w:val="22"/>
                <w:szCs w:val="22"/>
              </w:rPr>
              <w:t>Lesson observation (online):</w:t>
            </w:r>
            <w:r>
              <w:rPr>
                <w:rFonts w:hint="default" w:ascii="Arial Regular" w:hAnsi="Arial Regular" w:cs="Arial Regular"/>
                <w:sz w:val="22"/>
                <w:szCs w:val="22"/>
              </w:rPr>
              <w:t xml:space="preserve"> Before the lesson observation begins, the researcher confirms the participant's willingness to participate and informs the participant that their behaviour and words will be recorded on video, and that statements and behaviours related to the lesson will be highlighted. The researcher expects participants to be relaxed and just go through the lesson as normal, without the need to perform. The researcher will not be involved in the teaching and learning process and will not interrupt the teaching and learning process. At the same time, due to the large number of subjects and the long duration of the observation, the whole behaviour of each subject will not be recorded, but mainly the part closely related to teaching and learning, such as the number of times the individual receives individual tutoring from the teacher, the length of practice in the class, and the number of interactions with classmates, etc. The feedback report will be released at the end of the data collection. Feedback reports will be distributed 2-4 months after the end of the data collection, while for the observation results the researcher will only distribute them to the participants who are interested in knowing about them, the participants can leave their email information, and such results will be distributed mainly in the form of a table. Finally participants can change their intention to participate within two months of participating in the survey as the researcher expects that it will take two months to collect the data and participants will not be able to change their intention to participate once they are at the stage of analysing the data.</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After the classroom observation the researcher will ask each participant about their willingness to participate in an in-depth interview and record the email information of interested participants.</w:t>
            </w:r>
          </w:p>
          <w:p>
            <w:pPr>
              <w:bidi w:val="0"/>
              <w:rPr>
                <w:rFonts w:hint="default" w:ascii="Arial Bold" w:hAnsi="Arial Bold" w:cs="Arial Bold"/>
                <w:b/>
                <w:bCs/>
                <w:sz w:val="22"/>
                <w:szCs w:val="22"/>
              </w:rPr>
            </w:pPr>
          </w:p>
          <w:p>
            <w:pPr>
              <w:bidi w:val="0"/>
              <w:rPr>
                <w:rFonts w:hint="default" w:ascii="Arial Regular" w:hAnsi="Arial Regular" w:cs="Arial Regular"/>
                <w:sz w:val="22"/>
                <w:szCs w:val="22"/>
              </w:rPr>
            </w:pPr>
            <w:r>
              <w:rPr>
                <w:rFonts w:hint="default" w:ascii="Arial Bold" w:hAnsi="Arial Bold" w:cs="Arial Bold"/>
                <w:b/>
                <w:bCs/>
                <w:sz w:val="22"/>
                <w:szCs w:val="22"/>
              </w:rPr>
              <w:t xml:space="preserve">In-depth Interview Process: </w:t>
            </w:r>
          </w:p>
          <w:p>
            <w:pPr>
              <w:bidi w:val="0"/>
              <w:rPr>
                <w:rFonts w:hint="default" w:ascii="Arial Regular" w:hAnsi="Arial Regular" w:cs="Arial Regular"/>
                <w:sz w:val="22"/>
                <w:szCs w:val="22"/>
              </w:rPr>
            </w:pPr>
            <w:r>
              <w:rPr>
                <w:rFonts w:hint="default" w:ascii="Arial Regular" w:hAnsi="Arial Regular" w:cs="Arial Regular"/>
                <w:sz w:val="22"/>
                <w:szCs w:val="22"/>
              </w:rPr>
              <w:t>Prior to the interview, participants will receive an outline of the interview and a letter of intent to consent to participate in the study, and the researcher will confirm with the participant the intent to participate and any sensitive topics in the outline that they wish to avoid. The researcher will explain that the interview will be recorded in audio format, during which the participant can withdraw any information they do not wish to be recorded at any time, and that at the end of the interview the audio will be converted to a paper transcript, which will not record any information that the participant wishes to withdraw. Participants will be able to change their mind about participation within two months of taking part in the survey as the researcher anticipates that it will take two months to collect the data and participants will not be able to change their mind about participation once they are in the data analysis phase.</w:t>
            </w:r>
          </w:p>
          <w:p>
            <w:pPr>
              <w:bidi w:val="0"/>
              <w:rPr>
                <w:rFonts w:hint="default" w:ascii="Arial Regular" w:hAnsi="Arial Regular" w:cs="Arial Regular"/>
                <w:sz w:val="22"/>
                <w:szCs w:val="22"/>
              </w:rPr>
            </w:pPr>
            <w:r>
              <w:rPr>
                <w:rFonts w:hint="default" w:ascii="Arial Regular" w:hAnsi="Arial Regular" w:cs="Arial Regular"/>
                <w:sz w:val="22"/>
                <w:szCs w:val="22"/>
              </w:rPr>
              <w:t>A summary of the interview and key insights will be provided at the end of the interview, as well as personalised feedback, such as individual data analyses regarding learning outcomes or classroom experiences. Participants will receive their own analyses for review and final confirmation of data access.</w:t>
            </w:r>
          </w:p>
          <w:p>
            <w:pPr>
              <w:bidi w:val="0"/>
              <w:rPr>
                <w:rFonts w:hint="default" w:ascii="Arial Regular" w:hAnsi="Arial Regular" w:cs="Arial Regular"/>
                <w:sz w:val="22"/>
                <w:szCs w:val="22"/>
              </w:rPr>
            </w:pPr>
          </w:p>
          <w:p>
            <w:pPr>
              <w:bidi w:val="0"/>
              <w:rPr>
                <w:rFonts w:hint="default" w:ascii="Arial Bold" w:hAnsi="Arial Bold" w:cs="Arial Bold"/>
                <w:b/>
                <w:bCs/>
                <w:sz w:val="22"/>
                <w:szCs w:val="22"/>
              </w:rPr>
            </w:pPr>
            <w:r>
              <w:rPr>
                <w:rFonts w:hint="default" w:ascii="Arial Bold" w:hAnsi="Arial Bold" w:cs="Arial Bold"/>
                <w:b/>
                <w:bCs/>
                <w:sz w:val="22"/>
                <w:szCs w:val="22"/>
              </w:rPr>
              <w:t xml:space="preserve">Debriefing and Feedback: </w:t>
            </w:r>
          </w:p>
          <w:p>
            <w:pPr>
              <w:bidi w:val="0"/>
              <w:rPr>
                <w:rFonts w:hint="default" w:ascii="Arial Regular" w:hAnsi="Arial Regular" w:cs="Arial Regular"/>
                <w:sz w:val="22"/>
                <w:szCs w:val="22"/>
              </w:rPr>
            </w:pPr>
            <w:r>
              <w:rPr>
                <w:rFonts w:hint="default" w:ascii="Arial Regular" w:hAnsi="Arial Regular" w:cs="Arial Regular"/>
                <w:sz w:val="22"/>
                <w:szCs w:val="22"/>
              </w:rPr>
              <w:t>- Preliminary Feedback: Following the course observations and interviews, participants will receive a preliminary report on the progress of the study, including the status of the data analysis and estimated time of completion.</w:t>
            </w:r>
          </w:p>
          <w:p>
            <w:pPr>
              <w:bidi w:val="0"/>
              <w:rPr>
                <w:rFonts w:hint="default" w:ascii="Arial Regular" w:hAnsi="Arial Regular" w:cs="Arial Regular"/>
                <w:sz w:val="22"/>
                <w:szCs w:val="22"/>
              </w:rPr>
            </w:pPr>
            <w:r>
              <w:rPr>
                <w:rFonts w:hint="default" w:ascii="Arial Regular" w:hAnsi="Arial Regular" w:cs="Arial Regular"/>
                <w:sz w:val="22"/>
                <w:szCs w:val="22"/>
              </w:rPr>
              <w:t>- Final Feedback: Formal debriefing will take place after the study is completed, typically within 3-5 months.</w:t>
            </w:r>
          </w:p>
          <w:p>
            <w:pPr>
              <w:bidi w:val="0"/>
              <w:rPr>
                <w:rFonts w:hint="default" w:ascii="Arial Regular" w:hAnsi="Arial Regular" w:cs="Arial Regular"/>
                <w:sz w:val="22"/>
                <w:szCs w:val="22"/>
              </w:rPr>
            </w:pPr>
            <w:r>
              <w:rPr>
                <w:rFonts w:hint="default" w:ascii="Arial Regular" w:hAnsi="Arial Regular" w:cs="Arial Regular"/>
                <w:sz w:val="22"/>
                <w:szCs w:val="22"/>
              </w:rPr>
              <w:t>- Ongoing Communication: If the study involves follow-up practices, participants will receive ongoing feedback and be invited to participate in discussions related to course design improvements.</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This process ensures that participants are informed and engaged throughout the study.</w:t>
            </w:r>
          </w:p>
          <w:p>
            <w:pPr>
              <w:bidi w:val="0"/>
              <w:rPr>
                <w:rFonts w:hint="default" w:ascii="Arial Regular" w:hAnsi="Arial Regular" w:cs="Arial Regular"/>
                <w:sz w:val="22"/>
                <w:szCs w:val="22"/>
              </w:rPr>
            </w:pPr>
            <w:r>
              <w:rPr>
                <w:rFonts w:hint="default" w:ascii="Arial Regular" w:hAnsi="Arial Regular" w:cs="Arial Regular"/>
                <w:sz w:val="22"/>
                <w:szCs w:val="22"/>
              </w:rPr>
              <w:t>At the same time, feedback is received on a voluntary basis, and the researcher will not force participants to read or participate in reporting activities. Participants have equal access to the study report and feedback regardless of their background, status, or level of involvement.</w:t>
            </w:r>
          </w:p>
          <w:p>
            <w:pPr>
              <w:rPr>
                <w:rFonts w:ascii="Arial" w:hAnsi="Arial" w:cs="Arial"/>
                <w:sz w:val="22"/>
                <w:szCs w:val="22"/>
              </w:rPr>
            </w:pP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numPr>
                <w:ilvl w:val="0"/>
                <w:numId w:val="5"/>
              </w:numPr>
              <w:rPr>
                <w:rFonts w:hint="default" w:ascii="Arial Bold" w:hAnsi="Arial Bold" w:cs="Arial Bold"/>
                <w:b/>
                <w:bCs/>
                <w:sz w:val="22"/>
                <w:szCs w:val="22"/>
              </w:rPr>
            </w:pPr>
            <w:r>
              <w:rPr>
                <w:rFonts w:hint="default" w:ascii="Arial Bold" w:hAnsi="Arial Bold" w:cs="Arial Bold"/>
                <w:b/>
                <w:bCs/>
                <w:sz w:val="22"/>
                <w:szCs w:val="22"/>
              </w:rPr>
              <w:t>Inform the arrangement before agreeing</w:t>
            </w:r>
          </w:p>
          <w:p>
            <w:pPr>
              <w:numPr>
                <w:numId w:val="0"/>
              </w:numPr>
              <w:rPr>
                <w:rFonts w:hint="eastAsia" w:ascii="Arial" w:hAnsi="Arial" w:cs="Arial"/>
                <w:sz w:val="22"/>
                <w:szCs w:val="22"/>
              </w:rPr>
            </w:pPr>
            <w:r>
              <w:rPr>
                <w:rFonts w:hint="eastAsia" w:ascii="Arial" w:hAnsi="Arial" w:cs="Arial"/>
                <w:sz w:val="22"/>
                <w:szCs w:val="22"/>
              </w:rPr>
              <w:t>The following will be detailed in writing to potential participants prior to the start of the study to ensure they fully understand what participation involves. The researcher will explain to the participants that the topic of this study is about the teaching methods of broadcast vocalization courses in Chinese universities, and explain that the purpose of this study is to further understand the current teaching methods of broadcast vocalization courses in order to improve teaching practice.</w:t>
            </w:r>
          </w:p>
          <w:p>
            <w:pPr>
              <w:rPr>
                <w:rFonts w:hint="eastAsia" w:ascii="Arial" w:hAnsi="Arial" w:cs="Arial"/>
                <w:sz w:val="22"/>
                <w:szCs w:val="22"/>
              </w:rPr>
            </w:pPr>
            <w:r>
              <w:rPr>
                <w:rFonts w:hint="eastAsia" w:ascii="Arial" w:hAnsi="Arial" w:cs="Arial"/>
                <w:sz w:val="22"/>
                <w:szCs w:val="22"/>
              </w:rPr>
              <w:t>At the same time, the researchers will describe specific forms of participation. This study includes online course observations and in-depth interviews. The online observation lasts at least 2 hours, and the in-depth interview lasts about 30-60 minutes. This study respects participants' willingness to participate, but course observation may involve groups of more than 10 people. If the majority of students are willing to participate in the online observation process, while the minority of students are unwilling to participate (for example, more than 80% of students agree to participate), information of non-participants will be hidden in the data analysis process, such as virtual labeling of people in the video. And delete the sound part. In-depth interviews mainly involve the academic experience or growth experience of teachers and students, the range of course grades, classroom experience, teaching effect evaluation, etc., involving more detailed personal opinions and feelings.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Participants will be collected and asked about their willingness to participate in an in-depth interview. If they would like to participate in the in-depth interview, they can leave their email information after the classroom observation, they will receive a letter of agreement to be surveyed and interview outline, which will be sent in the form of email so that they can understand the interview may face problems and potential pitfalls, and in order to ensure the anonymity of the study, participants will not be asked to provide their names and student numbers. The in-depth interview is a telephone interview, which will be recorded before the interview, but if the participant has words that he does not want to be recorded during the interview, they will be deleted in the subsequent process of converting the audio into text.</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Explain to participants that there is actually no risk involved in participating in the study and emphasize that there is no sensitivity involved. Participants were also asked to explain possible benefits, such as helping to improve the design of university broadcasting and sound courses, while providing participants with opportunities for self-reflection on the course.</w:t>
            </w:r>
          </w:p>
          <w:p>
            <w:pPr>
              <w:rPr>
                <w:rFonts w:hint="eastAsia" w:ascii="Arial" w:hAnsi="Arial" w:cs="Arial"/>
                <w:sz w:val="22"/>
                <w:szCs w:val="22"/>
              </w:rPr>
            </w:pPr>
            <w:r>
              <w:rPr>
                <w:rFonts w:hint="eastAsia" w:ascii="Arial" w:hAnsi="Arial" w:cs="Arial"/>
                <w:sz w:val="22"/>
                <w:szCs w:val="22"/>
              </w:rPr>
              <w:t>Participants will be informed that their data will be used for academic research only, anonymously and confidentially. Participation is entirely voluntary; Participants may withdraw at any time within 2 months of participation without explanation. If you have any questions, contact information for the researcher will be provided, and the researcher will provide a university email address.</w:t>
            </w:r>
          </w:p>
          <w:p>
            <w:pPr>
              <w:rPr>
                <w:rFonts w:hint="eastAsia" w:ascii="Arial" w:hAnsi="Arial" w:cs="Arial"/>
                <w:sz w:val="22"/>
                <w:szCs w:val="22"/>
              </w:rPr>
            </w:pPr>
          </w:p>
          <w:p>
            <w:pPr>
              <w:rPr>
                <w:rFonts w:hint="default" w:ascii="Arial Bold" w:hAnsi="Arial Bold" w:cs="Arial Bold"/>
                <w:b/>
                <w:bCs/>
                <w:sz w:val="22"/>
                <w:szCs w:val="22"/>
              </w:rPr>
            </w:pPr>
            <w:r>
              <w:rPr>
                <w:rFonts w:hint="default" w:ascii="Arial Bold" w:hAnsi="Arial Bold" w:eastAsia="宋体" w:cs="Arial Bold"/>
                <w:b/>
                <w:bCs/>
                <w:sz w:val="22"/>
                <w:szCs w:val="22"/>
                <w:lang w:val="en-US" w:eastAsia="zh-CN"/>
              </w:rPr>
              <w:t>2.Fully a</w:t>
            </w:r>
            <w:r>
              <w:rPr>
                <w:rFonts w:hint="default" w:ascii="Arial Bold" w:hAnsi="Arial Bold" w:cs="Arial Bold"/>
                <w:b/>
                <w:bCs/>
                <w:sz w:val="22"/>
                <w:szCs w:val="22"/>
              </w:rPr>
              <w:t>greed to the arrangement</w:t>
            </w:r>
          </w:p>
          <w:p>
            <w:pPr>
              <w:rPr>
                <w:rFonts w:hint="default" w:ascii="Arial" w:hAnsi="Arial" w:eastAsia="宋体" w:cs="Arial"/>
                <w:sz w:val="22"/>
                <w:szCs w:val="22"/>
                <w:lang w:val="en-US" w:eastAsia="zh-CN"/>
              </w:rPr>
            </w:pPr>
            <w:r>
              <w:rPr>
                <w:rFonts w:hint="eastAsia" w:ascii="Arial" w:hAnsi="Arial" w:cs="Arial"/>
                <w:sz w:val="22"/>
                <w:szCs w:val="22"/>
              </w:rPr>
              <w:t>- Course observation (online) : After obtaining the consent of the teacher, the students in the class taught by the teacher were introduced to the research, and the willingness of the students to participate was measured. More than 80% of the students agreed to start the online observation. Participants were then asked to sign an electronic consent form, which included information about the purpose of the study, how the data was collected, and what risks the participants faced. Students who did not want to participate were also asked for their consent to be recorded, explaining to them in detail that their appearance, voice, and behavior would not be used in the study</w:t>
            </w:r>
            <w:r>
              <w:rPr>
                <w:rFonts w:hint="default" w:ascii="Arial" w:hAnsi="Arial" w:cs="Arial"/>
                <w:sz w:val="22"/>
                <w:szCs w:val="22"/>
                <w:lang w:val="en-US"/>
              </w:rPr>
              <w:t>.</w:t>
            </w:r>
          </w:p>
          <w:p>
            <w:pPr>
              <w:rPr>
                <w:rFonts w:hint="eastAsia" w:ascii="Arial" w:hAnsi="Arial" w:cs="Arial"/>
                <w:sz w:val="22"/>
                <w:szCs w:val="22"/>
              </w:rPr>
            </w:pPr>
            <w:r>
              <w:rPr>
                <w:rFonts w:hint="eastAsia" w:ascii="Arial" w:hAnsi="Arial" w:cs="Arial"/>
                <w:sz w:val="22"/>
                <w:szCs w:val="22"/>
              </w:rPr>
              <w:t>- In-depth Interview: Participants will receive an electronic consent form outlining study details, which they must sign to indicate consent. If there is no written consent, verbal consent will be recorded at the beginning of the interview.</w:t>
            </w:r>
          </w:p>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Researchers will clearly state privacy measures to ensure participants understand how their data will be handled. Transparency in data processing and the scope of consent will be maintained at all times.</w:t>
            </w:r>
          </w:p>
          <w:p>
            <w:pPr>
              <w:rPr>
                <w:rFonts w:ascii="Arial" w:hAnsi="Arial" w:cs="Arial"/>
                <w:sz w:val="22"/>
                <w:szCs w:val="22"/>
              </w:rPr>
            </w:pP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bidi w:val="0"/>
              <w:rPr>
                <w:rFonts w:hint="default" w:ascii="Arial Regular" w:hAnsi="Arial Regular" w:cs="Arial Regular"/>
                <w:sz w:val="22"/>
                <w:szCs w:val="22"/>
              </w:rPr>
            </w:pPr>
            <w:r>
              <w:rPr>
                <w:rFonts w:hint="default" w:ascii="Arial Regular" w:hAnsi="Arial Regular" w:cs="Arial Regular"/>
                <w:sz w:val="22"/>
                <w:szCs w:val="22"/>
              </w:rPr>
              <w:t xml:space="preserve">1. Anonymity Guarantee </w:t>
            </w:r>
          </w:p>
          <w:p>
            <w:pPr>
              <w:bidi w:val="0"/>
              <w:rPr>
                <w:rFonts w:hint="default" w:ascii="Arial Regular" w:hAnsi="Arial Regular" w:cs="Arial Regular"/>
                <w:sz w:val="22"/>
                <w:szCs w:val="22"/>
              </w:rPr>
            </w:pPr>
            <w:r>
              <w:rPr>
                <w:rFonts w:hint="default" w:ascii="Arial Regular" w:hAnsi="Arial Regular" w:cs="Arial Regular"/>
                <w:sz w:val="22"/>
                <w:szCs w:val="22"/>
              </w:rPr>
              <w:t>- No Personally Identifiable Information: During classroom observations and interviews, no information is collected that could identify participants, such as names, school numbers, etc.</w:t>
            </w:r>
          </w:p>
          <w:p>
            <w:pPr>
              <w:bidi w:val="0"/>
              <w:rPr>
                <w:rFonts w:hint="default" w:ascii="Arial Regular" w:hAnsi="Arial Regular" w:cs="Arial Regular"/>
                <w:sz w:val="22"/>
                <w:szCs w:val="22"/>
              </w:rPr>
            </w:pPr>
            <w:r>
              <w:rPr>
                <w:rFonts w:hint="default" w:ascii="Arial Regular" w:hAnsi="Arial Regular" w:cs="Arial Regular"/>
                <w:sz w:val="22"/>
                <w:szCs w:val="22"/>
              </w:rPr>
              <w:t>- Coding system: Instead of using real names, each participant is assigned a unique code to ensure that data analysis cannot be traced back to a specific individual.</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 xml:space="preserve">2. Data collection and storage </w:t>
            </w:r>
          </w:p>
          <w:p>
            <w:pPr>
              <w:bidi w:val="0"/>
              <w:rPr>
                <w:rFonts w:hint="default" w:ascii="Arial Regular" w:hAnsi="Arial Regular" w:cs="Arial Regular"/>
                <w:sz w:val="22"/>
                <w:szCs w:val="22"/>
              </w:rPr>
            </w:pPr>
            <w:r>
              <w:rPr>
                <w:rFonts w:hint="default" w:ascii="Arial Regular" w:hAnsi="Arial Regular" w:cs="Arial Regular"/>
                <w:sz w:val="22"/>
                <w:szCs w:val="22"/>
              </w:rPr>
              <w:t>- Secure storage: All data collected (video, audio, tables, manuscripts) should be stored in a secure digital environment, currently considering applying for the use of the digital tool OneDrive, along with encrypted databases or password-protected folders.</w:t>
            </w:r>
          </w:p>
          <w:p>
            <w:pPr>
              <w:bidi w:val="0"/>
              <w:rPr>
                <w:rFonts w:hint="default" w:ascii="Arial Regular" w:hAnsi="Arial Regular" w:cs="Arial Regular"/>
                <w:sz w:val="22"/>
                <w:szCs w:val="22"/>
              </w:rPr>
            </w:pPr>
            <w:r>
              <w:rPr>
                <w:rFonts w:hint="default" w:ascii="Arial Regular" w:hAnsi="Arial Regular" w:cs="Arial Regular"/>
                <w:sz w:val="22"/>
                <w:szCs w:val="22"/>
              </w:rPr>
              <w:t xml:space="preserve">- Restricted access: No unauthorised personnel should have access to </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 xml:space="preserve">3. Confidentiality of outputs </w:t>
            </w:r>
          </w:p>
          <w:p>
            <w:pPr>
              <w:bidi w:val="0"/>
              <w:rPr>
                <w:rFonts w:hint="default" w:ascii="Arial Regular" w:hAnsi="Arial Regular" w:cs="Arial Regular"/>
                <w:sz w:val="22"/>
                <w:szCs w:val="22"/>
              </w:rPr>
            </w:pPr>
            <w:r>
              <w:rPr>
                <w:rFonts w:hint="default" w:ascii="Arial Regular" w:hAnsi="Arial Regular" w:cs="Arial Regular"/>
                <w:sz w:val="22"/>
                <w:szCs w:val="22"/>
              </w:rPr>
              <w:t>- Presentation of summary data: In the research report, data should be presented in summary form, avoiding any specific feedback from individual participants.</w:t>
            </w:r>
          </w:p>
          <w:p>
            <w:pPr>
              <w:bidi w:val="0"/>
              <w:rPr>
                <w:rFonts w:hint="default" w:ascii="Arial Regular" w:hAnsi="Arial Regular" w:cs="Arial Regular"/>
                <w:sz w:val="22"/>
                <w:szCs w:val="22"/>
              </w:rPr>
            </w:pPr>
            <w:r>
              <w:rPr>
                <w:rFonts w:hint="default" w:ascii="Arial Regular" w:hAnsi="Arial Regular" w:cs="Arial Regular"/>
                <w:sz w:val="22"/>
                <w:szCs w:val="22"/>
              </w:rPr>
              <w:t>Review of published content: Prior to publishing the research results, ensure that there is no information that identifies the participants, and modify sensitive information if necessary.</w:t>
            </w:r>
          </w:p>
          <w:p>
            <w:pPr>
              <w:autoSpaceDE w:val="0"/>
              <w:autoSpaceDN w:val="0"/>
              <w:adjustRightInd w:val="0"/>
              <w:rPr>
                <w:rFonts w:ascii="Arial" w:hAnsi="Arial"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The personal data involved in the study of classroom teaching methods for a broadcasting and vocalisation course at a Chinese university included audio and video recordings of the participants. The collection and use of these data is governed by strict ethical and legal regulations. The following is a description of the data and an explanation of the purpose of collection:</w:t>
            </w:r>
          </w:p>
          <w:p>
            <w:pPr>
              <w:rPr>
                <w:rFonts w:hint="eastAsia" w:ascii="Arial" w:hAnsi="Arial" w:cs="Arial"/>
                <w:sz w:val="22"/>
                <w:szCs w:val="22"/>
              </w:rPr>
            </w:pPr>
          </w:p>
          <w:p>
            <w:pPr>
              <w:rPr>
                <w:rFonts w:hint="eastAsia" w:ascii="Arial" w:hAnsi="Arial" w:eastAsia="宋体" w:cs="Arial"/>
                <w:b/>
                <w:bCs/>
                <w:sz w:val="22"/>
                <w:szCs w:val="22"/>
                <w:lang w:eastAsia="zh-CN"/>
              </w:rPr>
            </w:pPr>
            <w:r>
              <w:rPr>
                <w:rFonts w:hint="eastAsia" w:ascii="Arial" w:hAnsi="Arial" w:cs="Arial"/>
                <w:b/>
                <w:bCs/>
                <w:sz w:val="22"/>
                <w:szCs w:val="22"/>
              </w:rPr>
              <w:t>Description of the data</w:t>
            </w:r>
            <w:r>
              <w:rPr>
                <w:rFonts w:hint="eastAsia" w:ascii="Arial" w:hAnsi="Arial" w:eastAsia="宋体" w:cs="Arial"/>
                <w:b/>
                <w:bCs/>
                <w:sz w:val="22"/>
                <w:szCs w:val="22"/>
                <w:lang w:eastAsia="zh-CN"/>
              </w:rPr>
              <w:t>：</w:t>
            </w:r>
          </w:p>
          <w:p>
            <w:pPr>
              <w:rPr>
                <w:rFonts w:hint="default" w:ascii="Arial Bold" w:hAnsi="Arial Bold" w:cs="Arial Bold"/>
                <w:b/>
                <w:bCs/>
                <w:sz w:val="22"/>
                <w:szCs w:val="22"/>
              </w:rPr>
            </w:pPr>
            <w:r>
              <w:rPr>
                <w:rFonts w:hint="default" w:ascii="Arial Bold" w:hAnsi="Arial Bold" w:cs="Arial Bold"/>
                <w:b/>
                <w:bCs/>
                <w:sz w:val="22"/>
                <w:szCs w:val="22"/>
              </w:rPr>
              <w:t>1. Video recordings</w:t>
            </w:r>
          </w:p>
          <w:p>
            <w:pPr>
              <w:rPr>
                <w:rFonts w:hint="eastAsia" w:ascii="Arial" w:hAnsi="Arial" w:cs="Arial"/>
                <w:sz w:val="22"/>
                <w:szCs w:val="22"/>
              </w:rPr>
            </w:pPr>
            <w:r>
              <w:rPr>
                <w:rFonts w:hint="eastAsia" w:ascii="Arial" w:hAnsi="Arial" w:cs="Arial"/>
                <w:sz w:val="22"/>
                <w:szCs w:val="22"/>
              </w:rPr>
              <w:t>- Includes video files of participants' vocal exercises, speeches, dialogues, etc. in the classroom.</w:t>
            </w:r>
          </w:p>
          <w:p>
            <w:pPr>
              <w:rPr>
                <w:rFonts w:hint="eastAsia" w:ascii="Arial" w:hAnsi="Arial" w:cs="Arial"/>
                <w:sz w:val="22"/>
                <w:szCs w:val="22"/>
              </w:rPr>
            </w:pPr>
            <w:r>
              <w:rPr>
                <w:rFonts w:hint="eastAsia" w:ascii="Arial" w:hAnsi="Arial" w:cs="Arial"/>
                <w:sz w:val="22"/>
                <w:szCs w:val="22"/>
              </w:rPr>
              <w:t>- May contain information about the participant's voice characteristics, tone of voice, speed of speech, etc.</w:t>
            </w:r>
          </w:p>
          <w:p>
            <w:pPr>
              <w:rPr>
                <w:rFonts w:hint="eastAsia" w:ascii="Arial" w:hAnsi="Arial" w:cs="Arial"/>
                <w:sz w:val="22"/>
                <w:szCs w:val="22"/>
              </w:rPr>
            </w:pPr>
            <w:r>
              <w:rPr>
                <w:rFonts w:hint="eastAsia" w:ascii="Arial" w:hAnsi="Arial" w:cs="Arial"/>
                <w:sz w:val="22"/>
                <w:szCs w:val="22"/>
              </w:rPr>
              <w:t>-Includes video files of participants performing vocal exercises, performances, interactions, and other activities in the classroom.</w:t>
            </w:r>
          </w:p>
          <w:p>
            <w:pPr>
              <w:rPr>
                <w:rFonts w:hint="eastAsia" w:ascii="Arial" w:hAnsi="Arial" w:cs="Arial"/>
                <w:sz w:val="22"/>
                <w:szCs w:val="22"/>
              </w:rPr>
            </w:pPr>
            <w:r>
              <w:rPr>
                <w:rFonts w:hint="eastAsia" w:ascii="Arial" w:hAnsi="Arial" w:cs="Arial"/>
                <w:sz w:val="22"/>
                <w:szCs w:val="22"/>
              </w:rPr>
              <w:t>- May show participants' body language, facial expressions, interaction styles, etc.</w:t>
            </w:r>
          </w:p>
          <w:p>
            <w:pPr>
              <w:rPr>
                <w:rFonts w:hint="default" w:ascii="Arial Bold" w:hAnsi="Arial Bold" w:cs="Arial Bold"/>
                <w:b/>
                <w:bCs/>
                <w:sz w:val="22"/>
                <w:szCs w:val="22"/>
              </w:rPr>
            </w:pPr>
            <w:r>
              <w:rPr>
                <w:rFonts w:hint="default" w:ascii="Arial Bold" w:hAnsi="Arial Bold" w:cs="Arial Bold"/>
                <w:b/>
                <w:bCs/>
                <w:sz w:val="22"/>
                <w:szCs w:val="22"/>
              </w:rPr>
              <w:t xml:space="preserve">2. </w:t>
            </w:r>
            <w:r>
              <w:rPr>
                <w:rFonts w:hint="default" w:ascii="Arial Bold" w:hAnsi="Arial Bold" w:cs="Arial Bold"/>
                <w:b/>
                <w:bCs/>
                <w:sz w:val="22"/>
                <w:szCs w:val="22"/>
                <w:lang w:val="en-US"/>
              </w:rPr>
              <w:t>A</w:t>
            </w:r>
            <w:r>
              <w:rPr>
                <w:rFonts w:hint="default" w:ascii="Arial Bold" w:hAnsi="Arial Bold" w:cs="Arial Bold"/>
                <w:b/>
                <w:bCs/>
                <w:sz w:val="22"/>
                <w:szCs w:val="22"/>
              </w:rPr>
              <w:t>udio recordings:</w:t>
            </w:r>
          </w:p>
          <w:p>
            <w:pPr>
              <w:rPr>
                <w:rFonts w:hint="eastAsia" w:ascii="Arial" w:hAnsi="Arial" w:cs="Arial"/>
                <w:sz w:val="22"/>
                <w:szCs w:val="22"/>
              </w:rPr>
            </w:pPr>
            <w:r>
              <w:rPr>
                <w:rFonts w:hint="eastAsia" w:ascii="Arial" w:hAnsi="Arial" w:cs="Arial"/>
                <w:sz w:val="22"/>
                <w:szCs w:val="22"/>
              </w:rPr>
              <w:t>-may include vocal characteristics of participants</w:t>
            </w:r>
          </w:p>
          <w:p>
            <w:pPr>
              <w:rPr>
                <w:rFonts w:hint="eastAsia" w:ascii="Arial" w:hAnsi="Arial" w:cs="Arial"/>
                <w:sz w:val="22"/>
                <w:szCs w:val="22"/>
              </w:rPr>
            </w:pPr>
            <w:r>
              <w:rPr>
                <w:rFonts w:hint="eastAsia" w:ascii="Arial" w:hAnsi="Arial" w:cs="Arial"/>
                <w:sz w:val="22"/>
                <w:szCs w:val="22"/>
              </w:rPr>
              <w:t>-may include information about the participant's previous learning experiences, growth, personal insights, etc.</w:t>
            </w:r>
          </w:p>
          <w:p>
            <w:pPr>
              <w:rPr>
                <w:rFonts w:hint="eastAsia" w:ascii="Arial" w:hAnsi="Arial" w:cs="Arial"/>
                <w:sz w:val="22"/>
                <w:szCs w:val="22"/>
              </w:rPr>
            </w:pPr>
          </w:p>
          <w:p>
            <w:pPr>
              <w:rPr>
                <w:rFonts w:hint="default" w:ascii="Arial Bold" w:hAnsi="Arial Bold" w:cs="Arial Bold"/>
                <w:b/>
                <w:bCs/>
                <w:sz w:val="22"/>
                <w:szCs w:val="22"/>
              </w:rPr>
            </w:pPr>
            <w:r>
              <w:rPr>
                <w:rFonts w:hint="default" w:ascii="Arial Bold" w:hAnsi="Arial Bold" w:cs="Arial Bold"/>
                <w:b/>
                <w:bCs/>
                <w:sz w:val="22"/>
                <w:szCs w:val="22"/>
              </w:rPr>
              <w:t>Purpose of collection</w:t>
            </w:r>
          </w:p>
          <w:p>
            <w:pPr>
              <w:rPr>
                <w:rFonts w:hint="eastAsia" w:ascii="Arial" w:hAnsi="Arial" w:cs="Arial"/>
                <w:sz w:val="22"/>
                <w:szCs w:val="22"/>
              </w:rPr>
            </w:pPr>
            <w:r>
              <w:rPr>
                <w:rFonts w:hint="eastAsia" w:ascii="Arial" w:hAnsi="Arial" w:cs="Arial"/>
                <w:sz w:val="22"/>
                <w:szCs w:val="22"/>
              </w:rPr>
              <w:t>1. classroom effectiveness assessment:</w:t>
            </w:r>
          </w:p>
          <w:p>
            <w:pPr>
              <w:rPr>
                <w:rFonts w:hint="eastAsia" w:ascii="Arial" w:hAnsi="Arial" w:cs="Arial"/>
                <w:sz w:val="22"/>
                <w:szCs w:val="22"/>
              </w:rPr>
            </w:pPr>
            <w:r>
              <w:rPr>
                <w:rFonts w:hint="eastAsia" w:ascii="Arial" w:hAnsi="Arial" w:cs="Arial"/>
                <w:sz w:val="22"/>
                <w:szCs w:val="22"/>
              </w:rPr>
              <w:t>- Through audio and video recordings, it is possible to evaluate the classroom teaching effect more objectively, to compare the effect of the lessons on the trainees‘ pronunciation accuracy, and to analyse the trainees’ progress and shortcomings in their vocal skills.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2. Improvement of teaching methods:</w:t>
            </w:r>
          </w:p>
          <w:p>
            <w:pPr>
              <w:rPr>
                <w:rFonts w:hint="eastAsia" w:ascii="Arial" w:hAnsi="Arial" w:cs="Arial"/>
                <w:sz w:val="22"/>
                <w:szCs w:val="22"/>
              </w:rPr>
            </w:pPr>
            <w:r>
              <w:rPr>
                <w:rFonts w:hint="eastAsia" w:ascii="Arial" w:hAnsi="Arial" w:cs="Arial"/>
                <w:sz w:val="22"/>
                <w:szCs w:val="22"/>
              </w:rPr>
              <w:t>By analysing audio and video recordings, teachers can find out which teaching methods are effective and which need to be adjusted to improve the quality of teaching.</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3. Study of individual differences:</w:t>
            </w:r>
          </w:p>
          <w:p>
            <w:pPr>
              <w:rPr>
                <w:rFonts w:hint="eastAsia" w:ascii="Arial" w:hAnsi="Arial" w:cs="Arial"/>
                <w:sz w:val="22"/>
                <w:szCs w:val="22"/>
              </w:rPr>
            </w:pPr>
            <w:r>
              <w:rPr>
                <w:rFonts w:hint="eastAsia" w:ascii="Arial" w:hAnsi="Arial" w:cs="Arial"/>
                <w:sz w:val="22"/>
                <w:szCs w:val="22"/>
              </w:rPr>
              <w:t>- By analysing the performance of students, it is possible to study the differences in the performance of different individuals in the learning process and provide personalised suggestions for future teaching.</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4. Provide feedback:</w:t>
            </w:r>
          </w:p>
          <w:p>
            <w:pPr>
              <w:rPr>
                <w:rFonts w:ascii="Arial" w:hAnsi="Arial" w:cs="Arial"/>
                <w:sz w:val="22"/>
                <w:szCs w:val="22"/>
              </w:rPr>
            </w:pPr>
            <w:r>
              <w:rPr>
                <w:rFonts w:hint="eastAsia" w:ascii="Arial" w:hAnsi="Arial" w:cs="Arial"/>
                <w:sz w:val="22"/>
                <w:szCs w:val="22"/>
              </w:rPr>
              <w:t>The recorded audio and video data can be used as an important basis for self-assessment and teacher feedback, helping students to understand their own strengths and weaknesses.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9"/>
              <w:spacing w:before="0" w:beforeAutospacing="0" w:after="0" w:afterAutospacing="0"/>
              <w:rPr>
                <w:rFonts w:ascii="Arial" w:hAnsi="Arial" w:cs="Arial"/>
              </w:rPr>
            </w:pPr>
            <w:r>
              <w:rPr>
                <w:rFonts w:ascii="Arial" w:hAnsi="Arial" w:cs="Arial"/>
                <w:i/>
                <w:iCs/>
                <w:color w:val="000000"/>
                <w:sz w:val="20"/>
                <w:szCs w:val="23"/>
              </w:rPr>
              <w:t>(f) sexual life,</w:t>
            </w:r>
          </w:p>
          <w:p>
            <w:pPr>
              <w:pStyle w:val="9"/>
              <w:spacing w:before="0" w:beforeAutospacing="0" w:after="0" w:afterAutospacing="0"/>
              <w:rPr>
                <w:rFonts w:ascii="Arial" w:hAnsi="Arial" w:cs="Arial"/>
              </w:rPr>
            </w:pPr>
            <w:r>
              <w:rPr>
                <w:rFonts w:ascii="Arial" w:hAnsi="Arial" w:cs="Arial"/>
                <w:i/>
                <w:iCs/>
                <w:color w:val="000000"/>
                <w:sz w:val="20"/>
                <w:szCs w:val="23"/>
              </w:rPr>
              <w:t>(g) genetics,</w:t>
            </w:r>
          </w:p>
          <w:p>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1. Data backup program</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Periodic Automatic backup: Set a regular automatic backup schedule (such as daily or weekly) to ensure that all data is backed up at different points in time to prevent data loss.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Off-site backup: Backup data will be stored in different geographic locations (such as off-site servers or cloud storage) to prevent data loss due to natural disasters, hardware failures, or other unexpected events.</w:t>
            </w:r>
          </w:p>
          <w:p>
            <w:pPr>
              <w:autoSpaceDE w:val="0"/>
              <w:autoSpaceDN w:val="0"/>
              <w:adjustRightInd w:val="0"/>
              <w:rPr>
                <w:rFonts w:hint="eastAsia" w:ascii="Arial" w:hAnsi="Arial" w:cs="Arial"/>
                <w:b w:val="0"/>
                <w:bCs w:val="0"/>
                <w:sz w:val="22"/>
                <w:szCs w:val="22"/>
              </w:rPr>
            </w:pP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2. Password protection</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Strong Password Policy: All accounts are required to use strong passwords (containing at least uppercase and lowercase letters, numbers, and special characters) and to change passwords regularly (for example, every three months).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Account lock mechanism: After multiple incorrect password entries, the account is automatically locked and the administrator is notified to prevent unauthorized access.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Multi-factor authentication: When accessing sensitive data, enable multi-factor authentication (such as SMS verification codes or authentication apps), adding an extra layer of security.</w:t>
            </w:r>
          </w:p>
          <w:p>
            <w:pPr>
              <w:autoSpaceDE w:val="0"/>
              <w:autoSpaceDN w:val="0"/>
              <w:adjustRightInd w:val="0"/>
              <w:rPr>
                <w:rFonts w:hint="eastAsia" w:ascii="Arial" w:hAnsi="Arial" w:cs="Arial"/>
                <w:b w:val="0"/>
                <w:bCs w:val="0"/>
                <w:sz w:val="22"/>
                <w:szCs w:val="22"/>
              </w:rPr>
            </w:pPr>
          </w:p>
          <w:p>
            <w:pPr>
              <w:autoSpaceDE w:val="0"/>
              <w:autoSpaceDN w:val="0"/>
              <w:adjustRightInd w:val="0"/>
              <w:rPr>
                <w:rFonts w:hint="eastAsia" w:ascii="Arial" w:hAnsi="Arial" w:cs="Arial"/>
                <w:b w:val="0"/>
                <w:bCs w:val="0"/>
                <w:sz w:val="22"/>
                <w:szCs w:val="22"/>
              </w:rPr>
            </w:pPr>
            <w:r>
              <w:rPr>
                <w:rFonts w:hint="eastAsia" w:ascii="Arial" w:hAnsi="Arial" w:eastAsia="宋体" w:cs="Arial"/>
                <w:b w:val="0"/>
                <w:bCs w:val="0"/>
                <w:sz w:val="22"/>
                <w:szCs w:val="22"/>
                <w:lang w:val="en-US" w:eastAsia="zh-CN"/>
              </w:rPr>
              <w:t>3</w:t>
            </w:r>
            <w:r>
              <w:rPr>
                <w:rFonts w:hint="eastAsia" w:ascii="Arial" w:hAnsi="Arial" w:cs="Arial"/>
                <w:b w:val="0"/>
                <w:bCs w:val="0"/>
                <w:sz w:val="22"/>
                <w:szCs w:val="22"/>
              </w:rPr>
              <w:t>. Anonymization and pseudonymisation</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Data anonymization: Before analyzing and reporting data, remove all information that may identify participants (such as name, student number, etc.) to ensure data anonymity and prevent personal information leakage.</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Pseudonym processing: Participants are assigned pseudonyms or codes in place of real identity information. In this way, data aggregation analysis can still be performed at the analysis stage without exposing the true identity of the participants.</w:t>
            </w:r>
          </w:p>
          <w:p>
            <w:pPr>
              <w:autoSpaceDE w:val="0"/>
              <w:autoSpaceDN w:val="0"/>
              <w:adjustRightInd w:val="0"/>
              <w:rPr>
                <w:rFonts w:hint="eastAsia" w:ascii="Arial" w:hAnsi="Arial" w:cs="Arial"/>
                <w:b w:val="0"/>
                <w:bCs w:val="0"/>
                <w:sz w:val="22"/>
                <w:szCs w:val="22"/>
              </w:rPr>
            </w:pPr>
          </w:p>
          <w:p>
            <w:pPr>
              <w:autoSpaceDE w:val="0"/>
              <w:autoSpaceDN w:val="0"/>
              <w:adjustRightInd w:val="0"/>
              <w:rPr>
                <w:rFonts w:hint="eastAsia" w:ascii="Arial" w:hAnsi="Arial" w:cs="Arial"/>
                <w:b w:val="0"/>
                <w:bCs w:val="0"/>
                <w:sz w:val="22"/>
                <w:szCs w:val="22"/>
              </w:rPr>
            </w:pPr>
            <w:r>
              <w:rPr>
                <w:rFonts w:hint="eastAsia" w:ascii="Arial" w:hAnsi="Arial" w:eastAsia="宋体" w:cs="Arial"/>
                <w:b w:val="0"/>
                <w:bCs w:val="0"/>
                <w:sz w:val="22"/>
                <w:szCs w:val="22"/>
                <w:lang w:val="en-US" w:eastAsia="zh-CN"/>
              </w:rPr>
              <w:t>4.</w:t>
            </w:r>
            <w:r>
              <w:rPr>
                <w:rFonts w:hint="eastAsia" w:ascii="Arial" w:hAnsi="Arial" w:cs="Arial"/>
                <w:b w:val="0"/>
                <w:bCs w:val="0"/>
                <w:sz w:val="22"/>
                <w:szCs w:val="22"/>
              </w:rPr>
              <w:t xml:space="preserve"> Regular security audits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Security checks and assessments: Regular security audits and risk assessments are conducted to assess the effectiveness of data protection measures and to identify and remediate potential security vulnerabilities in a timely manner.</w:t>
            </w:r>
          </w:p>
          <w:p>
            <w:pPr>
              <w:rPr>
                <w:rFonts w:ascii="Arial" w:hAnsi="Arial" w:cs="Arial"/>
                <w:b/>
                <w:bCs/>
                <w:sz w:val="22"/>
                <w:szCs w:val="22"/>
              </w:rPr>
            </w:pPr>
            <w:r>
              <w:rPr>
                <w:rFonts w:hint="eastAsia" w:ascii="Arial" w:hAnsi="Arial" w:cs="Arial"/>
                <w:b w:val="0"/>
                <w:bCs w:val="0"/>
                <w:sz w:val="22"/>
                <w:szCs w:val="22"/>
              </w:rPr>
              <w:t>The above measures can effectively guarantee the security and confidentiality of the collected data, protect the privacy of participants, and meet ethical and legal requirements.</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 xml:space="preserve">The study was conducted in the </w:t>
            </w:r>
            <w:r>
              <w:rPr>
                <w:rFonts w:hint="eastAsia" w:ascii="Arial" w:hAnsi="Arial" w:eastAsia="宋体" w:cs="Arial"/>
                <w:sz w:val="22"/>
                <w:szCs w:val="22"/>
                <w:lang w:val="en-US" w:eastAsia="zh-CN"/>
              </w:rPr>
              <w:t>b</w:t>
            </w:r>
            <w:r>
              <w:rPr>
                <w:rFonts w:hint="eastAsia" w:ascii="Arial" w:hAnsi="Arial" w:cs="Arial"/>
                <w:sz w:val="22"/>
                <w:szCs w:val="22"/>
              </w:rPr>
              <w:t>roadcasting and hosting department of the Chinese University, and the video data collected by the online observation study will be transmitted from China to the UK via the Internet and mail. In the in-depth interview stage, in order to increase the participants' sense of security, solve the problems of participants' participation in the research or the change of participation intention, the researcher will provide the participants' university email address to answer their questions.</w:t>
            </w:r>
          </w:p>
          <w:p>
            <w:pPr>
              <w:autoSpaceDE w:val="0"/>
              <w:autoSpaceDN w:val="0"/>
              <w:adjustRightInd w:val="0"/>
              <w:rPr>
                <w:rFonts w:hint="eastAsia"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hint="eastAsia"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The data can be accessed by the researcher's supervisor and the supervisor of the research project to ensure that the researcher can receive professional guidance during the research process, but they only have the permission to view the data and not the permission to modify it.</w:t>
            </w:r>
          </w:p>
          <w:p>
            <w:pPr>
              <w:autoSpaceDE w:val="0"/>
              <w:autoSpaceDN w:val="0"/>
              <w:adjustRightInd w:val="0"/>
              <w:rPr>
                <w:rFonts w:hint="eastAsia"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rPr>
              <w:t xml:space="preserve">Researcher </w:t>
            </w:r>
            <w:r>
              <w:rPr>
                <w:rFonts w:hint="default" w:ascii="Arial" w:hAnsi="Arial" w:cs="Arial"/>
                <w:sz w:val="22"/>
                <w:szCs w:val="22"/>
                <w:lang w:val="en-US"/>
              </w:rPr>
              <w:t>(Zhuoying Han)</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1. Data store location</w:t>
            </w:r>
          </w:p>
          <w:p>
            <w:pPr>
              <w:bidi w:val="0"/>
              <w:rPr>
                <w:rFonts w:hint="default" w:ascii="Arial Regular" w:hAnsi="Arial Regular" w:cs="Arial Regular"/>
                <w:sz w:val="22"/>
                <w:szCs w:val="22"/>
              </w:rPr>
            </w:pPr>
            <w:r>
              <w:rPr>
                <w:rFonts w:hint="default" w:ascii="Arial Regular" w:hAnsi="Arial Regular" w:cs="Arial Regular"/>
                <w:sz w:val="22"/>
                <w:szCs w:val="22"/>
              </w:rPr>
              <w:t>Local servers: The data will be stored on local servers at the university or research institution, which are located in a protected environment with security measures.</w:t>
            </w:r>
          </w:p>
          <w:p>
            <w:pPr>
              <w:bidi w:val="0"/>
              <w:rPr>
                <w:rFonts w:hint="default" w:ascii="Arial Regular" w:hAnsi="Arial Regular" w:cs="Arial Regular"/>
                <w:sz w:val="22"/>
                <w:szCs w:val="22"/>
              </w:rPr>
            </w:pPr>
            <w:r>
              <w:rPr>
                <w:rFonts w:hint="default" w:ascii="Arial Regular" w:hAnsi="Arial Regular" w:cs="Arial Regular"/>
                <w:sz w:val="22"/>
                <w:szCs w:val="22"/>
              </w:rPr>
              <w:t xml:space="preserve">Cloud Storage services: Some data will be stored in a reliable cloud storage service provider (such as  Microsoft </w:t>
            </w:r>
            <w:r>
              <w:rPr>
                <w:rFonts w:hint="default" w:ascii="Arial Regular" w:hAnsi="Arial Regular" w:cs="Arial Regular"/>
                <w:sz w:val="22"/>
                <w:szCs w:val="22"/>
                <w:lang w:val="en-US" w:eastAsia="zh-CN"/>
              </w:rPr>
              <w:t>s</w:t>
            </w:r>
            <w:r>
              <w:rPr>
                <w:rFonts w:hint="default" w:ascii="Arial Regular" w:hAnsi="Arial Regular" w:cs="Arial Regular"/>
                <w:sz w:val="22"/>
                <w:szCs w:val="22"/>
              </w:rPr>
              <w:t>uite</w:t>
            </w:r>
            <w:r>
              <w:rPr>
                <w:rFonts w:hint="default" w:ascii="Arial Regular" w:hAnsi="Arial Regular" w:cs="Arial Regular"/>
                <w:sz w:val="22"/>
                <w:szCs w:val="22"/>
                <w:lang w:val="en-US" w:eastAsia="zh-CN"/>
              </w:rPr>
              <w:t xml:space="preserve"> of r</w:t>
            </w:r>
            <w:r>
              <w:rPr>
                <w:rFonts w:hint="default" w:ascii="Arial Regular" w:hAnsi="Arial Regular" w:cs="Arial Regular"/>
                <w:sz w:val="22"/>
                <w:szCs w:val="22"/>
              </w:rPr>
              <w:t>esource) to ensure data security and accessibility.</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2. Storage form</w:t>
            </w:r>
          </w:p>
          <w:p>
            <w:pPr>
              <w:bidi w:val="0"/>
              <w:rPr>
                <w:rFonts w:hint="default" w:ascii="Arial Regular" w:hAnsi="Arial Regular" w:cs="Arial Regular"/>
                <w:sz w:val="22"/>
                <w:szCs w:val="22"/>
              </w:rPr>
            </w:pPr>
            <w:r>
              <w:rPr>
                <w:rFonts w:hint="default" w:ascii="Arial Regular" w:hAnsi="Arial Regular" w:cs="Arial Regular"/>
                <w:sz w:val="22"/>
                <w:szCs w:val="22"/>
              </w:rPr>
              <w:t>- Raw data files : Audio and video recordings will be stored in their original format (mp3, mov, etc.) and survey results will be organized as doc. The audio will be transcribed and proofread in the format of doc.</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3. Data storage duration</w:t>
            </w:r>
          </w:p>
          <w:p>
            <w:pPr>
              <w:bidi w:val="0"/>
              <w:rPr>
                <w:rFonts w:hint="default" w:ascii="Arial Regular" w:hAnsi="Arial Regular" w:cs="Arial Regular"/>
                <w:sz w:val="22"/>
                <w:szCs w:val="22"/>
              </w:rPr>
            </w:pPr>
            <w:r>
              <w:rPr>
                <w:rFonts w:hint="default" w:ascii="Arial Regular" w:hAnsi="Arial Regular" w:cs="Arial Regular"/>
                <w:sz w:val="22"/>
                <w:szCs w:val="22"/>
              </w:rPr>
              <w:t>- Short-term storage: Data will be stored continuously for the duration of the study to facilitate analysis and feedback.</w:t>
            </w:r>
            <w:r>
              <w:rPr>
                <w:rFonts w:hint="default" w:ascii="Arial Regular" w:hAnsi="Arial Regular" w:cs="Arial Regular"/>
                <w:sz w:val="22"/>
                <w:szCs w:val="22"/>
                <w:lang w:val="en-US" w:eastAsia="zh-CN"/>
              </w:rPr>
              <w:t xml:space="preserve"> The relevant data will be deleted after the study.</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4. Data protection security measures</w:t>
            </w:r>
          </w:p>
          <w:p>
            <w:pPr>
              <w:bidi w:val="0"/>
              <w:rPr>
                <w:rFonts w:hint="default" w:ascii="Arial Regular" w:hAnsi="Arial Regular" w:cs="Arial Regular"/>
                <w:sz w:val="22"/>
                <w:szCs w:val="22"/>
              </w:rPr>
            </w:pPr>
            <w:r>
              <w:rPr>
                <w:rFonts w:hint="default" w:ascii="Arial Regular" w:hAnsi="Arial Regular" w:cs="Arial Regular"/>
                <w:sz w:val="22"/>
                <w:szCs w:val="22"/>
              </w:rPr>
              <w:t>- Encryption: All stored data is encrypted using a strong encryption algorithm (such as AES-256) to protect data security.</w:t>
            </w:r>
          </w:p>
          <w:p>
            <w:pPr>
              <w:bidi w:val="0"/>
              <w:rPr>
                <w:rFonts w:hint="default" w:ascii="Arial Regular" w:hAnsi="Arial Regular" w:cs="Arial Regular"/>
                <w:sz w:val="22"/>
                <w:szCs w:val="22"/>
              </w:rPr>
            </w:pPr>
            <w:r>
              <w:rPr>
                <w:rFonts w:hint="default" w:ascii="Arial Regular" w:hAnsi="Arial Regular" w:cs="Arial Regular"/>
                <w:sz w:val="22"/>
                <w:szCs w:val="22"/>
              </w:rPr>
              <w:t>- Access control: only authorized researchers and persons authorized by the researcher have access to the stored data,</w:t>
            </w:r>
          </w:p>
          <w:p>
            <w:pPr>
              <w:bidi w:val="0"/>
              <w:rPr>
                <w:rFonts w:hint="default" w:ascii="Arial Regular" w:hAnsi="Arial Regular" w:cs="Arial Regular"/>
                <w:sz w:val="22"/>
                <w:szCs w:val="22"/>
              </w:rPr>
            </w:pPr>
            <w:r>
              <w:rPr>
                <w:rFonts w:hint="default" w:ascii="Arial Regular" w:hAnsi="Arial Regular" w:cs="Arial Regular"/>
                <w:sz w:val="22"/>
                <w:szCs w:val="22"/>
              </w:rPr>
              <w:t>- Periodic backup: Implement periodic automatic backup procedures to ensure that data is backed up at different points in time to prevent data loss.</w:t>
            </w:r>
          </w:p>
          <w:p>
            <w:pPr>
              <w:bidi w:val="0"/>
              <w:rPr>
                <w:rFonts w:hint="default" w:ascii="Arial Regular" w:hAnsi="Arial Regular" w:cs="Arial Regular"/>
                <w:sz w:val="22"/>
                <w:szCs w:val="22"/>
              </w:rPr>
            </w:pPr>
            <w:r>
              <w:rPr>
                <w:rFonts w:hint="default" w:ascii="Arial Regular" w:hAnsi="Arial Regular" w:cs="Arial Regular"/>
                <w:sz w:val="22"/>
                <w:szCs w:val="22"/>
              </w:rPr>
              <w:t>Security audits: Regular security checks and risk assessments are carried out to ensure the effectiveness of data protection measures.</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5. Data archive</w:t>
            </w:r>
          </w:p>
          <w:p>
            <w:pPr>
              <w:bidi w:val="0"/>
              <w:rPr>
                <w:rFonts w:hint="default" w:ascii="Arial Regular" w:hAnsi="Arial Regular" w:cs="Arial Regular"/>
                <w:sz w:val="22"/>
                <w:szCs w:val="22"/>
              </w:rPr>
            </w:pPr>
            <w:r>
              <w:rPr>
                <w:rFonts w:hint="default" w:ascii="Arial Regular" w:hAnsi="Arial Regular" w:cs="Arial Regular"/>
                <w:sz w:val="22"/>
                <w:szCs w:val="22"/>
              </w:rPr>
              <w:t>Data archiving: After the study, all data collected will be archived for reference and verification in future studies.</w:t>
            </w:r>
          </w:p>
          <w:p>
            <w:pPr>
              <w:bidi w:val="0"/>
              <w:rPr>
                <w:rFonts w:hint="default" w:ascii="Arial Regular" w:hAnsi="Arial Regular" w:cs="Arial Regular"/>
                <w:sz w:val="22"/>
                <w:szCs w:val="22"/>
              </w:rPr>
            </w:pPr>
            <w:r>
              <w:rPr>
                <w:rFonts w:hint="default" w:ascii="Arial Regular" w:hAnsi="Arial Regular" w:cs="Arial Regular"/>
                <w:sz w:val="22"/>
                <w:szCs w:val="22"/>
              </w:rPr>
              <w:t>- Archived form: Archived data will include original data files and processed data, which will be encrypted and anonymized appropriately when archived.</w:t>
            </w:r>
          </w:p>
          <w:p>
            <w:pPr>
              <w:bidi w:val="0"/>
              <w:rPr>
                <w:rFonts w:hint="default" w:ascii="Arial Regular" w:hAnsi="Arial Regular" w:cs="Arial Regular"/>
                <w:sz w:val="22"/>
                <w:szCs w:val="22"/>
              </w:rPr>
            </w:pPr>
            <w:r>
              <w:rPr>
                <w:rFonts w:hint="default" w:ascii="Arial Regular" w:hAnsi="Arial Regular" w:cs="Arial Regular"/>
                <w:sz w:val="22"/>
                <w:szCs w:val="22"/>
              </w:rPr>
              <w:t>Archived location: Archived data will be stored on a secure server or cloud storage, ensuring its long-term accessibility and security.</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Non-archiving: If research data is not archived, reasons may include: The data involves highly sensitive personal information and is not suitable for long-term storage due to privacy concerns. The nature of the research project requires that the data be deleted immediately after completion to protect the anonymity of the participants.</w:t>
            </w:r>
          </w:p>
          <w:p>
            <w:pPr>
              <w:bidi w:val="0"/>
              <w:rPr>
                <w:rFonts w:hint="default" w:ascii="Arial Regular" w:hAnsi="Arial Regular" w:cs="Arial Regular"/>
                <w:sz w:val="22"/>
                <w:szCs w:val="22"/>
              </w:rPr>
            </w:pPr>
          </w:p>
          <w:p>
            <w:pPr>
              <w:bidi w:val="0"/>
              <w:rPr>
                <w:rFonts w:ascii="Arial" w:hAnsi="Arial" w:cs="Arial"/>
                <w:szCs w:val="22"/>
              </w:rPr>
            </w:pPr>
            <w:r>
              <w:rPr>
                <w:rFonts w:hint="default" w:ascii="Arial Regular" w:hAnsi="Arial Regular" w:cs="Arial Regular"/>
                <w:sz w:val="22"/>
                <w:szCs w:val="22"/>
              </w:rPr>
              <w:t>Through these arrangements, data can be securely stored throughout the study, protecting the privacy of participants and providing a sustainable resource for future research.</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default" w:ascii="Arial" w:hAnsi="Arial" w:cs="Arial"/>
                <w:sz w:val="22"/>
                <w:szCs w:val="22"/>
                <w:lang w:val="en-US"/>
              </w:rPr>
              <w:t>NO</w:t>
            </w: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Zhuoying </w:t>
            </w:r>
            <w:r>
              <w:rPr>
                <w:rFonts w:hint="default" w:ascii="Arial" w:hAnsi="Arial" w:eastAsia="宋体" w:cs="Arial"/>
                <w:sz w:val="22"/>
                <w:szCs w:val="22"/>
                <w:lang w:val="en-US" w:eastAsia="zh-CN"/>
              </w:rPr>
              <w:t>H</w:t>
            </w:r>
            <w:r>
              <w:rPr>
                <w:rFonts w:hint="eastAsia" w:ascii="Arial" w:hAnsi="Arial" w:eastAsia="宋体" w:cs="Arial"/>
                <w:sz w:val="22"/>
                <w:szCs w:val="22"/>
                <w:lang w:val="en-US" w:eastAsia="zh-CN"/>
              </w:rPr>
              <w:t>an</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rPr>
          <w:trHeight w:val="346"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rPr>
          <w:trHeight w:val="347"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rPr>
          <w:trHeight w:val="346"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0"/>
              <w:ind w:left="0"/>
              <w:rPr>
                <w:rFonts w:ascii="Arial" w:hAnsi="Arial" w:cs="Arial"/>
              </w:rPr>
            </w:pPr>
          </w:p>
        </w:tc>
        <w:tc>
          <w:tcPr>
            <w:tcW w:w="1013" w:type="pct"/>
            <w:vMerge w:val="restart"/>
          </w:tcPr>
          <w:p>
            <w:pPr>
              <w:pStyle w:val="30"/>
              <w:ind w:left="0"/>
              <w:rPr>
                <w:rFonts w:ascii="Arial" w:hAnsi="Arial" w:cs="Arial"/>
              </w:rPr>
            </w:pPr>
            <w:r>
              <w:rPr>
                <w:rFonts w:ascii="Arial" w:hAnsi="Arial" w:cs="Arial"/>
                <w:b/>
                <w:bCs/>
              </w:rPr>
              <w:t>Date:</w:t>
            </w:r>
          </w:p>
        </w:tc>
      </w:tr>
      <w:tr>
        <w:trPr>
          <w:trHeight w:val="347"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3"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rPr>
          <w:trHeight w:val="413" w:hRule="atLeast"/>
        </w:trPr>
        <w:tc>
          <w:tcPr>
            <w:tcW w:w="675" w:type="dxa"/>
            <w:shd w:val="clear" w:color="auto" w:fill="BEBEBE" w:themeFill="background1" w:themeFillShade="BF"/>
            <w:vAlign w:val="center"/>
          </w:tcPr>
          <w:sdt>
            <w:sdtPr>
              <w:rPr>
                <w:rFonts w:ascii="Arial" w:hAnsi="Arial" w:cs="Arial"/>
              </w:rPr>
              <w:id w:val="-1"/>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rPr>
          <w:trHeight w:val="492" w:hRule="atLeast"/>
        </w:trPr>
        <w:tc>
          <w:tcPr>
            <w:tcW w:w="675" w:type="dxa"/>
            <w:shd w:val="clear" w:color="auto" w:fill="BEBEBE" w:themeFill="background1" w:themeFillShade="BF"/>
            <w:vAlign w:val="center"/>
          </w:tcPr>
          <w:sdt>
            <w:sdtPr>
              <w:rPr>
                <w:rFonts w:ascii="Arial" w:hAnsi="Arial" w:cs="Arial"/>
              </w:rPr>
              <w:id w:val="-1"/>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roman"/>
    <w:pitch w:val="default"/>
    <w:sig w:usb0="00000000" w:usb1="00000000" w:usb2="02000000" w:usb3="00000000" w:csb0="0000019F" w:csb1="00000000"/>
  </w:font>
  <w:font w:name="Tahoma">
    <w:panose1 w:val="020B0804030504040204"/>
    <w:charset w:val="00"/>
    <w:family w:val="swiss"/>
    <w:pitch w:val="default"/>
    <w:sig w:usb0="E1002AFF" w:usb1="C000605B" w:usb2="00000029" w:usb3="00000000" w:csb0="200101FF" w:csb1="20280000"/>
  </w:font>
  <w:font w:name="Arial">
    <w:panose1 w:val="020B0704020202020204"/>
    <w:charset w:val="00"/>
    <w:family w:val="swiss"/>
    <w:pitch w:val="default"/>
    <w:sig w:usb0="E0002AFF" w:usb1="C0007843" w:usb2="00000009" w:usb3="00000000" w:csb0="400001FF" w:csb1="FFFF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Courier New">
    <w:panose1 w:val="02070609020205020404"/>
    <w:charset w:val="00"/>
    <w:family w:val="modern"/>
    <w:pitch w:val="default"/>
    <w:sig w:usb0="E0002AFF" w:usb1="C0007843" w:usb2="00000009" w:usb3="00000000" w:csb0="400001FF" w:csb1="FFFF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Hiragino Sans">
    <w:panose1 w:val="020B0700000000000000"/>
    <w:charset w:val="80"/>
    <w:family w:val="auto"/>
    <w:pitch w:val="default"/>
    <w:sig w:usb0="800002CF" w:usb1="6AC7FCFC" w:usb2="00000012" w:usb3="00000000" w:csb0="0002000D" w:csb1="00000000"/>
  </w:font>
  <w:font w:name="宋体-简">
    <w:panose1 w:val="02010800040101010101"/>
    <w:charset w:val="86"/>
    <w:family w:val="auto"/>
    <w:pitch w:val="default"/>
    <w:sig w:usb0="00000001" w:usb1="080F0000" w:usb2="00000000" w:usb3="00000000" w:csb0="00040000" w:csb1="00000000"/>
  </w:font>
  <w:font w:name="MS Gothic">
    <w:altName w:val="苹方-简"/>
    <w:panose1 w:val="00000000000000000000"/>
    <w:charset w:val="00"/>
    <w:family w:val="auto"/>
    <w:pitch w:val="default"/>
    <w:sig w:usb0="00000000" w:usb1="00000000" w:usb2="00000000" w:usb3="00000000" w:csb0="00000000" w:csb1="00000000"/>
  </w:font>
  <w:font w:name="Skia">
    <w:panose1 w:val="020D0502020204020204"/>
    <w:charset w:val="00"/>
    <w:family w:val="auto"/>
    <w:pitch w:val="default"/>
    <w:sig w:usb0="00000000" w:usb1="00000000" w:usb2="00000000" w:usb3="00000000" w:csb0="00000000" w:csb1="00000000"/>
  </w:font>
  <w:font w:name="STIX Two Text Regular">
    <w:panose1 w:val="00000000000000000000"/>
    <w:charset w:val="00"/>
    <w:family w:val="auto"/>
    <w:pitch w:val="default"/>
    <w:sig w:usb0="A00002FF" w:usb1="0000001F" w:usb2="00000000" w:usb3="00000000" w:csb0="2000019F" w:csb1="00000000"/>
  </w:font>
  <w:font w:name="Arial Regular">
    <w:panose1 w:val="020B0704020202020204"/>
    <w:charset w:val="00"/>
    <w:family w:val="auto"/>
    <w:pitch w:val="default"/>
    <w:sig w:usb0="E0002AFF" w:usb1="C0007843" w:usb2="00000009" w:usb3="00000000" w:csb0="400001FF" w:csb1="FFFF0000"/>
  </w:font>
  <w:font w:name="STIX Two Math">
    <w:panose1 w:val="02020603050405020304"/>
    <w:charset w:val="00"/>
    <w:family w:val="auto"/>
    <w:pitch w:val="default"/>
    <w:sig w:usb0="A00002FF" w:usb1="4000FDFF" w:usb2="02000020" w:usb3="00000000" w:csb0="200001FF" w:csb1="DFFF0000"/>
  </w:font>
  <w:font w:name="Sukhumvit Set Text">
    <w:panose1 w:val="02000506000000020004"/>
    <w:charset w:val="00"/>
    <w:family w:val="auto"/>
    <w:pitch w:val="default"/>
    <w:sig w:usb0="8100002F" w:usb1="5000004A" w:usb2="00000000" w:usb3="00000000" w:csb0="20010003" w:csb1="00000000"/>
  </w:font>
  <w:font w:name="Kokonor">
    <w:panose1 w:val="01000500000000020003"/>
    <w:charset w:val="00"/>
    <w:family w:val="auto"/>
    <w:pitch w:val="default"/>
    <w:sig w:usb0="00000000" w:usb1="00000000" w:usb2="00000040" w:usb3="00000000" w:csb0="00000001" w:csb1="00000000"/>
  </w:font>
  <w:font w:name="Hiragino Kaku Gothic ProN W3">
    <w:panose1 w:val="020B0300000000000000"/>
    <w:charset w:val="80"/>
    <w:family w:val="auto"/>
    <w:pitch w:val="default"/>
    <w:sig w:usb0="E00002FF" w:usb1="7AE7FFFF" w:usb2="00000012" w:usb3="00000000" w:csb0="0002000D" w:csb1="00000000"/>
  </w:font>
  <w:font w:name="Geeza Pro Regular">
    <w:panose1 w:val="02000400000000000000"/>
    <w:charset w:val="00"/>
    <w:family w:val="auto"/>
    <w:pitch w:val="default"/>
    <w:sig w:usb0="80002000" w:usb1="80000000" w:usb2="00000008" w:usb3="00000000" w:csb0="00000001" w:csb1="00000000"/>
  </w:font>
  <w:font w:name="Gill Sans Regular">
    <w:panose1 w:val="020B0502020104020203"/>
    <w:charset w:val="00"/>
    <w:family w:val="auto"/>
    <w:pitch w:val="default"/>
    <w:sig w:usb0="80000267" w:usb1="00000000" w:usb2="00000000" w:usb3="00000000" w:csb0="200001F7" w:csb1="CFFE0000"/>
  </w:font>
  <w:font w:name="Al Tarikh">
    <w:panose1 w:val="00000400000000000000"/>
    <w:charset w:val="00"/>
    <w:family w:val="auto"/>
    <w:pitch w:val="default"/>
    <w:sig w:usb0="00000003" w:usb1="00000000" w:usb2="00000000" w:usb3="00000000" w:csb0="00000001" w:csb1="00000000"/>
  </w:font>
  <w:font w:name="Apple SD Gothic Neo Regular">
    <w:panose1 w:val="02000300000000000000"/>
    <w:charset w:val="81"/>
    <w:family w:val="auto"/>
    <w:pitch w:val="default"/>
    <w:sig w:usb0="00000203" w:usb1="21D12C10" w:usb2="00000010" w:usb3="00000000" w:csb0="00280005" w:csb1="00000000"/>
  </w:font>
  <w:font w:name="Telugu Sangam MN Regular">
    <w:panose1 w:val="00000500000000000000"/>
    <w:charset w:val="00"/>
    <w:family w:val="auto"/>
    <w:pitch w:val="default"/>
    <w:sig w:usb0="00200001" w:usb1="00000000" w:usb2="00000000" w:usb3="00000000" w:csb0="00000001" w:csb1="00000000"/>
  </w:font>
  <w:font w:name="Arial Black">
    <w:panose1 w:val="020B0A04020102020204"/>
    <w:charset w:val="00"/>
    <w:family w:val="auto"/>
    <w:pitch w:val="default"/>
    <w:sig w:usb0="00000287" w:usb1="00000000" w:usb2="00000000" w:usb3="00000000" w:csb0="2000009F" w:csb1="DFD70000"/>
  </w:font>
  <w:font w:name="Tahoma Regular">
    <w:panose1 w:val="020B0804030504040204"/>
    <w:charset w:val="00"/>
    <w:family w:val="auto"/>
    <w:pitch w:val="default"/>
    <w:sig w:usb0="E1002AFF" w:usb1="C000605B" w:usb2="00000029" w:usb3="00000000" w:csb0="200101FF" w:csb1="20280000"/>
  </w:font>
  <w:font w:name="Mukta Mahee Regular">
    <w:panose1 w:val="00000000000000000000"/>
    <w:charset w:val="00"/>
    <w:family w:val="auto"/>
    <w:pitch w:val="default"/>
    <w:sig w:usb0="A002002F" w:usb1="4000204B" w:usb2="00000000" w:usb3="00000000" w:csb0="20000093" w:csb1="00000000"/>
  </w:font>
  <w:font w:name="Hiragino Sans W0">
    <w:panose1 w:val="020B0700000000000000"/>
    <w:charset w:val="80"/>
    <w:family w:val="auto"/>
    <w:pitch w:val="default"/>
    <w:sig w:usb0="800002CF" w:usb1="6AC7FCFC" w:usb2="00000012" w:usb3="00000000" w:csb0="0002000D" w:csb1="00000000"/>
  </w:font>
  <w:font w:name="GB18030 Bitmap">
    <w:panose1 w:val="00000000000000000000"/>
    <w:charset w:val="00"/>
    <w:family w:val="auto"/>
    <w:pitch w:val="default"/>
    <w:sig w:usb0="00000000" w:usb1="00000000" w:usb2="00000000" w:usb3="00000000" w:csb0="00000000" w:csb1="00000000"/>
  </w:font>
  <w:font w:name="Bodoni Ornaments">
    <w:panose1 w:val="00000400000000000000"/>
    <w:charset w:val="00"/>
    <w:family w:val="auto"/>
    <w:pitch w:val="default"/>
    <w:sig w:usb0="80000083" w:usb1="08000048" w:usb2="14000000" w:usb3="00000000" w:csb0="00000001" w:csb1="00000000"/>
  </w:font>
  <w:font w:name="Snell Roundhand Regular">
    <w:panose1 w:val="02000603080000090004"/>
    <w:charset w:val="00"/>
    <w:family w:val="auto"/>
    <w:pitch w:val="default"/>
    <w:sig w:usb0="80000027" w:usb1="00000000" w:usb2="00000000" w:usb3="00000000" w:csb0="20000111" w:csb1="41000000"/>
  </w:font>
  <w:font w:name="Apple Symbols">
    <w:panose1 w:val="02000000000000000000"/>
    <w:charset w:val="00"/>
    <w:family w:val="auto"/>
    <w:pitch w:val="default"/>
    <w:sig w:usb0="800000A3" w:usb1="08007BEB" w:usb2="01840034" w:usb3="0000A268" w:csb0="200001FB" w:csb1="DDFF0000"/>
  </w:font>
  <w:font w:name="Tamil Sangam MN Regular">
    <w:panose1 w:val="00000500000000000000"/>
    <w:charset w:val="00"/>
    <w:family w:val="auto"/>
    <w:pitch w:val="default"/>
    <w:sig w:usb0="00108001" w:usb1="02000004" w:usb2="00000000" w:usb3="00000000" w:csb0="00000001" w:csb1="00000000"/>
  </w:font>
  <w:font w:name="Arial Bold">
    <w:panose1 w:val="020B0704020202020204"/>
    <w:charset w:val="00"/>
    <w:family w:val="auto"/>
    <w:pitch w:val="default"/>
    <w:sig w:usb0="E0002AFF" w:usb1="C0007843" w:usb2="00000009" w:usb3="00000000" w:csb0="400001FF" w:csb1="FFFF0000"/>
  </w:font>
  <w:font w:name="Arial Hebrew Regular">
    <w:panose1 w:val="00000000000000000000"/>
    <w:charset w:val="00"/>
    <w:family w:val="auto"/>
    <w:pitch w:val="default"/>
    <w:sig w:usb0="80000843" w:usb1="40000002" w:usb2="00000000" w:usb3="00000000" w:csb0="00000001" w:csb1="00000000"/>
  </w:font>
  <w:font w:name="Times New Roman Regular">
    <w:panose1 w:val="02020603050405020304"/>
    <w:charset w:val="00"/>
    <w:family w:val="auto"/>
    <w:pitch w:val="default"/>
    <w:sig w:usb0="E0002AEF" w:usb1="C0007841"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FED78F0"/>
    <w:multiLevelType w:val="singleLevel"/>
    <w:tmpl w:val="8FED78F0"/>
    <w:lvl w:ilvl="0" w:tentative="0">
      <w:start w:val="1"/>
      <w:numFmt w:val="decimal"/>
      <w:suff w:val="space"/>
      <w:lvlText w:val="%1."/>
      <w:lvlJc w:val="left"/>
    </w:lvl>
  </w:abstractNum>
  <w:abstractNum w:abstractNumId="1">
    <w:nsid w:val="9BDA948B"/>
    <w:multiLevelType w:val="singleLevel"/>
    <w:tmpl w:val="9BDA948B"/>
    <w:lvl w:ilvl="0" w:tentative="0">
      <w:start w:val="1"/>
      <w:numFmt w:val="decimal"/>
      <w:suff w:val="space"/>
      <w:lvlText w:val="%1."/>
      <w:lvlJc w:val="left"/>
    </w:lvl>
  </w:abstractNum>
  <w:abstractNum w:abstractNumId="2">
    <w:nsid w:val="B7F73F20"/>
    <w:multiLevelType w:val="singleLevel"/>
    <w:tmpl w:val="B7F73F20"/>
    <w:lvl w:ilvl="0" w:tentative="0">
      <w:start w:val="1"/>
      <w:numFmt w:val="decimal"/>
      <w:suff w:val="space"/>
      <w:lvlText w:val="%1."/>
      <w:lvlJc w:val="left"/>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DFBF1AD"/>
    <w:multiLevelType w:val="singleLevel"/>
    <w:tmpl w:val="7DFBF1AD"/>
    <w:lvl w:ilvl="0" w:tentative="0">
      <w:start w:val="1"/>
      <w:numFmt w:val="decimal"/>
      <w:suff w:val="space"/>
      <w:lvlText w:val="%1."/>
      <w:lvlJc w:val="left"/>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9"/>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2CFF9624"/>
    <w:rsid w:val="3FFB8626"/>
    <w:rsid w:val="43FADA08"/>
    <w:rsid w:val="7C1E910F"/>
    <w:rsid w:val="7E7E60C4"/>
    <w:rsid w:val="9F5E7F68"/>
    <w:rsid w:val="FF7D0AC0"/>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uiPriority w:val="0"/>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11</Pages>
  <Words>3607</Words>
  <Characters>20440</Characters>
  <Lines>170</Lines>
  <Paragraphs>47</Paragraphs>
  <TotalTime>33</TotalTime>
  <ScaleCrop>false</ScaleCrop>
  <LinksUpToDate>false</LinksUpToDate>
  <CharactersWithSpaces>24000</CharactersWithSpaces>
  <Application>WPS Office_6.2.0.8299_F1E327BC-269C-435d-A152-05C5408002CA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2021-06-30T11:47:00Z</dcterms:created>
  <dc:creator>Kevin Brice</dc:creator>
  <cp:lastModifiedBy>join</cp:lastModifiedBy>
  <cp:lastPrinted>2016-10-24T13:21:00Z</cp:lastPrinted>
  <dcterms:modified xsi:type="dcterms:W3CDTF">2025-04-03T19:20:59Z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2052-6.2.0.8299</vt:lpwstr>
  </property>
  <property fmtid="{D5CDD505-2E9C-101B-9397-08002B2CF9AE}" pid="5" name="ICV">
    <vt:lpwstr>1C61DCD5DA138E3EA41ADF670E284E4A_43</vt:lpwstr>
  </property>
</Properties>
</file>