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44AF" w14:textId="77777777" w:rsidR="007A53CD" w:rsidRDefault="007A53CD" w:rsidP="004B6087">
      <w:pPr>
        <w:spacing w:after="160"/>
        <w:jc w:val="both"/>
        <w:rPr>
          <w:b/>
          <w:bCs/>
          <w:color w:val="888888"/>
          <w:sz w:val="28"/>
          <w:szCs w:val="28"/>
        </w:rPr>
      </w:pPr>
    </w:p>
    <w:p w14:paraId="365FCB73" w14:textId="77777777" w:rsidR="007A53CD" w:rsidRDefault="007A53CD" w:rsidP="004B6087">
      <w:pPr>
        <w:spacing w:after="160"/>
        <w:jc w:val="both"/>
        <w:rPr>
          <w:b/>
          <w:bCs/>
          <w:color w:val="888888"/>
          <w:sz w:val="28"/>
          <w:szCs w:val="28"/>
        </w:rPr>
      </w:pPr>
    </w:p>
    <w:p w14:paraId="4B6241C7" w14:textId="77777777" w:rsidR="007A53CD" w:rsidRDefault="007A53CD" w:rsidP="004B6087">
      <w:pPr>
        <w:spacing w:after="160"/>
        <w:jc w:val="both"/>
        <w:rPr>
          <w:b/>
          <w:bCs/>
          <w:color w:val="888888"/>
          <w:sz w:val="28"/>
          <w:szCs w:val="28"/>
        </w:rPr>
      </w:pPr>
    </w:p>
    <w:p w14:paraId="074412B3" w14:textId="77777777" w:rsidR="007049BC" w:rsidRPr="002F62AE" w:rsidRDefault="007049BC" w:rsidP="007049BC">
      <w:pPr>
        <w:spacing w:after="240"/>
        <w:jc w:val="center"/>
        <w:rPr>
          <w:b/>
          <w:bCs/>
          <w:color w:val="1F3864" w:themeColor="accent1" w:themeShade="80"/>
          <w:sz w:val="48"/>
          <w:szCs w:val="48"/>
        </w:rPr>
      </w:pPr>
      <w:r w:rsidRPr="002F62AE">
        <w:rPr>
          <w:b/>
          <w:bCs/>
          <w:color w:val="1F3864" w:themeColor="accent1" w:themeShade="80"/>
          <w:sz w:val="48"/>
          <w:szCs w:val="48"/>
        </w:rPr>
        <w:t>Assignment</w:t>
      </w:r>
    </w:p>
    <w:p w14:paraId="3B63A7CB" w14:textId="1BB71727" w:rsidR="007049BC" w:rsidRDefault="007049BC" w:rsidP="007049BC">
      <w:pPr>
        <w:spacing w:after="140"/>
        <w:jc w:val="center"/>
        <w:rPr>
          <w:b/>
          <w:bCs/>
          <w:color w:val="2F5496" w:themeColor="accent1" w:themeShade="BF"/>
          <w:sz w:val="32"/>
          <w:szCs w:val="32"/>
        </w:rPr>
      </w:pPr>
      <w:r w:rsidRPr="007049BC">
        <w:rPr>
          <w:b/>
          <w:bCs/>
          <w:color w:val="2F5496" w:themeColor="accent1" w:themeShade="BF"/>
          <w:sz w:val="32"/>
          <w:szCs w:val="32"/>
        </w:rPr>
        <w:t>Apply the principles and practices of Data Security, Governance and Compliance based on the FSB scenario</w:t>
      </w:r>
    </w:p>
    <w:p w14:paraId="4BE95AF6" w14:textId="77777777" w:rsidR="005B2D18" w:rsidRPr="007049BC" w:rsidRDefault="005B2D18" w:rsidP="007049BC">
      <w:pPr>
        <w:spacing w:after="140"/>
        <w:jc w:val="center"/>
        <w:rPr>
          <w:b/>
          <w:bCs/>
          <w:color w:val="2F5496" w:themeColor="accent1" w:themeShade="BF"/>
          <w:sz w:val="32"/>
          <w:szCs w:val="32"/>
        </w:rPr>
      </w:pPr>
    </w:p>
    <w:p w14:paraId="7928E6B1" w14:textId="77777777" w:rsidR="007049BC" w:rsidRPr="007049BC" w:rsidRDefault="007049BC" w:rsidP="007049BC">
      <w:pPr>
        <w:spacing w:after="80"/>
        <w:jc w:val="center"/>
        <w:rPr>
          <w:b/>
          <w:bCs/>
          <w:sz w:val="28"/>
          <w:szCs w:val="28"/>
        </w:rPr>
      </w:pPr>
      <w:r w:rsidRPr="007049BC">
        <w:rPr>
          <w:b/>
          <w:bCs/>
          <w:sz w:val="28"/>
          <w:szCs w:val="28"/>
        </w:rPr>
        <w:t>Student Name:</w:t>
      </w:r>
    </w:p>
    <w:p w14:paraId="31270D3C" w14:textId="77777777" w:rsidR="007049BC" w:rsidRPr="007049BC" w:rsidRDefault="007049BC" w:rsidP="007049BC">
      <w:pPr>
        <w:spacing w:after="80"/>
        <w:jc w:val="center"/>
        <w:rPr>
          <w:sz w:val="28"/>
          <w:szCs w:val="28"/>
        </w:rPr>
      </w:pPr>
      <w:r w:rsidRPr="007049BC">
        <w:rPr>
          <w:sz w:val="28"/>
          <w:szCs w:val="28"/>
        </w:rPr>
        <w:t>Md Hasibul Islam</w:t>
      </w:r>
    </w:p>
    <w:p w14:paraId="4233973B" w14:textId="77777777" w:rsidR="007049BC" w:rsidRPr="007049BC" w:rsidRDefault="007049BC" w:rsidP="007049BC">
      <w:pPr>
        <w:spacing w:after="80"/>
        <w:jc w:val="center"/>
        <w:rPr>
          <w:b/>
          <w:bCs/>
          <w:sz w:val="28"/>
          <w:szCs w:val="28"/>
        </w:rPr>
      </w:pPr>
      <w:r w:rsidRPr="007049BC">
        <w:rPr>
          <w:b/>
          <w:bCs/>
          <w:sz w:val="28"/>
          <w:szCs w:val="28"/>
        </w:rPr>
        <w:t>Student ID:</w:t>
      </w:r>
    </w:p>
    <w:p w14:paraId="503D8381" w14:textId="77777777" w:rsidR="007049BC" w:rsidRPr="007049BC" w:rsidRDefault="007049BC" w:rsidP="007049BC">
      <w:pPr>
        <w:spacing w:after="80"/>
        <w:jc w:val="center"/>
        <w:rPr>
          <w:sz w:val="28"/>
          <w:szCs w:val="28"/>
        </w:rPr>
      </w:pPr>
      <w:r w:rsidRPr="007049BC">
        <w:rPr>
          <w:sz w:val="28"/>
          <w:szCs w:val="28"/>
        </w:rPr>
        <w:t>2421865</w:t>
      </w:r>
    </w:p>
    <w:p w14:paraId="62EADA3B" w14:textId="77777777" w:rsidR="007049BC" w:rsidRPr="007049BC" w:rsidRDefault="007049BC" w:rsidP="007049BC">
      <w:pPr>
        <w:spacing w:after="80"/>
        <w:jc w:val="center"/>
        <w:rPr>
          <w:b/>
          <w:bCs/>
          <w:sz w:val="28"/>
          <w:szCs w:val="28"/>
        </w:rPr>
      </w:pPr>
      <w:r w:rsidRPr="007049BC">
        <w:rPr>
          <w:b/>
          <w:bCs/>
          <w:sz w:val="28"/>
          <w:szCs w:val="28"/>
        </w:rPr>
        <w:t>Module:</w:t>
      </w:r>
    </w:p>
    <w:p w14:paraId="57F258C3" w14:textId="19574A66" w:rsidR="007049BC" w:rsidRPr="007049BC" w:rsidRDefault="007049BC" w:rsidP="007049BC">
      <w:pPr>
        <w:spacing w:after="160"/>
        <w:jc w:val="center"/>
        <w:rPr>
          <w:b/>
          <w:bCs/>
          <w:color w:val="888888"/>
          <w:sz w:val="28"/>
          <w:szCs w:val="28"/>
        </w:rPr>
      </w:pPr>
      <w:r w:rsidRPr="007049BC">
        <w:rPr>
          <w:color w:val="1A1A1A"/>
          <w:sz w:val="28"/>
          <w:szCs w:val="28"/>
        </w:rPr>
        <w:t>ACCA7028 – Data Security, Governance and Compliance</w:t>
      </w:r>
    </w:p>
    <w:p w14:paraId="2AE14F8C" w14:textId="20B578F1" w:rsidR="007049BC" w:rsidRDefault="007049BC">
      <w:pPr>
        <w:spacing w:after="160" w:line="278" w:lineRule="auto"/>
      </w:pPr>
      <w:r>
        <w:br w:type="page"/>
      </w:r>
    </w:p>
    <w:sdt>
      <w:sdtPr>
        <w:rPr>
          <w:rFonts w:ascii="Arial" w:eastAsia="Arial" w:hAnsi="Arial" w:cs="Arial"/>
          <w:color w:val="auto"/>
          <w:sz w:val="22"/>
          <w:szCs w:val="22"/>
        </w:rPr>
        <w:id w:val="1929615250"/>
        <w:docPartObj>
          <w:docPartGallery w:val="Table of Contents"/>
          <w:docPartUnique/>
        </w:docPartObj>
      </w:sdtPr>
      <w:sdtEndPr>
        <w:rPr>
          <w:noProof/>
          <w:sz w:val="20"/>
          <w:szCs w:val="20"/>
        </w:rPr>
      </w:sdtEndPr>
      <w:sdtContent>
        <w:p w14:paraId="65880A0C" w14:textId="2E09655A" w:rsidR="003C795F" w:rsidRPr="003C795F" w:rsidRDefault="003C795F" w:rsidP="004B6087">
          <w:pPr>
            <w:pStyle w:val="TOCHeading"/>
            <w:jc w:val="both"/>
            <w:rPr>
              <w:rFonts w:ascii="Arial" w:hAnsi="Arial" w:cs="Arial"/>
              <w:b/>
              <w:bCs/>
            </w:rPr>
          </w:pPr>
          <w:r w:rsidRPr="003C795F">
            <w:rPr>
              <w:rFonts w:ascii="Arial" w:hAnsi="Arial" w:cs="Arial"/>
              <w:b/>
              <w:bCs/>
            </w:rPr>
            <w:t>Table of Contents</w:t>
          </w:r>
        </w:p>
        <w:p w14:paraId="5F29A8FA" w14:textId="5FE58707" w:rsidR="00052E56" w:rsidRPr="00052E56" w:rsidRDefault="003C795F">
          <w:pPr>
            <w:pStyle w:val="TOC1"/>
            <w:tabs>
              <w:tab w:val="right" w:leader="dot" w:pos="9350"/>
            </w:tabs>
            <w:rPr>
              <w:rFonts w:ascii="Arial" w:hAnsi="Arial" w:cs="Arial"/>
              <w:noProof/>
              <w:kern w:val="2"/>
              <w14:ligatures w14:val="standardContextual"/>
            </w:rPr>
          </w:pPr>
          <w:r w:rsidRPr="00052E56">
            <w:rPr>
              <w:rFonts w:ascii="Arial" w:hAnsi="Arial" w:cs="Arial"/>
              <w:sz w:val="20"/>
              <w:szCs w:val="20"/>
            </w:rPr>
            <w:fldChar w:fldCharType="begin"/>
          </w:r>
          <w:r w:rsidRPr="00052E56">
            <w:rPr>
              <w:rFonts w:ascii="Arial" w:hAnsi="Arial" w:cs="Arial"/>
              <w:sz w:val="20"/>
              <w:szCs w:val="20"/>
            </w:rPr>
            <w:instrText xml:space="preserve"> TOC \o "1-3" \h \z \u </w:instrText>
          </w:r>
          <w:r w:rsidRPr="00052E56">
            <w:rPr>
              <w:rFonts w:ascii="Arial" w:hAnsi="Arial" w:cs="Arial"/>
              <w:sz w:val="20"/>
              <w:szCs w:val="20"/>
            </w:rPr>
            <w:fldChar w:fldCharType="separate"/>
          </w:r>
          <w:hyperlink w:anchor="_Toc228295016" w:history="1">
            <w:r w:rsidR="00052E56" w:rsidRPr="00052E56">
              <w:rPr>
                <w:rStyle w:val="Hyperlink"/>
                <w:rFonts w:ascii="Arial" w:eastAsia="Arial" w:hAnsi="Arial" w:cs="Arial"/>
                <w:noProof/>
                <w:sz w:val="20"/>
                <w:szCs w:val="20"/>
              </w:rPr>
              <w:t>Abstract</w:t>
            </w:r>
            <w:r w:rsidR="00052E56" w:rsidRPr="00052E56">
              <w:rPr>
                <w:rFonts w:ascii="Arial" w:hAnsi="Arial" w:cs="Arial"/>
                <w:noProof/>
                <w:webHidden/>
                <w:sz w:val="20"/>
                <w:szCs w:val="20"/>
              </w:rPr>
              <w:tab/>
            </w:r>
            <w:r w:rsidR="00052E56" w:rsidRPr="00052E56">
              <w:rPr>
                <w:rFonts w:ascii="Arial" w:hAnsi="Arial" w:cs="Arial"/>
                <w:noProof/>
                <w:webHidden/>
                <w:sz w:val="20"/>
                <w:szCs w:val="20"/>
              </w:rPr>
              <w:fldChar w:fldCharType="begin"/>
            </w:r>
            <w:r w:rsidR="00052E56" w:rsidRPr="00052E56">
              <w:rPr>
                <w:rFonts w:ascii="Arial" w:hAnsi="Arial" w:cs="Arial"/>
                <w:noProof/>
                <w:webHidden/>
                <w:sz w:val="20"/>
                <w:szCs w:val="20"/>
              </w:rPr>
              <w:instrText xml:space="preserve"> PAGEREF _Toc228295016 \h </w:instrText>
            </w:r>
            <w:r w:rsidR="00052E56" w:rsidRPr="00052E56">
              <w:rPr>
                <w:rFonts w:ascii="Arial" w:hAnsi="Arial" w:cs="Arial"/>
                <w:noProof/>
                <w:webHidden/>
                <w:sz w:val="20"/>
                <w:szCs w:val="20"/>
              </w:rPr>
            </w:r>
            <w:r w:rsidR="00052E56" w:rsidRPr="00052E56">
              <w:rPr>
                <w:rFonts w:ascii="Arial" w:hAnsi="Arial" w:cs="Arial"/>
                <w:noProof/>
                <w:webHidden/>
                <w:sz w:val="20"/>
                <w:szCs w:val="20"/>
              </w:rPr>
              <w:fldChar w:fldCharType="separate"/>
            </w:r>
            <w:r w:rsidR="00052E56" w:rsidRPr="00052E56">
              <w:rPr>
                <w:rFonts w:ascii="Arial" w:hAnsi="Arial" w:cs="Arial"/>
                <w:noProof/>
                <w:webHidden/>
                <w:sz w:val="20"/>
                <w:szCs w:val="20"/>
              </w:rPr>
              <w:t>3</w:t>
            </w:r>
            <w:r w:rsidR="00052E56" w:rsidRPr="00052E56">
              <w:rPr>
                <w:rFonts w:ascii="Arial" w:hAnsi="Arial" w:cs="Arial"/>
                <w:noProof/>
                <w:webHidden/>
                <w:sz w:val="20"/>
                <w:szCs w:val="20"/>
              </w:rPr>
              <w:fldChar w:fldCharType="end"/>
            </w:r>
          </w:hyperlink>
        </w:p>
        <w:p w14:paraId="5C445C2E" w14:textId="78592C55" w:rsidR="00052E56" w:rsidRPr="00052E56" w:rsidRDefault="00052E56">
          <w:pPr>
            <w:pStyle w:val="TOC1"/>
            <w:tabs>
              <w:tab w:val="right" w:leader="dot" w:pos="9350"/>
            </w:tabs>
            <w:rPr>
              <w:rFonts w:ascii="Arial" w:hAnsi="Arial" w:cs="Arial"/>
              <w:noProof/>
              <w:kern w:val="2"/>
              <w14:ligatures w14:val="standardContextual"/>
            </w:rPr>
          </w:pPr>
          <w:hyperlink w:anchor="_Toc228295017" w:history="1">
            <w:r w:rsidRPr="00052E56">
              <w:rPr>
                <w:rStyle w:val="Hyperlink"/>
                <w:rFonts w:ascii="Arial" w:eastAsia="Arial" w:hAnsi="Arial" w:cs="Arial"/>
                <w:noProof/>
                <w:sz w:val="20"/>
                <w:szCs w:val="20"/>
              </w:rPr>
              <w:t>1. Introduction</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_Toc228295017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4</w:t>
            </w:r>
            <w:r w:rsidRPr="00052E56">
              <w:rPr>
                <w:rFonts w:ascii="Arial" w:hAnsi="Arial" w:cs="Arial"/>
                <w:noProof/>
                <w:webHidden/>
                <w:sz w:val="20"/>
                <w:szCs w:val="20"/>
              </w:rPr>
              <w:fldChar w:fldCharType="end"/>
            </w:r>
          </w:hyperlink>
        </w:p>
        <w:p w14:paraId="459136FD" w14:textId="6962358E" w:rsidR="00052E56" w:rsidRPr="00052E56" w:rsidRDefault="00052E56">
          <w:pPr>
            <w:pStyle w:val="TOC1"/>
            <w:tabs>
              <w:tab w:val="right" w:leader="dot" w:pos="9350"/>
            </w:tabs>
            <w:rPr>
              <w:rFonts w:ascii="Arial" w:hAnsi="Arial" w:cs="Arial"/>
              <w:noProof/>
              <w:kern w:val="2"/>
              <w14:ligatures w14:val="standardContextual"/>
            </w:rPr>
          </w:pPr>
          <w:hyperlink w:anchor="_Toc228295018" w:history="1">
            <w:r w:rsidRPr="00052E56">
              <w:rPr>
                <w:rStyle w:val="Hyperlink"/>
                <w:rFonts w:ascii="Arial" w:eastAsia="Arial" w:hAnsi="Arial" w:cs="Arial"/>
                <w:noProof/>
                <w:sz w:val="20"/>
                <w:szCs w:val="20"/>
              </w:rPr>
              <w:t>2. Review of Security Frameworks and Models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_Toc228295018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5</w:t>
            </w:r>
            <w:r w:rsidRPr="00052E56">
              <w:rPr>
                <w:rFonts w:ascii="Arial" w:hAnsi="Arial" w:cs="Arial"/>
                <w:noProof/>
                <w:webHidden/>
                <w:sz w:val="20"/>
                <w:szCs w:val="20"/>
              </w:rPr>
              <w:fldChar w:fldCharType="end"/>
            </w:r>
          </w:hyperlink>
        </w:p>
        <w:p w14:paraId="6EF75F6D" w14:textId="531E5054" w:rsidR="00052E56" w:rsidRPr="00052E56" w:rsidRDefault="00052E56">
          <w:pPr>
            <w:pStyle w:val="TOC2"/>
            <w:tabs>
              <w:tab w:val="right" w:leader="dot" w:pos="9350"/>
            </w:tabs>
            <w:rPr>
              <w:rFonts w:ascii="Arial" w:hAnsi="Arial" w:cs="Arial"/>
              <w:noProof/>
              <w:kern w:val="2"/>
              <w14:ligatures w14:val="standardContextual"/>
            </w:rPr>
          </w:pPr>
          <w:hyperlink w:anchor="_Toc228295019" w:history="1">
            <w:r w:rsidRPr="00052E56">
              <w:rPr>
                <w:rStyle w:val="Hyperlink"/>
                <w:rFonts w:ascii="Arial" w:eastAsia="Arial" w:hAnsi="Arial" w:cs="Arial"/>
                <w:noProof/>
                <w:sz w:val="20"/>
                <w:szCs w:val="20"/>
              </w:rPr>
              <w:t>2.1 ISO/IEC 27000 Family of Standards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_Toc228295019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5</w:t>
            </w:r>
            <w:r w:rsidRPr="00052E56">
              <w:rPr>
                <w:rFonts w:ascii="Arial" w:hAnsi="Arial" w:cs="Arial"/>
                <w:noProof/>
                <w:webHidden/>
                <w:sz w:val="20"/>
                <w:szCs w:val="20"/>
              </w:rPr>
              <w:fldChar w:fldCharType="end"/>
            </w:r>
          </w:hyperlink>
        </w:p>
        <w:p w14:paraId="2314B86F" w14:textId="0D5C3A2A" w:rsidR="00052E56" w:rsidRPr="00052E56" w:rsidRDefault="00052E56">
          <w:pPr>
            <w:pStyle w:val="TOC2"/>
            <w:tabs>
              <w:tab w:val="right" w:leader="dot" w:pos="9350"/>
            </w:tabs>
            <w:rPr>
              <w:rFonts w:ascii="Arial" w:hAnsi="Arial" w:cs="Arial"/>
              <w:noProof/>
              <w:kern w:val="2"/>
              <w14:ligatures w14:val="standardContextual"/>
            </w:rPr>
          </w:pPr>
          <w:hyperlink w:anchor="_Toc228295020" w:history="1">
            <w:r w:rsidRPr="00052E56">
              <w:rPr>
                <w:rStyle w:val="Hyperlink"/>
                <w:rFonts w:ascii="Arial" w:eastAsia="Arial" w:hAnsi="Arial" w:cs="Arial"/>
                <w:noProof/>
                <w:sz w:val="20"/>
                <w:szCs w:val="20"/>
              </w:rPr>
              <w:t>2.2 NIST Cybersecurity Framework (CSF) 2.0</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_Toc228295020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5</w:t>
            </w:r>
            <w:r w:rsidRPr="00052E56">
              <w:rPr>
                <w:rFonts w:ascii="Arial" w:hAnsi="Arial" w:cs="Arial"/>
                <w:noProof/>
                <w:webHidden/>
                <w:sz w:val="20"/>
                <w:szCs w:val="20"/>
              </w:rPr>
              <w:fldChar w:fldCharType="end"/>
            </w:r>
          </w:hyperlink>
        </w:p>
        <w:p w14:paraId="6CF43A16" w14:textId="1FDEACDD" w:rsidR="00052E56" w:rsidRPr="00052E56" w:rsidRDefault="00052E56">
          <w:pPr>
            <w:pStyle w:val="TOC2"/>
            <w:tabs>
              <w:tab w:val="right" w:leader="dot" w:pos="9350"/>
            </w:tabs>
            <w:rPr>
              <w:rFonts w:ascii="Arial" w:hAnsi="Arial" w:cs="Arial"/>
              <w:noProof/>
              <w:kern w:val="2"/>
              <w14:ligatures w14:val="standardContextual"/>
            </w:rPr>
          </w:pPr>
          <w:hyperlink w:anchor="_Toc228295021" w:history="1">
            <w:r w:rsidRPr="00052E56">
              <w:rPr>
                <w:rStyle w:val="Hyperlink"/>
                <w:rFonts w:ascii="Arial" w:eastAsia="Arial" w:hAnsi="Arial" w:cs="Arial"/>
                <w:noProof/>
                <w:sz w:val="20"/>
                <w:szCs w:val="20"/>
              </w:rPr>
              <w:t>2.3 ITIL 4 and Information Security Management</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_Toc228295021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5</w:t>
            </w:r>
            <w:r w:rsidRPr="00052E56">
              <w:rPr>
                <w:rFonts w:ascii="Arial" w:hAnsi="Arial" w:cs="Arial"/>
                <w:noProof/>
                <w:webHidden/>
                <w:sz w:val="20"/>
                <w:szCs w:val="20"/>
              </w:rPr>
              <w:fldChar w:fldCharType="end"/>
            </w:r>
          </w:hyperlink>
        </w:p>
        <w:p w14:paraId="70654DEF" w14:textId="0974A32F" w:rsidR="00052E56" w:rsidRPr="00052E56" w:rsidRDefault="00052E56">
          <w:pPr>
            <w:pStyle w:val="TOC2"/>
            <w:tabs>
              <w:tab w:val="right" w:leader="dot" w:pos="9350"/>
            </w:tabs>
            <w:rPr>
              <w:rFonts w:ascii="Arial" w:hAnsi="Arial" w:cs="Arial"/>
              <w:noProof/>
              <w:kern w:val="2"/>
              <w14:ligatures w14:val="standardContextual"/>
            </w:rPr>
          </w:pPr>
          <w:hyperlink w:anchor="_Toc228295022" w:history="1">
            <w:r w:rsidRPr="00052E56">
              <w:rPr>
                <w:rStyle w:val="Hyperlink"/>
                <w:rFonts w:ascii="Arial" w:eastAsia="Arial" w:hAnsi="Arial" w:cs="Arial"/>
                <w:noProof/>
                <w:sz w:val="20"/>
                <w:szCs w:val="20"/>
              </w:rPr>
              <w:t>2.4 Zero Trust Architecture (ZTA)</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_Toc228295022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6</w:t>
            </w:r>
            <w:r w:rsidRPr="00052E56">
              <w:rPr>
                <w:rFonts w:ascii="Arial" w:hAnsi="Arial" w:cs="Arial"/>
                <w:noProof/>
                <w:webHidden/>
                <w:sz w:val="20"/>
                <w:szCs w:val="20"/>
              </w:rPr>
              <w:fldChar w:fldCharType="end"/>
            </w:r>
          </w:hyperlink>
        </w:p>
        <w:p w14:paraId="796BB20C" w14:textId="06306B1B" w:rsidR="00052E56" w:rsidRPr="00052E56" w:rsidRDefault="00052E56">
          <w:pPr>
            <w:pStyle w:val="TOC2"/>
            <w:tabs>
              <w:tab w:val="right" w:leader="dot" w:pos="9350"/>
            </w:tabs>
            <w:rPr>
              <w:rFonts w:ascii="Arial" w:hAnsi="Arial" w:cs="Arial"/>
              <w:noProof/>
              <w:kern w:val="2"/>
              <w14:ligatures w14:val="standardContextual"/>
            </w:rPr>
          </w:pPr>
          <w:hyperlink w:anchor="_Toc228295023" w:history="1">
            <w:r w:rsidRPr="00052E56">
              <w:rPr>
                <w:rStyle w:val="Hyperlink"/>
                <w:rFonts w:ascii="Arial" w:eastAsia="Arial" w:hAnsi="Arial" w:cs="Arial"/>
                <w:noProof/>
                <w:sz w:val="20"/>
                <w:szCs w:val="20"/>
              </w:rPr>
              <w:t>2.5 Comparative Framework Summary</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_Toc228295023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6</w:t>
            </w:r>
            <w:r w:rsidRPr="00052E56">
              <w:rPr>
                <w:rFonts w:ascii="Arial" w:hAnsi="Arial" w:cs="Arial"/>
                <w:noProof/>
                <w:webHidden/>
                <w:sz w:val="20"/>
                <w:szCs w:val="20"/>
              </w:rPr>
              <w:fldChar w:fldCharType="end"/>
            </w:r>
          </w:hyperlink>
        </w:p>
        <w:p w14:paraId="339A69AD" w14:textId="5AB87D24" w:rsidR="00052E56" w:rsidRPr="00052E56" w:rsidRDefault="00052E56">
          <w:pPr>
            <w:pStyle w:val="TOC1"/>
            <w:tabs>
              <w:tab w:val="right" w:leader="dot" w:pos="9350"/>
            </w:tabs>
            <w:rPr>
              <w:rFonts w:ascii="Arial" w:hAnsi="Arial" w:cs="Arial"/>
              <w:noProof/>
              <w:kern w:val="2"/>
              <w14:ligatures w14:val="standardContextual"/>
            </w:rPr>
          </w:pPr>
          <w:hyperlink w:anchor="_Toc228295024" w:history="1">
            <w:r w:rsidRPr="00052E56">
              <w:rPr>
                <w:rStyle w:val="Hyperlink"/>
                <w:rFonts w:ascii="Arial" w:eastAsia="Arial" w:hAnsi="Arial" w:cs="Arial"/>
                <w:noProof/>
                <w:sz w:val="20"/>
                <w:szCs w:val="20"/>
              </w:rPr>
              <w:t>3. Proposed Security Governance Architecture for FSB</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_Toc228295024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7</w:t>
            </w:r>
            <w:r w:rsidRPr="00052E56">
              <w:rPr>
                <w:rFonts w:ascii="Arial" w:hAnsi="Arial" w:cs="Arial"/>
                <w:noProof/>
                <w:webHidden/>
                <w:sz w:val="20"/>
                <w:szCs w:val="20"/>
              </w:rPr>
              <w:fldChar w:fldCharType="end"/>
            </w:r>
          </w:hyperlink>
        </w:p>
        <w:p w14:paraId="45D4DA4E" w14:textId="5A669A2D" w:rsidR="00052E56" w:rsidRPr="00052E56" w:rsidRDefault="00052E56">
          <w:pPr>
            <w:pStyle w:val="TOC2"/>
            <w:tabs>
              <w:tab w:val="right" w:leader="dot" w:pos="9350"/>
            </w:tabs>
            <w:rPr>
              <w:rFonts w:ascii="Arial" w:hAnsi="Arial" w:cs="Arial"/>
              <w:noProof/>
              <w:kern w:val="2"/>
              <w14:ligatures w14:val="standardContextual"/>
            </w:rPr>
          </w:pPr>
          <w:hyperlink w:anchor="_Toc228295025" w:history="1">
            <w:r w:rsidRPr="00052E56">
              <w:rPr>
                <w:rStyle w:val="Hyperlink"/>
                <w:rFonts w:ascii="Arial" w:eastAsia="Arial" w:hAnsi="Arial" w:cs="Arial"/>
                <w:noProof/>
                <w:sz w:val="20"/>
                <w:szCs w:val="20"/>
              </w:rPr>
              <w:t>3.1 Security Governance Architecture Overview</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_Toc228295025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7</w:t>
            </w:r>
            <w:r w:rsidRPr="00052E56">
              <w:rPr>
                <w:rFonts w:ascii="Arial" w:hAnsi="Arial" w:cs="Arial"/>
                <w:noProof/>
                <w:webHidden/>
                <w:sz w:val="20"/>
                <w:szCs w:val="20"/>
              </w:rPr>
              <w:fldChar w:fldCharType="end"/>
            </w:r>
          </w:hyperlink>
        </w:p>
        <w:p w14:paraId="11C7AE9E" w14:textId="7CEE837B" w:rsidR="00052E56" w:rsidRPr="00052E56" w:rsidRDefault="00052E56">
          <w:pPr>
            <w:pStyle w:val="TOC2"/>
            <w:tabs>
              <w:tab w:val="right" w:leader="dot" w:pos="9350"/>
            </w:tabs>
            <w:rPr>
              <w:rFonts w:ascii="Arial" w:hAnsi="Arial" w:cs="Arial"/>
              <w:noProof/>
              <w:kern w:val="2"/>
              <w14:ligatures w14:val="standardContextual"/>
            </w:rPr>
          </w:pPr>
          <w:hyperlink w:anchor="_Toc228295026" w:history="1">
            <w:r w:rsidRPr="00052E56">
              <w:rPr>
                <w:rStyle w:val="Hyperlink"/>
                <w:rFonts w:ascii="Arial" w:eastAsia="Arial" w:hAnsi="Arial" w:cs="Arial"/>
                <w:noProof/>
                <w:sz w:val="20"/>
                <w:szCs w:val="20"/>
              </w:rPr>
              <w:t>3.2 Governance and Strategic Planning</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_Toc228295026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8</w:t>
            </w:r>
            <w:r w:rsidRPr="00052E56">
              <w:rPr>
                <w:rFonts w:ascii="Arial" w:hAnsi="Arial" w:cs="Arial"/>
                <w:noProof/>
                <w:webHidden/>
                <w:sz w:val="20"/>
                <w:szCs w:val="20"/>
              </w:rPr>
              <w:fldChar w:fldCharType="end"/>
            </w:r>
          </w:hyperlink>
        </w:p>
        <w:p w14:paraId="3482936E" w14:textId="0B3FE356" w:rsidR="00052E56" w:rsidRPr="00052E56" w:rsidRDefault="00052E56">
          <w:pPr>
            <w:pStyle w:val="TOC2"/>
            <w:tabs>
              <w:tab w:val="right" w:leader="dot" w:pos="9350"/>
            </w:tabs>
            <w:rPr>
              <w:rFonts w:ascii="Arial" w:hAnsi="Arial" w:cs="Arial"/>
              <w:noProof/>
              <w:kern w:val="2"/>
              <w14:ligatures w14:val="standardContextual"/>
            </w:rPr>
          </w:pPr>
          <w:hyperlink w:anchor="_Toc228295027" w:history="1">
            <w:r w:rsidRPr="00052E56">
              <w:rPr>
                <w:rStyle w:val="Hyperlink"/>
                <w:rFonts w:ascii="Arial" w:eastAsia="Arial" w:hAnsi="Arial" w:cs="Arial"/>
                <w:noProof/>
                <w:sz w:val="20"/>
                <w:szCs w:val="20"/>
              </w:rPr>
              <w:t>3.4 Data Protection and GDPR Compliance</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_Toc228295027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9</w:t>
            </w:r>
            <w:r w:rsidRPr="00052E56">
              <w:rPr>
                <w:rFonts w:ascii="Arial" w:hAnsi="Arial" w:cs="Arial"/>
                <w:noProof/>
                <w:webHidden/>
                <w:sz w:val="20"/>
                <w:szCs w:val="20"/>
              </w:rPr>
              <w:fldChar w:fldCharType="end"/>
            </w:r>
          </w:hyperlink>
        </w:p>
        <w:p w14:paraId="105EA700" w14:textId="1C2A8103" w:rsidR="00052E56" w:rsidRPr="00052E56" w:rsidRDefault="00052E56">
          <w:pPr>
            <w:pStyle w:val="TOC2"/>
            <w:tabs>
              <w:tab w:val="right" w:leader="dot" w:pos="9350"/>
            </w:tabs>
            <w:rPr>
              <w:rFonts w:ascii="Arial" w:hAnsi="Arial" w:cs="Arial"/>
              <w:noProof/>
              <w:kern w:val="2"/>
              <w14:ligatures w14:val="standardContextual"/>
            </w:rPr>
          </w:pPr>
          <w:hyperlink w:anchor="_Toc228295028" w:history="1">
            <w:r w:rsidRPr="00052E56">
              <w:rPr>
                <w:rStyle w:val="Hyperlink"/>
                <w:rFonts w:ascii="Arial" w:eastAsia="Arial" w:hAnsi="Arial" w:cs="Arial"/>
                <w:noProof/>
                <w:sz w:val="20"/>
                <w:szCs w:val="20"/>
              </w:rPr>
              <w:t>3.5 Risk Management Strategy</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_Toc228295028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9</w:t>
            </w:r>
            <w:r w:rsidRPr="00052E56">
              <w:rPr>
                <w:rFonts w:ascii="Arial" w:hAnsi="Arial" w:cs="Arial"/>
                <w:noProof/>
                <w:webHidden/>
                <w:sz w:val="20"/>
                <w:szCs w:val="20"/>
              </w:rPr>
              <w:fldChar w:fldCharType="end"/>
            </w:r>
          </w:hyperlink>
        </w:p>
        <w:p w14:paraId="1A395BC8" w14:textId="1F85CAB9" w:rsidR="00052E56" w:rsidRPr="00052E56" w:rsidRDefault="00052E56">
          <w:pPr>
            <w:pStyle w:val="TOC2"/>
            <w:tabs>
              <w:tab w:val="right" w:leader="dot" w:pos="9350"/>
            </w:tabs>
            <w:rPr>
              <w:rFonts w:ascii="Arial" w:hAnsi="Arial" w:cs="Arial"/>
              <w:noProof/>
              <w:kern w:val="2"/>
              <w14:ligatures w14:val="standardContextual"/>
            </w:rPr>
          </w:pPr>
          <w:hyperlink w:anchor="_Toc228295029" w:history="1">
            <w:r w:rsidRPr="00052E56">
              <w:rPr>
                <w:rStyle w:val="Hyperlink"/>
                <w:rFonts w:ascii="Arial" w:eastAsia="Arial" w:hAnsi="Arial" w:cs="Arial"/>
                <w:noProof/>
                <w:sz w:val="20"/>
                <w:szCs w:val="20"/>
              </w:rPr>
              <w:t>3.6 Security Policies, Procedures, and Awareness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_Toc228295029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10</w:t>
            </w:r>
            <w:r w:rsidRPr="00052E56">
              <w:rPr>
                <w:rFonts w:ascii="Arial" w:hAnsi="Arial" w:cs="Arial"/>
                <w:noProof/>
                <w:webHidden/>
                <w:sz w:val="20"/>
                <w:szCs w:val="20"/>
              </w:rPr>
              <w:fldChar w:fldCharType="end"/>
            </w:r>
          </w:hyperlink>
        </w:p>
        <w:p w14:paraId="2582C4A6" w14:textId="35AFB9E0" w:rsidR="00052E56" w:rsidRPr="00052E56" w:rsidRDefault="00052E56">
          <w:pPr>
            <w:pStyle w:val="TOC2"/>
            <w:tabs>
              <w:tab w:val="right" w:leader="dot" w:pos="9350"/>
            </w:tabs>
            <w:rPr>
              <w:rFonts w:ascii="Arial" w:hAnsi="Arial" w:cs="Arial"/>
              <w:noProof/>
              <w:kern w:val="2"/>
              <w14:ligatures w14:val="standardContextual"/>
            </w:rPr>
          </w:pPr>
          <w:hyperlink w:anchor="_Toc228295030" w:history="1">
            <w:r w:rsidRPr="00052E56">
              <w:rPr>
                <w:rStyle w:val="Hyperlink"/>
                <w:rFonts w:ascii="Arial" w:eastAsia="Arial" w:hAnsi="Arial" w:cs="Arial"/>
                <w:noProof/>
                <w:sz w:val="20"/>
                <w:szCs w:val="20"/>
              </w:rPr>
              <w:t>3.7 Contingency Planning, BCP, and Service Level Agreements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_Toc228295030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10</w:t>
            </w:r>
            <w:r w:rsidRPr="00052E56">
              <w:rPr>
                <w:rFonts w:ascii="Arial" w:hAnsi="Arial" w:cs="Arial"/>
                <w:noProof/>
                <w:webHidden/>
                <w:sz w:val="20"/>
                <w:szCs w:val="20"/>
              </w:rPr>
              <w:fldChar w:fldCharType="end"/>
            </w:r>
          </w:hyperlink>
        </w:p>
        <w:p w14:paraId="24BEE89A" w14:textId="479AD893" w:rsidR="00052E56" w:rsidRPr="00052E56" w:rsidRDefault="00052E56">
          <w:pPr>
            <w:pStyle w:val="TOC2"/>
            <w:tabs>
              <w:tab w:val="right" w:leader="dot" w:pos="9350"/>
            </w:tabs>
            <w:rPr>
              <w:rFonts w:ascii="Arial" w:hAnsi="Arial" w:cs="Arial"/>
              <w:noProof/>
              <w:kern w:val="2"/>
              <w14:ligatures w14:val="standardContextual"/>
            </w:rPr>
          </w:pPr>
          <w:hyperlink w:anchor="_Toc228295031" w:history="1">
            <w:r w:rsidRPr="00052E56">
              <w:rPr>
                <w:rStyle w:val="Hyperlink"/>
                <w:rFonts w:ascii="Arial" w:eastAsia="Arial" w:hAnsi="Arial" w:cs="Arial"/>
                <w:noProof/>
                <w:sz w:val="20"/>
                <w:szCs w:val="20"/>
              </w:rPr>
              <w:t>3.8 Incident Response and Risk Process Flow</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_Toc228295031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11</w:t>
            </w:r>
            <w:r w:rsidRPr="00052E56">
              <w:rPr>
                <w:rFonts w:ascii="Arial" w:hAnsi="Arial" w:cs="Arial"/>
                <w:noProof/>
                <w:webHidden/>
                <w:sz w:val="20"/>
                <w:szCs w:val="20"/>
              </w:rPr>
              <w:fldChar w:fldCharType="end"/>
            </w:r>
          </w:hyperlink>
        </w:p>
        <w:p w14:paraId="4AEE1CAF" w14:textId="5880B6AF" w:rsidR="00052E56" w:rsidRPr="00052E56" w:rsidRDefault="00052E56">
          <w:pPr>
            <w:pStyle w:val="TOC1"/>
            <w:tabs>
              <w:tab w:val="right" w:leader="dot" w:pos="9350"/>
            </w:tabs>
            <w:rPr>
              <w:rFonts w:ascii="Arial" w:hAnsi="Arial" w:cs="Arial"/>
              <w:noProof/>
              <w:kern w:val="2"/>
              <w14:ligatures w14:val="standardContextual"/>
            </w:rPr>
          </w:pPr>
          <w:hyperlink w:anchor="_Toc228295032" w:history="1">
            <w:r w:rsidRPr="00052E56">
              <w:rPr>
                <w:rStyle w:val="Hyperlink"/>
                <w:rFonts w:ascii="Arial" w:eastAsia="Arial" w:hAnsi="Arial" w:cs="Arial"/>
                <w:noProof/>
                <w:sz w:val="20"/>
                <w:szCs w:val="20"/>
              </w:rPr>
              <w:t>4. The Imperative of Evolving Regulations and Standards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_Toc228295032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12</w:t>
            </w:r>
            <w:r w:rsidRPr="00052E56">
              <w:rPr>
                <w:rFonts w:ascii="Arial" w:hAnsi="Arial" w:cs="Arial"/>
                <w:noProof/>
                <w:webHidden/>
                <w:sz w:val="20"/>
                <w:szCs w:val="20"/>
              </w:rPr>
              <w:fldChar w:fldCharType="end"/>
            </w:r>
          </w:hyperlink>
        </w:p>
        <w:p w14:paraId="2BCF3D04" w14:textId="125CA362" w:rsidR="00052E56" w:rsidRPr="00052E56" w:rsidRDefault="00052E56">
          <w:pPr>
            <w:pStyle w:val="TOC2"/>
            <w:tabs>
              <w:tab w:val="right" w:leader="dot" w:pos="9350"/>
            </w:tabs>
            <w:rPr>
              <w:rFonts w:ascii="Arial" w:hAnsi="Arial" w:cs="Arial"/>
              <w:noProof/>
              <w:kern w:val="2"/>
              <w14:ligatures w14:val="standardContextual"/>
            </w:rPr>
          </w:pPr>
          <w:hyperlink w:anchor="_Toc228295033" w:history="1">
            <w:r w:rsidRPr="00052E56">
              <w:rPr>
                <w:rStyle w:val="Hyperlink"/>
                <w:rFonts w:ascii="Arial" w:eastAsia="Arial" w:hAnsi="Arial" w:cs="Arial"/>
                <w:noProof/>
                <w:sz w:val="20"/>
                <w:szCs w:val="20"/>
              </w:rPr>
              <w:t>4.1 The Dynamic Cyber Threat Landscape</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_Toc228295033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12</w:t>
            </w:r>
            <w:r w:rsidRPr="00052E56">
              <w:rPr>
                <w:rFonts w:ascii="Arial" w:hAnsi="Arial" w:cs="Arial"/>
                <w:noProof/>
                <w:webHidden/>
                <w:sz w:val="20"/>
                <w:szCs w:val="20"/>
              </w:rPr>
              <w:fldChar w:fldCharType="end"/>
            </w:r>
          </w:hyperlink>
        </w:p>
        <w:p w14:paraId="48649B51" w14:textId="6FB6AF39" w:rsidR="00052E56" w:rsidRPr="00052E56" w:rsidRDefault="00052E56">
          <w:pPr>
            <w:pStyle w:val="TOC2"/>
            <w:tabs>
              <w:tab w:val="right" w:leader="dot" w:pos="9350"/>
            </w:tabs>
            <w:rPr>
              <w:rFonts w:ascii="Arial" w:hAnsi="Arial" w:cs="Arial"/>
              <w:noProof/>
              <w:kern w:val="2"/>
              <w14:ligatures w14:val="standardContextual"/>
            </w:rPr>
          </w:pPr>
          <w:hyperlink w:anchor="_Toc228295034" w:history="1">
            <w:r w:rsidRPr="00052E56">
              <w:rPr>
                <w:rStyle w:val="Hyperlink"/>
                <w:rFonts w:ascii="Arial" w:eastAsia="Arial" w:hAnsi="Arial" w:cs="Arial"/>
                <w:noProof/>
                <w:sz w:val="20"/>
                <w:szCs w:val="20"/>
              </w:rPr>
              <w:t>4.2 Cross-Jurisdictional Regulatory Convergence</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_Toc228295034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12</w:t>
            </w:r>
            <w:r w:rsidRPr="00052E56">
              <w:rPr>
                <w:rFonts w:ascii="Arial" w:hAnsi="Arial" w:cs="Arial"/>
                <w:noProof/>
                <w:webHidden/>
                <w:sz w:val="20"/>
                <w:szCs w:val="20"/>
              </w:rPr>
              <w:fldChar w:fldCharType="end"/>
            </w:r>
          </w:hyperlink>
        </w:p>
        <w:p w14:paraId="56A75C99" w14:textId="467E1AE1" w:rsidR="00052E56" w:rsidRPr="00052E56" w:rsidRDefault="00052E56">
          <w:pPr>
            <w:pStyle w:val="TOC2"/>
            <w:tabs>
              <w:tab w:val="right" w:leader="dot" w:pos="9350"/>
            </w:tabs>
            <w:rPr>
              <w:rFonts w:ascii="Arial" w:hAnsi="Arial" w:cs="Arial"/>
              <w:noProof/>
              <w:kern w:val="2"/>
              <w14:ligatures w14:val="standardContextual"/>
            </w:rPr>
          </w:pPr>
          <w:hyperlink w:anchor="_Toc228295035" w:history="1">
            <w:r w:rsidRPr="00052E56">
              <w:rPr>
                <w:rStyle w:val="Hyperlink"/>
                <w:rFonts w:ascii="Arial" w:eastAsia="Arial" w:hAnsi="Arial" w:cs="Arial"/>
                <w:noProof/>
                <w:sz w:val="20"/>
                <w:szCs w:val="20"/>
              </w:rPr>
              <w:t>4.3 Technology-Driven Standard Updates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_Toc228295035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12</w:t>
            </w:r>
            <w:r w:rsidRPr="00052E56">
              <w:rPr>
                <w:rFonts w:ascii="Arial" w:hAnsi="Arial" w:cs="Arial"/>
                <w:noProof/>
                <w:webHidden/>
                <w:sz w:val="20"/>
                <w:szCs w:val="20"/>
              </w:rPr>
              <w:fldChar w:fldCharType="end"/>
            </w:r>
          </w:hyperlink>
        </w:p>
        <w:p w14:paraId="6D98422E" w14:textId="3B274931" w:rsidR="00052E56" w:rsidRPr="00052E56" w:rsidRDefault="00052E56">
          <w:pPr>
            <w:pStyle w:val="TOC2"/>
            <w:tabs>
              <w:tab w:val="right" w:leader="dot" w:pos="9350"/>
            </w:tabs>
            <w:rPr>
              <w:rFonts w:ascii="Arial" w:hAnsi="Arial" w:cs="Arial"/>
              <w:noProof/>
              <w:kern w:val="2"/>
              <w14:ligatures w14:val="standardContextual"/>
            </w:rPr>
          </w:pPr>
          <w:hyperlink w:anchor="_Toc228295036" w:history="1">
            <w:r w:rsidRPr="00052E56">
              <w:rPr>
                <w:rStyle w:val="Hyperlink"/>
                <w:rFonts w:ascii="Arial" w:eastAsia="Arial" w:hAnsi="Arial" w:cs="Arial"/>
                <w:noProof/>
                <w:sz w:val="20"/>
                <w:szCs w:val="20"/>
              </w:rPr>
              <w:t>4.4 Ethical Dimensions and Human Rights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_Toc228295036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12</w:t>
            </w:r>
            <w:r w:rsidRPr="00052E56">
              <w:rPr>
                <w:rFonts w:ascii="Arial" w:hAnsi="Arial" w:cs="Arial"/>
                <w:noProof/>
                <w:webHidden/>
                <w:sz w:val="20"/>
                <w:szCs w:val="20"/>
              </w:rPr>
              <w:fldChar w:fldCharType="end"/>
            </w:r>
          </w:hyperlink>
        </w:p>
        <w:p w14:paraId="052FCE6F" w14:textId="58005FF6" w:rsidR="00052E56" w:rsidRPr="00052E56" w:rsidRDefault="00052E56">
          <w:pPr>
            <w:pStyle w:val="TOC1"/>
            <w:tabs>
              <w:tab w:val="right" w:leader="dot" w:pos="9350"/>
            </w:tabs>
            <w:rPr>
              <w:rFonts w:ascii="Arial" w:hAnsi="Arial" w:cs="Arial"/>
              <w:noProof/>
              <w:kern w:val="2"/>
              <w14:ligatures w14:val="standardContextual"/>
            </w:rPr>
          </w:pPr>
          <w:hyperlink w:anchor="_Toc228295037" w:history="1">
            <w:r w:rsidRPr="00052E56">
              <w:rPr>
                <w:rStyle w:val="Hyperlink"/>
                <w:rFonts w:ascii="Arial" w:eastAsia="Arial" w:hAnsi="Arial" w:cs="Arial"/>
                <w:noProof/>
                <w:sz w:val="20"/>
                <w:szCs w:val="20"/>
              </w:rPr>
              <w:t>5. Conclusion</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_Toc228295037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14</w:t>
            </w:r>
            <w:r w:rsidRPr="00052E56">
              <w:rPr>
                <w:rFonts w:ascii="Arial" w:hAnsi="Arial" w:cs="Arial"/>
                <w:noProof/>
                <w:webHidden/>
                <w:sz w:val="20"/>
                <w:szCs w:val="20"/>
              </w:rPr>
              <w:fldChar w:fldCharType="end"/>
            </w:r>
          </w:hyperlink>
        </w:p>
        <w:p w14:paraId="160F2536" w14:textId="1BCA5FCB" w:rsidR="00052E56" w:rsidRPr="00052E56" w:rsidRDefault="00052E56">
          <w:pPr>
            <w:pStyle w:val="TOC1"/>
            <w:tabs>
              <w:tab w:val="right" w:leader="dot" w:pos="9350"/>
            </w:tabs>
            <w:rPr>
              <w:rFonts w:ascii="Arial" w:hAnsi="Arial" w:cs="Arial"/>
              <w:noProof/>
              <w:kern w:val="2"/>
              <w14:ligatures w14:val="standardContextual"/>
            </w:rPr>
          </w:pPr>
          <w:hyperlink w:anchor="_Toc228295038" w:history="1">
            <w:r w:rsidRPr="00052E56">
              <w:rPr>
                <w:rStyle w:val="Hyperlink"/>
                <w:rFonts w:ascii="Arial" w:eastAsia="Arial" w:hAnsi="Arial" w:cs="Arial"/>
                <w:noProof/>
                <w:sz w:val="20"/>
                <w:szCs w:val="20"/>
              </w:rPr>
              <w:t>References</w:t>
            </w:r>
            <w:r w:rsidRPr="00052E56">
              <w:rPr>
                <w:rFonts w:ascii="Arial" w:hAnsi="Arial" w:cs="Arial"/>
                <w:noProof/>
                <w:webHidden/>
                <w:sz w:val="20"/>
                <w:szCs w:val="20"/>
              </w:rPr>
              <w:tab/>
            </w:r>
            <w:r w:rsidRPr="00052E56">
              <w:rPr>
                <w:rFonts w:ascii="Arial" w:hAnsi="Arial" w:cs="Arial"/>
                <w:noProof/>
                <w:webHidden/>
                <w:sz w:val="20"/>
                <w:szCs w:val="20"/>
              </w:rPr>
              <w:fldChar w:fldCharType="begin"/>
            </w:r>
            <w:r w:rsidRPr="00052E56">
              <w:rPr>
                <w:rFonts w:ascii="Arial" w:hAnsi="Arial" w:cs="Arial"/>
                <w:noProof/>
                <w:webHidden/>
                <w:sz w:val="20"/>
                <w:szCs w:val="20"/>
              </w:rPr>
              <w:instrText xml:space="preserve"> PAGEREF _Toc228295038 \h </w:instrText>
            </w:r>
            <w:r w:rsidRPr="00052E56">
              <w:rPr>
                <w:rFonts w:ascii="Arial" w:hAnsi="Arial" w:cs="Arial"/>
                <w:noProof/>
                <w:webHidden/>
                <w:sz w:val="20"/>
                <w:szCs w:val="20"/>
              </w:rPr>
            </w:r>
            <w:r w:rsidRPr="00052E56">
              <w:rPr>
                <w:rFonts w:ascii="Arial" w:hAnsi="Arial" w:cs="Arial"/>
                <w:noProof/>
                <w:webHidden/>
                <w:sz w:val="20"/>
                <w:szCs w:val="20"/>
              </w:rPr>
              <w:fldChar w:fldCharType="separate"/>
            </w:r>
            <w:r w:rsidRPr="00052E56">
              <w:rPr>
                <w:rFonts w:ascii="Arial" w:hAnsi="Arial" w:cs="Arial"/>
                <w:noProof/>
                <w:webHidden/>
                <w:sz w:val="20"/>
                <w:szCs w:val="20"/>
              </w:rPr>
              <w:t>15</w:t>
            </w:r>
            <w:r w:rsidRPr="00052E56">
              <w:rPr>
                <w:rFonts w:ascii="Arial" w:hAnsi="Arial" w:cs="Arial"/>
                <w:noProof/>
                <w:webHidden/>
                <w:sz w:val="20"/>
                <w:szCs w:val="20"/>
              </w:rPr>
              <w:fldChar w:fldCharType="end"/>
            </w:r>
          </w:hyperlink>
        </w:p>
        <w:p w14:paraId="2EF65BE8" w14:textId="5E133486" w:rsidR="003C795F" w:rsidRPr="00052E56" w:rsidRDefault="003C795F" w:rsidP="004B6087">
          <w:pPr>
            <w:jc w:val="both"/>
            <w:rPr>
              <w:sz w:val="20"/>
              <w:szCs w:val="20"/>
            </w:rPr>
          </w:pPr>
          <w:r w:rsidRPr="00052E56">
            <w:rPr>
              <w:noProof/>
              <w:sz w:val="20"/>
              <w:szCs w:val="20"/>
            </w:rPr>
            <w:fldChar w:fldCharType="end"/>
          </w:r>
        </w:p>
      </w:sdtContent>
    </w:sdt>
    <w:p w14:paraId="4BD2B35F" w14:textId="77777777" w:rsidR="003C795F" w:rsidRDefault="003C795F" w:rsidP="004B6087">
      <w:pPr>
        <w:spacing w:after="160" w:line="278" w:lineRule="auto"/>
        <w:jc w:val="both"/>
      </w:pPr>
    </w:p>
    <w:p w14:paraId="24C55D46" w14:textId="2C6CCB61" w:rsidR="00052E56" w:rsidRDefault="003C795F">
      <w:pPr>
        <w:spacing w:after="160" w:line="278" w:lineRule="auto"/>
      </w:pPr>
      <w:r>
        <w:br w:type="page"/>
      </w:r>
    </w:p>
    <w:p w14:paraId="4D210E6C" w14:textId="77777777" w:rsidR="00052E56" w:rsidRPr="00575D0F" w:rsidRDefault="00052E56" w:rsidP="00052E56">
      <w:pPr>
        <w:pStyle w:val="Heading1"/>
        <w:pBdr>
          <w:bottom w:val="single" w:sz="4" w:space="4" w:color="1F4E79"/>
        </w:pBdr>
        <w:jc w:val="both"/>
        <w:rPr>
          <w:rFonts w:ascii="Arial" w:hAnsi="Arial" w:cs="Arial"/>
        </w:rPr>
      </w:pPr>
      <w:bookmarkStart w:id="0" w:name="_Toc228295016"/>
      <w:r w:rsidRPr="00575D0F">
        <w:rPr>
          <w:rFonts w:ascii="Arial" w:eastAsia="Arial" w:hAnsi="Arial" w:cs="Arial"/>
          <w:b/>
          <w:bCs/>
          <w:color w:val="1F4E79"/>
          <w:sz w:val="30"/>
          <w:szCs w:val="30"/>
        </w:rPr>
        <w:lastRenderedPageBreak/>
        <w:t>Abstract</w:t>
      </w:r>
      <w:bookmarkEnd w:id="0"/>
    </w:p>
    <w:p w14:paraId="0833205A" w14:textId="77777777" w:rsidR="00052E56" w:rsidRDefault="00052E56" w:rsidP="00052E56">
      <w:pPr>
        <w:spacing w:after="160" w:line="278" w:lineRule="auto"/>
        <w:jc w:val="both"/>
      </w:pPr>
      <w:proofErr w:type="spellStart"/>
      <w:r w:rsidRPr="00561D56">
        <w:t>FinSure</w:t>
      </w:r>
      <w:proofErr w:type="spellEnd"/>
      <w:r w:rsidRPr="00561D56">
        <w:t xml:space="preserve"> Bank (FSB) is at risk of </w:t>
      </w:r>
      <w:proofErr w:type="spellStart"/>
      <w:r w:rsidRPr="00561D56">
        <w:t>cyber attacks</w:t>
      </w:r>
      <w:proofErr w:type="spellEnd"/>
      <w:r w:rsidRPr="00561D56">
        <w:t>, data breaches, and regulatory duties because digital financial services are growing so quickly. This report looks at ISO/IEC 27001:2022, the NIST Cybersecurity Framework (CSF) 2.0, ITIL 4, and the Zero Trust Architecture (ZTA) model to help FSB design its governance and security in a way that is digital-first and cloud-dependent. A structured Security Governance Architecture includes identity and access management, cloud security controls, BYOD policy governance, GDPR-aligned data protection, formalized risk management, contingency planning, and Service Level Agreement governance. The report looks at the need to change security standards to keep up with new threats, technology, and morals. Section 1.4 lists all of the assumptions made in the FSB scenario.</w:t>
      </w:r>
    </w:p>
    <w:p w14:paraId="33548939" w14:textId="77777777" w:rsidR="00052E56" w:rsidRDefault="00052E56">
      <w:pPr>
        <w:spacing w:after="160" w:line="278" w:lineRule="auto"/>
        <w:rPr>
          <w:b/>
          <w:bCs/>
          <w:color w:val="1F4E79"/>
          <w:sz w:val="30"/>
          <w:szCs w:val="30"/>
        </w:rPr>
      </w:pPr>
      <w:r>
        <w:rPr>
          <w:b/>
          <w:bCs/>
          <w:color w:val="1F4E79"/>
          <w:sz w:val="30"/>
          <w:szCs w:val="30"/>
        </w:rPr>
        <w:br w:type="page"/>
      </w:r>
    </w:p>
    <w:p w14:paraId="4F2B358E" w14:textId="49B1569C" w:rsidR="00561D56" w:rsidRPr="00575D0F" w:rsidRDefault="00561D56" w:rsidP="004B6087">
      <w:pPr>
        <w:pStyle w:val="Heading1"/>
        <w:pBdr>
          <w:bottom w:val="single" w:sz="4" w:space="4" w:color="1F4E79"/>
        </w:pBdr>
        <w:jc w:val="both"/>
        <w:rPr>
          <w:rFonts w:ascii="Arial" w:hAnsi="Arial" w:cs="Arial"/>
        </w:rPr>
      </w:pPr>
      <w:bookmarkStart w:id="1" w:name="_Toc228295017"/>
      <w:r w:rsidRPr="00575D0F">
        <w:rPr>
          <w:rFonts w:ascii="Arial" w:eastAsia="Arial" w:hAnsi="Arial" w:cs="Arial"/>
          <w:b/>
          <w:bCs/>
          <w:color w:val="1F4E79"/>
          <w:sz w:val="30"/>
          <w:szCs w:val="30"/>
        </w:rPr>
        <w:lastRenderedPageBreak/>
        <w:t>1. Introduction</w:t>
      </w:r>
      <w:bookmarkEnd w:id="1"/>
    </w:p>
    <w:p w14:paraId="5DE64B45" w14:textId="77777777" w:rsidR="00AC49F1" w:rsidRPr="00AC49F1" w:rsidRDefault="00AC49F1" w:rsidP="004B6087">
      <w:pPr>
        <w:spacing w:after="160" w:line="278" w:lineRule="auto"/>
        <w:jc w:val="both"/>
      </w:pPr>
      <w:r w:rsidRPr="00AC49F1">
        <w:t xml:space="preserve">According to IBM Security (2023), financial services companies are responsible for a large number of data breaches around the world. Institutions that are moving toward digital-first service delivery are making the attack surface bigger by adding cloud infrastructure, mobile apps, third-party integrations, and personal devices. </w:t>
      </w:r>
      <w:proofErr w:type="spellStart"/>
      <w:r w:rsidRPr="00AC49F1">
        <w:t>FinSure</w:t>
      </w:r>
      <w:proofErr w:type="spellEnd"/>
      <w:r w:rsidRPr="00AC49F1">
        <w:t xml:space="preserve"> Bank (FSB), a digital-native financial services company that operates in several countries, shows how bad fintech's security problems are. FSB's information security is weak and scattered. There is no unified governance model, formal risk management strategy, or structured compliance audit program. More than 90% of its infrastructure is hosted externally on cloud platforms, and BYOD access policies and cross-border regulatory frameworks create serious operational and regulatory risks. This report meets two main goals set out in the ACCA7028 assessment brief: first, it compares the security frameworks and governance models of ISO/IEC 27001, NIST CSF 2.0, ITIL 4, and Zero Trust Architecture using original diagrams, tables, and figures; and second, it creates a full, workable security governance plan for FSB and critically examines why con Structure of the report: Section 2 has the framework review. Section 3 shows the proposed FSB governance structure for seven security areas, along with three new diagrams. Section 4 critically analyzes the necessity for regulatory reform; References come after the conclusions and recommendations in Section 5. The assessment brief says that all of the analysis in this report must be based on the following ideas: (1) Jurisdiction: FSB is subject to UK GDPR, EU GDPR (Regulation 2016/679), the Data Protection Act 2018, and FCA regulatory oversight across the UK and EU; (2) Infrastructure: All cloud services are hosted on third-party platforms like AWS, Microsoft Azure, or Google Cloud Platform, with no on-premises data centers; and (3) BYOD. (4) Governance Maturity: FSB doesn't have a CISO, DPO, or dedicated SOC, so the security function needs to be built from scratch. (5) Risk Maturity: Its cybersecurity maturity is at NIST CSF Tier 1 (Partial), which means it is ad hoc, reactive, and doesn't have repeatable documented processes. (6) Threat Actors.</w:t>
      </w:r>
    </w:p>
    <w:p w14:paraId="63295524" w14:textId="77777777" w:rsidR="003C795F" w:rsidRDefault="003C795F" w:rsidP="004B6087">
      <w:pPr>
        <w:spacing w:after="160" w:line="278" w:lineRule="auto"/>
        <w:jc w:val="both"/>
      </w:pPr>
      <w:r>
        <w:br w:type="page"/>
      </w:r>
    </w:p>
    <w:p w14:paraId="3996026D" w14:textId="77777777" w:rsidR="003C795F" w:rsidRDefault="003C795F" w:rsidP="004B6087">
      <w:pPr>
        <w:pStyle w:val="Heading1"/>
        <w:pBdr>
          <w:bottom w:val="single" w:sz="4" w:space="4" w:color="1F4E79"/>
        </w:pBdr>
        <w:jc w:val="both"/>
      </w:pPr>
      <w:bookmarkStart w:id="2" w:name="_Hlk227695576"/>
      <w:bookmarkStart w:id="3" w:name="_Toc228295018"/>
      <w:r>
        <w:rPr>
          <w:rFonts w:ascii="Arial" w:eastAsia="Arial" w:hAnsi="Arial" w:cs="Arial"/>
          <w:b/>
          <w:bCs/>
          <w:color w:val="1F4E79"/>
          <w:sz w:val="30"/>
          <w:szCs w:val="30"/>
        </w:rPr>
        <w:lastRenderedPageBreak/>
        <w:t>2. Review of Security Frameworks and Models</w:t>
      </w:r>
      <w:bookmarkEnd w:id="3"/>
    </w:p>
    <w:p w14:paraId="3ADEA96D" w14:textId="77777777" w:rsidR="00AC49F1" w:rsidRPr="00575D0F" w:rsidRDefault="00AC49F1" w:rsidP="004B6087">
      <w:pPr>
        <w:pStyle w:val="Heading2"/>
        <w:jc w:val="both"/>
        <w:rPr>
          <w:rFonts w:ascii="Arial" w:hAnsi="Arial" w:cs="Arial"/>
          <w:sz w:val="24"/>
          <w:szCs w:val="24"/>
        </w:rPr>
      </w:pPr>
      <w:bookmarkStart w:id="4" w:name="_Toc228295019"/>
      <w:bookmarkEnd w:id="2"/>
      <w:r w:rsidRPr="00575D0F">
        <w:rPr>
          <w:rFonts w:ascii="Arial" w:eastAsia="Arial" w:hAnsi="Arial" w:cs="Arial"/>
          <w:b/>
          <w:bCs/>
          <w:color w:val="2E75B6"/>
          <w:sz w:val="24"/>
          <w:szCs w:val="24"/>
        </w:rPr>
        <w:t>2.1 ISO/IEC 27000 Family of Standards</w:t>
      </w:r>
      <w:bookmarkEnd w:id="4"/>
    </w:p>
    <w:p w14:paraId="4AB87952" w14:textId="3BFFB7D1" w:rsidR="00AC49F1" w:rsidRPr="00AC49F1" w:rsidRDefault="008A6E86" w:rsidP="004B6087">
      <w:pPr>
        <w:spacing w:after="160" w:line="278" w:lineRule="auto"/>
        <w:jc w:val="both"/>
      </w:pPr>
      <w:r w:rsidRPr="008A6E86">
        <w:t xml:space="preserve">ISO 27000 is a set of regulations used worldwide to set up, administer, maintain, and improve an Information Security Management System. The major standard is ISO/IEC 27001:2022. Risk-based ISMS follows the Plan-Do-Check-Act (PDCA) approach. ISO/IEC 27002:2022 recommends 93 organizational, people, physical, and technological security controls (ISO, 2022). </w:t>
      </w:r>
      <w:r w:rsidRPr="008A6E86">
        <w:br/>
        <w:t>Modern risks were addressed by eleven new controls in 2022. Threat Intelligence (5.7), Cloud Security (5.23), ICT Readiness for Business Continuity (5.30), and Secure Coding (8.28). All of these rules apply to FSB's cloud-based, software-driven operational architecture. A corporation with ISO 27001 accreditation is trusted by authorities, auditors, and commercial clients. Due diligence during procurement cycles is also easy (</w:t>
      </w:r>
      <w:proofErr w:type="spellStart"/>
      <w:r w:rsidRPr="008A6E86">
        <w:t>Disterer</w:t>
      </w:r>
      <w:proofErr w:type="spellEnd"/>
      <w:r w:rsidRPr="008A6E86">
        <w:t>, 2013).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3300"/>
        <w:gridCol w:w="4026"/>
      </w:tblGrid>
      <w:tr w:rsidR="00AC49F1" w:rsidRPr="00575D0F" w14:paraId="669C1AAC"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1EF6950F" w14:textId="77777777" w:rsidR="00AC49F1" w:rsidRPr="00575D0F" w:rsidRDefault="00AC49F1" w:rsidP="004B6087">
            <w:pPr>
              <w:jc w:val="both"/>
            </w:pPr>
            <w:r w:rsidRPr="00575D0F">
              <w:rPr>
                <w:b/>
                <w:bCs/>
                <w:color w:val="FFFFFF"/>
                <w:sz w:val="19"/>
                <w:szCs w:val="19"/>
              </w:rPr>
              <w:t>ISO 27001 Clause</w:t>
            </w:r>
          </w:p>
        </w:tc>
        <w:tc>
          <w:tcPr>
            <w:tcW w:w="33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74C11160" w14:textId="77777777" w:rsidR="00AC49F1" w:rsidRPr="00575D0F" w:rsidRDefault="00AC49F1" w:rsidP="004B6087">
            <w:pPr>
              <w:jc w:val="both"/>
            </w:pPr>
            <w:r w:rsidRPr="00575D0F">
              <w:rPr>
                <w:b/>
                <w:bCs/>
                <w:color w:val="FFFFFF"/>
                <w:sz w:val="19"/>
                <w:szCs w:val="19"/>
              </w:rPr>
              <w:t>Focus Area</w:t>
            </w:r>
          </w:p>
        </w:tc>
        <w:tc>
          <w:tcPr>
            <w:tcW w:w="40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2DC4812B" w14:textId="77777777" w:rsidR="00AC49F1" w:rsidRPr="00575D0F" w:rsidRDefault="00AC49F1" w:rsidP="004B6087">
            <w:pPr>
              <w:jc w:val="both"/>
            </w:pPr>
            <w:r w:rsidRPr="00575D0F">
              <w:rPr>
                <w:b/>
                <w:bCs/>
                <w:color w:val="FFFFFF"/>
                <w:sz w:val="19"/>
                <w:szCs w:val="19"/>
              </w:rPr>
              <w:t>Relevance to FSB</w:t>
            </w:r>
          </w:p>
        </w:tc>
      </w:tr>
      <w:tr w:rsidR="00AC49F1" w:rsidRPr="00575D0F" w14:paraId="503E0523"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DB82057" w14:textId="77777777" w:rsidR="00AC49F1" w:rsidRPr="00575D0F" w:rsidRDefault="00AC49F1" w:rsidP="004B6087">
            <w:pPr>
              <w:jc w:val="both"/>
            </w:pPr>
            <w:r w:rsidRPr="00575D0F">
              <w:rPr>
                <w:color w:val="1A1A1A"/>
                <w:sz w:val="19"/>
                <w:szCs w:val="19"/>
              </w:rPr>
              <w:t>Clause 4</w:t>
            </w:r>
          </w:p>
        </w:tc>
        <w:tc>
          <w:tcPr>
            <w:tcW w:w="33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BBD53A3" w14:textId="77777777" w:rsidR="00AC49F1" w:rsidRPr="00575D0F" w:rsidRDefault="00AC49F1" w:rsidP="004B6087">
            <w:pPr>
              <w:jc w:val="both"/>
            </w:pPr>
            <w:r w:rsidRPr="00575D0F">
              <w:rPr>
                <w:color w:val="1A1A1A"/>
                <w:sz w:val="19"/>
                <w:szCs w:val="19"/>
              </w:rPr>
              <w:t xml:space="preserve">Context of the </w:t>
            </w:r>
            <w:proofErr w:type="spellStart"/>
            <w:r w:rsidRPr="00575D0F">
              <w:rPr>
                <w:color w:val="1A1A1A"/>
                <w:sz w:val="19"/>
                <w:szCs w:val="19"/>
              </w:rPr>
              <w:t>Organisation</w:t>
            </w:r>
            <w:proofErr w:type="spellEnd"/>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93E9098" w14:textId="77777777" w:rsidR="00AC49F1" w:rsidRPr="00575D0F" w:rsidRDefault="00AC49F1" w:rsidP="004B6087">
            <w:pPr>
              <w:jc w:val="both"/>
            </w:pPr>
            <w:r w:rsidRPr="00575D0F">
              <w:rPr>
                <w:color w:val="1A1A1A"/>
                <w:sz w:val="19"/>
                <w:szCs w:val="19"/>
              </w:rPr>
              <w:t>Maps FSB's internal/external security context and stakeholder requirements</w:t>
            </w:r>
          </w:p>
        </w:tc>
      </w:tr>
      <w:tr w:rsidR="00AC49F1" w:rsidRPr="00575D0F" w14:paraId="10A77BB5"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57FB75" w14:textId="77777777" w:rsidR="00AC49F1" w:rsidRPr="00575D0F" w:rsidRDefault="00AC49F1" w:rsidP="004B6087">
            <w:pPr>
              <w:jc w:val="both"/>
            </w:pPr>
            <w:r w:rsidRPr="00575D0F">
              <w:rPr>
                <w:color w:val="1A1A1A"/>
                <w:sz w:val="19"/>
                <w:szCs w:val="19"/>
              </w:rPr>
              <w:t>Clause 6</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56BF5A" w14:textId="77777777" w:rsidR="00AC49F1" w:rsidRPr="00575D0F" w:rsidRDefault="00AC49F1" w:rsidP="004B6087">
            <w:pPr>
              <w:jc w:val="both"/>
            </w:pPr>
            <w:r w:rsidRPr="00575D0F">
              <w:rPr>
                <w:color w:val="1A1A1A"/>
                <w:sz w:val="19"/>
                <w:szCs w:val="19"/>
              </w:rPr>
              <w:t>Risk Assessment &amp; Treatment</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F79F50" w14:textId="77777777" w:rsidR="00AC49F1" w:rsidRPr="00575D0F" w:rsidRDefault="00AC49F1" w:rsidP="004B6087">
            <w:pPr>
              <w:jc w:val="both"/>
            </w:pPr>
            <w:r w:rsidRPr="00575D0F">
              <w:rPr>
                <w:color w:val="1A1A1A"/>
                <w:sz w:val="19"/>
                <w:szCs w:val="19"/>
              </w:rPr>
              <w:t>Structures FSB's approach to identifying and treating BYOD, cloud, and insider risks</w:t>
            </w:r>
          </w:p>
        </w:tc>
      </w:tr>
      <w:tr w:rsidR="00AC49F1" w:rsidRPr="00575D0F" w14:paraId="1141DB96"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44198B6" w14:textId="77777777" w:rsidR="00AC49F1" w:rsidRPr="00575D0F" w:rsidRDefault="00AC49F1" w:rsidP="004B6087">
            <w:pPr>
              <w:jc w:val="both"/>
            </w:pPr>
            <w:r w:rsidRPr="00575D0F">
              <w:rPr>
                <w:color w:val="1A1A1A"/>
                <w:sz w:val="19"/>
                <w:szCs w:val="19"/>
              </w:rPr>
              <w:t>Clause 8</w:t>
            </w:r>
          </w:p>
        </w:tc>
        <w:tc>
          <w:tcPr>
            <w:tcW w:w="33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38C3C4E" w14:textId="77777777" w:rsidR="00AC49F1" w:rsidRPr="00575D0F" w:rsidRDefault="00AC49F1" w:rsidP="004B6087">
            <w:pPr>
              <w:jc w:val="both"/>
            </w:pPr>
            <w:r w:rsidRPr="00575D0F">
              <w:rPr>
                <w:color w:val="1A1A1A"/>
                <w:sz w:val="19"/>
                <w:szCs w:val="19"/>
              </w:rPr>
              <w:t>Operational Security Controls</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5F27366" w14:textId="77777777" w:rsidR="00AC49F1" w:rsidRPr="00575D0F" w:rsidRDefault="00AC49F1" w:rsidP="004B6087">
            <w:pPr>
              <w:jc w:val="both"/>
            </w:pPr>
            <w:r w:rsidRPr="00575D0F">
              <w:rPr>
                <w:color w:val="1A1A1A"/>
                <w:sz w:val="19"/>
                <w:szCs w:val="19"/>
              </w:rPr>
              <w:t>Deploys technical and procedural controls across all FSB information assets</w:t>
            </w:r>
          </w:p>
        </w:tc>
      </w:tr>
      <w:tr w:rsidR="00AC49F1" w:rsidRPr="00575D0F" w14:paraId="715EB62D"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91C091" w14:textId="77777777" w:rsidR="00AC49F1" w:rsidRPr="00575D0F" w:rsidRDefault="00AC49F1" w:rsidP="004B6087">
            <w:pPr>
              <w:jc w:val="both"/>
            </w:pPr>
            <w:r w:rsidRPr="00575D0F">
              <w:rPr>
                <w:color w:val="1A1A1A"/>
                <w:sz w:val="19"/>
                <w:szCs w:val="19"/>
              </w:rPr>
              <w:t>Clause 9</w:t>
            </w:r>
          </w:p>
        </w:tc>
        <w:tc>
          <w:tcPr>
            <w:tcW w:w="3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95418F" w14:textId="77777777" w:rsidR="00AC49F1" w:rsidRPr="00575D0F" w:rsidRDefault="00AC49F1" w:rsidP="004B6087">
            <w:pPr>
              <w:jc w:val="both"/>
            </w:pPr>
            <w:r w:rsidRPr="00575D0F">
              <w:rPr>
                <w:color w:val="1A1A1A"/>
                <w:sz w:val="19"/>
                <w:szCs w:val="19"/>
              </w:rPr>
              <w:t>Performance Evaluation</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00DE58" w14:textId="77777777" w:rsidR="00AC49F1" w:rsidRPr="00575D0F" w:rsidRDefault="00AC49F1" w:rsidP="004B6087">
            <w:pPr>
              <w:jc w:val="both"/>
            </w:pPr>
            <w:r w:rsidRPr="00575D0F">
              <w:rPr>
                <w:color w:val="1A1A1A"/>
                <w:sz w:val="19"/>
                <w:szCs w:val="19"/>
              </w:rPr>
              <w:t xml:space="preserve">Enables continuous monitoring and internal/external audit </w:t>
            </w:r>
            <w:proofErr w:type="spellStart"/>
            <w:r w:rsidRPr="00575D0F">
              <w:rPr>
                <w:color w:val="1A1A1A"/>
                <w:sz w:val="19"/>
                <w:szCs w:val="19"/>
              </w:rPr>
              <w:t>programmes</w:t>
            </w:r>
            <w:proofErr w:type="spellEnd"/>
          </w:p>
        </w:tc>
      </w:tr>
      <w:tr w:rsidR="00AC49F1" w:rsidRPr="00575D0F" w14:paraId="326C0BF3" w14:textId="77777777" w:rsidTr="00012175">
        <w:tc>
          <w:tcPr>
            <w:tcW w:w="17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97FBEE1" w14:textId="77777777" w:rsidR="00AC49F1" w:rsidRPr="00575D0F" w:rsidRDefault="00AC49F1" w:rsidP="004B6087">
            <w:pPr>
              <w:jc w:val="both"/>
            </w:pPr>
            <w:r w:rsidRPr="00575D0F">
              <w:rPr>
                <w:color w:val="1A1A1A"/>
                <w:sz w:val="19"/>
                <w:szCs w:val="19"/>
              </w:rPr>
              <w:t>Clause 10</w:t>
            </w:r>
          </w:p>
        </w:tc>
        <w:tc>
          <w:tcPr>
            <w:tcW w:w="33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4CA922F" w14:textId="77777777" w:rsidR="00AC49F1" w:rsidRPr="00575D0F" w:rsidRDefault="00AC49F1" w:rsidP="004B6087">
            <w:pPr>
              <w:jc w:val="both"/>
            </w:pPr>
            <w:r w:rsidRPr="00575D0F">
              <w:rPr>
                <w:color w:val="1A1A1A"/>
                <w:sz w:val="19"/>
                <w:szCs w:val="19"/>
              </w:rPr>
              <w:t>Continual Improvement</w:t>
            </w:r>
          </w:p>
        </w:tc>
        <w:tc>
          <w:tcPr>
            <w:tcW w:w="40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56E3C0" w14:textId="77777777" w:rsidR="00AC49F1" w:rsidRPr="00575D0F" w:rsidRDefault="00AC49F1" w:rsidP="004B6087">
            <w:pPr>
              <w:jc w:val="both"/>
            </w:pPr>
            <w:r w:rsidRPr="00575D0F">
              <w:rPr>
                <w:color w:val="1A1A1A"/>
                <w:sz w:val="19"/>
                <w:szCs w:val="19"/>
              </w:rPr>
              <w:t>Drives post-incident learning and iterative ISMS enhancement</w:t>
            </w:r>
          </w:p>
        </w:tc>
      </w:tr>
    </w:tbl>
    <w:p w14:paraId="761342E3" w14:textId="77777777" w:rsidR="00AC49F1" w:rsidRPr="007A53CD" w:rsidRDefault="00AC49F1" w:rsidP="004B6087">
      <w:pPr>
        <w:spacing w:before="80" w:after="200"/>
        <w:jc w:val="center"/>
        <w:rPr>
          <w:i/>
          <w:iCs/>
          <w:color w:val="555555"/>
          <w:sz w:val="18"/>
          <w:szCs w:val="18"/>
        </w:rPr>
      </w:pPr>
      <w:r w:rsidRPr="007A53CD">
        <w:rPr>
          <w:i/>
          <w:iCs/>
          <w:color w:val="555555"/>
          <w:sz w:val="18"/>
          <w:szCs w:val="18"/>
        </w:rPr>
        <w:t>Table 1: ISO/IEC 27001:2022 Key Clauses Mapped to FSB Requirements</w:t>
      </w:r>
    </w:p>
    <w:p w14:paraId="64FEA764" w14:textId="18688CC9" w:rsidR="003C795F" w:rsidRDefault="00AC49F1" w:rsidP="004B6087">
      <w:pPr>
        <w:pStyle w:val="Heading2"/>
        <w:jc w:val="both"/>
        <w:rPr>
          <w:rFonts w:ascii="Arial" w:eastAsia="Arial" w:hAnsi="Arial" w:cs="Arial"/>
          <w:b/>
          <w:bCs/>
          <w:color w:val="2E75B6"/>
          <w:sz w:val="24"/>
          <w:szCs w:val="24"/>
        </w:rPr>
      </w:pPr>
      <w:bookmarkStart w:id="5" w:name="_Toc228295020"/>
      <w:r w:rsidRPr="00575D0F">
        <w:rPr>
          <w:rFonts w:ascii="Arial" w:eastAsia="Arial" w:hAnsi="Arial" w:cs="Arial"/>
          <w:b/>
          <w:bCs/>
          <w:color w:val="2E75B6"/>
          <w:sz w:val="24"/>
          <w:szCs w:val="24"/>
        </w:rPr>
        <w:t>2.2 NIST Cybersecurity Framework (CSF) 2.0</w:t>
      </w:r>
      <w:bookmarkEnd w:id="5"/>
    </w:p>
    <w:p w14:paraId="21F5D3B1" w14:textId="088662CE" w:rsidR="003C795F" w:rsidRPr="003C795F" w:rsidRDefault="003C795F" w:rsidP="004B6087">
      <w:pPr>
        <w:jc w:val="both"/>
      </w:pPr>
      <w:r>
        <w:t xml:space="preserve">NIST </w:t>
      </w:r>
      <w:r w:rsidRPr="009B55E2">
        <w:t>CSF risk-based cybersecurity management methodology, designed for US critical infrastructure, is utilized worldwide. Identify, Protect, Detect, Respond, and Recover were expanded to include Govern in Version 2.0 (NIST, 2024). This feature elevates cybersecurity governance to the executive and board levels, bridging the gap in most firms, including FSB, where security is an IT issue but not a corporate policy.</w:t>
      </w:r>
      <w:r w:rsidR="004B6087">
        <w:t xml:space="preserve"> </w:t>
      </w:r>
      <w:r w:rsidRPr="009B55E2">
        <w:t>The framework's four implementation levels—Partial, Risk-Informed, Repeatable, and Adaptive—help firms assess security maturity and create improvement plans. FSB's undocumented, reactive security posture is Tier 1 (Partial) and should be Tier 3 (Repeatable) in 24 months with codified policies, risk-informed processes, and enterprise-wide implementation</w:t>
      </w:r>
      <w:r>
        <w:t>.</w:t>
      </w:r>
    </w:p>
    <w:p w14:paraId="68566023" w14:textId="2609E764" w:rsidR="00883959" w:rsidRDefault="00883959" w:rsidP="004B6087">
      <w:pPr>
        <w:pStyle w:val="Heading2"/>
        <w:jc w:val="both"/>
        <w:rPr>
          <w:rFonts w:ascii="Arial" w:eastAsia="Arial" w:hAnsi="Arial" w:cs="Arial"/>
          <w:b/>
          <w:bCs/>
          <w:color w:val="2E75B6"/>
          <w:sz w:val="24"/>
          <w:szCs w:val="24"/>
        </w:rPr>
      </w:pPr>
      <w:bookmarkStart w:id="6" w:name="_Toc228295021"/>
      <w:r w:rsidRPr="00575D0F">
        <w:rPr>
          <w:rFonts w:ascii="Arial" w:eastAsia="Arial" w:hAnsi="Arial" w:cs="Arial"/>
          <w:b/>
          <w:bCs/>
          <w:color w:val="2E75B6"/>
          <w:sz w:val="24"/>
          <w:szCs w:val="24"/>
        </w:rPr>
        <w:t>2.3 ITIL 4 and Information Security Management</w:t>
      </w:r>
      <w:bookmarkEnd w:id="6"/>
    </w:p>
    <w:p w14:paraId="15E051A6" w14:textId="323B471F" w:rsidR="008A6E86" w:rsidRPr="008A6E86" w:rsidRDefault="008A6E86" w:rsidP="004B6087">
      <w:pPr>
        <w:jc w:val="both"/>
      </w:pPr>
      <w:r w:rsidRPr="008A6E86">
        <w:t>ITIL 4 is a complete framework for managing services that includes a practice for keeping information safe. ITIL 4 SVS includes security in the design, transition, and operation of services. Every IT service has built-in information security (Axelos, 2019).</w:t>
      </w:r>
      <w:r w:rsidR="004B6087">
        <w:t xml:space="preserve"> </w:t>
      </w:r>
      <w:r w:rsidRPr="008A6E86">
        <w:t xml:space="preserve">FSB uses ITIL 4 to handle partnerships with cloud providers and create SLA frameworks that include security commitments that can be enforced. The ITIL principle "Progress Iteratively with Feedback" is the same as agile security governance. This helps the FSB gradually make banking safer without stopping services. </w:t>
      </w:r>
      <w:r w:rsidRPr="008A6E86">
        <w:lastRenderedPageBreak/>
        <w:t>Before using ITIL's Change Management approach, it checks all changes to cloud configurations for security problems.</w:t>
      </w:r>
    </w:p>
    <w:p w14:paraId="0DCCA57F" w14:textId="77777777" w:rsidR="00883959" w:rsidRPr="00575D0F" w:rsidRDefault="00883959" w:rsidP="004B6087">
      <w:pPr>
        <w:pStyle w:val="Heading2"/>
        <w:jc w:val="both"/>
        <w:rPr>
          <w:rFonts w:ascii="Arial" w:eastAsia="Arial" w:hAnsi="Arial" w:cs="Arial"/>
          <w:b/>
          <w:bCs/>
          <w:color w:val="2E75B6"/>
          <w:sz w:val="24"/>
          <w:szCs w:val="24"/>
        </w:rPr>
      </w:pPr>
      <w:bookmarkStart w:id="7" w:name="_Toc228295022"/>
      <w:r w:rsidRPr="00575D0F">
        <w:rPr>
          <w:rFonts w:ascii="Arial" w:eastAsia="Arial" w:hAnsi="Arial" w:cs="Arial"/>
          <w:b/>
          <w:bCs/>
          <w:color w:val="2E75B6"/>
          <w:sz w:val="24"/>
          <w:szCs w:val="24"/>
        </w:rPr>
        <w:t>2.4 Zero Trust Architecture (ZTA)</w:t>
      </w:r>
      <w:bookmarkEnd w:id="7"/>
    </w:p>
    <w:p w14:paraId="27332E38" w14:textId="3E28B2D4" w:rsidR="00DB06B6" w:rsidRPr="00575D0F" w:rsidRDefault="00DB06B6" w:rsidP="004B6087">
      <w:pPr>
        <w:jc w:val="both"/>
      </w:pPr>
      <w:r w:rsidRPr="00DB06B6">
        <w:t>The architecture described in NIST SP 800-207 (Rose et al., 2020) is called Zero Confidence Architecture (ZTA). By default, it doesn't trust users, devices, workloads, or network segments. There are three main parts to ZTA:</w:t>
      </w:r>
    </w:p>
    <w:p w14:paraId="769B34FE" w14:textId="37BF6ABA" w:rsidR="00DB06B6" w:rsidRPr="00575D0F" w:rsidRDefault="00DB06B6" w:rsidP="004B6087">
      <w:pPr>
        <w:pStyle w:val="ListParagraph"/>
        <w:numPr>
          <w:ilvl w:val="0"/>
          <w:numId w:val="1"/>
        </w:numPr>
        <w:jc w:val="both"/>
      </w:pPr>
      <w:r w:rsidRPr="00575D0F">
        <w:rPr>
          <w:b/>
          <w:bCs/>
        </w:rPr>
        <w:t>Verify Explicitly</w:t>
      </w:r>
      <w:r w:rsidR="00F71B8C" w:rsidRPr="00575D0F">
        <w:rPr>
          <w:b/>
          <w:bCs/>
        </w:rPr>
        <w:t>:</w:t>
      </w:r>
      <w:r w:rsidR="00F71B8C" w:rsidRPr="00575D0F">
        <w:t xml:space="preserve"> U</w:t>
      </w:r>
      <w:r w:rsidRPr="00575D0F">
        <w:t>se all available data points to verify and approve each access request</w:t>
      </w:r>
      <w:r w:rsidR="00F71B8C" w:rsidRPr="00575D0F">
        <w:t>.</w:t>
      </w:r>
    </w:p>
    <w:p w14:paraId="0ECAE66C" w14:textId="73866A6F" w:rsidR="00DB06B6" w:rsidRPr="00575D0F" w:rsidRDefault="00DB06B6" w:rsidP="004B6087">
      <w:pPr>
        <w:pStyle w:val="ListParagraph"/>
        <w:numPr>
          <w:ilvl w:val="0"/>
          <w:numId w:val="1"/>
        </w:numPr>
        <w:jc w:val="both"/>
      </w:pPr>
      <w:r w:rsidRPr="00575D0F">
        <w:rPr>
          <w:b/>
          <w:bCs/>
        </w:rPr>
        <w:t>Use Least Privilege Access</w:t>
      </w:r>
      <w:r w:rsidR="00F71B8C" w:rsidRPr="00575D0F">
        <w:rPr>
          <w:b/>
          <w:bCs/>
        </w:rPr>
        <w:t>:</w:t>
      </w:r>
      <w:r w:rsidR="00F71B8C" w:rsidRPr="00575D0F">
        <w:t xml:space="preserve"> G</w:t>
      </w:r>
      <w:r w:rsidRPr="00575D0F">
        <w:t>ive users only the minimum access they need and use just-in-time and just-enough-access</w:t>
      </w:r>
      <w:r w:rsidR="00F71B8C" w:rsidRPr="00575D0F">
        <w:t>.</w:t>
      </w:r>
    </w:p>
    <w:p w14:paraId="26398A6B" w14:textId="5DAB8F9B" w:rsidR="00F71B8C" w:rsidRPr="00575D0F" w:rsidRDefault="00DB06B6" w:rsidP="004B6087">
      <w:pPr>
        <w:pStyle w:val="ListParagraph"/>
        <w:numPr>
          <w:ilvl w:val="0"/>
          <w:numId w:val="1"/>
        </w:numPr>
        <w:jc w:val="both"/>
      </w:pPr>
      <w:r w:rsidRPr="00575D0F">
        <w:rPr>
          <w:b/>
          <w:bCs/>
        </w:rPr>
        <w:t>Assume Breach</w:t>
      </w:r>
      <w:r w:rsidR="00F71B8C" w:rsidRPr="00575D0F">
        <w:rPr>
          <w:b/>
          <w:bCs/>
        </w:rPr>
        <w:t>:</w:t>
      </w:r>
      <w:r w:rsidR="00F71B8C" w:rsidRPr="00575D0F">
        <w:t xml:space="preserve"> D</w:t>
      </w:r>
      <w:r w:rsidRPr="00575D0F">
        <w:t>esign systems as if attackers are already there, limit the blast radius, and make it easy to find them.</w:t>
      </w:r>
    </w:p>
    <w:p w14:paraId="0C1832A5" w14:textId="6234FF78" w:rsidR="00DB06B6" w:rsidRPr="00575D0F" w:rsidRDefault="00DB06B6" w:rsidP="004B6087">
      <w:pPr>
        <w:jc w:val="both"/>
      </w:pPr>
      <w:r w:rsidRPr="00575D0F">
        <w:t>The network perimeter is gone because of cloud hosting and BYOD rules. ZTA is great for FSB. ID is the new security boundary. You can use cloud identity providers like Microsoft Entra ID or Okta.</w:t>
      </w:r>
    </w:p>
    <w:p w14:paraId="77BC8F78" w14:textId="77777777" w:rsidR="00DB06B6" w:rsidRPr="00575D0F" w:rsidRDefault="00DB06B6" w:rsidP="004B6087">
      <w:pPr>
        <w:pStyle w:val="Heading2"/>
        <w:jc w:val="both"/>
        <w:rPr>
          <w:rFonts w:ascii="Arial" w:hAnsi="Arial" w:cs="Arial"/>
          <w:sz w:val="24"/>
          <w:szCs w:val="24"/>
        </w:rPr>
      </w:pPr>
      <w:bookmarkStart w:id="8" w:name="_Toc228295023"/>
      <w:r w:rsidRPr="00575D0F">
        <w:rPr>
          <w:rFonts w:ascii="Arial" w:eastAsia="Arial" w:hAnsi="Arial" w:cs="Arial"/>
          <w:b/>
          <w:bCs/>
          <w:color w:val="2E75B6"/>
          <w:sz w:val="24"/>
          <w:szCs w:val="24"/>
        </w:rPr>
        <w:t>2.5 Comparative Framework Summary</w:t>
      </w:r>
      <w:bookmarkEnd w:id="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500"/>
        <w:gridCol w:w="1800"/>
        <w:gridCol w:w="2100"/>
        <w:gridCol w:w="1826"/>
      </w:tblGrid>
      <w:tr w:rsidR="00DB06B6" w:rsidRPr="00575D0F" w14:paraId="54536FA4"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17D8E343" w14:textId="77777777" w:rsidR="00DB06B6" w:rsidRPr="00575D0F" w:rsidRDefault="00DB06B6" w:rsidP="004B6087">
            <w:pPr>
              <w:jc w:val="both"/>
            </w:pPr>
            <w:r w:rsidRPr="00575D0F">
              <w:rPr>
                <w:b/>
                <w:bCs/>
                <w:color w:val="FFFFFF"/>
                <w:sz w:val="19"/>
                <w:szCs w:val="19"/>
              </w:rPr>
              <w:t>Framework</w:t>
            </w:r>
          </w:p>
        </w:tc>
        <w:tc>
          <w:tcPr>
            <w:tcW w:w="15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76932DC5" w14:textId="77777777" w:rsidR="00DB06B6" w:rsidRPr="00575D0F" w:rsidRDefault="00DB06B6" w:rsidP="004B6087">
            <w:pPr>
              <w:jc w:val="both"/>
            </w:pPr>
            <w:r w:rsidRPr="00575D0F">
              <w:rPr>
                <w:b/>
                <w:bCs/>
                <w:color w:val="FFFFFF"/>
                <w:sz w:val="19"/>
                <w:szCs w:val="19"/>
              </w:rPr>
              <w:t>Type</w:t>
            </w:r>
          </w:p>
        </w:tc>
        <w:tc>
          <w:tcPr>
            <w:tcW w:w="18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074FD3C2" w14:textId="77777777" w:rsidR="00DB06B6" w:rsidRPr="00575D0F" w:rsidRDefault="00DB06B6" w:rsidP="004B6087">
            <w:pPr>
              <w:jc w:val="both"/>
            </w:pPr>
            <w:r w:rsidRPr="00575D0F">
              <w:rPr>
                <w:b/>
                <w:bCs/>
                <w:color w:val="FFFFFF"/>
                <w:sz w:val="19"/>
                <w:szCs w:val="19"/>
              </w:rPr>
              <w:t>Primary Focus</w:t>
            </w:r>
          </w:p>
        </w:tc>
        <w:tc>
          <w:tcPr>
            <w:tcW w:w="21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1C7B7040" w14:textId="77777777" w:rsidR="00DB06B6" w:rsidRPr="00575D0F" w:rsidRDefault="00DB06B6" w:rsidP="004B6087">
            <w:pPr>
              <w:jc w:val="both"/>
            </w:pPr>
            <w:r w:rsidRPr="00575D0F">
              <w:rPr>
                <w:b/>
                <w:bCs/>
                <w:color w:val="FFFFFF"/>
                <w:sz w:val="19"/>
                <w:szCs w:val="19"/>
              </w:rPr>
              <w:t>Regulatory Alignment</w:t>
            </w:r>
          </w:p>
        </w:tc>
        <w:tc>
          <w:tcPr>
            <w:tcW w:w="18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468E189F" w14:textId="77777777" w:rsidR="00DB06B6" w:rsidRPr="00575D0F" w:rsidRDefault="00DB06B6" w:rsidP="004B6087">
            <w:pPr>
              <w:jc w:val="both"/>
            </w:pPr>
            <w:r w:rsidRPr="00575D0F">
              <w:rPr>
                <w:b/>
                <w:bCs/>
                <w:color w:val="FFFFFF"/>
                <w:sz w:val="19"/>
                <w:szCs w:val="19"/>
              </w:rPr>
              <w:t>FSB Application</w:t>
            </w:r>
          </w:p>
        </w:tc>
      </w:tr>
      <w:tr w:rsidR="00DB06B6" w:rsidRPr="00575D0F" w14:paraId="1863A8FC"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FEEC54A" w14:textId="77777777" w:rsidR="00DB06B6" w:rsidRPr="00575D0F" w:rsidRDefault="00DB06B6" w:rsidP="004B6087">
            <w:pPr>
              <w:jc w:val="both"/>
            </w:pPr>
            <w:r w:rsidRPr="00575D0F">
              <w:rPr>
                <w:b/>
                <w:bCs/>
                <w:color w:val="1A1A1A"/>
                <w:sz w:val="19"/>
                <w:szCs w:val="19"/>
              </w:rPr>
              <w:t>ISO/IEC 27001:2022</w:t>
            </w:r>
          </w:p>
        </w:tc>
        <w:tc>
          <w:tcPr>
            <w:tcW w:w="15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6137223" w14:textId="77777777" w:rsidR="00DB06B6" w:rsidRPr="00575D0F" w:rsidRDefault="00DB06B6" w:rsidP="004B6087">
            <w:pPr>
              <w:jc w:val="both"/>
            </w:pPr>
            <w:r w:rsidRPr="00575D0F">
              <w:rPr>
                <w:color w:val="1A1A1A"/>
                <w:sz w:val="19"/>
                <w:szCs w:val="19"/>
              </w:rPr>
              <w:t>Standard</w:t>
            </w:r>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30E82C7" w14:textId="77777777" w:rsidR="00DB06B6" w:rsidRPr="00575D0F" w:rsidRDefault="00DB06B6" w:rsidP="004B6087">
            <w:pPr>
              <w:jc w:val="both"/>
            </w:pPr>
            <w:r w:rsidRPr="00575D0F">
              <w:rPr>
                <w:color w:val="1A1A1A"/>
                <w:sz w:val="19"/>
                <w:szCs w:val="19"/>
              </w:rPr>
              <w:t>ISMS &amp; Risk Controls</w:t>
            </w:r>
          </w:p>
        </w:tc>
        <w:tc>
          <w:tcPr>
            <w:tcW w:w="21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EBBF2DE" w14:textId="77777777" w:rsidR="00DB06B6" w:rsidRPr="00575D0F" w:rsidRDefault="00DB06B6" w:rsidP="004B6087">
            <w:pPr>
              <w:jc w:val="both"/>
            </w:pPr>
            <w:r w:rsidRPr="00575D0F">
              <w:rPr>
                <w:color w:val="1A1A1A"/>
                <w:sz w:val="19"/>
                <w:szCs w:val="19"/>
              </w:rPr>
              <w:t>GDPR, PCI-DSS, DORA</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61220A" w14:textId="77777777" w:rsidR="00DB06B6" w:rsidRPr="00575D0F" w:rsidRDefault="00DB06B6" w:rsidP="004B6087">
            <w:pPr>
              <w:jc w:val="both"/>
            </w:pPr>
            <w:r w:rsidRPr="00575D0F">
              <w:rPr>
                <w:color w:val="1A1A1A"/>
                <w:sz w:val="19"/>
                <w:szCs w:val="19"/>
              </w:rPr>
              <w:t>Governance &amp; certification baseline</w:t>
            </w:r>
          </w:p>
        </w:tc>
      </w:tr>
      <w:tr w:rsidR="00DB06B6" w:rsidRPr="00575D0F" w14:paraId="69E8A94E"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568CBC" w14:textId="77777777" w:rsidR="00DB06B6" w:rsidRPr="00575D0F" w:rsidRDefault="00DB06B6" w:rsidP="004B6087">
            <w:pPr>
              <w:jc w:val="both"/>
            </w:pPr>
            <w:r w:rsidRPr="00575D0F">
              <w:rPr>
                <w:b/>
                <w:bCs/>
                <w:color w:val="1A1A1A"/>
                <w:sz w:val="19"/>
                <w:szCs w:val="19"/>
              </w:rPr>
              <w:t>NIST CSF 2.0</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61E330" w14:textId="77777777" w:rsidR="00DB06B6" w:rsidRPr="00575D0F" w:rsidRDefault="00DB06B6" w:rsidP="004B6087">
            <w:pPr>
              <w:jc w:val="both"/>
            </w:pPr>
            <w:r w:rsidRPr="00575D0F">
              <w:rPr>
                <w:color w:val="1A1A1A"/>
                <w:sz w:val="19"/>
                <w:szCs w:val="19"/>
              </w:rPr>
              <w:t>Framework</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F556893" w14:textId="77777777" w:rsidR="00DB06B6" w:rsidRPr="00575D0F" w:rsidRDefault="00DB06B6" w:rsidP="004B6087">
            <w:pPr>
              <w:jc w:val="both"/>
            </w:pPr>
            <w:r w:rsidRPr="00575D0F">
              <w:rPr>
                <w:color w:val="1A1A1A"/>
                <w:sz w:val="19"/>
                <w:szCs w:val="19"/>
              </w:rPr>
              <w:t>Risk-based lifecycle</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99BBD4" w14:textId="77777777" w:rsidR="00DB06B6" w:rsidRPr="00575D0F" w:rsidRDefault="00DB06B6" w:rsidP="004B6087">
            <w:pPr>
              <w:jc w:val="both"/>
            </w:pPr>
            <w:r w:rsidRPr="00575D0F">
              <w:rPr>
                <w:color w:val="1A1A1A"/>
                <w:sz w:val="19"/>
                <w:szCs w:val="19"/>
              </w:rPr>
              <w:t>FedRAMP, SOC 2</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6C76133" w14:textId="77777777" w:rsidR="00DB06B6" w:rsidRPr="00575D0F" w:rsidRDefault="00DB06B6" w:rsidP="004B6087">
            <w:pPr>
              <w:jc w:val="both"/>
            </w:pPr>
            <w:r w:rsidRPr="00575D0F">
              <w:rPr>
                <w:color w:val="1A1A1A"/>
                <w:sz w:val="19"/>
                <w:szCs w:val="19"/>
              </w:rPr>
              <w:t>Maturity roadmap &amp; risk structure</w:t>
            </w:r>
          </w:p>
        </w:tc>
      </w:tr>
      <w:tr w:rsidR="00DB06B6" w:rsidRPr="00575D0F" w14:paraId="7D1C8EF0"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DB415FD" w14:textId="77777777" w:rsidR="00DB06B6" w:rsidRPr="00575D0F" w:rsidRDefault="00DB06B6" w:rsidP="004B6087">
            <w:pPr>
              <w:jc w:val="both"/>
            </w:pPr>
            <w:r w:rsidRPr="00575D0F">
              <w:rPr>
                <w:b/>
                <w:bCs/>
                <w:color w:val="1A1A1A"/>
                <w:sz w:val="19"/>
                <w:szCs w:val="19"/>
              </w:rPr>
              <w:t>ITIL 4</w:t>
            </w:r>
          </w:p>
        </w:tc>
        <w:tc>
          <w:tcPr>
            <w:tcW w:w="15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0BC6008" w14:textId="77777777" w:rsidR="00DB06B6" w:rsidRPr="00575D0F" w:rsidRDefault="00DB06B6" w:rsidP="004B6087">
            <w:pPr>
              <w:jc w:val="both"/>
            </w:pPr>
            <w:r w:rsidRPr="00575D0F">
              <w:rPr>
                <w:color w:val="1A1A1A"/>
                <w:sz w:val="19"/>
                <w:szCs w:val="19"/>
              </w:rPr>
              <w:t xml:space="preserve">Service </w:t>
            </w:r>
            <w:proofErr w:type="spellStart"/>
            <w:r w:rsidRPr="00575D0F">
              <w:rPr>
                <w:color w:val="1A1A1A"/>
                <w:sz w:val="19"/>
                <w:szCs w:val="19"/>
              </w:rPr>
              <w:t>Mgmt</w:t>
            </w:r>
            <w:proofErr w:type="spellEnd"/>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5BCD391" w14:textId="77777777" w:rsidR="00DB06B6" w:rsidRPr="00575D0F" w:rsidRDefault="00DB06B6" w:rsidP="004B6087">
            <w:pPr>
              <w:jc w:val="both"/>
            </w:pPr>
            <w:r w:rsidRPr="00575D0F">
              <w:rPr>
                <w:color w:val="1A1A1A"/>
                <w:sz w:val="19"/>
                <w:szCs w:val="19"/>
              </w:rPr>
              <w:t>Security in IT services</w:t>
            </w:r>
          </w:p>
        </w:tc>
        <w:tc>
          <w:tcPr>
            <w:tcW w:w="21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80D5883" w14:textId="77777777" w:rsidR="00DB06B6" w:rsidRPr="00575D0F" w:rsidRDefault="00DB06B6" w:rsidP="004B6087">
            <w:pPr>
              <w:jc w:val="both"/>
            </w:pPr>
            <w:r w:rsidRPr="00575D0F">
              <w:rPr>
                <w:color w:val="1A1A1A"/>
                <w:sz w:val="19"/>
                <w:szCs w:val="19"/>
              </w:rPr>
              <w:t>SLA &amp; vendor governance</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0976B9" w14:textId="77777777" w:rsidR="00DB06B6" w:rsidRPr="00575D0F" w:rsidRDefault="00DB06B6" w:rsidP="004B6087">
            <w:pPr>
              <w:jc w:val="both"/>
            </w:pPr>
            <w:r w:rsidRPr="00575D0F">
              <w:rPr>
                <w:color w:val="1A1A1A"/>
                <w:sz w:val="19"/>
                <w:szCs w:val="19"/>
              </w:rPr>
              <w:t>Cloud SLA &amp; change management</w:t>
            </w:r>
          </w:p>
        </w:tc>
      </w:tr>
      <w:tr w:rsidR="00DB06B6" w:rsidRPr="00575D0F" w14:paraId="26A8276B" w14:textId="77777777" w:rsidTr="00012175">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BA4976E" w14:textId="77777777" w:rsidR="00DB06B6" w:rsidRPr="00575D0F" w:rsidRDefault="00DB06B6" w:rsidP="004B6087">
            <w:pPr>
              <w:jc w:val="both"/>
            </w:pPr>
            <w:r w:rsidRPr="00575D0F">
              <w:rPr>
                <w:b/>
                <w:bCs/>
                <w:color w:val="1A1A1A"/>
                <w:sz w:val="19"/>
                <w:szCs w:val="19"/>
              </w:rPr>
              <w:t>Zero Trust (NIST 800-207)</w:t>
            </w:r>
          </w:p>
        </w:tc>
        <w:tc>
          <w:tcPr>
            <w:tcW w:w="15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5235C0" w14:textId="77777777" w:rsidR="00DB06B6" w:rsidRPr="00575D0F" w:rsidRDefault="00DB06B6" w:rsidP="004B6087">
            <w:pPr>
              <w:jc w:val="both"/>
            </w:pPr>
            <w:r w:rsidRPr="00575D0F">
              <w:rPr>
                <w:color w:val="1A1A1A"/>
                <w:sz w:val="19"/>
                <w:szCs w:val="19"/>
              </w:rPr>
              <w:t>Architecture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0E4B19B" w14:textId="77777777" w:rsidR="00DB06B6" w:rsidRPr="00575D0F" w:rsidRDefault="00DB06B6" w:rsidP="004B6087">
            <w:pPr>
              <w:jc w:val="both"/>
            </w:pPr>
            <w:r w:rsidRPr="00575D0F">
              <w:rPr>
                <w:color w:val="1A1A1A"/>
                <w:sz w:val="19"/>
                <w:szCs w:val="19"/>
              </w:rPr>
              <w:t>Identity &amp; access control</w:t>
            </w:r>
          </w:p>
        </w:tc>
        <w:tc>
          <w:tcPr>
            <w:tcW w:w="21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7E839D" w14:textId="77777777" w:rsidR="00DB06B6" w:rsidRPr="00575D0F" w:rsidRDefault="00DB06B6" w:rsidP="004B6087">
            <w:pPr>
              <w:jc w:val="both"/>
            </w:pPr>
            <w:r w:rsidRPr="00575D0F">
              <w:rPr>
                <w:color w:val="1A1A1A"/>
                <w:sz w:val="19"/>
                <w:szCs w:val="19"/>
              </w:rPr>
              <w:t>NIST 800-207</w:t>
            </w:r>
          </w:p>
        </w:tc>
        <w:tc>
          <w:tcPr>
            <w:tcW w:w="1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8C04FC" w14:textId="77777777" w:rsidR="00DB06B6" w:rsidRPr="00575D0F" w:rsidRDefault="00DB06B6" w:rsidP="004B6087">
            <w:pPr>
              <w:jc w:val="both"/>
            </w:pPr>
            <w:r w:rsidRPr="00575D0F">
              <w:rPr>
                <w:color w:val="1A1A1A"/>
                <w:sz w:val="19"/>
                <w:szCs w:val="19"/>
              </w:rPr>
              <w:t>BYOD &amp; cloud access enforcement</w:t>
            </w:r>
          </w:p>
        </w:tc>
      </w:tr>
    </w:tbl>
    <w:p w14:paraId="1BFCEE9E" w14:textId="77777777" w:rsidR="00DB06B6" w:rsidRPr="007A53CD" w:rsidRDefault="00DB06B6" w:rsidP="004B6087">
      <w:pPr>
        <w:spacing w:before="80" w:after="200"/>
        <w:jc w:val="center"/>
        <w:rPr>
          <w:i/>
          <w:iCs/>
        </w:rPr>
      </w:pPr>
      <w:r w:rsidRPr="007A53CD">
        <w:rPr>
          <w:i/>
          <w:iCs/>
          <w:color w:val="555555"/>
          <w:sz w:val="18"/>
          <w:szCs w:val="18"/>
        </w:rPr>
        <w:t>Table 2: Comparative Security Framework Analysis for FSB</w:t>
      </w:r>
    </w:p>
    <w:p w14:paraId="154E4D1B" w14:textId="2397BEEC" w:rsidR="00DB06B6" w:rsidRPr="00575D0F" w:rsidRDefault="00DB06B6" w:rsidP="004B6087">
      <w:pPr>
        <w:spacing w:after="160" w:line="278" w:lineRule="auto"/>
        <w:jc w:val="center"/>
      </w:pPr>
      <w:r w:rsidRPr="00575D0F">
        <w:br w:type="page"/>
      </w:r>
    </w:p>
    <w:p w14:paraId="5B6F6DC9" w14:textId="77777777" w:rsidR="00DB06B6" w:rsidRPr="00575D0F" w:rsidRDefault="00DB06B6" w:rsidP="004B6087">
      <w:pPr>
        <w:pStyle w:val="Heading1"/>
        <w:pBdr>
          <w:bottom w:val="single" w:sz="4" w:space="4" w:color="1F4E79"/>
        </w:pBdr>
        <w:jc w:val="both"/>
        <w:rPr>
          <w:rFonts w:ascii="Arial" w:hAnsi="Arial" w:cs="Arial"/>
        </w:rPr>
      </w:pPr>
      <w:bookmarkStart w:id="9" w:name="_Toc228295024"/>
      <w:r w:rsidRPr="00575D0F">
        <w:rPr>
          <w:rFonts w:ascii="Arial" w:eastAsia="Arial" w:hAnsi="Arial" w:cs="Arial"/>
          <w:b/>
          <w:bCs/>
          <w:color w:val="1F4E79"/>
          <w:sz w:val="30"/>
          <w:szCs w:val="30"/>
        </w:rPr>
        <w:lastRenderedPageBreak/>
        <w:t>3. Proposed Security Governance Architecture for FSB</w:t>
      </w:r>
      <w:bookmarkEnd w:id="9"/>
    </w:p>
    <w:p w14:paraId="78C2224C" w14:textId="77777777" w:rsidR="00DB06B6" w:rsidRPr="00DB06B6" w:rsidRDefault="00DB06B6" w:rsidP="004B6087">
      <w:pPr>
        <w:spacing w:after="160" w:line="278" w:lineRule="auto"/>
        <w:jc w:val="both"/>
      </w:pPr>
      <w:r w:rsidRPr="00DB06B6">
        <w:t>This part shows a hybrid, multi-layered security governance architecture for FSB that combines the best parts of the four frameworks that were looked at. ISO/IEC 27001 is the framework for governance; NIST CSF 2.0 is the framework for the risk management lifecycle; Zero Trust is the framework for access controls; and ITIL 4 is the framework for managing vendors and cloud services. There are seven important security domains in the architecture, and each one is covered in the sections below.</w:t>
      </w:r>
    </w:p>
    <w:p w14:paraId="2E4E0703" w14:textId="77777777" w:rsidR="00DB06B6" w:rsidRPr="00575D0F" w:rsidRDefault="00DB06B6" w:rsidP="004B6087">
      <w:pPr>
        <w:pStyle w:val="Heading2"/>
        <w:jc w:val="both"/>
        <w:rPr>
          <w:rFonts w:ascii="Arial" w:hAnsi="Arial" w:cs="Arial"/>
          <w:sz w:val="24"/>
          <w:szCs w:val="24"/>
        </w:rPr>
      </w:pPr>
      <w:bookmarkStart w:id="10" w:name="_Toc228295025"/>
      <w:r w:rsidRPr="00575D0F">
        <w:rPr>
          <w:rFonts w:ascii="Arial" w:eastAsia="Arial" w:hAnsi="Arial" w:cs="Arial"/>
          <w:b/>
          <w:bCs/>
          <w:color w:val="2E75B6"/>
          <w:sz w:val="24"/>
          <w:szCs w:val="24"/>
        </w:rPr>
        <w:t>3.1 Security Governance Architecture Overview</w:t>
      </w:r>
      <w:bookmarkEnd w:id="10"/>
    </w:p>
    <w:p w14:paraId="3EA35BB8" w14:textId="77777777" w:rsidR="00DB06B6" w:rsidRPr="00575D0F" w:rsidRDefault="00DB06B6" w:rsidP="004B6087">
      <w:pPr>
        <w:spacing w:before="100" w:after="140"/>
        <w:jc w:val="both"/>
      </w:pPr>
      <w:r w:rsidRPr="00575D0F">
        <w:rPr>
          <w:color w:val="1A1A1A"/>
        </w:rPr>
        <w:t xml:space="preserve">Figure 1 illustrates </w:t>
      </w:r>
      <w:proofErr w:type="gramStart"/>
      <w:r w:rsidRPr="00575D0F">
        <w:rPr>
          <w:color w:val="1A1A1A"/>
        </w:rPr>
        <w:t>FSB's</w:t>
      </w:r>
      <w:proofErr w:type="gramEnd"/>
      <w:r w:rsidRPr="00575D0F">
        <w:rPr>
          <w:color w:val="1A1A1A"/>
        </w:rPr>
        <w:t xml:space="preserve"> proposed four-layer governance architecture, spanning strategic decision-making through to the technology infrastructure layer.</w:t>
      </w:r>
    </w:p>
    <w:p w14:paraId="0F842440" w14:textId="4A1F3310" w:rsidR="00883959" w:rsidRPr="00575D0F" w:rsidRDefault="00BA793C" w:rsidP="004B6087">
      <w:pPr>
        <w:spacing w:after="160" w:line="278" w:lineRule="auto"/>
        <w:jc w:val="center"/>
      </w:pPr>
      <w:r w:rsidRPr="00575D0F">
        <w:rPr>
          <w:noProof/>
        </w:rPr>
        <w:drawing>
          <wp:inline distT="0" distB="0" distL="0" distR="0" wp14:anchorId="29F6C1C8" wp14:editId="7A74EEBE">
            <wp:extent cx="59055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905500" cy="3810000"/>
                    </a:xfrm>
                    <a:prstGeom prst="rect">
                      <a:avLst/>
                    </a:prstGeom>
                  </pic:spPr>
                </pic:pic>
              </a:graphicData>
            </a:graphic>
          </wp:inline>
        </w:drawing>
      </w:r>
    </w:p>
    <w:p w14:paraId="15E2CF93" w14:textId="77777777" w:rsidR="00BA793C" w:rsidRPr="007A53CD" w:rsidRDefault="00BA793C" w:rsidP="004B6087">
      <w:pPr>
        <w:spacing w:before="80" w:after="200"/>
        <w:jc w:val="center"/>
        <w:rPr>
          <w:i/>
          <w:iCs/>
        </w:rPr>
      </w:pPr>
      <w:r w:rsidRPr="007A53CD">
        <w:rPr>
          <w:i/>
          <w:iCs/>
          <w:color w:val="555555"/>
          <w:sz w:val="18"/>
          <w:szCs w:val="18"/>
        </w:rPr>
        <w:t>Figure 1: FSB Four-Layer Security Governance Architecture (Author's Own)</w:t>
      </w:r>
    </w:p>
    <w:p w14:paraId="0FE5D5F4" w14:textId="77777777" w:rsidR="00DF14AF" w:rsidRPr="00575D0F" w:rsidRDefault="00BA793C" w:rsidP="004B6087">
      <w:pPr>
        <w:spacing w:after="160" w:line="278" w:lineRule="auto"/>
        <w:jc w:val="both"/>
      </w:pPr>
      <w:r w:rsidRPr="00BA793C">
        <w:t xml:space="preserve">The architecture has four layers: </w:t>
      </w:r>
    </w:p>
    <w:p w14:paraId="28549867" w14:textId="621A522E" w:rsidR="00BA793C" w:rsidRPr="00575D0F" w:rsidRDefault="00DF14AF" w:rsidP="004B6087">
      <w:pPr>
        <w:pStyle w:val="ListParagraph"/>
        <w:numPr>
          <w:ilvl w:val="0"/>
          <w:numId w:val="2"/>
        </w:numPr>
        <w:spacing w:after="160" w:line="278" w:lineRule="auto"/>
        <w:jc w:val="both"/>
      </w:pPr>
      <w:r w:rsidRPr="00575D0F">
        <w:t>T</w:t>
      </w:r>
      <w:r w:rsidR="00BA793C" w:rsidRPr="00575D0F">
        <w:t>he Strategic Governance Layer, which sets the risk appetite and regulatory direction</w:t>
      </w:r>
      <w:r w:rsidRPr="00575D0F">
        <w:t>.</w:t>
      </w:r>
    </w:p>
    <w:p w14:paraId="2B4CEFE1" w14:textId="402A2CC6" w:rsidR="00BA793C" w:rsidRPr="00575D0F" w:rsidRDefault="00DF14AF" w:rsidP="004B6087">
      <w:pPr>
        <w:pStyle w:val="ListParagraph"/>
        <w:numPr>
          <w:ilvl w:val="0"/>
          <w:numId w:val="2"/>
        </w:numPr>
        <w:spacing w:after="160" w:line="278" w:lineRule="auto"/>
        <w:jc w:val="both"/>
      </w:pPr>
      <w:r w:rsidRPr="00575D0F">
        <w:t>T</w:t>
      </w:r>
      <w:r w:rsidR="00BA793C" w:rsidRPr="00575D0F">
        <w:t>he Management Layer, which coordinates operational security through the Information Security Governance Committee (ISGC)</w:t>
      </w:r>
      <w:r w:rsidRPr="00575D0F">
        <w:t>.</w:t>
      </w:r>
    </w:p>
    <w:p w14:paraId="7D358410" w14:textId="332E5F05" w:rsidR="00BA793C" w:rsidRPr="00575D0F" w:rsidRDefault="00DF14AF" w:rsidP="004B6087">
      <w:pPr>
        <w:pStyle w:val="ListParagraph"/>
        <w:numPr>
          <w:ilvl w:val="0"/>
          <w:numId w:val="2"/>
        </w:numPr>
        <w:spacing w:after="160" w:line="278" w:lineRule="auto"/>
        <w:jc w:val="both"/>
      </w:pPr>
      <w:r w:rsidRPr="00575D0F">
        <w:t>S</w:t>
      </w:r>
      <w:r w:rsidR="00BA793C" w:rsidRPr="00575D0F">
        <w:t>ix Operational Security Domains that cover IAM, cloud security, risk management, compliance, incident response, and business continuity</w:t>
      </w:r>
      <w:r w:rsidRPr="00575D0F">
        <w:t>.</w:t>
      </w:r>
    </w:p>
    <w:p w14:paraId="5BB97EA3" w14:textId="0C2E2E18" w:rsidR="00DF14AF" w:rsidRPr="00575D0F" w:rsidRDefault="00DF14AF" w:rsidP="004B6087">
      <w:pPr>
        <w:pStyle w:val="ListParagraph"/>
        <w:numPr>
          <w:ilvl w:val="0"/>
          <w:numId w:val="2"/>
        </w:numPr>
        <w:jc w:val="both"/>
      </w:pPr>
      <w:r w:rsidRPr="00575D0F">
        <w:t>T</w:t>
      </w:r>
      <w:r w:rsidR="00BA793C" w:rsidRPr="00575D0F">
        <w:t>he Technology Infrastructure Layer, which includes the tools and platforms that enforce security controls.</w:t>
      </w:r>
    </w:p>
    <w:p w14:paraId="5713B50D" w14:textId="77777777" w:rsidR="00DF14AF" w:rsidRPr="00575D0F" w:rsidRDefault="00DF14AF" w:rsidP="004B6087">
      <w:pPr>
        <w:pStyle w:val="Heading2"/>
        <w:jc w:val="both"/>
        <w:rPr>
          <w:rFonts w:ascii="Arial" w:hAnsi="Arial" w:cs="Arial"/>
          <w:sz w:val="24"/>
          <w:szCs w:val="24"/>
        </w:rPr>
      </w:pPr>
      <w:bookmarkStart w:id="11" w:name="_Toc228295026"/>
      <w:r w:rsidRPr="00575D0F">
        <w:rPr>
          <w:rFonts w:ascii="Arial" w:eastAsia="Arial" w:hAnsi="Arial" w:cs="Arial"/>
          <w:b/>
          <w:bCs/>
          <w:color w:val="2E75B6"/>
          <w:sz w:val="24"/>
          <w:szCs w:val="24"/>
        </w:rPr>
        <w:lastRenderedPageBreak/>
        <w:t>3.2 Governance and Strategic Planning</w:t>
      </w:r>
      <w:bookmarkEnd w:id="11"/>
    </w:p>
    <w:p w14:paraId="2B941FC3" w14:textId="77777777" w:rsidR="00DF14AF" w:rsidRPr="00575D0F" w:rsidRDefault="00DF14AF" w:rsidP="004B6087">
      <w:pPr>
        <w:jc w:val="both"/>
      </w:pPr>
      <w:r w:rsidRPr="00DF14AF">
        <w:t>FSB needs to quickly set up an official Information Security Governance Committee (ISGC) with a new CISO, Chief Risk Officer (CRO), Data Protection Officer (DPO), and people from IT, Legal, and Compliance. This committee should follow an Information Security Policy (ISP) that has been approved by the board and is in line with ISO 27001 Clause 5 (Leadership) and the NIST CSF Govern function. Governance needs to be set up in three levels:</w:t>
      </w:r>
    </w:p>
    <w:p w14:paraId="1757DF51" w14:textId="77777777" w:rsidR="00DF14AF" w:rsidRPr="00DF14AF" w:rsidRDefault="00DF14AF" w:rsidP="004B6087">
      <w:pPr>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200"/>
        <w:gridCol w:w="2626"/>
        <w:gridCol w:w="2000"/>
      </w:tblGrid>
      <w:tr w:rsidR="00DF14AF" w:rsidRPr="00575D0F" w14:paraId="38FFC934"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02A409EB" w14:textId="77777777" w:rsidR="00DF14AF" w:rsidRPr="00575D0F" w:rsidRDefault="00DF14AF" w:rsidP="004B6087">
            <w:pPr>
              <w:jc w:val="both"/>
            </w:pPr>
            <w:r w:rsidRPr="00575D0F">
              <w:rPr>
                <w:b/>
                <w:bCs/>
                <w:color w:val="FFFFFF"/>
                <w:sz w:val="19"/>
                <w:szCs w:val="19"/>
              </w:rPr>
              <w:t>Governance Tier</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6A1D3504" w14:textId="77777777" w:rsidR="00DF14AF" w:rsidRPr="00575D0F" w:rsidRDefault="00DF14AF" w:rsidP="004B6087">
            <w:pPr>
              <w:jc w:val="both"/>
            </w:pPr>
            <w:r w:rsidRPr="00575D0F">
              <w:rPr>
                <w:b/>
                <w:bCs/>
                <w:color w:val="FFFFFF"/>
                <w:sz w:val="19"/>
                <w:szCs w:val="19"/>
              </w:rPr>
              <w:t>Responsible Party</w:t>
            </w:r>
          </w:p>
        </w:tc>
        <w:tc>
          <w:tcPr>
            <w:tcW w:w="26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7D87C094" w14:textId="77777777" w:rsidR="00DF14AF" w:rsidRPr="00575D0F" w:rsidRDefault="00DF14AF" w:rsidP="004B6087">
            <w:pPr>
              <w:jc w:val="both"/>
            </w:pPr>
            <w:r w:rsidRPr="00575D0F">
              <w:rPr>
                <w:b/>
                <w:bCs/>
                <w:color w:val="FFFFFF"/>
                <w:sz w:val="19"/>
                <w:szCs w:val="19"/>
              </w:rPr>
              <w:t>Key Responsibilities</w:t>
            </w:r>
          </w:p>
        </w:tc>
        <w:tc>
          <w:tcPr>
            <w:tcW w:w="20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5BF3F4B6" w14:textId="77777777" w:rsidR="00DF14AF" w:rsidRPr="00575D0F" w:rsidRDefault="00DF14AF" w:rsidP="004B6087">
            <w:pPr>
              <w:jc w:val="both"/>
            </w:pPr>
            <w:r w:rsidRPr="00575D0F">
              <w:rPr>
                <w:b/>
                <w:bCs/>
                <w:color w:val="FFFFFF"/>
                <w:sz w:val="19"/>
                <w:szCs w:val="19"/>
              </w:rPr>
              <w:t>Review Cycle</w:t>
            </w:r>
          </w:p>
        </w:tc>
      </w:tr>
      <w:tr w:rsidR="00DF14AF" w:rsidRPr="00575D0F" w14:paraId="27889646"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7D6969F" w14:textId="77777777" w:rsidR="00DF14AF" w:rsidRPr="00575D0F" w:rsidRDefault="00DF14AF" w:rsidP="004B6087">
            <w:pPr>
              <w:jc w:val="both"/>
            </w:pPr>
            <w:r w:rsidRPr="00575D0F">
              <w:rPr>
                <w:b/>
                <w:bCs/>
                <w:color w:val="1A1A1A"/>
                <w:sz w:val="19"/>
                <w:szCs w:val="19"/>
              </w:rPr>
              <w:t>Strategic</w:t>
            </w:r>
          </w:p>
        </w:tc>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E5D3D96" w14:textId="77777777" w:rsidR="00DF14AF" w:rsidRPr="00575D0F" w:rsidRDefault="00DF14AF" w:rsidP="004B6087">
            <w:pPr>
              <w:jc w:val="both"/>
            </w:pPr>
            <w:r w:rsidRPr="00575D0F">
              <w:rPr>
                <w:color w:val="1A1A1A"/>
                <w:sz w:val="19"/>
                <w:szCs w:val="19"/>
              </w:rPr>
              <w:t>Board / CISO</w:t>
            </w:r>
          </w:p>
        </w:tc>
        <w:tc>
          <w:tcPr>
            <w:tcW w:w="2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106595" w14:textId="77777777" w:rsidR="00DF14AF" w:rsidRPr="00575D0F" w:rsidRDefault="00DF14AF" w:rsidP="004B6087">
            <w:pPr>
              <w:jc w:val="both"/>
            </w:pPr>
            <w:r w:rsidRPr="00575D0F">
              <w:rPr>
                <w:color w:val="1A1A1A"/>
                <w:sz w:val="19"/>
                <w:szCs w:val="19"/>
              </w:rPr>
              <w:t>Risk appetite, compliance oversight, budget approval</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15C08C" w14:textId="77777777" w:rsidR="00DF14AF" w:rsidRPr="00575D0F" w:rsidRDefault="00DF14AF" w:rsidP="004B6087">
            <w:pPr>
              <w:jc w:val="both"/>
            </w:pPr>
            <w:r w:rsidRPr="00575D0F">
              <w:rPr>
                <w:color w:val="1A1A1A"/>
                <w:sz w:val="19"/>
                <w:szCs w:val="19"/>
              </w:rPr>
              <w:t>Quarterly</w:t>
            </w:r>
          </w:p>
        </w:tc>
      </w:tr>
      <w:tr w:rsidR="00DF14AF" w:rsidRPr="00575D0F" w14:paraId="390E8FC1"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F9C5FC" w14:textId="77777777" w:rsidR="00DF14AF" w:rsidRPr="00575D0F" w:rsidRDefault="00DF14AF" w:rsidP="004B6087">
            <w:pPr>
              <w:jc w:val="both"/>
            </w:pPr>
            <w:r w:rsidRPr="00575D0F">
              <w:rPr>
                <w:b/>
                <w:bCs/>
                <w:color w:val="1A1A1A"/>
                <w:sz w:val="19"/>
                <w:szCs w:val="19"/>
              </w:rPr>
              <w:t>Management</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22D241F" w14:textId="77777777" w:rsidR="00DF14AF" w:rsidRPr="00575D0F" w:rsidRDefault="00DF14AF" w:rsidP="004B6087">
            <w:pPr>
              <w:jc w:val="both"/>
            </w:pPr>
            <w:r w:rsidRPr="00575D0F">
              <w:rPr>
                <w:color w:val="1A1A1A"/>
                <w:sz w:val="19"/>
                <w:szCs w:val="19"/>
              </w:rPr>
              <w:t>ISGC / DPO / CRO</w:t>
            </w:r>
          </w:p>
        </w:tc>
        <w:tc>
          <w:tcPr>
            <w:tcW w:w="2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CF8F5C" w14:textId="77777777" w:rsidR="00DF14AF" w:rsidRPr="00575D0F" w:rsidRDefault="00DF14AF" w:rsidP="004B6087">
            <w:pPr>
              <w:jc w:val="both"/>
            </w:pPr>
            <w:r w:rsidRPr="00575D0F">
              <w:rPr>
                <w:color w:val="1A1A1A"/>
                <w:sz w:val="19"/>
                <w:szCs w:val="19"/>
              </w:rPr>
              <w:t>Policy enforcement, vendor governance, audit management</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BB6496" w14:textId="77777777" w:rsidR="00DF14AF" w:rsidRPr="00575D0F" w:rsidRDefault="00DF14AF" w:rsidP="004B6087">
            <w:pPr>
              <w:jc w:val="both"/>
            </w:pPr>
            <w:r w:rsidRPr="00575D0F">
              <w:rPr>
                <w:color w:val="1A1A1A"/>
                <w:sz w:val="19"/>
                <w:szCs w:val="19"/>
              </w:rPr>
              <w:t>Monthly</w:t>
            </w:r>
          </w:p>
        </w:tc>
      </w:tr>
      <w:tr w:rsidR="00DF14AF" w:rsidRPr="00575D0F" w14:paraId="1D95C826"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EADC0F7" w14:textId="77777777" w:rsidR="00DF14AF" w:rsidRPr="00575D0F" w:rsidRDefault="00DF14AF" w:rsidP="004B6087">
            <w:pPr>
              <w:jc w:val="both"/>
            </w:pPr>
            <w:r w:rsidRPr="00575D0F">
              <w:rPr>
                <w:b/>
                <w:bCs/>
                <w:color w:val="1A1A1A"/>
                <w:sz w:val="19"/>
                <w:szCs w:val="19"/>
              </w:rPr>
              <w:t>Operational</w:t>
            </w:r>
          </w:p>
        </w:tc>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AD0CC79" w14:textId="77777777" w:rsidR="00DF14AF" w:rsidRPr="00575D0F" w:rsidRDefault="00DF14AF" w:rsidP="004B6087">
            <w:pPr>
              <w:jc w:val="both"/>
            </w:pPr>
            <w:r w:rsidRPr="00575D0F">
              <w:rPr>
                <w:color w:val="1A1A1A"/>
                <w:sz w:val="19"/>
                <w:szCs w:val="19"/>
              </w:rPr>
              <w:t>SOC / IT Security Team</w:t>
            </w:r>
          </w:p>
        </w:tc>
        <w:tc>
          <w:tcPr>
            <w:tcW w:w="2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412AD3" w14:textId="77777777" w:rsidR="00DF14AF" w:rsidRPr="00575D0F" w:rsidRDefault="00DF14AF" w:rsidP="004B6087">
            <w:pPr>
              <w:jc w:val="both"/>
            </w:pPr>
            <w:r w:rsidRPr="00575D0F">
              <w:rPr>
                <w:color w:val="1A1A1A"/>
                <w:sz w:val="19"/>
                <w:szCs w:val="19"/>
              </w:rPr>
              <w:t>Threat monitoring, incident handling, access reviews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A14DE02" w14:textId="77777777" w:rsidR="00DF14AF" w:rsidRPr="00575D0F" w:rsidRDefault="00DF14AF" w:rsidP="004B6087">
            <w:pPr>
              <w:jc w:val="both"/>
            </w:pPr>
            <w:r w:rsidRPr="00575D0F">
              <w:rPr>
                <w:color w:val="1A1A1A"/>
                <w:sz w:val="19"/>
                <w:szCs w:val="19"/>
              </w:rPr>
              <w:t>Continuous</w:t>
            </w:r>
          </w:p>
        </w:tc>
      </w:tr>
    </w:tbl>
    <w:p w14:paraId="46727063" w14:textId="77777777" w:rsidR="00DF14AF" w:rsidRPr="007A53CD" w:rsidRDefault="00DF14AF" w:rsidP="004B6087">
      <w:pPr>
        <w:spacing w:before="80" w:after="200"/>
        <w:jc w:val="center"/>
        <w:rPr>
          <w:i/>
          <w:iCs/>
          <w:color w:val="555555"/>
          <w:sz w:val="18"/>
          <w:szCs w:val="18"/>
        </w:rPr>
      </w:pPr>
      <w:r w:rsidRPr="007A53CD">
        <w:rPr>
          <w:i/>
          <w:iCs/>
          <w:color w:val="555555"/>
          <w:sz w:val="18"/>
          <w:szCs w:val="18"/>
        </w:rPr>
        <w:t>Table 3: FSB Three-Tier Security Governance Model</w:t>
      </w:r>
    </w:p>
    <w:p w14:paraId="3AADE128" w14:textId="4FDF5952" w:rsidR="00DF14AF" w:rsidRPr="00575D0F" w:rsidRDefault="00DF14AF" w:rsidP="004B6087">
      <w:pPr>
        <w:spacing w:before="80" w:after="200"/>
        <w:jc w:val="both"/>
        <w:rPr>
          <w:sz w:val="24"/>
          <w:szCs w:val="24"/>
        </w:rPr>
      </w:pPr>
      <w:r w:rsidRPr="00575D0F">
        <w:rPr>
          <w:b/>
          <w:bCs/>
          <w:color w:val="2E75B6"/>
          <w:sz w:val="24"/>
          <w:szCs w:val="24"/>
        </w:rPr>
        <w:t>3.3 Identity and Access Management — Zero Trust Implementation</w:t>
      </w:r>
    </w:p>
    <w:p w14:paraId="3793909A" w14:textId="77777777" w:rsidR="00DF14AF" w:rsidRPr="00DF14AF" w:rsidRDefault="00DF14AF" w:rsidP="004B6087">
      <w:pPr>
        <w:spacing w:after="160" w:line="278" w:lineRule="auto"/>
        <w:jc w:val="both"/>
      </w:pPr>
      <w:r w:rsidRPr="00DF14AF">
        <w:t>Identity is the de facto security perimeter because FSB has a BYOD environment and a cloud-first infrastructure. Figure 2 shows the Zero Trust Architecture that FSB uses. It shows how a central Policy Engine checks every access request, no matter where it comes from or what network it comes from, before giving access to protected resources.</w:t>
      </w:r>
    </w:p>
    <w:p w14:paraId="205C24B6" w14:textId="77777777" w:rsidR="00151494" w:rsidRDefault="00151494" w:rsidP="004B6087">
      <w:pPr>
        <w:spacing w:after="160" w:line="278" w:lineRule="auto"/>
        <w:jc w:val="center"/>
        <w:rPr>
          <w:color w:val="555555"/>
          <w:sz w:val="18"/>
          <w:szCs w:val="18"/>
        </w:rPr>
      </w:pPr>
      <w:r>
        <w:rPr>
          <w:noProof/>
        </w:rPr>
        <w:drawing>
          <wp:inline distT="0" distB="0" distL="0" distR="0" wp14:anchorId="7BC34810" wp14:editId="0DB08B2C">
            <wp:extent cx="5905500" cy="3276600"/>
            <wp:effectExtent l="0" t="0" r="0" b="0"/>
            <wp:docPr id="453016809" name="Picture 453016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05500" cy="3276600"/>
                    </a:xfrm>
                    <a:prstGeom prst="rect">
                      <a:avLst/>
                    </a:prstGeom>
                  </pic:spPr>
                </pic:pic>
              </a:graphicData>
            </a:graphic>
          </wp:inline>
        </w:drawing>
      </w:r>
    </w:p>
    <w:p w14:paraId="2864B53A" w14:textId="00A04AA4" w:rsidR="00151494" w:rsidRPr="007A53CD" w:rsidRDefault="00151494" w:rsidP="004B6087">
      <w:pPr>
        <w:spacing w:after="160" w:line="278" w:lineRule="auto"/>
        <w:jc w:val="center"/>
        <w:rPr>
          <w:i/>
          <w:iCs/>
        </w:rPr>
      </w:pPr>
      <w:r w:rsidRPr="007A53CD">
        <w:rPr>
          <w:i/>
          <w:iCs/>
          <w:color w:val="555555"/>
          <w:sz w:val="18"/>
          <w:szCs w:val="18"/>
        </w:rPr>
        <w:t>Figure 2: FSB Zero Trust Architecture — Policy Engine and Access Control Flow (Author's Own, adapted from NIST SP 800-207)</w:t>
      </w:r>
    </w:p>
    <w:p w14:paraId="12F33CC4" w14:textId="77777777" w:rsidR="00151494" w:rsidRDefault="00151494" w:rsidP="004B6087">
      <w:pPr>
        <w:spacing w:after="160" w:line="278" w:lineRule="auto"/>
        <w:jc w:val="both"/>
      </w:pPr>
    </w:p>
    <w:p w14:paraId="383CECAC" w14:textId="5CE9DDEA" w:rsidR="00DF14AF" w:rsidRPr="00575D0F" w:rsidRDefault="00DF14AF" w:rsidP="004B6087">
      <w:pPr>
        <w:spacing w:after="160" w:line="278" w:lineRule="auto"/>
        <w:jc w:val="both"/>
      </w:pPr>
      <w:r w:rsidRPr="00DF14AF">
        <w:t xml:space="preserve">Some important technical controls that help with the ZTA implementation are: </w:t>
      </w:r>
    </w:p>
    <w:p w14:paraId="75AECA65" w14:textId="77777777" w:rsidR="00DF14AF" w:rsidRPr="00575D0F" w:rsidRDefault="00DF14AF" w:rsidP="004B6087">
      <w:pPr>
        <w:pStyle w:val="ListParagraph"/>
        <w:numPr>
          <w:ilvl w:val="0"/>
          <w:numId w:val="3"/>
        </w:numPr>
        <w:spacing w:after="160" w:line="278" w:lineRule="auto"/>
        <w:jc w:val="both"/>
      </w:pPr>
      <w:r w:rsidRPr="00575D0F">
        <w:t>Multi-Factor Authentication (MFA): All users who need to access corporate systems must use it. If someone does something strange, risk-adaptive step-up authentication will be used.</w:t>
      </w:r>
    </w:p>
    <w:p w14:paraId="3360590D" w14:textId="4ED2525E" w:rsidR="00DF14AF" w:rsidRPr="00575D0F" w:rsidRDefault="00DF14AF" w:rsidP="004B6087">
      <w:pPr>
        <w:pStyle w:val="ListParagraph"/>
        <w:numPr>
          <w:ilvl w:val="0"/>
          <w:numId w:val="3"/>
        </w:numPr>
        <w:spacing w:after="160" w:line="278" w:lineRule="auto"/>
        <w:jc w:val="both"/>
      </w:pPr>
      <w:r w:rsidRPr="00575D0F">
        <w:t>Privileged Access Management (PAM): Giving access to all administrators and contractors at the right time (JIT) and recording their sessions.</w:t>
      </w:r>
    </w:p>
    <w:p w14:paraId="511F2F94" w14:textId="77777777" w:rsidR="00DF14AF" w:rsidRPr="00575D0F" w:rsidRDefault="00DF14AF" w:rsidP="004B6087">
      <w:pPr>
        <w:pStyle w:val="ListParagraph"/>
        <w:numPr>
          <w:ilvl w:val="0"/>
          <w:numId w:val="3"/>
        </w:numPr>
        <w:spacing w:after="160" w:line="278" w:lineRule="auto"/>
        <w:jc w:val="both"/>
      </w:pPr>
      <w:r w:rsidRPr="00575D0F">
        <w:t>Role-Based and Attribute-Based Access Control (RBAC/ABAC): The principle of least privilege is used for all access to cloud resources.</w:t>
      </w:r>
    </w:p>
    <w:p w14:paraId="7DEB496B" w14:textId="77777777" w:rsidR="00DF14AF" w:rsidRPr="00575D0F" w:rsidRDefault="00DF14AF" w:rsidP="004B6087">
      <w:pPr>
        <w:pStyle w:val="ListParagraph"/>
        <w:numPr>
          <w:ilvl w:val="0"/>
          <w:numId w:val="3"/>
        </w:numPr>
        <w:spacing w:after="160" w:line="278" w:lineRule="auto"/>
        <w:jc w:val="both"/>
      </w:pPr>
      <w:r w:rsidRPr="00575D0F">
        <w:t>Mobile Device Management (MDM): Before getting access, personal devices must meet basic compliance standards, such as encryption, OS patching, and endpoint protection.</w:t>
      </w:r>
    </w:p>
    <w:p w14:paraId="583FEB1C" w14:textId="70ED369A" w:rsidR="00DF14AF" w:rsidRPr="00575D0F" w:rsidRDefault="00DF14AF" w:rsidP="004B6087">
      <w:pPr>
        <w:pStyle w:val="ListParagraph"/>
        <w:numPr>
          <w:ilvl w:val="0"/>
          <w:numId w:val="3"/>
        </w:numPr>
        <w:jc w:val="both"/>
      </w:pPr>
      <w:r w:rsidRPr="00575D0F">
        <w:t>User Behavior Analytics (UBA): Keeping an eye on how people access things all the time to find insider threats and stolen credentials.</w:t>
      </w:r>
    </w:p>
    <w:p w14:paraId="146394B3" w14:textId="77777777" w:rsidR="00DF14AF" w:rsidRPr="00575D0F" w:rsidRDefault="00DF14AF" w:rsidP="004B6087">
      <w:pPr>
        <w:pStyle w:val="Heading2"/>
        <w:jc w:val="both"/>
        <w:rPr>
          <w:rFonts w:ascii="Arial" w:hAnsi="Arial" w:cs="Arial"/>
          <w:sz w:val="24"/>
          <w:szCs w:val="24"/>
        </w:rPr>
      </w:pPr>
      <w:bookmarkStart w:id="12" w:name="_Toc228295027"/>
      <w:r w:rsidRPr="00575D0F">
        <w:rPr>
          <w:rFonts w:ascii="Arial" w:eastAsia="Arial" w:hAnsi="Arial" w:cs="Arial"/>
          <w:b/>
          <w:bCs/>
          <w:color w:val="2E75B6"/>
          <w:sz w:val="24"/>
          <w:szCs w:val="24"/>
        </w:rPr>
        <w:t>3.4 Data Protection and GDPR Compliance</w:t>
      </w:r>
      <w:bookmarkEnd w:id="12"/>
    </w:p>
    <w:p w14:paraId="45DD17A0" w14:textId="77777777" w:rsidR="00575D0F" w:rsidRPr="00575D0F" w:rsidRDefault="00575D0F" w:rsidP="004B6087">
      <w:pPr>
        <w:jc w:val="both"/>
      </w:pPr>
      <w:r w:rsidRPr="00575D0F">
        <w:t>The Data Protection Act 2018, the UK GDPR, and the EU GDPR (Regulation 2016/679) all apply to FSB. The main duties are to have a legal reason for processing, to respect the rights of the people whose data is being processed, to limit the amount of data collected, to limit the purpose of data collection, and to tell the supervisory authority about any breaches within 72 hours (ICO, 2023).</w:t>
      </w:r>
    </w:p>
    <w:p w14:paraId="631192B4" w14:textId="2D1A6408" w:rsidR="00575D0F" w:rsidRPr="00575D0F" w:rsidRDefault="00575D0F" w:rsidP="004B6087">
      <w:pPr>
        <w:pStyle w:val="ListParagraph"/>
        <w:numPr>
          <w:ilvl w:val="0"/>
          <w:numId w:val="4"/>
        </w:numPr>
        <w:jc w:val="both"/>
      </w:pPr>
      <w:r w:rsidRPr="00575D0F">
        <w:rPr>
          <w:b/>
          <w:bCs/>
        </w:rPr>
        <w:t xml:space="preserve">Data Classification Policy: </w:t>
      </w:r>
      <w:r w:rsidRPr="00575D0F">
        <w:t xml:space="preserve">There are four groups for all data: Public, Internal, Confidential, and Highly Confidential. Each group has its own way of encrypting and controlling access. </w:t>
      </w:r>
    </w:p>
    <w:p w14:paraId="1665B934" w14:textId="05D1F9FC" w:rsidR="00575D0F" w:rsidRPr="00575D0F" w:rsidRDefault="00575D0F" w:rsidP="004B6087">
      <w:pPr>
        <w:pStyle w:val="ListParagraph"/>
        <w:numPr>
          <w:ilvl w:val="0"/>
          <w:numId w:val="4"/>
        </w:numPr>
        <w:jc w:val="both"/>
      </w:pPr>
      <w:r w:rsidRPr="00575D0F">
        <w:rPr>
          <w:b/>
          <w:bCs/>
        </w:rPr>
        <w:t>Encryption:</w:t>
      </w:r>
      <w:r w:rsidRPr="00575D0F">
        <w:t xml:space="preserve"> When it is not being used, all customer PII and financial data is encrypted with AES-256. When it is being sent, it is encrypted with TLS 1.3.</w:t>
      </w:r>
    </w:p>
    <w:p w14:paraId="5511BE69" w14:textId="5A0BB957" w:rsidR="00575D0F" w:rsidRPr="00575D0F" w:rsidRDefault="00575D0F" w:rsidP="004B6087">
      <w:pPr>
        <w:pStyle w:val="ListParagraph"/>
        <w:numPr>
          <w:ilvl w:val="0"/>
          <w:numId w:val="4"/>
        </w:numPr>
        <w:jc w:val="both"/>
      </w:pPr>
      <w:r w:rsidRPr="00575D0F">
        <w:rPr>
          <w:b/>
          <w:bCs/>
        </w:rPr>
        <w:t xml:space="preserve">Data Loss Prevention (DLP): </w:t>
      </w:r>
      <w:r w:rsidRPr="00575D0F">
        <w:t xml:space="preserve">Cloud-based DLP tools that stop data from being sent out via email, cloud storage, or removable media. </w:t>
      </w:r>
    </w:p>
    <w:p w14:paraId="0A8E1777" w14:textId="2CCFC149" w:rsidR="00575D0F" w:rsidRPr="00575D0F" w:rsidRDefault="00575D0F" w:rsidP="004B6087">
      <w:pPr>
        <w:pStyle w:val="ListParagraph"/>
        <w:numPr>
          <w:ilvl w:val="0"/>
          <w:numId w:val="4"/>
        </w:numPr>
        <w:jc w:val="both"/>
      </w:pPr>
      <w:r w:rsidRPr="00575D0F">
        <w:rPr>
          <w:b/>
          <w:bCs/>
        </w:rPr>
        <w:t>Privacy by Design (GDPR Article 25):</w:t>
      </w:r>
      <w:r w:rsidRPr="00575D0F">
        <w:t xml:space="preserve"> All new goods and services must have privacy and security built in from the start. </w:t>
      </w:r>
    </w:p>
    <w:p w14:paraId="36DB7EF8" w14:textId="09457262" w:rsidR="00575D0F" w:rsidRPr="00575D0F" w:rsidRDefault="00575D0F" w:rsidP="004B6087">
      <w:pPr>
        <w:pStyle w:val="ListParagraph"/>
        <w:numPr>
          <w:ilvl w:val="0"/>
          <w:numId w:val="4"/>
        </w:numPr>
        <w:jc w:val="both"/>
      </w:pPr>
      <w:r w:rsidRPr="00575D0F">
        <w:rPr>
          <w:b/>
          <w:bCs/>
        </w:rPr>
        <w:t>Records of Processing Activities (</w:t>
      </w:r>
      <w:proofErr w:type="spellStart"/>
      <w:r w:rsidRPr="00575D0F">
        <w:rPr>
          <w:b/>
          <w:bCs/>
        </w:rPr>
        <w:t>RoPA</w:t>
      </w:r>
      <w:proofErr w:type="spellEnd"/>
      <w:r w:rsidRPr="00575D0F">
        <w:rPr>
          <w:b/>
          <w:bCs/>
        </w:rPr>
        <w:t>):</w:t>
      </w:r>
      <w:r w:rsidRPr="00575D0F">
        <w:t xml:space="preserve"> GDPR Article 30 says that a full </w:t>
      </w:r>
      <w:proofErr w:type="spellStart"/>
      <w:r w:rsidRPr="00575D0F">
        <w:t>RoPA</w:t>
      </w:r>
      <w:proofErr w:type="spellEnd"/>
      <w:r w:rsidRPr="00575D0F">
        <w:t xml:space="preserve"> must be kept up to date. </w:t>
      </w:r>
    </w:p>
    <w:p w14:paraId="6F4CBD52" w14:textId="2081DD23" w:rsidR="00575D0F" w:rsidRPr="00575D0F" w:rsidRDefault="00575D0F" w:rsidP="004B6087">
      <w:pPr>
        <w:pStyle w:val="ListParagraph"/>
        <w:numPr>
          <w:ilvl w:val="0"/>
          <w:numId w:val="4"/>
        </w:numPr>
        <w:jc w:val="both"/>
      </w:pPr>
      <w:r w:rsidRPr="00575D0F">
        <w:rPr>
          <w:b/>
          <w:bCs/>
        </w:rPr>
        <w:t>Data Protection Officer (DPO):</w:t>
      </w:r>
      <w:r w:rsidRPr="00575D0F">
        <w:t xml:space="preserve"> Required by Article 37 of the GDPR because FSB deals with a lot of personal financial information.</w:t>
      </w:r>
    </w:p>
    <w:p w14:paraId="6A746EEC" w14:textId="77777777" w:rsidR="00575D0F" w:rsidRPr="00575D0F" w:rsidRDefault="00575D0F" w:rsidP="004B6087">
      <w:pPr>
        <w:pStyle w:val="Heading2"/>
        <w:jc w:val="both"/>
        <w:rPr>
          <w:sz w:val="24"/>
          <w:szCs w:val="24"/>
        </w:rPr>
      </w:pPr>
      <w:bookmarkStart w:id="13" w:name="_Toc228295028"/>
      <w:r w:rsidRPr="00575D0F">
        <w:rPr>
          <w:rFonts w:ascii="Arial" w:eastAsia="Arial" w:hAnsi="Arial" w:cs="Arial"/>
          <w:b/>
          <w:bCs/>
          <w:color w:val="2E75B6"/>
          <w:sz w:val="24"/>
          <w:szCs w:val="24"/>
        </w:rPr>
        <w:t>3.5 Risk Management Strategy</w:t>
      </w:r>
      <w:bookmarkEnd w:id="13"/>
    </w:p>
    <w:p w14:paraId="4510A609" w14:textId="67146236" w:rsidR="00575D0F" w:rsidRDefault="00575D0F" w:rsidP="004B6087">
      <w:pPr>
        <w:spacing w:before="100" w:after="140"/>
        <w:jc w:val="both"/>
        <w:rPr>
          <w:color w:val="1A1A1A"/>
        </w:rPr>
      </w:pPr>
      <w:r>
        <w:rPr>
          <w:color w:val="1A1A1A"/>
        </w:rPr>
        <w:t xml:space="preserve">FSB must implement a </w:t>
      </w:r>
      <w:proofErr w:type="spellStart"/>
      <w:r>
        <w:rPr>
          <w:color w:val="1A1A1A"/>
        </w:rPr>
        <w:t>formalised</w:t>
      </w:r>
      <w:proofErr w:type="spellEnd"/>
      <w:r>
        <w:rPr>
          <w:color w:val="1A1A1A"/>
        </w:rPr>
        <w:t xml:space="preserve"> ISO 27001-aligned risk management process. The following extract from the proposed FSB Risk Register illustrates the approach:</w:t>
      </w:r>
    </w:p>
    <w:p w14:paraId="52F139B0" w14:textId="77777777" w:rsidR="007A53CD" w:rsidRDefault="007A53CD" w:rsidP="004B6087">
      <w:pPr>
        <w:spacing w:before="100" w:after="140"/>
        <w:jc w:val="both"/>
        <w:rPr>
          <w:color w:val="1A1A1A"/>
        </w:rPr>
      </w:pPr>
    </w:p>
    <w:p w14:paraId="091E912D" w14:textId="77777777" w:rsidR="007A53CD" w:rsidRDefault="007A53CD" w:rsidP="004B6087">
      <w:pPr>
        <w:spacing w:before="100" w:after="140"/>
        <w:jc w:val="both"/>
        <w:rPr>
          <w:color w:val="1A1A1A"/>
        </w:rPr>
      </w:pPr>
    </w:p>
    <w:p w14:paraId="3B3DAB47" w14:textId="77777777" w:rsidR="007A53CD" w:rsidRDefault="007A53CD" w:rsidP="004B6087">
      <w:pPr>
        <w:spacing w:before="100" w:after="140"/>
        <w:jc w:val="both"/>
        <w:rPr>
          <w:color w:val="1A1A1A"/>
        </w:rPr>
      </w:pPr>
    </w:p>
    <w:p w14:paraId="0B64ECE0" w14:textId="77777777" w:rsidR="007A53CD" w:rsidRDefault="007A53CD" w:rsidP="004B6087">
      <w:pPr>
        <w:spacing w:before="100" w:after="140"/>
        <w:jc w:val="both"/>
        <w:rPr>
          <w:color w:val="1A1A1A"/>
        </w:rPr>
      </w:pPr>
    </w:p>
    <w:p w14:paraId="64731B80" w14:textId="77777777" w:rsidR="007A53CD" w:rsidRDefault="007A53CD" w:rsidP="004B6087">
      <w:pPr>
        <w:spacing w:before="100" w:after="140"/>
        <w:jc w:val="both"/>
        <w:rPr>
          <w:color w:val="1A1A1A"/>
        </w:rPr>
      </w:pPr>
    </w:p>
    <w:p w14:paraId="36CE642C" w14:textId="77777777" w:rsidR="007A53CD" w:rsidRDefault="007A53CD" w:rsidP="004B6087">
      <w:pPr>
        <w:spacing w:before="100"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49"/>
        <w:gridCol w:w="1190"/>
        <w:gridCol w:w="896"/>
        <w:gridCol w:w="888"/>
        <w:gridCol w:w="3903"/>
      </w:tblGrid>
      <w:tr w:rsidR="00575D0F" w14:paraId="15CC7A72"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6043F66B" w14:textId="77777777" w:rsidR="00575D0F" w:rsidRDefault="00575D0F" w:rsidP="004B6087">
            <w:pPr>
              <w:jc w:val="both"/>
            </w:pPr>
            <w:r>
              <w:rPr>
                <w:b/>
                <w:bCs/>
                <w:color w:val="FFFFFF"/>
                <w:sz w:val="19"/>
                <w:szCs w:val="19"/>
              </w:rPr>
              <w:lastRenderedPageBreak/>
              <w:t>Risk Scenario</w:t>
            </w:r>
          </w:p>
        </w:tc>
        <w:tc>
          <w:tcPr>
            <w:tcW w:w="9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2A514E59" w14:textId="77777777" w:rsidR="00575D0F" w:rsidRDefault="00575D0F" w:rsidP="004B6087">
            <w:pPr>
              <w:jc w:val="both"/>
            </w:pPr>
            <w:r>
              <w:rPr>
                <w:b/>
                <w:bCs/>
                <w:color w:val="FFFFFF"/>
                <w:sz w:val="19"/>
                <w:szCs w:val="19"/>
              </w:rPr>
              <w:t>Likelihood</w:t>
            </w:r>
          </w:p>
        </w:tc>
        <w:tc>
          <w:tcPr>
            <w:tcW w:w="9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0C378041" w14:textId="77777777" w:rsidR="00575D0F" w:rsidRDefault="00575D0F" w:rsidP="004B6087">
            <w:pPr>
              <w:jc w:val="both"/>
            </w:pPr>
            <w:r>
              <w:rPr>
                <w:b/>
                <w:bCs/>
                <w:color w:val="FFFFFF"/>
                <w:sz w:val="19"/>
                <w:szCs w:val="19"/>
              </w:rPr>
              <w:t>Impact</w:t>
            </w:r>
          </w:p>
        </w:tc>
        <w:tc>
          <w:tcPr>
            <w:tcW w:w="9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484001DF" w14:textId="77777777" w:rsidR="00575D0F" w:rsidRDefault="00575D0F" w:rsidP="004B6087">
            <w:pPr>
              <w:jc w:val="both"/>
            </w:pPr>
            <w:r>
              <w:rPr>
                <w:b/>
                <w:bCs/>
                <w:color w:val="FFFFFF"/>
                <w:sz w:val="19"/>
                <w:szCs w:val="19"/>
              </w:rPr>
              <w:t>Score</w:t>
            </w:r>
          </w:p>
        </w:tc>
        <w:tc>
          <w:tcPr>
            <w:tcW w:w="4126" w:type="dxa"/>
            <w:tcBorders>
              <w:top w:val="single" w:sz="1" w:space="0" w:color="AAAAAA"/>
              <w:left w:val="single" w:sz="1" w:space="0" w:color="AAAAAA"/>
              <w:bottom w:val="single" w:sz="1" w:space="0" w:color="AAAAAA"/>
              <w:right w:val="single" w:sz="1" w:space="0" w:color="AAAAAA"/>
            </w:tcBorders>
            <w:shd w:val="clear" w:color="auto" w:fill="1F4E79"/>
            <w:tcMar>
              <w:top w:w="80" w:type="dxa"/>
              <w:left w:w="120" w:type="dxa"/>
              <w:bottom w:w="80" w:type="dxa"/>
              <w:right w:w="120" w:type="dxa"/>
            </w:tcMar>
            <w:vAlign w:val="center"/>
          </w:tcPr>
          <w:p w14:paraId="5A94B40F" w14:textId="77777777" w:rsidR="00575D0F" w:rsidRDefault="00575D0F" w:rsidP="004B6087">
            <w:pPr>
              <w:jc w:val="both"/>
            </w:pPr>
            <w:r>
              <w:rPr>
                <w:b/>
                <w:bCs/>
                <w:color w:val="FFFFFF"/>
                <w:sz w:val="19"/>
                <w:szCs w:val="19"/>
              </w:rPr>
              <w:t>Recommended Treatment</w:t>
            </w:r>
          </w:p>
        </w:tc>
      </w:tr>
      <w:tr w:rsidR="00575D0F" w14:paraId="1981B289"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0821678" w14:textId="77777777" w:rsidR="00575D0F" w:rsidRDefault="00575D0F" w:rsidP="004B6087">
            <w:pPr>
              <w:jc w:val="both"/>
            </w:pPr>
            <w:r>
              <w:rPr>
                <w:color w:val="1A1A1A"/>
                <w:sz w:val="19"/>
                <w:szCs w:val="19"/>
              </w:rPr>
              <w:t>Compromised BYOD device granting network access</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9A4D621" w14:textId="77777777" w:rsidR="00575D0F" w:rsidRDefault="00575D0F" w:rsidP="004B6087">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3B79657" w14:textId="77777777" w:rsidR="00575D0F" w:rsidRDefault="00575D0F" w:rsidP="004B6087">
            <w:pPr>
              <w:jc w:val="both"/>
            </w:pPr>
            <w:r>
              <w:rPr>
                <w:color w:val="1A1A1A"/>
                <w:sz w:val="19"/>
                <w:szCs w:val="19"/>
              </w:rPr>
              <w:t>Critical</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50F663D" w14:textId="77777777" w:rsidR="00575D0F" w:rsidRDefault="00575D0F" w:rsidP="004B6087">
            <w:pPr>
              <w:jc w:val="both"/>
            </w:pPr>
            <w:r>
              <w:rPr>
                <w:color w:val="1A1A1A"/>
                <w:sz w:val="19"/>
                <w:szCs w:val="19"/>
              </w:rPr>
              <w:t>15</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D21BCF" w14:textId="77777777" w:rsidR="00575D0F" w:rsidRDefault="00575D0F" w:rsidP="004B6087">
            <w:pPr>
              <w:jc w:val="both"/>
            </w:pPr>
            <w:r>
              <w:rPr>
                <w:color w:val="1A1A1A"/>
                <w:sz w:val="19"/>
                <w:szCs w:val="19"/>
              </w:rPr>
              <w:t>Zero Trust IAM, MDM enforcement, endpoint detection &amp; response (EDR)</w:t>
            </w:r>
          </w:p>
        </w:tc>
      </w:tr>
      <w:tr w:rsidR="00575D0F" w14:paraId="79A0DD49"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AAFF9F" w14:textId="77777777" w:rsidR="00575D0F" w:rsidRDefault="00575D0F" w:rsidP="004B6087">
            <w:pPr>
              <w:jc w:val="both"/>
            </w:pPr>
            <w:r>
              <w:rPr>
                <w:color w:val="1A1A1A"/>
                <w:sz w:val="19"/>
                <w:szCs w:val="19"/>
              </w:rPr>
              <w:t>Cloud provider data breach or misconfiguration</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1D4608" w14:textId="77777777" w:rsidR="00575D0F" w:rsidRDefault="00575D0F" w:rsidP="004B6087">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14A7DA" w14:textId="77777777" w:rsidR="00575D0F" w:rsidRDefault="00575D0F" w:rsidP="004B6087">
            <w:pPr>
              <w:jc w:val="both"/>
            </w:pPr>
            <w:r>
              <w:rPr>
                <w:color w:val="1A1A1A"/>
                <w:sz w:val="19"/>
                <w:szCs w:val="19"/>
              </w:rPr>
              <w:t>Critical</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783547" w14:textId="77777777" w:rsidR="00575D0F" w:rsidRDefault="00575D0F" w:rsidP="004B6087">
            <w:pPr>
              <w:jc w:val="both"/>
            </w:pPr>
            <w:r>
              <w:rPr>
                <w:color w:val="1A1A1A"/>
                <w:sz w:val="19"/>
                <w:szCs w:val="19"/>
              </w:rPr>
              <w:t>12</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A0D1E4" w14:textId="77777777" w:rsidR="00575D0F" w:rsidRDefault="00575D0F" w:rsidP="004B6087">
            <w:pPr>
              <w:jc w:val="both"/>
            </w:pPr>
            <w:r>
              <w:rPr>
                <w:color w:val="1A1A1A"/>
                <w:sz w:val="19"/>
                <w:szCs w:val="19"/>
              </w:rPr>
              <w:t>Shared Responsibility Model clarity, CSPM tools, encryption, SLA audits</w:t>
            </w:r>
          </w:p>
        </w:tc>
      </w:tr>
      <w:tr w:rsidR="00575D0F" w14:paraId="69F216AB"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B5621F9" w14:textId="77777777" w:rsidR="00575D0F" w:rsidRDefault="00575D0F" w:rsidP="004B6087">
            <w:pPr>
              <w:jc w:val="both"/>
            </w:pPr>
            <w:r>
              <w:rPr>
                <w:color w:val="1A1A1A"/>
                <w:sz w:val="19"/>
                <w:szCs w:val="19"/>
              </w:rPr>
              <w:t>Phishing attack leading to credential theft</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2620907" w14:textId="77777777" w:rsidR="00575D0F" w:rsidRDefault="00575D0F" w:rsidP="004B6087">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6011488" w14:textId="77777777" w:rsidR="00575D0F" w:rsidRDefault="00575D0F" w:rsidP="004B6087">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27D67B9" w14:textId="77777777" w:rsidR="00575D0F" w:rsidRDefault="00575D0F" w:rsidP="004B6087">
            <w:pPr>
              <w:jc w:val="both"/>
            </w:pPr>
            <w:r>
              <w:rPr>
                <w:color w:val="1A1A1A"/>
                <w:sz w:val="19"/>
                <w:szCs w:val="19"/>
              </w:rPr>
              <w:t>12</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000CE2A" w14:textId="77777777" w:rsidR="00575D0F" w:rsidRDefault="00575D0F" w:rsidP="004B6087">
            <w:pPr>
              <w:jc w:val="both"/>
            </w:pPr>
            <w:r>
              <w:rPr>
                <w:color w:val="1A1A1A"/>
                <w:sz w:val="19"/>
                <w:szCs w:val="19"/>
              </w:rPr>
              <w:t>MFA, email filtering, phishing simulations, security awareness training</w:t>
            </w:r>
          </w:p>
        </w:tc>
      </w:tr>
      <w:tr w:rsidR="00575D0F" w14:paraId="36B0596F"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5C903E" w14:textId="77777777" w:rsidR="00575D0F" w:rsidRDefault="00575D0F" w:rsidP="004B6087">
            <w:pPr>
              <w:jc w:val="both"/>
            </w:pPr>
            <w:r>
              <w:rPr>
                <w:color w:val="1A1A1A"/>
                <w:sz w:val="19"/>
                <w:szCs w:val="19"/>
              </w:rPr>
              <w:t>Insider threat and data exfiltration</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164024" w14:textId="77777777" w:rsidR="00575D0F" w:rsidRDefault="00575D0F" w:rsidP="004B6087">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1A75F99" w14:textId="77777777" w:rsidR="00575D0F" w:rsidRDefault="00575D0F" w:rsidP="004B6087">
            <w:pPr>
              <w:jc w:val="both"/>
            </w:pPr>
            <w:r>
              <w:rPr>
                <w:color w:val="1A1A1A"/>
                <w:sz w:val="19"/>
                <w:szCs w:val="19"/>
              </w:rPr>
              <w:t>Critical</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0B451A" w14:textId="77777777" w:rsidR="00575D0F" w:rsidRDefault="00575D0F" w:rsidP="004B6087">
            <w:pPr>
              <w:jc w:val="both"/>
            </w:pPr>
            <w:r>
              <w:rPr>
                <w:color w:val="1A1A1A"/>
                <w:sz w:val="19"/>
                <w:szCs w:val="19"/>
              </w:rPr>
              <w:t>12</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66CC17" w14:textId="77777777" w:rsidR="00575D0F" w:rsidRDefault="00575D0F" w:rsidP="004B6087">
            <w:pPr>
              <w:jc w:val="both"/>
            </w:pPr>
            <w:r>
              <w:rPr>
                <w:color w:val="1A1A1A"/>
                <w:sz w:val="19"/>
                <w:szCs w:val="19"/>
              </w:rPr>
              <w:t>DLP, PAM, UBA, strict off-boarding procedures</w:t>
            </w:r>
          </w:p>
        </w:tc>
      </w:tr>
      <w:tr w:rsidR="00575D0F" w14:paraId="1AB7F6C7"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663D151" w14:textId="77777777" w:rsidR="00575D0F" w:rsidRDefault="00575D0F" w:rsidP="004B6087">
            <w:pPr>
              <w:jc w:val="both"/>
            </w:pPr>
            <w:r>
              <w:rPr>
                <w:color w:val="1A1A1A"/>
                <w:sz w:val="19"/>
                <w:szCs w:val="19"/>
              </w:rPr>
              <w:t>GDPR non-compliance and regulatory breach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E61C9AB" w14:textId="77777777" w:rsidR="00575D0F" w:rsidRDefault="00575D0F" w:rsidP="004B6087">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8829CA1" w14:textId="77777777" w:rsidR="00575D0F" w:rsidRDefault="00575D0F" w:rsidP="004B6087">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5BFC1D3" w14:textId="77777777" w:rsidR="00575D0F" w:rsidRDefault="00575D0F" w:rsidP="004B6087">
            <w:pPr>
              <w:jc w:val="both"/>
            </w:pPr>
            <w:r>
              <w:rPr>
                <w:color w:val="1A1A1A"/>
                <w:sz w:val="19"/>
                <w:szCs w:val="19"/>
              </w:rPr>
              <w:t>9</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7BA6B9" w14:textId="77777777" w:rsidR="00575D0F" w:rsidRDefault="00575D0F" w:rsidP="004B6087">
            <w:pPr>
              <w:jc w:val="both"/>
            </w:pPr>
            <w:r>
              <w:rPr>
                <w:color w:val="1A1A1A"/>
                <w:sz w:val="19"/>
                <w:szCs w:val="19"/>
              </w:rPr>
              <w:t xml:space="preserve">DPO appointment, </w:t>
            </w:r>
            <w:proofErr w:type="spellStart"/>
            <w:r>
              <w:rPr>
                <w:color w:val="1A1A1A"/>
                <w:sz w:val="19"/>
                <w:szCs w:val="19"/>
              </w:rPr>
              <w:t>RoPA</w:t>
            </w:r>
            <w:proofErr w:type="spellEnd"/>
            <w:r>
              <w:rPr>
                <w:color w:val="1A1A1A"/>
                <w:sz w:val="19"/>
                <w:szCs w:val="19"/>
              </w:rPr>
              <w:t xml:space="preserve"> maintenance, annual compliance audit</w:t>
            </w:r>
          </w:p>
        </w:tc>
      </w:tr>
      <w:tr w:rsidR="00575D0F" w14:paraId="175F6F36" w14:textId="77777777" w:rsidTr="00012175">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82F587" w14:textId="77777777" w:rsidR="00575D0F" w:rsidRDefault="00575D0F" w:rsidP="004B6087">
            <w:pPr>
              <w:jc w:val="both"/>
            </w:pPr>
            <w:r>
              <w:rPr>
                <w:color w:val="1A1A1A"/>
                <w:sz w:val="19"/>
                <w:szCs w:val="19"/>
              </w:rPr>
              <w:t>Third-party/vendor security vulnerability</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120F97" w14:textId="77777777" w:rsidR="00575D0F" w:rsidRDefault="00575D0F" w:rsidP="004B6087">
            <w:pPr>
              <w:jc w:val="both"/>
            </w:pPr>
            <w:r>
              <w:rPr>
                <w:color w:val="1A1A1A"/>
                <w:sz w:val="19"/>
                <w:szCs w:val="19"/>
              </w:rPr>
              <w:t>Medium</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ECDBA3" w14:textId="77777777" w:rsidR="00575D0F" w:rsidRDefault="00575D0F" w:rsidP="004B6087">
            <w:pPr>
              <w:jc w:val="both"/>
            </w:pPr>
            <w:r>
              <w:rPr>
                <w:color w:val="1A1A1A"/>
                <w:sz w:val="19"/>
                <w:szCs w:val="19"/>
              </w:rPr>
              <w:t>High</w:t>
            </w:r>
          </w:p>
        </w:tc>
        <w:tc>
          <w:tcPr>
            <w:tcW w:w="9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5B2D681" w14:textId="77777777" w:rsidR="00575D0F" w:rsidRDefault="00575D0F" w:rsidP="004B6087">
            <w:pPr>
              <w:jc w:val="both"/>
            </w:pPr>
            <w:r>
              <w:rPr>
                <w:color w:val="1A1A1A"/>
                <w:sz w:val="19"/>
                <w:szCs w:val="19"/>
              </w:rPr>
              <w:t>9</w:t>
            </w:r>
          </w:p>
        </w:tc>
        <w:tc>
          <w:tcPr>
            <w:tcW w:w="41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8DBE7FC" w14:textId="77777777" w:rsidR="00575D0F" w:rsidRDefault="00575D0F" w:rsidP="004B6087">
            <w:pPr>
              <w:jc w:val="both"/>
            </w:pPr>
            <w:r>
              <w:rPr>
                <w:color w:val="1A1A1A"/>
                <w:sz w:val="19"/>
                <w:szCs w:val="19"/>
              </w:rPr>
              <w:t>Vendor risk assessments, ISO 27001 requirement in contracts, right-to-audit</w:t>
            </w:r>
          </w:p>
        </w:tc>
      </w:tr>
    </w:tbl>
    <w:p w14:paraId="433A3B17" w14:textId="77777777" w:rsidR="00575D0F" w:rsidRPr="007A53CD" w:rsidRDefault="00575D0F" w:rsidP="004B6087">
      <w:pPr>
        <w:spacing w:before="80" w:after="200"/>
        <w:jc w:val="center"/>
        <w:rPr>
          <w:i/>
          <w:iCs/>
        </w:rPr>
      </w:pPr>
      <w:r w:rsidRPr="007A53CD">
        <w:rPr>
          <w:i/>
          <w:iCs/>
          <w:color w:val="555555"/>
          <w:sz w:val="18"/>
          <w:szCs w:val="18"/>
        </w:rPr>
        <w:t>Table 4: FSB Information Security Risk Register (Extract) — Likelihood × Impact Scale 1–5</w:t>
      </w:r>
    </w:p>
    <w:p w14:paraId="309493DB" w14:textId="77777777" w:rsidR="00575D0F" w:rsidRDefault="00575D0F" w:rsidP="004B6087">
      <w:pPr>
        <w:pStyle w:val="Heading2"/>
        <w:jc w:val="both"/>
        <w:rPr>
          <w:rFonts w:ascii="Arial" w:eastAsia="Arial" w:hAnsi="Arial" w:cs="Arial"/>
          <w:b/>
          <w:bCs/>
          <w:color w:val="2E75B6"/>
          <w:sz w:val="24"/>
          <w:szCs w:val="24"/>
        </w:rPr>
      </w:pPr>
      <w:bookmarkStart w:id="14" w:name="_Toc228295029"/>
      <w:r w:rsidRPr="00575D0F">
        <w:rPr>
          <w:rFonts w:ascii="Arial" w:eastAsia="Arial" w:hAnsi="Arial" w:cs="Arial"/>
          <w:b/>
          <w:bCs/>
          <w:color w:val="2E75B6"/>
          <w:sz w:val="24"/>
          <w:szCs w:val="24"/>
        </w:rPr>
        <w:t>3.6 Security Policies, Procedures, and Awareness</w:t>
      </w:r>
      <w:bookmarkEnd w:id="14"/>
    </w:p>
    <w:p w14:paraId="5EB060FC" w14:textId="6F3E9B1B" w:rsidR="008A6E86" w:rsidRPr="008A6E86" w:rsidRDefault="008A6E86" w:rsidP="004B6087">
      <w:pPr>
        <w:jc w:val="both"/>
      </w:pPr>
      <w:r w:rsidRPr="008A6E86">
        <w:t xml:space="preserve">FSB governance is based on a full set of ISGC-approved policies that are looked at every year. The master Information Security Policy, the BYOD and Acceptable Use Policy, the Remote Access Policy, the Password and Credential Management Policy, the Cloud Security and Data Residency Policy, the Incident Response and Breach Notification Policy, and the Third-Party Vendor Management Policy are all important. </w:t>
      </w:r>
      <w:r w:rsidRPr="008A6E86">
        <w:br/>
        <w:t>When they are hired, all employees and contractors must go through security awareness training. They must do this every year after that. Quarterly fake phishing tests should check how well employees know about social engineering, which is the most common way hackers get into networks in the financial sector (ENISA, 2023).</w:t>
      </w:r>
    </w:p>
    <w:p w14:paraId="5393ADA0" w14:textId="77777777" w:rsidR="00575D0F" w:rsidRPr="00575D0F" w:rsidRDefault="00575D0F" w:rsidP="004B6087">
      <w:pPr>
        <w:pStyle w:val="Heading2"/>
        <w:jc w:val="both"/>
        <w:rPr>
          <w:sz w:val="24"/>
          <w:szCs w:val="24"/>
        </w:rPr>
      </w:pPr>
      <w:bookmarkStart w:id="15" w:name="_Toc228295030"/>
      <w:r w:rsidRPr="00575D0F">
        <w:rPr>
          <w:rFonts w:ascii="Arial" w:eastAsia="Arial" w:hAnsi="Arial" w:cs="Arial"/>
          <w:b/>
          <w:bCs/>
          <w:color w:val="2E75B6"/>
          <w:sz w:val="24"/>
          <w:szCs w:val="24"/>
        </w:rPr>
        <w:t>3.7 Contingency Planning, BCP, and Service Level Agreements</w:t>
      </w:r>
      <w:bookmarkEnd w:id="15"/>
    </w:p>
    <w:p w14:paraId="38CDE78B" w14:textId="77777777" w:rsidR="008A6E86" w:rsidRDefault="00575D0F" w:rsidP="004B6087">
      <w:pPr>
        <w:jc w:val="both"/>
      </w:pPr>
      <w:r w:rsidRPr="00575D0F">
        <w:t>The following conditions must be met for FSB's BCP and DRP to be in line with ISO 22301 (Business Continuity Management):</w:t>
      </w:r>
    </w:p>
    <w:p w14:paraId="24CD42A4" w14:textId="6F089F23" w:rsidR="008A6E86" w:rsidRPr="008A6E86" w:rsidRDefault="00575D0F" w:rsidP="004B6087">
      <w:pPr>
        <w:pStyle w:val="ListParagraph"/>
        <w:numPr>
          <w:ilvl w:val="0"/>
          <w:numId w:val="6"/>
        </w:numPr>
        <w:jc w:val="both"/>
      </w:pPr>
      <w:r w:rsidRPr="008A6E86">
        <w:rPr>
          <w:b/>
          <w:bCs/>
        </w:rPr>
        <w:t>The Recovery Time Objective (RTO)</w:t>
      </w:r>
      <w:r w:rsidR="008A6E86" w:rsidRPr="008A6E86">
        <w:rPr>
          <w:b/>
          <w:bCs/>
        </w:rPr>
        <w:t>:</w:t>
      </w:r>
      <w:r w:rsidRPr="008A6E86">
        <w:t xml:space="preserve"> </w:t>
      </w:r>
      <w:r w:rsidR="008A6E86" w:rsidRPr="008A6E86">
        <w:t>F</w:t>
      </w:r>
      <w:r w:rsidRPr="008A6E86">
        <w:t xml:space="preserve">or all Tier-1 banking services is four hours. </w:t>
      </w:r>
    </w:p>
    <w:p w14:paraId="7435EC21" w14:textId="20B379EF" w:rsidR="00575D0F" w:rsidRPr="008A6E86" w:rsidRDefault="00575D0F" w:rsidP="004B6087">
      <w:pPr>
        <w:pStyle w:val="ListParagraph"/>
        <w:numPr>
          <w:ilvl w:val="0"/>
          <w:numId w:val="5"/>
        </w:numPr>
        <w:jc w:val="both"/>
      </w:pPr>
      <w:r w:rsidRPr="008A6E86">
        <w:rPr>
          <w:b/>
          <w:bCs/>
        </w:rPr>
        <w:t xml:space="preserve">Recovery Point Objective (RPO): </w:t>
      </w:r>
      <w:r w:rsidRPr="008A6E86">
        <w:t xml:space="preserve">1 hour. This is done by continuously replicating data to secondary regions that are far away from each other. </w:t>
      </w:r>
    </w:p>
    <w:p w14:paraId="37AAD281" w14:textId="270D486D" w:rsidR="00575D0F" w:rsidRPr="008A6E86" w:rsidRDefault="00575D0F" w:rsidP="004B6087">
      <w:pPr>
        <w:pStyle w:val="ListParagraph"/>
        <w:numPr>
          <w:ilvl w:val="0"/>
          <w:numId w:val="5"/>
        </w:numPr>
        <w:jc w:val="both"/>
      </w:pPr>
      <w:r w:rsidRPr="008A6E86">
        <w:rPr>
          <w:b/>
          <w:bCs/>
        </w:rPr>
        <w:t>Testing the BCP once a year:</w:t>
      </w:r>
      <w:r w:rsidRPr="008A6E86">
        <w:t xml:space="preserve"> </w:t>
      </w:r>
      <w:r w:rsidR="008A6E86" w:rsidRPr="008A6E86">
        <w:t>T</w:t>
      </w:r>
      <w:r w:rsidRPr="008A6E86">
        <w:t xml:space="preserve">abletop exercises, component failover tests, and a full business continuity simulation. </w:t>
      </w:r>
    </w:p>
    <w:p w14:paraId="27E8FE43" w14:textId="77777777" w:rsidR="008A6E86" w:rsidRPr="008A6E86" w:rsidRDefault="00575D0F" w:rsidP="004B6087">
      <w:pPr>
        <w:pStyle w:val="ListParagraph"/>
        <w:numPr>
          <w:ilvl w:val="0"/>
          <w:numId w:val="5"/>
        </w:numPr>
        <w:jc w:val="both"/>
        <w:rPr>
          <w:rFonts w:asciiTheme="minorHAnsi" w:hAnsiTheme="minorHAnsi" w:cstheme="minorBidi"/>
          <w:sz w:val="24"/>
          <w:szCs w:val="24"/>
        </w:rPr>
      </w:pPr>
      <w:r w:rsidRPr="008A6E86">
        <w:rPr>
          <w:b/>
          <w:bCs/>
        </w:rPr>
        <w:t>Incident Response Plan (IRP):</w:t>
      </w:r>
      <w:r w:rsidRPr="008A6E86">
        <w:t xml:space="preserve"> This plan lays out the steps to take when something goes wrong, how to communicate, how to notify the authorities (72-hour GDPR), and how to keep forensic evidence safe. </w:t>
      </w:r>
    </w:p>
    <w:p w14:paraId="256D3020" w14:textId="00948A78" w:rsidR="00575D0F" w:rsidRPr="00575D0F" w:rsidRDefault="00575D0F" w:rsidP="004B6087">
      <w:pPr>
        <w:jc w:val="both"/>
      </w:pPr>
      <w:r w:rsidRPr="00575D0F">
        <w:t>As for SLA governance, since more than 90% of the infrastructure is hosted outside, all cloud and technology vendor SLAs must include clear security requirements, such as minimum-security certification requirements (ISO 27001, SOC 2 Type II), 24-hour security incident notification obligations, right-to-audit clauses, and GDPR-compliant Data Processing Agreements (DPAs) under Article 28.</w:t>
      </w:r>
    </w:p>
    <w:p w14:paraId="18440A9F" w14:textId="77777777" w:rsidR="008A6E86" w:rsidRPr="008A6E86" w:rsidRDefault="008A6E86" w:rsidP="004B6087">
      <w:pPr>
        <w:pStyle w:val="Heading2"/>
        <w:jc w:val="both"/>
        <w:rPr>
          <w:sz w:val="24"/>
          <w:szCs w:val="24"/>
        </w:rPr>
      </w:pPr>
      <w:bookmarkStart w:id="16" w:name="_Toc228295031"/>
      <w:r w:rsidRPr="008A6E86">
        <w:rPr>
          <w:rFonts w:ascii="Arial" w:eastAsia="Arial" w:hAnsi="Arial" w:cs="Arial"/>
          <w:b/>
          <w:bCs/>
          <w:color w:val="2E75B6"/>
          <w:sz w:val="24"/>
          <w:szCs w:val="24"/>
        </w:rPr>
        <w:lastRenderedPageBreak/>
        <w:t>3.8 Incident Response and Risk Process Flow</w:t>
      </w:r>
      <w:bookmarkEnd w:id="16"/>
    </w:p>
    <w:p w14:paraId="24DB0AE2" w14:textId="1D78B343" w:rsidR="008A6E86" w:rsidRDefault="008A6E86" w:rsidP="004B6087">
      <w:pPr>
        <w:jc w:val="both"/>
      </w:pPr>
      <w:r w:rsidRPr="008A6E86">
        <w:t>Figure 3 below shows the full FSB Incident Response and Risk Management Process Flow. It includes the NIST CSF 2.0 lifecycle, the ISO 27001 requirement for continuous improvement, and the GDPR requirement for breach notification within 72 hours.</w:t>
      </w:r>
    </w:p>
    <w:p w14:paraId="22F4AEBC" w14:textId="1FE0176C" w:rsidR="00151494" w:rsidRDefault="00151494" w:rsidP="004B6087">
      <w:pPr>
        <w:jc w:val="center"/>
      </w:pPr>
      <w:r>
        <w:rPr>
          <w:noProof/>
        </w:rPr>
        <w:drawing>
          <wp:inline distT="0" distB="0" distL="0" distR="0" wp14:anchorId="72EF5BC1" wp14:editId="639FECED">
            <wp:extent cx="5905500" cy="4476750"/>
            <wp:effectExtent l="0" t="0" r="0" b="0"/>
            <wp:docPr id="247847027" name="Picture 247847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05500" cy="4476750"/>
                    </a:xfrm>
                    <a:prstGeom prst="rect">
                      <a:avLst/>
                    </a:prstGeom>
                  </pic:spPr>
                </pic:pic>
              </a:graphicData>
            </a:graphic>
          </wp:inline>
        </w:drawing>
      </w:r>
    </w:p>
    <w:p w14:paraId="47220ED8" w14:textId="77777777" w:rsidR="00151494" w:rsidRDefault="00151494" w:rsidP="004B6087">
      <w:pPr>
        <w:jc w:val="center"/>
      </w:pPr>
    </w:p>
    <w:p w14:paraId="18AA3539" w14:textId="0917260E" w:rsidR="00151494" w:rsidRPr="007A53CD" w:rsidRDefault="00151494" w:rsidP="004B6087">
      <w:pPr>
        <w:spacing w:before="80" w:after="200"/>
        <w:jc w:val="center"/>
        <w:rPr>
          <w:i/>
          <w:iCs/>
          <w:color w:val="555555"/>
          <w:sz w:val="18"/>
          <w:szCs w:val="18"/>
        </w:rPr>
      </w:pPr>
      <w:r w:rsidRPr="007A53CD">
        <w:rPr>
          <w:i/>
          <w:iCs/>
          <w:color w:val="555555"/>
          <w:sz w:val="18"/>
          <w:szCs w:val="18"/>
        </w:rPr>
        <w:t>Figure 3: FSB Incident Response and Risk Management Process Flowchart — Aligned with NIST CSF 2.0 and GDPR Article 33 (Author's Own)</w:t>
      </w:r>
    </w:p>
    <w:p w14:paraId="69463889" w14:textId="77777777" w:rsidR="008A6E86" w:rsidRPr="008A6E86" w:rsidRDefault="008A6E86" w:rsidP="004B6087">
      <w:pPr>
        <w:jc w:val="both"/>
      </w:pPr>
      <w:r w:rsidRPr="008A6E86">
        <w:t>The flowchart shows the whole process, from finding and controlling assets to detecting them, triaging them, assessing GDPR notification, containing them, recovering them, and reviewing the incident afterwards. The continuous improvement loop, which is in line with ISO 27001 Clause 10, makes sure that what you learn from each incident is added to the risk register and updated governance policies.</w:t>
      </w:r>
    </w:p>
    <w:p w14:paraId="62E6DAA2" w14:textId="7850EDBC" w:rsidR="008A6E86" w:rsidRDefault="008A6E86" w:rsidP="004B6087">
      <w:pPr>
        <w:spacing w:after="160" w:line="278" w:lineRule="auto"/>
        <w:jc w:val="both"/>
      </w:pPr>
      <w:r>
        <w:br w:type="page"/>
      </w:r>
    </w:p>
    <w:p w14:paraId="1D628538" w14:textId="77777777" w:rsidR="008A6E86" w:rsidRDefault="008A6E86" w:rsidP="004B6087">
      <w:pPr>
        <w:pStyle w:val="Heading1"/>
        <w:pBdr>
          <w:bottom w:val="single" w:sz="4" w:space="4" w:color="1F4E79"/>
        </w:pBdr>
        <w:jc w:val="both"/>
      </w:pPr>
      <w:bookmarkStart w:id="17" w:name="_Toc228295032"/>
      <w:r>
        <w:rPr>
          <w:rFonts w:ascii="Arial" w:eastAsia="Arial" w:hAnsi="Arial" w:cs="Arial"/>
          <w:b/>
          <w:bCs/>
          <w:color w:val="1F4E79"/>
          <w:sz w:val="30"/>
          <w:szCs w:val="30"/>
        </w:rPr>
        <w:lastRenderedPageBreak/>
        <w:t>4. The Imperative of Evolving Regulations and Standards</w:t>
      </w:r>
      <w:bookmarkEnd w:id="17"/>
    </w:p>
    <w:p w14:paraId="679D8152" w14:textId="77777777" w:rsidR="008A6E86" w:rsidRPr="008A6E86" w:rsidRDefault="008A6E86" w:rsidP="004B6087">
      <w:pPr>
        <w:pStyle w:val="Heading2"/>
        <w:jc w:val="both"/>
        <w:rPr>
          <w:sz w:val="24"/>
          <w:szCs w:val="24"/>
        </w:rPr>
      </w:pPr>
      <w:bookmarkStart w:id="18" w:name="_Toc228295033"/>
      <w:r w:rsidRPr="008A6E86">
        <w:rPr>
          <w:rFonts w:ascii="Arial" w:eastAsia="Arial" w:hAnsi="Arial" w:cs="Arial"/>
          <w:b/>
          <w:bCs/>
          <w:color w:val="2E75B6"/>
          <w:sz w:val="24"/>
          <w:szCs w:val="24"/>
        </w:rPr>
        <w:t>4.1 The Dynamic Cyber Threat Landscape</w:t>
      </w:r>
      <w:bookmarkEnd w:id="18"/>
    </w:p>
    <w:p w14:paraId="2F28DA0C" w14:textId="77777777" w:rsidR="004B6087" w:rsidRDefault="008A6E86" w:rsidP="004B6087">
      <w:pPr>
        <w:jc w:val="both"/>
      </w:pPr>
      <w:r w:rsidRPr="008A6E86">
        <w:t xml:space="preserve">Standards for information security need to change as cyber threats grow, new ways of attacking become available, and laws change. Schneier (2019) persuasively contends that security constitutes a process rather than a product, rendering compliance a futile singular endeavor. AI-powered attacks, ransomware-as-a-service (RaaS) ecosystems, and supply chain breaches, such as the 2020 SolarWinds incident and the 2023 </w:t>
      </w:r>
      <w:proofErr w:type="spellStart"/>
      <w:r w:rsidRPr="008A6E86">
        <w:t>MOVEit</w:t>
      </w:r>
      <w:proofErr w:type="spellEnd"/>
      <w:r w:rsidRPr="008A6E86">
        <w:t xml:space="preserve"> exploitation, demonstrate that yesterday's defenses are ineffective against today's attackers.</w:t>
      </w:r>
    </w:p>
    <w:p w14:paraId="56F7333C" w14:textId="598DC76F" w:rsidR="008A6E86" w:rsidRPr="008A6E86" w:rsidRDefault="008A6E86" w:rsidP="004B6087">
      <w:pPr>
        <w:jc w:val="both"/>
      </w:pPr>
      <w:r w:rsidRPr="008A6E86">
        <w:t>The 2013 version of ISO 27002:2022 did not have Threat Intelligence, Cloud Security, or Secure Coding as controls. The 2013 controls would not have given banks and other financial institutions clear rules for dealing with cloud security threats, which is where FSB is most vulnerable (ISO, 2022).</w:t>
      </w:r>
    </w:p>
    <w:p w14:paraId="4A7A77BA" w14:textId="77777777" w:rsidR="009B55E2" w:rsidRDefault="009B55E2" w:rsidP="004B6087">
      <w:pPr>
        <w:pStyle w:val="Heading2"/>
        <w:jc w:val="both"/>
        <w:rPr>
          <w:rFonts w:ascii="Arial" w:eastAsia="Arial" w:hAnsi="Arial" w:cs="Arial"/>
          <w:b/>
          <w:bCs/>
          <w:color w:val="2E75B6"/>
          <w:sz w:val="24"/>
          <w:szCs w:val="24"/>
        </w:rPr>
      </w:pPr>
      <w:bookmarkStart w:id="19" w:name="_Toc228295034"/>
      <w:r w:rsidRPr="00F370A6">
        <w:rPr>
          <w:rFonts w:ascii="Arial" w:eastAsia="Arial" w:hAnsi="Arial" w:cs="Arial"/>
          <w:b/>
          <w:bCs/>
          <w:color w:val="2E75B6"/>
          <w:sz w:val="24"/>
          <w:szCs w:val="24"/>
        </w:rPr>
        <w:t>4.2 Cross-Jurisdictional Regulatory Convergence</w:t>
      </w:r>
      <w:bookmarkEnd w:id="19"/>
    </w:p>
    <w:p w14:paraId="2EA36F5A" w14:textId="77777777" w:rsidR="007B3E5F" w:rsidRPr="007B3E5F" w:rsidRDefault="007B3E5F" w:rsidP="004B6087">
      <w:pPr>
        <w:jc w:val="both"/>
      </w:pPr>
      <w:r w:rsidRPr="007B3E5F">
        <w:t>The reality is that the regulatory landscape can be extremely complicated, and constantly evolving, so for an institution like FSB that operates in multiple countries, this means there is always a lot going on behind the scenes. Drawing substantially beyond the requirements of ISO 27001, the EU Digital Operational Resilience Act (DORA) applies binding ICT risk management, incident reporting and performance assessment obligations to all financial entities conducting business in the EU, effective January 2025(European Parliament, 2022). In parallel, the UK FCA Operational Resilience Policy Statement (PS21/3) requires that UK financial firms identify 'important business services', set impact tolerances and provide proof of self-assessment on an annual basis (FCA, 2021).</w:t>
      </w:r>
    </w:p>
    <w:p w14:paraId="4EF3A1F7" w14:textId="77777777" w:rsidR="007B3E5F" w:rsidRPr="007B3E5F" w:rsidRDefault="007B3E5F" w:rsidP="004B6087">
      <w:pPr>
        <w:jc w:val="both"/>
      </w:pPr>
      <w:r w:rsidRPr="007B3E5F">
        <w:t>FSB runs the risk, without permanent regulatory monitoring, of falling out of compliance unwittingly as new obligations take hold and faces resulting sanctions and/or restrictions to market access. All that changes if you proactively work to meet evolving standards — ISO 27001 certification turns regulatory burden into strategic advantage by speeding up enterprise client procurement approvals and also strengthens investor confidence.</w:t>
      </w:r>
    </w:p>
    <w:p w14:paraId="59F96E0B" w14:textId="77777777" w:rsidR="009B55E2" w:rsidRDefault="009B55E2" w:rsidP="004B6087">
      <w:pPr>
        <w:pStyle w:val="Heading2"/>
        <w:jc w:val="both"/>
        <w:rPr>
          <w:rFonts w:ascii="Arial" w:eastAsia="Arial" w:hAnsi="Arial" w:cs="Arial"/>
          <w:b/>
          <w:bCs/>
          <w:color w:val="2E75B6"/>
          <w:sz w:val="24"/>
          <w:szCs w:val="24"/>
        </w:rPr>
      </w:pPr>
      <w:bookmarkStart w:id="20" w:name="_Toc228295035"/>
      <w:r w:rsidRPr="00F370A6">
        <w:rPr>
          <w:rFonts w:ascii="Arial" w:eastAsia="Arial" w:hAnsi="Arial" w:cs="Arial"/>
          <w:b/>
          <w:bCs/>
          <w:color w:val="2E75B6"/>
          <w:sz w:val="24"/>
          <w:szCs w:val="24"/>
        </w:rPr>
        <w:t>4.3 Technology-Driven Standard Updates</w:t>
      </w:r>
      <w:bookmarkEnd w:id="20"/>
    </w:p>
    <w:p w14:paraId="4EE4F90C" w14:textId="77777777" w:rsidR="007B3E5F" w:rsidRPr="007B3E5F" w:rsidRDefault="007B3E5F" w:rsidP="004B6087">
      <w:pPr>
        <w:jc w:val="both"/>
      </w:pPr>
      <w:r w:rsidRPr="007B3E5F">
        <w:t>More than only technology advances, modify the risk environment in ways present norms cannot predict. Cloud computing upset on-premises data and application security architectures, requiring cloud-specific controls like ISO/IEC 27017 or complementing recommendations like the Cloud Security Alliance [CSA] Cloud Controls Matrix [CCM]. The fast increase of IoT devices, mobile banking apps, and API-first architectures drove OWASP's API Security Top 10 (OWASP, 2023) development. Lack of frequent standards updates would lead organizations to install old controls on fundamentally changing settings, resulting in a false sense of compliance with catastrophic implications.</w:t>
      </w:r>
    </w:p>
    <w:p w14:paraId="1D401CC1" w14:textId="77777777" w:rsidR="009B55E2" w:rsidRDefault="009B55E2" w:rsidP="004B6087">
      <w:pPr>
        <w:pStyle w:val="Heading2"/>
        <w:jc w:val="both"/>
        <w:rPr>
          <w:rFonts w:ascii="Arial" w:eastAsia="Arial" w:hAnsi="Arial" w:cs="Arial"/>
          <w:b/>
          <w:bCs/>
          <w:color w:val="2E75B6"/>
          <w:sz w:val="24"/>
          <w:szCs w:val="24"/>
        </w:rPr>
      </w:pPr>
      <w:bookmarkStart w:id="21" w:name="_Toc228295036"/>
      <w:r w:rsidRPr="00F370A6">
        <w:rPr>
          <w:rFonts w:ascii="Arial" w:eastAsia="Arial" w:hAnsi="Arial" w:cs="Arial"/>
          <w:b/>
          <w:bCs/>
          <w:color w:val="2E75B6"/>
          <w:sz w:val="24"/>
          <w:szCs w:val="24"/>
        </w:rPr>
        <w:t>4.4 Ethical Dimensions and Human Rights</w:t>
      </w:r>
      <w:bookmarkEnd w:id="21"/>
    </w:p>
    <w:p w14:paraId="1078D04F" w14:textId="5FFE51C4" w:rsidR="007B3E5F" w:rsidRDefault="007B3E5F" w:rsidP="004B6087">
      <w:pPr>
        <w:jc w:val="both"/>
      </w:pPr>
      <w:r w:rsidRPr="007B3E5F">
        <w:t xml:space="preserve">Laws like GDPR embed core values of society – privacy as a fundamental human right, </w:t>
      </w:r>
      <w:proofErr w:type="spellStart"/>
      <w:r w:rsidRPr="007B3E5F">
        <w:t>recognised</w:t>
      </w:r>
      <w:proofErr w:type="spellEnd"/>
      <w:r w:rsidRPr="007B3E5F">
        <w:t xml:space="preserve"> by Article 8 of the EU Charter of Fundamental Rights. When the financial technology industry increasingly leverages artificial intelligence for credit scoring, fraud detection and </w:t>
      </w:r>
      <w:proofErr w:type="spellStart"/>
      <w:r w:rsidRPr="007B3E5F">
        <w:t>personalised</w:t>
      </w:r>
      <w:proofErr w:type="spellEnd"/>
      <w:r w:rsidRPr="007B3E5F">
        <w:t xml:space="preserve"> financial recommendations then new ethical issues arise — algorithmic transparency, biased by design, automated decision-making. The EU AI Act (2024) and GDPR §22 provisions on automated decisions are both regulatory responses to these concerns (Voigt and von dem </w:t>
      </w:r>
      <w:proofErr w:type="spellStart"/>
      <w:r w:rsidRPr="007B3E5F">
        <w:t>Bussche</w:t>
      </w:r>
      <w:proofErr w:type="spellEnd"/>
      <w:r w:rsidRPr="007B3E5F">
        <w:t xml:space="preserve"> 2017). FSB is required to stay aware of these changes in order to regulate that AI-driven high-quality services still keeps within the legal boundaries and </w:t>
      </w:r>
      <w:r>
        <w:t>‘</w:t>
      </w:r>
      <w:r w:rsidRPr="007B3E5F">
        <w:t>is good for society</w:t>
      </w:r>
      <w:r>
        <w:t>’</w:t>
      </w:r>
      <w:r w:rsidRPr="007B3E5F">
        <w:t>.</w:t>
      </w:r>
    </w:p>
    <w:p w14:paraId="03AA94E9" w14:textId="3ED1C4D4" w:rsidR="009B55E2" w:rsidRPr="00F370A6" w:rsidRDefault="009B55E2" w:rsidP="004B6087">
      <w:pPr>
        <w:jc w:val="both"/>
        <w:rPr>
          <w:sz w:val="24"/>
          <w:szCs w:val="24"/>
        </w:rPr>
      </w:pPr>
      <w:r w:rsidRPr="00F370A6">
        <w:rPr>
          <w:b/>
          <w:bCs/>
          <w:color w:val="2E75B6"/>
          <w:sz w:val="24"/>
          <w:szCs w:val="24"/>
        </w:rPr>
        <w:lastRenderedPageBreak/>
        <w:t>4.5 Consequences of Non-Compliance</w:t>
      </w:r>
    </w:p>
    <w:p w14:paraId="6110A784" w14:textId="77777777" w:rsidR="000E06D8" w:rsidRPr="000E06D8" w:rsidRDefault="000E06D8" w:rsidP="004B6087">
      <w:pPr>
        <w:spacing w:after="160" w:line="278" w:lineRule="auto"/>
        <w:jc w:val="both"/>
      </w:pPr>
      <w:r w:rsidRPr="000E06D8">
        <w:t>Following the rules pays off in almost every area, but the effect is huge. Fines for breaking GDPR rules could be as high as 4% of global revenue, or €20 million. If you break DORA rules, you could face fines and other consequences. It told the FCA to fine companies millions of pounds and fix big security holes in the system. When a company has a data breach, the damage to its reputation usually costs more in lost customers than the fine from the government (IBM Security, 2023). This could be deadly for FSB, which is growing. Security governance fosters trust and provides the institution with a competitive advantage.</w:t>
      </w:r>
    </w:p>
    <w:p w14:paraId="53BD39E2" w14:textId="77AB0C99" w:rsidR="009B55E2" w:rsidRDefault="009B55E2" w:rsidP="004B6087">
      <w:pPr>
        <w:spacing w:after="160" w:line="278" w:lineRule="auto"/>
        <w:jc w:val="both"/>
      </w:pPr>
      <w:r>
        <w:br w:type="page"/>
      </w:r>
    </w:p>
    <w:p w14:paraId="7D8B95F8" w14:textId="77777777" w:rsidR="009B55E2" w:rsidRDefault="009B55E2" w:rsidP="004B6087">
      <w:pPr>
        <w:pStyle w:val="Heading1"/>
        <w:pBdr>
          <w:bottom w:val="single" w:sz="4" w:space="4" w:color="1F4E79"/>
        </w:pBdr>
        <w:jc w:val="both"/>
      </w:pPr>
      <w:bookmarkStart w:id="22" w:name="_Toc228295037"/>
      <w:r>
        <w:rPr>
          <w:rFonts w:ascii="Arial" w:eastAsia="Arial" w:hAnsi="Arial" w:cs="Arial"/>
          <w:b/>
          <w:bCs/>
          <w:color w:val="1F4E79"/>
          <w:sz w:val="30"/>
          <w:szCs w:val="30"/>
        </w:rPr>
        <w:lastRenderedPageBreak/>
        <w:t>5. Conclusion</w:t>
      </w:r>
      <w:bookmarkEnd w:id="22"/>
    </w:p>
    <w:p w14:paraId="25A2EA05" w14:textId="77777777" w:rsidR="00A9103B" w:rsidRPr="00A9103B" w:rsidRDefault="00A9103B" w:rsidP="00A9103B">
      <w:pPr>
        <w:spacing w:after="160" w:line="278" w:lineRule="auto"/>
        <w:jc w:val="both"/>
      </w:pPr>
      <w:r w:rsidRPr="00A9103B">
        <w:t xml:space="preserve">This assessment looked into embedding security governance principles in </w:t>
      </w:r>
      <w:proofErr w:type="spellStart"/>
      <w:r w:rsidRPr="00A9103B">
        <w:t>FinSure</w:t>
      </w:r>
      <w:proofErr w:type="spellEnd"/>
      <w:r w:rsidRPr="00A9103B">
        <w:t xml:space="preserve"> Bank, implemented through the ISO/IEC 27001:2022, NIST CSF 2.0, ITIL 4 and Zero Trust Architecture to get insights on mitigating risk with guidance &amp; compliance attestation approach. A hybrid, standards-driven framework was proposed as a solution to FSB's worst risks — uncontrolled access to BYOD devices at the enterprise's whim; abuse of cloud reliance and an uncontrollable security obligation to the public sector; GDPR regulatory risk exposure; weak governance surrounding fragmentation. By anchoring the methodology in ISO 27001, </w:t>
      </w:r>
      <w:proofErr w:type="spellStart"/>
      <w:r w:rsidRPr="00A9103B">
        <w:t>operationalising</w:t>
      </w:r>
      <w:proofErr w:type="spellEnd"/>
      <w:r w:rsidRPr="00A9103B">
        <w:t xml:space="preserve"> it through NIST CSF lifecycle, applying access control principles using Zero Trust and </w:t>
      </w:r>
      <w:proofErr w:type="spellStart"/>
      <w:r w:rsidRPr="00A9103B">
        <w:t>standardising</w:t>
      </w:r>
      <w:proofErr w:type="spellEnd"/>
      <w:r w:rsidRPr="00A9103B">
        <w:t xml:space="preserve"> service management across IT with ITIL, FSB achieved a security architecture for its premises that is both scalable and auditable. The overall implementation approaches are detailed across three governance architecture diagrams (illustrated in Figures 1, 2, and 3) supported by a series of four structured tables. The three-tier governance framework ensures accountability at the Board, management and operational level.</w:t>
      </w:r>
    </w:p>
    <w:p w14:paraId="75F89476" w14:textId="77777777" w:rsidR="00A9103B" w:rsidRPr="00A9103B" w:rsidRDefault="00A9103B" w:rsidP="00A9103B">
      <w:pPr>
        <w:spacing w:after="160" w:line="278" w:lineRule="auto"/>
        <w:jc w:val="both"/>
      </w:pPr>
      <w:r w:rsidRPr="00A9103B">
        <w:t xml:space="preserve">The changing regulatory landscape confirms that compliance is not a final destination, but rather an ongoing journey—one that demands resources, human capital and routine re-evaluation. FSB must · (a) assign a CISO and Data Protection </w:t>
      </w:r>
      <w:proofErr w:type="gramStart"/>
      <w:r w:rsidRPr="00A9103B">
        <w:t>Officer;·</w:t>
      </w:r>
      <w:proofErr w:type="gramEnd"/>
      <w:r w:rsidRPr="00A9103B">
        <w:t xml:space="preserve"> (b) develop formal BYOD and Acceptable Use Policy; and (c) employ MFA and MDM to all access points, in as defined by NCSC guidelines – each within six months. ISO 27001 certification should be sought after 18 months with a formal review cycle in place thereafter to ensure continued alignment with new threats and regulatory requirements. FSB can instill institutional trust, with the knowledge that it is both fulfilling its regulatory responsibilities and ensuring a path to scaling its digital financial services robustly by treating security governance as a strategic function instead of an afterthought in technology.</w:t>
      </w:r>
    </w:p>
    <w:p w14:paraId="780F49B5" w14:textId="19246E29" w:rsidR="009B55E2" w:rsidRDefault="009B55E2" w:rsidP="004B6087">
      <w:pPr>
        <w:spacing w:after="160" w:line="278" w:lineRule="auto"/>
        <w:jc w:val="both"/>
      </w:pPr>
      <w:r>
        <w:br w:type="page"/>
      </w:r>
    </w:p>
    <w:p w14:paraId="5A592C6B" w14:textId="77777777" w:rsidR="009B55E2" w:rsidRDefault="009B55E2" w:rsidP="004B6087">
      <w:pPr>
        <w:pStyle w:val="Heading1"/>
        <w:pBdr>
          <w:bottom w:val="single" w:sz="4" w:space="4" w:color="1F4E79"/>
        </w:pBdr>
        <w:jc w:val="both"/>
      </w:pPr>
      <w:bookmarkStart w:id="23" w:name="_Toc228295038"/>
      <w:r>
        <w:rPr>
          <w:rFonts w:ascii="Arial" w:eastAsia="Arial" w:hAnsi="Arial" w:cs="Arial"/>
          <w:b/>
          <w:bCs/>
          <w:color w:val="1F4E79"/>
          <w:sz w:val="30"/>
          <w:szCs w:val="30"/>
        </w:rPr>
        <w:lastRenderedPageBreak/>
        <w:t>References</w:t>
      </w:r>
      <w:bookmarkEnd w:id="23"/>
    </w:p>
    <w:p w14:paraId="1B92A99E"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Axelos (2019) </w:t>
      </w:r>
      <w:r>
        <w:rPr>
          <w:rFonts w:ascii="Times New Roman" w:eastAsia="Times New Roman" w:hAnsi="Times New Roman" w:cs="Times New Roman"/>
          <w:b/>
          <w:bCs/>
          <w:i/>
          <w:iCs/>
          <w:sz w:val="24"/>
          <w:szCs w:val="24"/>
        </w:rPr>
        <w:t>ITIL Foundation: ITIL 4 Edition.</w:t>
      </w:r>
      <w:r>
        <w:rPr>
          <w:rFonts w:ascii="Times New Roman" w:eastAsia="Times New Roman" w:hAnsi="Times New Roman" w:cs="Times New Roman"/>
          <w:sz w:val="24"/>
          <w:szCs w:val="24"/>
        </w:rPr>
        <w:t xml:space="preserve"> Norwich: TSO (The Stationery Office).</w:t>
      </w:r>
    </w:p>
    <w:p w14:paraId="6481D070"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Cloud Security Alliance (CSA) (2023) </w:t>
      </w:r>
      <w:r>
        <w:rPr>
          <w:rFonts w:ascii="Times New Roman" w:eastAsia="Times New Roman" w:hAnsi="Times New Roman" w:cs="Times New Roman"/>
          <w:i/>
          <w:iCs/>
          <w:sz w:val="24"/>
          <w:szCs w:val="24"/>
        </w:rPr>
        <w:t>Cloud Controls Matrix (CCM) v4.</w:t>
      </w:r>
      <w:r>
        <w:rPr>
          <w:rFonts w:ascii="Times New Roman" w:eastAsia="Times New Roman" w:hAnsi="Times New Roman" w:cs="Times New Roman"/>
          <w:sz w:val="24"/>
          <w:szCs w:val="24"/>
        </w:rPr>
        <w:t xml:space="preserve"> Available at: https://cloudsecurityalliance.org/research/cloud-controls-matrix/ [Accessed: 10 April 2025].</w:t>
      </w:r>
    </w:p>
    <w:p w14:paraId="632641CF" w14:textId="77777777" w:rsidR="00AC13F5" w:rsidRDefault="00AC13F5" w:rsidP="00AC13F5">
      <w:pPr>
        <w:pStyle w:val="ListParagraph"/>
        <w:numPr>
          <w:ilvl w:val="0"/>
          <w:numId w:val="8"/>
        </w:numPr>
        <w:spacing w:after="160"/>
        <w:contextualSpacing w:val="0"/>
      </w:pPr>
      <w:proofErr w:type="spellStart"/>
      <w:r>
        <w:rPr>
          <w:rFonts w:ascii="Times New Roman" w:eastAsia="Times New Roman" w:hAnsi="Times New Roman" w:cs="Times New Roman"/>
          <w:sz w:val="24"/>
          <w:szCs w:val="24"/>
        </w:rPr>
        <w:t>Disterer</w:t>
      </w:r>
      <w:proofErr w:type="spellEnd"/>
      <w:r>
        <w:rPr>
          <w:rFonts w:ascii="Times New Roman" w:eastAsia="Times New Roman" w:hAnsi="Times New Roman" w:cs="Times New Roman"/>
          <w:sz w:val="24"/>
          <w:szCs w:val="24"/>
        </w:rPr>
        <w:t xml:space="preserve">, G. (2013) ‘ISO/IEC 27000, 27001 and 27002 for Information Security Management’, </w:t>
      </w:r>
      <w:r>
        <w:rPr>
          <w:rFonts w:ascii="Times New Roman" w:eastAsia="Times New Roman" w:hAnsi="Times New Roman" w:cs="Times New Roman"/>
          <w:i/>
          <w:iCs/>
          <w:sz w:val="24"/>
          <w:szCs w:val="24"/>
        </w:rPr>
        <w:t>Journal of Information Security,</w:t>
      </w:r>
      <w:r>
        <w:rPr>
          <w:rFonts w:ascii="Times New Roman" w:eastAsia="Times New Roman" w:hAnsi="Times New Roman" w:cs="Times New Roman"/>
          <w:sz w:val="24"/>
          <w:szCs w:val="24"/>
        </w:rPr>
        <w:t xml:space="preserve"> 4(2), pp. 92–100.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10.4236/jis.2013.42011.</w:t>
      </w:r>
    </w:p>
    <w:p w14:paraId="4DB79C55"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ENISA (2023) </w:t>
      </w:r>
      <w:r>
        <w:rPr>
          <w:rFonts w:ascii="Times New Roman" w:eastAsia="Times New Roman" w:hAnsi="Times New Roman" w:cs="Times New Roman"/>
          <w:i/>
          <w:iCs/>
          <w:sz w:val="24"/>
          <w:szCs w:val="24"/>
        </w:rPr>
        <w:t>ENISA Threat Landscape 2023.</w:t>
      </w:r>
      <w:r>
        <w:rPr>
          <w:rFonts w:ascii="Times New Roman" w:eastAsia="Times New Roman" w:hAnsi="Times New Roman" w:cs="Times New Roman"/>
          <w:sz w:val="24"/>
          <w:szCs w:val="24"/>
        </w:rPr>
        <w:t xml:space="preserve"> European Union Agency for Cybersecurity. Available at: https://www.enisa.europa.eu/publications/enisa-threat-landscape-2023 [Accessed: 10 April 2025].</w:t>
      </w:r>
    </w:p>
    <w:p w14:paraId="17F54591"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European Parliament (2022) Regulation (EU) 2022/2554 on Digital Operational Resilience for the Financial Sector (DORA). </w:t>
      </w:r>
      <w:r>
        <w:rPr>
          <w:rFonts w:ascii="Times New Roman" w:eastAsia="Times New Roman" w:hAnsi="Times New Roman" w:cs="Times New Roman"/>
          <w:i/>
          <w:iCs/>
          <w:sz w:val="24"/>
          <w:szCs w:val="24"/>
        </w:rPr>
        <w:t>Official Journal of the European Union,</w:t>
      </w:r>
      <w:r>
        <w:rPr>
          <w:rFonts w:ascii="Times New Roman" w:eastAsia="Times New Roman" w:hAnsi="Times New Roman" w:cs="Times New Roman"/>
          <w:sz w:val="24"/>
          <w:szCs w:val="24"/>
        </w:rPr>
        <w:t xml:space="preserve"> L 333, pp. 1–79.</w:t>
      </w:r>
    </w:p>
    <w:p w14:paraId="377A999A"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Financial Conduct Authority (FCA) (2021) </w:t>
      </w:r>
      <w:r>
        <w:rPr>
          <w:rFonts w:ascii="Times New Roman" w:eastAsia="Times New Roman" w:hAnsi="Times New Roman" w:cs="Times New Roman"/>
          <w:i/>
          <w:iCs/>
          <w:sz w:val="24"/>
          <w:szCs w:val="24"/>
        </w:rPr>
        <w:t>PS21/3: Building Operational Resilience.</w:t>
      </w:r>
      <w:r>
        <w:rPr>
          <w:rFonts w:ascii="Times New Roman" w:eastAsia="Times New Roman" w:hAnsi="Times New Roman" w:cs="Times New Roman"/>
          <w:sz w:val="24"/>
          <w:szCs w:val="24"/>
        </w:rPr>
        <w:t xml:space="preserve"> Available at: https://www.fca.org.uk/publications/policy-statements/ps21-3-building-operational-resilience [Accessed: 10 April 2025].</w:t>
      </w:r>
    </w:p>
    <w:p w14:paraId="75637F2F"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IBM Security (2023) </w:t>
      </w:r>
      <w:r>
        <w:rPr>
          <w:rFonts w:ascii="Times New Roman" w:eastAsia="Times New Roman" w:hAnsi="Times New Roman" w:cs="Times New Roman"/>
          <w:i/>
          <w:iCs/>
          <w:sz w:val="24"/>
          <w:szCs w:val="24"/>
        </w:rPr>
        <w:t>Cost of a Data Breach Report 2023.</w:t>
      </w:r>
      <w:r>
        <w:rPr>
          <w:rFonts w:ascii="Times New Roman" w:eastAsia="Times New Roman" w:hAnsi="Times New Roman" w:cs="Times New Roman"/>
          <w:sz w:val="24"/>
          <w:szCs w:val="24"/>
        </w:rPr>
        <w:t xml:space="preserve"> IBM Corporation. Available at: https://www.ibm.com/reports/data-breach [Accessed: 10 April 2025].</w:t>
      </w:r>
    </w:p>
    <w:p w14:paraId="051330E7"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ICO (2023) </w:t>
      </w:r>
      <w:r>
        <w:rPr>
          <w:rFonts w:ascii="Times New Roman" w:eastAsia="Times New Roman" w:hAnsi="Times New Roman" w:cs="Times New Roman"/>
          <w:i/>
          <w:iCs/>
          <w:sz w:val="24"/>
          <w:szCs w:val="24"/>
        </w:rPr>
        <w:t>Guide to the UK General Data Protection Regulation (UK GDPR).</w:t>
      </w:r>
      <w:r>
        <w:rPr>
          <w:rFonts w:ascii="Times New Roman" w:eastAsia="Times New Roman" w:hAnsi="Times New Roman" w:cs="Times New Roman"/>
          <w:sz w:val="24"/>
          <w:szCs w:val="24"/>
        </w:rPr>
        <w:t xml:space="preserve"> Information Commissioner’s Office. Available at: https://ico.org.uk/for-organisations/guide-to-data-protection/ [Accessed: 10 April 2025].</w:t>
      </w:r>
    </w:p>
    <w:p w14:paraId="4C47C716"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ISO (2022) </w:t>
      </w:r>
      <w:r>
        <w:rPr>
          <w:rFonts w:ascii="Times New Roman" w:eastAsia="Times New Roman" w:hAnsi="Times New Roman" w:cs="Times New Roman"/>
          <w:i/>
          <w:iCs/>
          <w:sz w:val="24"/>
          <w:szCs w:val="24"/>
        </w:rPr>
        <w:t>ISO/IEC 27001:2022 — Information Security, Cybersecurity and Privacy Protection: Requirements.</w:t>
      </w:r>
      <w:r>
        <w:rPr>
          <w:rFonts w:ascii="Times New Roman" w:eastAsia="Times New Roman" w:hAnsi="Times New Roman" w:cs="Times New Roman"/>
          <w:sz w:val="24"/>
          <w:szCs w:val="24"/>
        </w:rPr>
        <w:t xml:space="preserve"> Geneva: International Organization for Standardization.</w:t>
      </w:r>
    </w:p>
    <w:p w14:paraId="78AD8788"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ISO (2022) </w:t>
      </w:r>
      <w:r>
        <w:rPr>
          <w:rFonts w:ascii="Times New Roman" w:eastAsia="Times New Roman" w:hAnsi="Times New Roman" w:cs="Times New Roman"/>
          <w:i/>
          <w:iCs/>
          <w:sz w:val="24"/>
          <w:szCs w:val="24"/>
        </w:rPr>
        <w:t>ISO/IEC 27002:2022 — Information Security, Cybersecurity and Privacy Protection: Information Security Controls.</w:t>
      </w:r>
      <w:r>
        <w:rPr>
          <w:rFonts w:ascii="Times New Roman" w:eastAsia="Times New Roman" w:hAnsi="Times New Roman" w:cs="Times New Roman"/>
          <w:sz w:val="24"/>
          <w:szCs w:val="24"/>
        </w:rPr>
        <w:t xml:space="preserve"> Geneva: International Organization for Standardization.</w:t>
      </w:r>
    </w:p>
    <w:p w14:paraId="343565DE" w14:textId="77777777" w:rsidR="00AC13F5" w:rsidRDefault="00AC13F5" w:rsidP="00AC13F5">
      <w:pPr>
        <w:pStyle w:val="ListParagraph"/>
        <w:numPr>
          <w:ilvl w:val="0"/>
          <w:numId w:val="8"/>
        </w:numPr>
        <w:spacing w:after="160"/>
        <w:contextualSpacing w:val="0"/>
      </w:pPr>
      <w:proofErr w:type="spellStart"/>
      <w:r>
        <w:rPr>
          <w:rFonts w:ascii="Times New Roman" w:eastAsia="Times New Roman" w:hAnsi="Times New Roman" w:cs="Times New Roman"/>
          <w:sz w:val="24"/>
          <w:szCs w:val="24"/>
        </w:rPr>
        <w:t>Kindervag</w:t>
      </w:r>
      <w:proofErr w:type="spellEnd"/>
      <w:r>
        <w:rPr>
          <w:rFonts w:ascii="Times New Roman" w:eastAsia="Times New Roman" w:hAnsi="Times New Roman" w:cs="Times New Roman"/>
          <w:sz w:val="24"/>
          <w:szCs w:val="24"/>
        </w:rPr>
        <w:t xml:space="preserve">, J. (2022) </w:t>
      </w:r>
      <w:r>
        <w:rPr>
          <w:rFonts w:ascii="Times New Roman" w:eastAsia="Times New Roman" w:hAnsi="Times New Roman" w:cs="Times New Roman"/>
          <w:i/>
          <w:iCs/>
          <w:sz w:val="24"/>
          <w:szCs w:val="24"/>
        </w:rPr>
        <w:t>The Future of Zero Trust Security.</w:t>
      </w:r>
      <w:r>
        <w:rPr>
          <w:rFonts w:ascii="Times New Roman" w:eastAsia="Times New Roman" w:hAnsi="Times New Roman" w:cs="Times New Roman"/>
          <w:sz w:val="24"/>
          <w:szCs w:val="24"/>
        </w:rPr>
        <w:t xml:space="preserve"> Forrester Research. Available at: https://www.forrester.com [Accessed: 10 April 2025].</w:t>
      </w:r>
    </w:p>
    <w:p w14:paraId="7F91BA0E"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NIST (2024) </w:t>
      </w:r>
      <w:r>
        <w:rPr>
          <w:rFonts w:ascii="Times New Roman" w:eastAsia="Times New Roman" w:hAnsi="Times New Roman" w:cs="Times New Roman"/>
          <w:i/>
          <w:iCs/>
          <w:sz w:val="24"/>
          <w:szCs w:val="24"/>
        </w:rPr>
        <w:t>The NIST Cybersecurity Framework (CSF) 2.0.</w:t>
      </w:r>
      <w:r>
        <w:rPr>
          <w:rFonts w:ascii="Times New Roman" w:eastAsia="Times New Roman" w:hAnsi="Times New Roman" w:cs="Times New Roman"/>
          <w:sz w:val="24"/>
          <w:szCs w:val="24"/>
        </w:rPr>
        <w:t xml:space="preserve"> National Institute of Standards and Technology. Available at: https://doi.org/10.6028/NIST.CSWP.29 [Accessed: 10 April 2025].</w:t>
      </w:r>
    </w:p>
    <w:p w14:paraId="149BA512"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OWASP (2023) </w:t>
      </w:r>
      <w:r>
        <w:rPr>
          <w:rFonts w:ascii="Times New Roman" w:eastAsia="Times New Roman" w:hAnsi="Times New Roman" w:cs="Times New Roman"/>
          <w:i/>
          <w:iCs/>
          <w:sz w:val="24"/>
          <w:szCs w:val="24"/>
        </w:rPr>
        <w:t>OWASP API Security Top 10 – 2023.</w:t>
      </w:r>
      <w:r>
        <w:rPr>
          <w:rFonts w:ascii="Times New Roman" w:eastAsia="Times New Roman" w:hAnsi="Times New Roman" w:cs="Times New Roman"/>
          <w:sz w:val="24"/>
          <w:szCs w:val="24"/>
        </w:rPr>
        <w:t xml:space="preserve"> Open Web Application Security Project. Available at: https://owasp.org/API-Security/ [Accessed: 10 April 2025].</w:t>
      </w:r>
    </w:p>
    <w:p w14:paraId="3218724A"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Rose, S., Borchert, O., Mitchell, S. and Connelly, S. (2020) </w:t>
      </w:r>
      <w:r>
        <w:rPr>
          <w:rFonts w:ascii="Times New Roman" w:eastAsia="Times New Roman" w:hAnsi="Times New Roman" w:cs="Times New Roman"/>
          <w:i/>
          <w:iCs/>
          <w:sz w:val="24"/>
          <w:szCs w:val="24"/>
        </w:rPr>
        <w:t>Zero Trust Architecture.</w:t>
      </w:r>
      <w:r>
        <w:rPr>
          <w:rFonts w:ascii="Times New Roman" w:eastAsia="Times New Roman" w:hAnsi="Times New Roman" w:cs="Times New Roman"/>
          <w:sz w:val="24"/>
          <w:szCs w:val="24"/>
        </w:rPr>
        <w:t xml:space="preserve"> NIST Special Publication 800-207. Gaithersburg, MD: National Institute of Standards and Technology.</w:t>
      </w:r>
    </w:p>
    <w:p w14:paraId="6EE5570C"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lastRenderedPageBreak/>
        <w:t xml:space="preserve">Schneier, B. (2019) </w:t>
      </w:r>
      <w:r>
        <w:rPr>
          <w:rFonts w:ascii="Times New Roman" w:eastAsia="Times New Roman" w:hAnsi="Times New Roman" w:cs="Times New Roman"/>
          <w:i/>
          <w:iCs/>
          <w:sz w:val="24"/>
          <w:szCs w:val="24"/>
        </w:rPr>
        <w:t>Click Here to Kill Everybody: Security and Survival in a Hyper-connected World.</w:t>
      </w:r>
      <w:r>
        <w:rPr>
          <w:rFonts w:ascii="Times New Roman" w:eastAsia="Times New Roman" w:hAnsi="Times New Roman" w:cs="Times New Roman"/>
          <w:sz w:val="24"/>
          <w:szCs w:val="24"/>
        </w:rPr>
        <w:t xml:space="preserve"> New York: W.W. Norton &amp; Company.</w:t>
      </w:r>
    </w:p>
    <w:p w14:paraId="6F496337" w14:textId="77777777" w:rsidR="00AC13F5" w:rsidRDefault="00AC13F5" w:rsidP="00AC13F5">
      <w:pPr>
        <w:pStyle w:val="ListParagraph"/>
        <w:numPr>
          <w:ilvl w:val="0"/>
          <w:numId w:val="8"/>
        </w:numPr>
        <w:spacing w:after="160"/>
        <w:contextualSpacing w:val="0"/>
      </w:pPr>
      <w:r>
        <w:rPr>
          <w:rFonts w:ascii="Times New Roman" w:eastAsia="Times New Roman" w:hAnsi="Times New Roman" w:cs="Times New Roman"/>
          <w:sz w:val="24"/>
          <w:szCs w:val="24"/>
        </w:rPr>
        <w:t xml:space="preserve">Voigt, P. and von dem </w:t>
      </w:r>
      <w:proofErr w:type="spellStart"/>
      <w:r>
        <w:rPr>
          <w:rFonts w:ascii="Times New Roman" w:eastAsia="Times New Roman" w:hAnsi="Times New Roman" w:cs="Times New Roman"/>
          <w:sz w:val="24"/>
          <w:szCs w:val="24"/>
        </w:rPr>
        <w:t>Bussche</w:t>
      </w:r>
      <w:proofErr w:type="spellEnd"/>
      <w:r>
        <w:rPr>
          <w:rFonts w:ascii="Times New Roman" w:eastAsia="Times New Roman" w:hAnsi="Times New Roman" w:cs="Times New Roman"/>
          <w:sz w:val="24"/>
          <w:szCs w:val="24"/>
        </w:rPr>
        <w:t xml:space="preserve">, A. (2017) </w:t>
      </w:r>
      <w:r>
        <w:rPr>
          <w:rFonts w:ascii="Times New Roman" w:eastAsia="Times New Roman" w:hAnsi="Times New Roman" w:cs="Times New Roman"/>
          <w:i/>
          <w:iCs/>
          <w:sz w:val="24"/>
          <w:szCs w:val="24"/>
        </w:rPr>
        <w:t>The EU General Data Protection Regulation (GDPR): A Practical Guide.</w:t>
      </w:r>
      <w:r>
        <w:rPr>
          <w:rFonts w:ascii="Times New Roman" w:eastAsia="Times New Roman" w:hAnsi="Times New Roman" w:cs="Times New Roman"/>
          <w:sz w:val="24"/>
          <w:szCs w:val="24"/>
        </w:rPr>
        <w:t xml:space="preserve"> Cham: Springer International Publishing.</w:t>
      </w:r>
    </w:p>
    <w:p w14:paraId="2BFC73AF" w14:textId="4FBD4B62" w:rsidR="008A6E86" w:rsidRPr="00575D0F" w:rsidRDefault="008A6E86" w:rsidP="00AC13F5">
      <w:pPr>
        <w:spacing w:before="80" w:after="120"/>
        <w:jc w:val="both"/>
      </w:pPr>
    </w:p>
    <w:sectPr w:rsidR="008A6E86" w:rsidRPr="00575D0F">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B071F" w14:textId="77777777" w:rsidR="00F41A1F" w:rsidRDefault="00F41A1F" w:rsidP="00A167DB">
      <w:r>
        <w:separator/>
      </w:r>
    </w:p>
  </w:endnote>
  <w:endnote w:type="continuationSeparator" w:id="0">
    <w:p w14:paraId="59F3EE7F" w14:textId="77777777" w:rsidR="00F41A1F" w:rsidRDefault="00F41A1F" w:rsidP="00A16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C5D10" w14:textId="7AF1207F" w:rsidR="00A167DB" w:rsidRDefault="00A167DB" w:rsidP="00A167DB">
    <w:pPr>
      <w:pBdr>
        <w:top w:val="single" w:sz="4" w:space="1" w:color="1F4E79"/>
      </w:pBdr>
      <w:spacing w:before="80"/>
      <w:jc w:val="center"/>
    </w:pPr>
    <w:r>
      <w:rPr>
        <w:color w:val="666666"/>
        <w:sz w:val="17"/>
        <w:szCs w:val="17"/>
      </w:rPr>
      <w:t xml:space="preserve">Page </w:t>
    </w:r>
    <w:r>
      <w:rPr>
        <w:color w:val="666666"/>
        <w:sz w:val="17"/>
        <w:szCs w:val="17"/>
      </w:rPr>
      <w:fldChar w:fldCharType="begin"/>
    </w:r>
    <w:r>
      <w:rPr>
        <w:color w:val="666666"/>
        <w:sz w:val="17"/>
        <w:szCs w:val="17"/>
      </w:rPr>
      <w:instrText>PAGE</w:instrText>
    </w:r>
    <w:r>
      <w:rPr>
        <w:color w:val="666666"/>
        <w:sz w:val="17"/>
        <w:szCs w:val="17"/>
      </w:rPr>
      <w:fldChar w:fldCharType="separate"/>
    </w:r>
    <w:r>
      <w:rPr>
        <w:color w:val="666666"/>
        <w:sz w:val="17"/>
        <w:szCs w:val="17"/>
      </w:rPr>
      <w:t>1</w:t>
    </w:r>
    <w:r>
      <w:rPr>
        <w:color w:val="666666"/>
        <w:sz w:val="17"/>
        <w:szCs w:val="17"/>
      </w:rPr>
      <w:fldChar w:fldCharType="end"/>
    </w:r>
    <w:r>
      <w:rPr>
        <w:color w:val="666666"/>
        <w:sz w:val="17"/>
        <w:szCs w:val="17"/>
      </w:rPr>
      <w:t xml:space="preserve"> | MSc Cybersecurity and Digital Forensics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796882" w14:textId="77777777" w:rsidR="00F41A1F" w:rsidRDefault="00F41A1F" w:rsidP="00A167DB">
      <w:r>
        <w:separator/>
      </w:r>
    </w:p>
  </w:footnote>
  <w:footnote w:type="continuationSeparator" w:id="0">
    <w:p w14:paraId="62E059DB" w14:textId="77777777" w:rsidR="00F41A1F" w:rsidRDefault="00F41A1F" w:rsidP="00A167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08CE9" w14:textId="2EE7A204" w:rsidR="00A167DB" w:rsidRPr="00A167DB" w:rsidRDefault="00A167DB" w:rsidP="00A167DB">
    <w:pPr>
      <w:pBdr>
        <w:bottom w:val="single" w:sz="4" w:space="1" w:color="1F4E79"/>
      </w:pBdr>
      <w:spacing w:after="80"/>
    </w:pPr>
    <w:r>
      <w:rPr>
        <w:color w:val="666666"/>
        <w:sz w:val="17"/>
        <w:szCs w:val="17"/>
      </w:rPr>
      <w:t xml:space="preserve">ACCA7028 | Data Security, Governance and Compliance | </w:t>
    </w:r>
    <w:proofErr w:type="spellStart"/>
    <w:r>
      <w:rPr>
        <w:color w:val="666666"/>
        <w:sz w:val="17"/>
        <w:szCs w:val="17"/>
      </w:rPr>
      <w:t>FinSure</w:t>
    </w:r>
    <w:proofErr w:type="spellEnd"/>
    <w:r>
      <w:rPr>
        <w:color w:val="666666"/>
        <w:sz w:val="17"/>
        <w:szCs w:val="17"/>
      </w:rPr>
      <w:t xml:space="preserve"> Bank</w:t>
    </w:r>
    <w:r w:rsidR="00C00C0D">
      <w:rPr>
        <w:color w:val="666666"/>
        <w:sz w:val="17"/>
        <w:szCs w:val="17"/>
      </w:rPr>
      <w:t xml:space="preserve">                                            </w:t>
    </w:r>
    <w:r w:rsidR="00C00C0D">
      <w:rPr>
        <w:noProof/>
        <w14:ligatures w14:val="standardContextual"/>
      </w:rPr>
      <w:drawing>
        <wp:inline distT="0" distB="0" distL="0" distR="0" wp14:anchorId="41036173" wp14:editId="654070F8">
          <wp:extent cx="1141095" cy="455066"/>
          <wp:effectExtent l="0" t="0" r="1905" b="2540"/>
          <wp:docPr id="166202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23150" name="Picture 1662023150"/>
                  <pic:cNvPicPr/>
                </pic:nvPicPr>
                <pic:blipFill>
                  <a:blip r:embed="rId1">
                    <a:extLst>
                      <a:ext uri="{28A0092B-C50C-407E-A947-70E740481C1C}">
                        <a14:useLocalDpi xmlns:a14="http://schemas.microsoft.com/office/drawing/2010/main" val="0"/>
                      </a:ext>
                    </a:extLst>
                  </a:blip>
                  <a:stretch>
                    <a:fillRect/>
                  </a:stretch>
                </pic:blipFill>
                <pic:spPr>
                  <a:xfrm>
                    <a:off x="0" y="0"/>
                    <a:ext cx="1152846" cy="45975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26C19"/>
    <w:multiLevelType w:val="hybridMultilevel"/>
    <w:tmpl w:val="8408B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6C4AF2"/>
    <w:multiLevelType w:val="hybridMultilevel"/>
    <w:tmpl w:val="B1C20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052FFB"/>
    <w:multiLevelType w:val="hybridMultilevel"/>
    <w:tmpl w:val="DB4A2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7C6AE0"/>
    <w:multiLevelType w:val="hybridMultilevel"/>
    <w:tmpl w:val="B32E9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A23A1C"/>
    <w:multiLevelType w:val="hybridMultilevel"/>
    <w:tmpl w:val="F2EC0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8E5EF9"/>
    <w:multiLevelType w:val="hybridMultilevel"/>
    <w:tmpl w:val="83500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7C0925"/>
    <w:multiLevelType w:val="hybridMultilevel"/>
    <w:tmpl w:val="E10897C2"/>
    <w:lvl w:ilvl="0" w:tplc="740C77DC">
      <w:start w:val="1"/>
      <w:numFmt w:val="decimal"/>
      <w:lvlText w:val="%1."/>
      <w:lvlJc w:val="left"/>
      <w:pPr>
        <w:ind w:left="720" w:hanging="360"/>
      </w:pPr>
    </w:lvl>
    <w:lvl w:ilvl="1" w:tplc="CB3663B2">
      <w:numFmt w:val="decimal"/>
      <w:lvlText w:val=""/>
      <w:lvlJc w:val="left"/>
    </w:lvl>
    <w:lvl w:ilvl="2" w:tplc="411C2484">
      <w:numFmt w:val="decimal"/>
      <w:lvlText w:val=""/>
      <w:lvlJc w:val="left"/>
    </w:lvl>
    <w:lvl w:ilvl="3" w:tplc="20F0EBCC">
      <w:numFmt w:val="decimal"/>
      <w:lvlText w:val=""/>
      <w:lvlJc w:val="left"/>
    </w:lvl>
    <w:lvl w:ilvl="4" w:tplc="9306E710">
      <w:numFmt w:val="decimal"/>
      <w:lvlText w:val=""/>
      <w:lvlJc w:val="left"/>
    </w:lvl>
    <w:lvl w:ilvl="5" w:tplc="176029C0">
      <w:numFmt w:val="decimal"/>
      <w:lvlText w:val=""/>
      <w:lvlJc w:val="left"/>
    </w:lvl>
    <w:lvl w:ilvl="6" w:tplc="FF700D1E">
      <w:numFmt w:val="decimal"/>
      <w:lvlText w:val=""/>
      <w:lvlJc w:val="left"/>
    </w:lvl>
    <w:lvl w:ilvl="7" w:tplc="71F8BDC2">
      <w:numFmt w:val="decimal"/>
      <w:lvlText w:val=""/>
      <w:lvlJc w:val="left"/>
    </w:lvl>
    <w:lvl w:ilvl="8" w:tplc="2ABA69F8">
      <w:numFmt w:val="decimal"/>
      <w:lvlText w:val=""/>
      <w:lvlJc w:val="left"/>
    </w:lvl>
  </w:abstractNum>
  <w:abstractNum w:abstractNumId="7" w15:restartNumberingAfterBreak="0">
    <w:nsid w:val="6EF87C5C"/>
    <w:multiLevelType w:val="hybridMultilevel"/>
    <w:tmpl w:val="5726C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8432320">
    <w:abstractNumId w:val="0"/>
  </w:num>
  <w:num w:numId="2" w16cid:durableId="1374765240">
    <w:abstractNumId w:val="1"/>
  </w:num>
  <w:num w:numId="3" w16cid:durableId="980496082">
    <w:abstractNumId w:val="7"/>
  </w:num>
  <w:num w:numId="4" w16cid:durableId="139884766">
    <w:abstractNumId w:val="2"/>
  </w:num>
  <w:num w:numId="5" w16cid:durableId="139658178">
    <w:abstractNumId w:val="4"/>
  </w:num>
  <w:num w:numId="6" w16cid:durableId="1183863144">
    <w:abstractNumId w:val="5"/>
  </w:num>
  <w:num w:numId="7" w16cid:durableId="1712609814">
    <w:abstractNumId w:val="3"/>
  </w:num>
  <w:num w:numId="8" w16cid:durableId="1671254376">
    <w:abstractNumId w:val="6"/>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7C9"/>
    <w:rsid w:val="000373E1"/>
    <w:rsid w:val="00052E56"/>
    <w:rsid w:val="00077340"/>
    <w:rsid w:val="000A1BD4"/>
    <w:rsid w:val="000E06D8"/>
    <w:rsid w:val="00101FB5"/>
    <w:rsid w:val="00151494"/>
    <w:rsid w:val="00214C59"/>
    <w:rsid w:val="00255A23"/>
    <w:rsid w:val="00310FE2"/>
    <w:rsid w:val="00375950"/>
    <w:rsid w:val="00377534"/>
    <w:rsid w:val="003A564A"/>
    <w:rsid w:val="003C795F"/>
    <w:rsid w:val="003D5CD8"/>
    <w:rsid w:val="003E5EFA"/>
    <w:rsid w:val="004B6087"/>
    <w:rsid w:val="00561D56"/>
    <w:rsid w:val="00575D0F"/>
    <w:rsid w:val="00586A8E"/>
    <w:rsid w:val="005A3BCD"/>
    <w:rsid w:val="005B2D18"/>
    <w:rsid w:val="007049BC"/>
    <w:rsid w:val="0072659B"/>
    <w:rsid w:val="00735F2E"/>
    <w:rsid w:val="0077160C"/>
    <w:rsid w:val="007A53CD"/>
    <w:rsid w:val="007B3AC2"/>
    <w:rsid w:val="007B3E5F"/>
    <w:rsid w:val="00883959"/>
    <w:rsid w:val="00894E5C"/>
    <w:rsid w:val="008A6E86"/>
    <w:rsid w:val="008D3917"/>
    <w:rsid w:val="008E573D"/>
    <w:rsid w:val="008F4CEA"/>
    <w:rsid w:val="009B55E2"/>
    <w:rsid w:val="00A167DB"/>
    <w:rsid w:val="00A9103B"/>
    <w:rsid w:val="00AA07C9"/>
    <w:rsid w:val="00AC13F5"/>
    <w:rsid w:val="00AC49F1"/>
    <w:rsid w:val="00B439DD"/>
    <w:rsid w:val="00BA793C"/>
    <w:rsid w:val="00C00C0D"/>
    <w:rsid w:val="00CD0482"/>
    <w:rsid w:val="00D8184F"/>
    <w:rsid w:val="00DB06B6"/>
    <w:rsid w:val="00DB5701"/>
    <w:rsid w:val="00DD447F"/>
    <w:rsid w:val="00DF14AF"/>
    <w:rsid w:val="00DF2111"/>
    <w:rsid w:val="00ED3B83"/>
    <w:rsid w:val="00F12724"/>
    <w:rsid w:val="00F370A6"/>
    <w:rsid w:val="00F41A1F"/>
    <w:rsid w:val="00F64256"/>
    <w:rsid w:val="00F71B8C"/>
    <w:rsid w:val="00FF4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C5528D"/>
  <w15:chartTrackingRefBased/>
  <w15:docId w15:val="{2F755F5E-91CF-40FA-B567-169050B41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7DB"/>
    <w:pPr>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AA07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A07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07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07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07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07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7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7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7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7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A07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07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07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07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07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7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7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7C9"/>
    <w:rPr>
      <w:rFonts w:eastAsiaTheme="majorEastAsia" w:cstheme="majorBidi"/>
      <w:color w:val="272727" w:themeColor="text1" w:themeTint="D8"/>
    </w:rPr>
  </w:style>
  <w:style w:type="paragraph" w:styleId="Title">
    <w:name w:val="Title"/>
    <w:basedOn w:val="Normal"/>
    <w:next w:val="Normal"/>
    <w:link w:val="TitleChar"/>
    <w:uiPriority w:val="10"/>
    <w:qFormat/>
    <w:rsid w:val="00AA07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7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7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7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7C9"/>
    <w:pPr>
      <w:spacing w:before="160"/>
      <w:jc w:val="center"/>
    </w:pPr>
    <w:rPr>
      <w:i/>
      <w:iCs/>
      <w:color w:val="404040" w:themeColor="text1" w:themeTint="BF"/>
    </w:rPr>
  </w:style>
  <w:style w:type="character" w:customStyle="1" w:styleId="QuoteChar">
    <w:name w:val="Quote Char"/>
    <w:basedOn w:val="DefaultParagraphFont"/>
    <w:link w:val="Quote"/>
    <w:uiPriority w:val="29"/>
    <w:rsid w:val="00AA07C9"/>
    <w:rPr>
      <w:i/>
      <w:iCs/>
      <w:color w:val="404040" w:themeColor="text1" w:themeTint="BF"/>
    </w:rPr>
  </w:style>
  <w:style w:type="paragraph" w:styleId="ListParagraph">
    <w:name w:val="List Paragraph"/>
    <w:basedOn w:val="Normal"/>
    <w:qFormat/>
    <w:rsid w:val="00AA07C9"/>
    <w:pPr>
      <w:ind w:left="720"/>
      <w:contextualSpacing/>
    </w:pPr>
  </w:style>
  <w:style w:type="character" w:styleId="IntenseEmphasis">
    <w:name w:val="Intense Emphasis"/>
    <w:basedOn w:val="DefaultParagraphFont"/>
    <w:uiPriority w:val="21"/>
    <w:qFormat/>
    <w:rsid w:val="00AA07C9"/>
    <w:rPr>
      <w:i/>
      <w:iCs/>
      <w:color w:val="2F5496" w:themeColor="accent1" w:themeShade="BF"/>
    </w:rPr>
  </w:style>
  <w:style w:type="paragraph" w:styleId="IntenseQuote">
    <w:name w:val="Intense Quote"/>
    <w:basedOn w:val="Normal"/>
    <w:next w:val="Normal"/>
    <w:link w:val="IntenseQuoteChar"/>
    <w:uiPriority w:val="30"/>
    <w:qFormat/>
    <w:rsid w:val="00AA07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07C9"/>
    <w:rPr>
      <w:i/>
      <w:iCs/>
      <w:color w:val="2F5496" w:themeColor="accent1" w:themeShade="BF"/>
    </w:rPr>
  </w:style>
  <w:style w:type="character" w:styleId="IntenseReference">
    <w:name w:val="Intense Reference"/>
    <w:basedOn w:val="DefaultParagraphFont"/>
    <w:uiPriority w:val="32"/>
    <w:qFormat/>
    <w:rsid w:val="00AA07C9"/>
    <w:rPr>
      <w:b/>
      <w:bCs/>
      <w:smallCaps/>
      <w:color w:val="2F5496" w:themeColor="accent1" w:themeShade="BF"/>
      <w:spacing w:val="5"/>
    </w:rPr>
  </w:style>
  <w:style w:type="paragraph" w:styleId="Header">
    <w:name w:val="header"/>
    <w:basedOn w:val="Normal"/>
    <w:link w:val="HeaderChar"/>
    <w:uiPriority w:val="99"/>
    <w:unhideWhenUsed/>
    <w:rsid w:val="00A167DB"/>
    <w:pPr>
      <w:tabs>
        <w:tab w:val="center" w:pos="4680"/>
        <w:tab w:val="right" w:pos="9360"/>
      </w:tabs>
    </w:pPr>
  </w:style>
  <w:style w:type="character" w:customStyle="1" w:styleId="HeaderChar">
    <w:name w:val="Header Char"/>
    <w:basedOn w:val="DefaultParagraphFont"/>
    <w:link w:val="Header"/>
    <w:uiPriority w:val="99"/>
    <w:rsid w:val="00A167DB"/>
  </w:style>
  <w:style w:type="paragraph" w:styleId="Footer">
    <w:name w:val="footer"/>
    <w:basedOn w:val="Normal"/>
    <w:link w:val="FooterChar"/>
    <w:uiPriority w:val="99"/>
    <w:unhideWhenUsed/>
    <w:rsid w:val="00A167DB"/>
    <w:pPr>
      <w:tabs>
        <w:tab w:val="center" w:pos="4680"/>
        <w:tab w:val="right" w:pos="9360"/>
      </w:tabs>
    </w:pPr>
  </w:style>
  <w:style w:type="character" w:customStyle="1" w:styleId="FooterChar">
    <w:name w:val="Footer Char"/>
    <w:basedOn w:val="DefaultParagraphFont"/>
    <w:link w:val="Footer"/>
    <w:uiPriority w:val="99"/>
    <w:rsid w:val="00A167DB"/>
  </w:style>
  <w:style w:type="paragraph" w:styleId="TOCHeading">
    <w:name w:val="TOC Heading"/>
    <w:basedOn w:val="Heading1"/>
    <w:next w:val="Normal"/>
    <w:uiPriority w:val="39"/>
    <w:unhideWhenUsed/>
    <w:qFormat/>
    <w:rsid w:val="003C795F"/>
    <w:pPr>
      <w:spacing w:before="240" w:after="0" w:line="259" w:lineRule="auto"/>
      <w:outlineLvl w:val="9"/>
    </w:pPr>
    <w:rPr>
      <w:sz w:val="32"/>
      <w:szCs w:val="32"/>
    </w:rPr>
  </w:style>
  <w:style w:type="paragraph" w:styleId="TOC2">
    <w:name w:val="toc 2"/>
    <w:basedOn w:val="Normal"/>
    <w:next w:val="Normal"/>
    <w:autoRedefine/>
    <w:uiPriority w:val="39"/>
    <w:unhideWhenUsed/>
    <w:rsid w:val="003C795F"/>
    <w:pPr>
      <w:spacing w:after="100" w:line="259" w:lineRule="auto"/>
      <w:ind w:left="220"/>
    </w:pPr>
    <w:rPr>
      <w:rFonts w:asciiTheme="minorHAnsi" w:eastAsiaTheme="minorEastAsia" w:hAnsiTheme="minorHAnsi" w:cs="Times New Roman"/>
    </w:rPr>
  </w:style>
  <w:style w:type="paragraph" w:styleId="TOC1">
    <w:name w:val="toc 1"/>
    <w:basedOn w:val="Normal"/>
    <w:next w:val="Normal"/>
    <w:autoRedefine/>
    <w:uiPriority w:val="39"/>
    <w:unhideWhenUsed/>
    <w:rsid w:val="003C795F"/>
    <w:pPr>
      <w:spacing w:after="100" w:line="259" w:lineRule="auto"/>
    </w:pPr>
    <w:rPr>
      <w:rFonts w:asciiTheme="minorHAnsi" w:eastAsiaTheme="minorEastAsia" w:hAnsiTheme="minorHAnsi" w:cs="Times New Roman"/>
    </w:rPr>
  </w:style>
  <w:style w:type="paragraph" w:styleId="TOC3">
    <w:name w:val="toc 3"/>
    <w:basedOn w:val="Normal"/>
    <w:next w:val="Normal"/>
    <w:autoRedefine/>
    <w:uiPriority w:val="39"/>
    <w:unhideWhenUsed/>
    <w:rsid w:val="003C795F"/>
    <w:pPr>
      <w:spacing w:after="100" w:line="259" w:lineRule="auto"/>
      <w:ind w:left="440"/>
    </w:pPr>
    <w:rPr>
      <w:rFonts w:asciiTheme="minorHAnsi" w:eastAsiaTheme="minorEastAsia" w:hAnsiTheme="minorHAnsi" w:cs="Times New Roman"/>
    </w:rPr>
  </w:style>
  <w:style w:type="character" w:styleId="Hyperlink">
    <w:name w:val="Hyperlink"/>
    <w:basedOn w:val="DefaultParagraphFont"/>
    <w:uiPriority w:val="99"/>
    <w:unhideWhenUsed/>
    <w:rsid w:val="003C79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E0914-67CE-4274-883E-2E9FCF94C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16</Pages>
  <Words>4170</Words>
  <Characters>23770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Tasdid Hasnain</dc:creator>
  <cp:keywords/>
  <dc:description/>
  <cp:lastModifiedBy>Tasdid Hasnain</cp:lastModifiedBy>
  <cp:revision>24</cp:revision>
  <cp:lastPrinted>2026-04-24T08:17:00Z</cp:lastPrinted>
  <dcterms:created xsi:type="dcterms:W3CDTF">2026-04-21T13:40:00Z</dcterms:created>
  <dcterms:modified xsi:type="dcterms:W3CDTF">2026-04-28T13:06:00Z</dcterms:modified>
</cp:coreProperties>
</file>