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CE213" w14:textId="77777777" w:rsidR="004603C4" w:rsidRDefault="00463FE5">
      <w:pPr>
        <w:spacing w:after="482" w:line="259" w:lineRule="auto"/>
        <w:ind w:left="66" w:firstLine="0"/>
        <w:jc w:val="center"/>
      </w:pPr>
      <w:r>
        <w:rPr>
          <w:b/>
          <w:sz w:val="24"/>
        </w:rPr>
        <w:t xml:space="preserve"> </w:t>
      </w:r>
    </w:p>
    <w:p w14:paraId="4A29DB0D" w14:textId="77777777" w:rsidR="004603C4" w:rsidRDefault="00463FE5">
      <w:pPr>
        <w:spacing w:after="462" w:line="259" w:lineRule="auto"/>
        <w:ind w:left="66" w:firstLine="0"/>
        <w:jc w:val="center"/>
      </w:pPr>
      <w:r>
        <w:rPr>
          <w:b/>
          <w:sz w:val="24"/>
        </w:rPr>
        <w:t xml:space="preserve"> </w:t>
      </w:r>
    </w:p>
    <w:p w14:paraId="42C56DFF" w14:textId="77777777" w:rsidR="004603C4" w:rsidRDefault="00463FE5">
      <w:pPr>
        <w:spacing w:after="482" w:line="259" w:lineRule="auto"/>
        <w:ind w:left="66" w:firstLine="0"/>
        <w:jc w:val="center"/>
      </w:pPr>
      <w:r>
        <w:rPr>
          <w:b/>
          <w:sz w:val="24"/>
        </w:rPr>
        <w:t xml:space="preserve"> </w:t>
      </w:r>
    </w:p>
    <w:p w14:paraId="191D51DB" w14:textId="774AC406" w:rsidR="00CE18E0" w:rsidRDefault="000373F4" w:rsidP="000373F4">
      <w:pPr>
        <w:spacing w:after="482" w:line="259" w:lineRule="auto"/>
        <w:ind w:left="0" w:right="2880" w:firstLine="0"/>
        <w:rPr>
          <w:sz w:val="24"/>
        </w:rPr>
      </w:pPr>
      <w:r>
        <w:rPr>
          <w:b/>
          <w:sz w:val="24"/>
        </w:rPr>
        <w:t xml:space="preserve">                                      </w:t>
      </w:r>
      <w:r w:rsidR="00463FE5">
        <w:rPr>
          <w:b/>
          <w:sz w:val="24"/>
        </w:rPr>
        <w:t xml:space="preserve">A Report on Type 1 Diabetes </w:t>
      </w:r>
      <w:r w:rsidR="00463FE5">
        <w:rPr>
          <w:sz w:val="24"/>
        </w:rPr>
        <w:t xml:space="preserve"> </w:t>
      </w:r>
    </w:p>
    <w:p w14:paraId="10658451" w14:textId="77777777" w:rsidR="00FB0F48" w:rsidRDefault="00FB0F48" w:rsidP="00224665">
      <w:pPr>
        <w:spacing w:after="482" w:line="259" w:lineRule="auto"/>
        <w:ind w:left="0" w:right="2880" w:firstLine="0"/>
        <w:rPr>
          <w:sz w:val="24"/>
        </w:rPr>
      </w:pPr>
    </w:p>
    <w:p w14:paraId="2F2F282A" w14:textId="189F99B6" w:rsidR="008E02A1" w:rsidRDefault="00F25FF2" w:rsidP="00F25FF2">
      <w:pPr>
        <w:spacing w:after="482" w:line="259" w:lineRule="auto"/>
        <w:ind w:left="0" w:right="2880" w:firstLine="0"/>
        <w:jc w:val="center"/>
        <w:rPr>
          <w:sz w:val="24"/>
        </w:rPr>
      </w:pPr>
      <w:r>
        <w:rPr>
          <w:sz w:val="24"/>
        </w:rPr>
        <w:t xml:space="preserve">                       </w:t>
      </w:r>
      <w:r w:rsidR="000373F4">
        <w:rPr>
          <w:sz w:val="24"/>
        </w:rPr>
        <w:t xml:space="preserve"> </w:t>
      </w:r>
      <w:r>
        <w:rPr>
          <w:sz w:val="24"/>
        </w:rPr>
        <w:t xml:space="preserve"> </w:t>
      </w:r>
      <w:r w:rsidR="00666246">
        <w:rPr>
          <w:sz w:val="24"/>
        </w:rPr>
        <w:t xml:space="preserve">   LCHS4008</w:t>
      </w:r>
      <w:r w:rsidR="003F5B04" w:rsidRPr="003F5B04">
        <w:rPr>
          <w:sz w:val="24"/>
        </w:rPr>
        <w:t xml:space="preserve"> Introduction to </w:t>
      </w:r>
      <w:r w:rsidR="00666246">
        <w:rPr>
          <w:sz w:val="24"/>
        </w:rPr>
        <w:t>Public Health</w:t>
      </w:r>
      <w:r w:rsidR="0084627E">
        <w:rPr>
          <w:sz w:val="24"/>
        </w:rPr>
        <w:t xml:space="preserve"> </w:t>
      </w:r>
    </w:p>
    <w:p w14:paraId="5DEE9ADD" w14:textId="44079B29" w:rsidR="003F5B04" w:rsidRPr="003F5B04" w:rsidRDefault="008E02A1" w:rsidP="003F5B04">
      <w:pPr>
        <w:spacing w:after="482" w:line="259" w:lineRule="auto"/>
        <w:ind w:left="0" w:right="2880" w:firstLine="0"/>
        <w:rPr>
          <w:sz w:val="24"/>
        </w:rPr>
      </w:pPr>
      <w:r>
        <w:rPr>
          <w:sz w:val="24"/>
        </w:rPr>
        <w:t xml:space="preserve">                       </w:t>
      </w:r>
      <w:r w:rsidR="00666246">
        <w:rPr>
          <w:sz w:val="24"/>
        </w:rPr>
        <w:t xml:space="preserve">        </w:t>
      </w:r>
      <w:r>
        <w:rPr>
          <w:sz w:val="24"/>
        </w:rPr>
        <w:t xml:space="preserve">   </w:t>
      </w:r>
      <w:r w:rsidR="003F5B04" w:rsidRPr="003F5B04">
        <w:rPr>
          <w:sz w:val="24"/>
        </w:rPr>
        <w:t>Student name:</w:t>
      </w:r>
      <w:r w:rsidR="00034338">
        <w:rPr>
          <w:sz w:val="24"/>
        </w:rPr>
        <w:t xml:space="preserve"> </w:t>
      </w:r>
      <w:proofErr w:type="spellStart"/>
      <w:r w:rsidR="003F5B04" w:rsidRPr="003F5B04">
        <w:rPr>
          <w:sz w:val="24"/>
        </w:rPr>
        <w:t>Mojisola</w:t>
      </w:r>
      <w:proofErr w:type="spellEnd"/>
      <w:r w:rsidR="003F5B04" w:rsidRPr="003F5B04">
        <w:rPr>
          <w:sz w:val="24"/>
        </w:rPr>
        <w:t xml:space="preserve"> Abatti</w:t>
      </w:r>
    </w:p>
    <w:p w14:paraId="25B7FFA1" w14:textId="3167B39D" w:rsidR="003F5B04" w:rsidRPr="003F5B04" w:rsidRDefault="00034338" w:rsidP="003F5B04">
      <w:pPr>
        <w:spacing w:after="482" w:line="259" w:lineRule="auto"/>
        <w:ind w:left="0" w:right="2880" w:firstLine="0"/>
        <w:rPr>
          <w:sz w:val="24"/>
        </w:rPr>
      </w:pPr>
      <w:r>
        <w:rPr>
          <w:sz w:val="24"/>
        </w:rPr>
        <w:t xml:space="preserve">                    </w:t>
      </w:r>
      <w:r w:rsidR="00666246">
        <w:rPr>
          <w:sz w:val="24"/>
        </w:rPr>
        <w:t xml:space="preserve">           </w:t>
      </w:r>
      <w:r>
        <w:rPr>
          <w:sz w:val="24"/>
        </w:rPr>
        <w:t xml:space="preserve">    </w:t>
      </w:r>
      <w:r w:rsidR="003F5B04" w:rsidRPr="003F5B04">
        <w:rPr>
          <w:sz w:val="24"/>
        </w:rPr>
        <w:t>Student ID number:</w:t>
      </w:r>
      <w:r>
        <w:rPr>
          <w:sz w:val="24"/>
        </w:rPr>
        <w:t xml:space="preserve"> </w:t>
      </w:r>
      <w:r w:rsidR="003F5B04" w:rsidRPr="003F5B04">
        <w:rPr>
          <w:sz w:val="24"/>
        </w:rPr>
        <w:t>2515877</w:t>
      </w:r>
    </w:p>
    <w:p w14:paraId="1ED69A2F" w14:textId="4CB2E5D7" w:rsidR="003F5B04" w:rsidRPr="003F5B04" w:rsidRDefault="00034338" w:rsidP="00F25FF2">
      <w:pPr>
        <w:spacing w:after="482" w:line="259" w:lineRule="auto"/>
        <w:ind w:left="720" w:right="2880" w:firstLine="0"/>
        <w:rPr>
          <w:sz w:val="24"/>
        </w:rPr>
      </w:pPr>
      <w:r>
        <w:rPr>
          <w:sz w:val="24"/>
        </w:rPr>
        <w:t xml:space="preserve">                         </w:t>
      </w:r>
      <w:r w:rsidR="003F5B04" w:rsidRPr="003F5B04">
        <w:rPr>
          <w:sz w:val="24"/>
        </w:rPr>
        <w:t>Lecturer:</w:t>
      </w:r>
      <w:r w:rsidR="002D41F4">
        <w:rPr>
          <w:sz w:val="24"/>
        </w:rPr>
        <w:t xml:space="preserve"> Muhammad </w:t>
      </w:r>
      <w:proofErr w:type="spellStart"/>
      <w:r w:rsidR="002D41F4">
        <w:rPr>
          <w:sz w:val="24"/>
        </w:rPr>
        <w:t>Aliyu</w:t>
      </w:r>
      <w:proofErr w:type="spellEnd"/>
      <w:r w:rsidR="002D41F4">
        <w:rPr>
          <w:sz w:val="24"/>
        </w:rPr>
        <w:t xml:space="preserve"> </w:t>
      </w:r>
    </w:p>
    <w:p w14:paraId="22550E8E" w14:textId="3E2721D7" w:rsidR="003F5B04" w:rsidRDefault="003F5B04" w:rsidP="00224665">
      <w:pPr>
        <w:spacing w:after="482" w:line="259" w:lineRule="auto"/>
        <w:ind w:left="0" w:right="2880" w:firstLine="0"/>
        <w:rPr>
          <w:sz w:val="24"/>
        </w:rPr>
      </w:pPr>
      <w:r w:rsidRPr="003F5B04">
        <w:rPr>
          <w:sz w:val="24"/>
        </w:rPr>
        <w:t xml:space="preserve"> </w:t>
      </w:r>
      <w:r w:rsidR="00666246">
        <w:rPr>
          <w:sz w:val="24"/>
        </w:rPr>
        <w:t xml:space="preserve">        </w:t>
      </w:r>
    </w:p>
    <w:p w14:paraId="0F7C820B" w14:textId="726DA85C" w:rsidR="004603C4" w:rsidRDefault="00463FE5" w:rsidP="00FB0F48">
      <w:pPr>
        <w:spacing w:after="482" w:line="259" w:lineRule="auto"/>
        <w:ind w:left="0" w:right="2880" w:firstLine="0"/>
        <w:jc w:val="right"/>
      </w:pPr>
      <w:r>
        <w:br w:type="page"/>
      </w:r>
    </w:p>
    <w:sdt>
      <w:sdtPr>
        <w:id w:val="957600548"/>
        <w:docPartObj>
          <w:docPartGallery w:val="Table of Contents"/>
        </w:docPartObj>
      </w:sdtPr>
      <w:sdtEndPr/>
      <w:sdtContent>
        <w:p w14:paraId="3695974B" w14:textId="77777777" w:rsidR="004603C4" w:rsidRDefault="00463FE5">
          <w:pPr>
            <w:spacing w:after="262" w:line="259" w:lineRule="auto"/>
            <w:ind w:left="0" w:right="1" w:firstLine="0"/>
            <w:jc w:val="center"/>
          </w:pPr>
          <w:r>
            <w:rPr>
              <w:b/>
              <w:sz w:val="24"/>
            </w:rPr>
            <w:t xml:space="preserve">Table of Contents </w:t>
          </w:r>
        </w:p>
        <w:p w14:paraId="23D9F409" w14:textId="77777777" w:rsidR="004603C4" w:rsidRDefault="00463FE5">
          <w:pPr>
            <w:pStyle w:val="TOC1"/>
            <w:tabs>
              <w:tab w:val="right" w:leader="dot" w:pos="9027"/>
            </w:tabs>
          </w:pPr>
          <w:r>
            <w:fldChar w:fldCharType="begin"/>
          </w:r>
          <w:r>
            <w:instrText xml:space="preserve"> TOC \o "1-1" \h \z \u </w:instrText>
          </w:r>
          <w:r>
            <w:fldChar w:fldCharType="separate"/>
          </w:r>
          <w:hyperlink w:anchor="_Toc5308">
            <w:r>
              <w:t>Introduction</w:t>
            </w:r>
            <w:r>
              <w:tab/>
            </w:r>
            <w:r>
              <w:fldChar w:fldCharType="begin"/>
            </w:r>
            <w:r>
              <w:instrText>PAGEREF _Toc5308 \h</w:instrText>
            </w:r>
            <w:r>
              <w:fldChar w:fldCharType="separate"/>
            </w:r>
            <w:r>
              <w:t xml:space="preserve">3 </w:t>
            </w:r>
            <w:r>
              <w:fldChar w:fldCharType="end"/>
            </w:r>
          </w:hyperlink>
        </w:p>
        <w:p w14:paraId="7B73C44C" w14:textId="77777777" w:rsidR="004603C4" w:rsidRDefault="00463FE5">
          <w:pPr>
            <w:pStyle w:val="TOC1"/>
            <w:tabs>
              <w:tab w:val="right" w:leader="dot" w:pos="9027"/>
            </w:tabs>
          </w:pPr>
          <w:hyperlink w:anchor="_Toc5309">
            <w:r>
              <w:t>Approaches Used to Measure and Monitor the Disease</w:t>
            </w:r>
            <w:r>
              <w:tab/>
            </w:r>
            <w:r>
              <w:fldChar w:fldCharType="begin"/>
            </w:r>
            <w:r>
              <w:instrText>PAGEREF _Toc5309 \h</w:instrText>
            </w:r>
            <w:r>
              <w:fldChar w:fldCharType="separate"/>
            </w:r>
            <w:r>
              <w:t xml:space="preserve">3 </w:t>
            </w:r>
            <w:r>
              <w:fldChar w:fldCharType="end"/>
            </w:r>
          </w:hyperlink>
        </w:p>
        <w:p w14:paraId="233E9F4E" w14:textId="77777777" w:rsidR="004603C4" w:rsidRDefault="00463FE5">
          <w:pPr>
            <w:pStyle w:val="TOC1"/>
            <w:tabs>
              <w:tab w:val="right" w:leader="dot" w:pos="9027"/>
            </w:tabs>
          </w:pPr>
          <w:hyperlink w:anchor="_Toc5310">
            <w:r>
              <w:t>How the Disease is Controlled</w:t>
            </w:r>
            <w:r>
              <w:tab/>
            </w:r>
            <w:r>
              <w:fldChar w:fldCharType="begin"/>
            </w:r>
            <w:r>
              <w:instrText>PAGEREF _Toc5310 \h</w:instrText>
            </w:r>
            <w:r>
              <w:fldChar w:fldCharType="separate"/>
            </w:r>
            <w:r>
              <w:t xml:space="preserve">4 </w:t>
            </w:r>
            <w:r>
              <w:fldChar w:fldCharType="end"/>
            </w:r>
          </w:hyperlink>
        </w:p>
        <w:p w14:paraId="34724B61" w14:textId="77777777" w:rsidR="004603C4" w:rsidRDefault="00463FE5">
          <w:pPr>
            <w:pStyle w:val="TOC1"/>
            <w:tabs>
              <w:tab w:val="right" w:leader="dot" w:pos="9027"/>
            </w:tabs>
          </w:pPr>
          <w:hyperlink w:anchor="_Toc5311">
            <w:r>
              <w:t>Consequences of the Illness for People in the Community</w:t>
            </w:r>
            <w:r>
              <w:tab/>
            </w:r>
            <w:r>
              <w:fldChar w:fldCharType="begin"/>
            </w:r>
            <w:r>
              <w:instrText>PAGEREF _Toc5311 \h</w:instrText>
            </w:r>
            <w:r>
              <w:fldChar w:fldCharType="separate"/>
            </w:r>
            <w:r>
              <w:t xml:space="preserve">4 </w:t>
            </w:r>
            <w:r>
              <w:fldChar w:fldCharType="end"/>
            </w:r>
          </w:hyperlink>
        </w:p>
        <w:p w14:paraId="1FC28C20" w14:textId="77777777" w:rsidR="004603C4" w:rsidRDefault="00463FE5">
          <w:pPr>
            <w:pStyle w:val="TOC1"/>
            <w:tabs>
              <w:tab w:val="right" w:leader="dot" w:pos="9027"/>
            </w:tabs>
          </w:pPr>
          <w:hyperlink w:anchor="_Toc5312">
            <w:r>
              <w:t>Health and Social Care Support Services Required</w:t>
            </w:r>
            <w:r>
              <w:tab/>
            </w:r>
            <w:r>
              <w:fldChar w:fldCharType="begin"/>
            </w:r>
            <w:r>
              <w:instrText>PAGEREF _Toc5312 \h</w:instrText>
            </w:r>
            <w:r>
              <w:fldChar w:fldCharType="separate"/>
            </w:r>
            <w:r>
              <w:t xml:space="preserve">5 </w:t>
            </w:r>
            <w:r>
              <w:fldChar w:fldCharType="end"/>
            </w:r>
          </w:hyperlink>
        </w:p>
        <w:p w14:paraId="058670D5" w14:textId="77777777" w:rsidR="004603C4" w:rsidRDefault="00463FE5">
          <w:pPr>
            <w:pStyle w:val="TOC1"/>
            <w:tabs>
              <w:tab w:val="right" w:leader="dot" w:pos="9027"/>
            </w:tabs>
          </w:pPr>
          <w:hyperlink w:anchor="_Toc5313">
            <w:r>
              <w:t>Conclusion</w:t>
            </w:r>
            <w:r>
              <w:tab/>
            </w:r>
            <w:r>
              <w:fldChar w:fldCharType="begin"/>
            </w:r>
            <w:r>
              <w:instrText>PAGEREF _Toc5313 \h</w:instrText>
            </w:r>
            <w:r>
              <w:fldChar w:fldCharType="separate"/>
            </w:r>
            <w:r>
              <w:t xml:space="preserve">6 </w:t>
            </w:r>
            <w:r>
              <w:fldChar w:fldCharType="end"/>
            </w:r>
          </w:hyperlink>
        </w:p>
        <w:p w14:paraId="11A3609E" w14:textId="77777777" w:rsidR="004603C4" w:rsidRDefault="00463FE5">
          <w:pPr>
            <w:pStyle w:val="TOC1"/>
            <w:tabs>
              <w:tab w:val="right" w:leader="dot" w:pos="9027"/>
            </w:tabs>
          </w:pPr>
          <w:hyperlink w:anchor="_Toc5314">
            <w:r>
              <w:t>Reference</w:t>
            </w:r>
            <w:r>
              <w:tab/>
            </w:r>
            <w:r>
              <w:fldChar w:fldCharType="begin"/>
            </w:r>
            <w:r>
              <w:instrText>PAGEREF _Toc5314 \h</w:instrText>
            </w:r>
            <w:r>
              <w:fldChar w:fldCharType="separate"/>
            </w:r>
            <w:r>
              <w:t xml:space="preserve">7 </w:t>
            </w:r>
            <w:r>
              <w:fldChar w:fldCharType="end"/>
            </w:r>
          </w:hyperlink>
        </w:p>
        <w:p w14:paraId="43BE3A95" w14:textId="77777777" w:rsidR="004603C4" w:rsidRDefault="00463FE5">
          <w:r>
            <w:fldChar w:fldCharType="end"/>
          </w:r>
        </w:p>
      </w:sdtContent>
    </w:sdt>
    <w:p w14:paraId="73DA2DE8" w14:textId="77777777" w:rsidR="004603C4" w:rsidRDefault="00463FE5">
      <w:pPr>
        <w:spacing w:after="242" w:line="259" w:lineRule="auto"/>
        <w:ind w:left="0" w:firstLine="0"/>
        <w:jc w:val="left"/>
      </w:pPr>
      <w:r>
        <w:rPr>
          <w:sz w:val="24"/>
        </w:rPr>
        <w:t xml:space="preserve"> </w:t>
      </w:r>
    </w:p>
    <w:p w14:paraId="14201DF0" w14:textId="77777777" w:rsidR="004603C4" w:rsidRDefault="00463FE5">
      <w:pPr>
        <w:spacing w:after="0" w:line="259" w:lineRule="auto"/>
        <w:ind w:left="0" w:firstLine="0"/>
        <w:jc w:val="left"/>
      </w:pPr>
      <w:r>
        <w:rPr>
          <w:sz w:val="24"/>
        </w:rPr>
        <w:t xml:space="preserve"> </w:t>
      </w:r>
      <w:r>
        <w:rPr>
          <w:sz w:val="24"/>
        </w:rPr>
        <w:tab/>
      </w:r>
      <w:r>
        <w:rPr>
          <w:b/>
          <w:sz w:val="24"/>
        </w:rPr>
        <w:t xml:space="preserve"> </w:t>
      </w:r>
      <w:r>
        <w:br w:type="page"/>
      </w:r>
    </w:p>
    <w:p w14:paraId="2F292F05" w14:textId="77777777" w:rsidR="004603C4" w:rsidRDefault="00463FE5">
      <w:pPr>
        <w:pStyle w:val="Heading1"/>
        <w:ind w:left="-5" w:right="0"/>
      </w:pPr>
      <w:bookmarkStart w:id="0" w:name="_Toc5308"/>
      <w:r>
        <w:lastRenderedPageBreak/>
        <w:t xml:space="preserve">Introduction </w:t>
      </w:r>
      <w:bookmarkEnd w:id="0"/>
    </w:p>
    <w:p w14:paraId="59FD9A72" w14:textId="77777777" w:rsidR="004603C4" w:rsidRDefault="00463FE5">
      <w:pPr>
        <w:spacing w:after="242"/>
        <w:ind w:left="-5"/>
      </w:pPr>
      <w:r>
        <w:t xml:space="preserve">Type 1 diabetes is an autoimmune condition where the pancreas' insulin-producing beta cells are destroyed and insulin is no longer made, meaning that people with the condition will need to take insulin injections or infusions for life (National Institute for Health and Care Excellence, 2022). Onset is often rapid. The four </w:t>
      </w:r>
      <w:proofErr w:type="spellStart"/>
      <w:r>
        <w:t>Ts</w:t>
      </w:r>
      <w:proofErr w:type="spellEnd"/>
      <w:r>
        <w:t xml:space="preserve"> are used to promote the warning signs that may occur in the United Kingdom, which include toilet, thirst, tiredness and thinner, often with blurred vision and if diagnosis is delayed, the medical emergency of diabetic ketoacidosis (Diabetes UK, 2025). It is a significant burden worldwide. In 2025, 9.5 million people were living with the condition, 513,000 new cases were diagnosed, and 174,000 people died prematurely, and this is projected to increase to 14.7 million by 2040 (Ogle et al., 2025). In the United Kingdom, there are 4.7 million people with a diagnosis of diabetes, with some 376,000 people having type 1 (Diabetes UK, 2025). </w:t>
      </w:r>
    </w:p>
    <w:p w14:paraId="711AFA20" w14:textId="77777777" w:rsidR="004603C4" w:rsidRDefault="00463FE5">
      <w:pPr>
        <w:pStyle w:val="Heading1"/>
        <w:ind w:left="-5" w:right="0"/>
      </w:pPr>
      <w:bookmarkStart w:id="1" w:name="_Toc5309"/>
      <w:r>
        <w:t xml:space="preserve">Approaches Used to Measure and Monitor the Disease </w:t>
      </w:r>
      <w:bookmarkEnd w:id="1"/>
    </w:p>
    <w:p w14:paraId="32FAA15A" w14:textId="77777777" w:rsidR="004603C4" w:rsidRDefault="00463FE5">
      <w:pPr>
        <w:ind w:left="-5"/>
      </w:pPr>
      <w:r>
        <w:t xml:space="preserve">Measurement can be either a population surveillance or individual clinical monitoring and each addresses a different question. Surveillance is used to determine the amount of disease and its location, while clinical monitoring is used to determine whether an individual is being managed well. The main tool for surveillance in the United Kingdom is compulsory national clinical audit. The National Diabetes Audit gathers information from GP practices and speciality services in England and Wales about processes of care and about targets for treatment, enabling the quality of care for people with diabetes to be benchmarked between providers (NHS England, 2025). There are 35,801 children and young people receiving specialist diabetes care in England, Wales and Jersey in 2024/25, which is a 29 per cent increase over a decade (Royal College of Paediatrics and Child Health, 2026). This type of audit is effective because it is close to full coverage for specialist services, but it only counts those that are already in the system, meaning that undiagnosed or disengaged people are not included. </w:t>
      </w:r>
    </w:p>
    <w:p w14:paraId="540CB99C" w14:textId="77777777" w:rsidR="004603C4" w:rsidRDefault="00463FE5">
      <w:pPr>
        <w:spacing w:after="242"/>
        <w:ind w:left="-5"/>
      </w:pPr>
      <w:r>
        <w:t xml:space="preserve">In countries where there are no national registries, incidence and prevalence are modelled. The International Diabetes Federation (IDF) T1D Index is a combination of registry data, mortality estimates and demographic modelling to produce global figures (Ogle et al., 2025; International Diabetes Federation, 2025). This is pragmatic, but estimates for countries with no registries are fraught with uncertainty and global comparisons should be treated with caution. Traditionally, monitoring at the individual level has been based on </w:t>
      </w:r>
      <w:proofErr w:type="spellStart"/>
      <w:r>
        <w:t>glycated</w:t>
      </w:r>
      <w:proofErr w:type="spellEnd"/>
      <w:r>
        <w:t xml:space="preserve"> haemoglobin which represents an average glucose level over a period of about three months. The disadvantage of this is that the variability is concealed and a person with the same value may experience very different hypoglycaemia. Continuous glucose monitoring has been </w:t>
      </w:r>
      <w:r>
        <w:lastRenderedPageBreak/>
        <w:t xml:space="preserve">developed to overcome this and provides a report on time in range and is now commonplace, with 79 per cent of children with type 1 diabetes using a real time monitor in 2023/24 (Royal College of Paediatrics and Child Health, 2025). A third and emerging approach is through screening, as autoantibodies against the islets can detect the disease even before its onset (Quinn et al., 2026). </w:t>
      </w:r>
    </w:p>
    <w:p w14:paraId="07396D31" w14:textId="77777777" w:rsidR="004603C4" w:rsidRDefault="00463FE5">
      <w:pPr>
        <w:pStyle w:val="Heading1"/>
        <w:ind w:left="-5" w:right="0"/>
      </w:pPr>
      <w:bookmarkStart w:id="2" w:name="_Toc5310"/>
      <w:r>
        <w:t xml:space="preserve">How the Disease is Controlled </w:t>
      </w:r>
      <w:bookmarkEnd w:id="2"/>
    </w:p>
    <w:p w14:paraId="411EAA45" w14:textId="77777777" w:rsidR="004603C4" w:rsidRDefault="00463FE5">
      <w:pPr>
        <w:ind w:left="-5"/>
      </w:pPr>
      <w:r>
        <w:t xml:space="preserve">Type 1 diabetes cannot be prevented currently, so control is about minimising acute and </w:t>
      </w:r>
      <w:proofErr w:type="spellStart"/>
      <w:r>
        <w:t>longterm</w:t>
      </w:r>
      <w:proofErr w:type="spellEnd"/>
      <w:r>
        <w:t xml:space="preserve"> complications, not incidence. The foundation is insulin replacement that fits with carbohydrate intake, with structured education to enable the person to self-manage safely as the great majority of decisions are made by the person not a clinician (National Institute for Health and Care Excellence, 2022). </w:t>
      </w:r>
    </w:p>
    <w:p w14:paraId="5076FF1E" w14:textId="77777777" w:rsidR="004603C4" w:rsidRDefault="00463FE5">
      <w:pPr>
        <w:ind w:left="-5"/>
      </w:pPr>
      <w:r>
        <w:t xml:space="preserve">Continuous glucose monitoring is recommended for all adults with type 1 diabetes, and hybrid closed loop systems (which connect a sensor to an insulin pump via an algorithm) are recommended for adults with glucose levels above target or who experience disabling hypoglycaemia despite optimal management, and for all children and young people (National Institute for Health and Care Excellence, 2022, 2023). NHS England has agreed a five-year rollout, where they will fund 75 per cent of the incremental cost and integrated care boards will be required to show equitable access (NHS England, 2024). This has a measurable impact with the national median </w:t>
      </w:r>
      <w:proofErr w:type="spellStart"/>
      <w:r>
        <w:t>glycated</w:t>
      </w:r>
      <w:proofErr w:type="spellEnd"/>
      <w:r>
        <w:t xml:space="preserve"> haemoglobin (HbA1c) for children dropping to its lowest level in 2024/25 (Royal College of Paediatrics and Child Health, 2026). </w:t>
      </w:r>
    </w:p>
    <w:p w14:paraId="00260AE1" w14:textId="77777777" w:rsidR="004603C4" w:rsidRDefault="00463FE5">
      <w:pPr>
        <w:spacing w:after="242"/>
        <w:ind w:left="-5"/>
      </w:pPr>
      <w:r>
        <w:t xml:space="preserve">Early detection is also a key to control. In 2024/25, 22 per cent of children presented in DKA at diagnosis (Royal College of Paediatrics and Child Health, 2026) and there were, internationally 17.2 per cent of deaths resulting from type 1 diabetes that were not diagnosed shortly after clinical onset (Ogle et al., 2025). The ELSA study found 160 children in the United Kingdom with two or more autoantibodies, a sign of early-stage disease, among 17,931 children screened, and showed that population screening is feasible and acceptable (Quinn et al., 2026). Screening thus provides a possible pathway to a reduced number of emergency presentations, but introduces the ethical challenge of communicating a diagnosis to families that they are not equipped to prevent. </w:t>
      </w:r>
    </w:p>
    <w:p w14:paraId="4E7BF935" w14:textId="77777777" w:rsidR="004603C4" w:rsidRDefault="00463FE5">
      <w:pPr>
        <w:pStyle w:val="Heading1"/>
        <w:ind w:left="-5" w:right="0"/>
      </w:pPr>
      <w:bookmarkStart w:id="3" w:name="_Toc5311"/>
      <w:r>
        <w:t xml:space="preserve">Consequences of the Illness for People in the Community </w:t>
      </w:r>
      <w:bookmarkEnd w:id="3"/>
    </w:p>
    <w:p w14:paraId="05144B30" w14:textId="77777777" w:rsidR="004603C4" w:rsidRDefault="00463FE5">
      <w:pPr>
        <w:ind w:left="-5"/>
      </w:pPr>
      <w:r>
        <w:t xml:space="preserve">The consequences extend well beyond blood glucose. Diabetic ketoacidosis and severe hypoglycaemia are life threatening and result in emergency admissions, and over time retinopathy, nephropathy, neuropathy and cardiovascular disease impair function and shorten </w:t>
      </w:r>
      <w:r>
        <w:lastRenderedPageBreak/>
        <w:t>life. Complications are the main drivers of the economic burden, with diabetes costing the NHS an estimated £10.7 billion a year, 60 per cent of which is due to complications (Diabetes UK, 2025). The psychological burden should also be taken into account. In a study of 832 adults with type 1 diabetes, 38.3 per cent participants had clinically significant diabetes distress and 27.8 per cent had depression symptoms (</w:t>
      </w:r>
      <w:proofErr w:type="spellStart"/>
      <w:r>
        <w:t>AlOzairi</w:t>
      </w:r>
      <w:proofErr w:type="spellEnd"/>
      <w:r>
        <w:t xml:space="preserve"> et al., 2024). This is important both ethically and practically, since distress decreases participation in self-management, which in turn decreases the physical outcomes that are measured for services. </w:t>
      </w:r>
    </w:p>
    <w:p w14:paraId="769525A2" w14:textId="77777777" w:rsidR="004603C4" w:rsidRDefault="00463FE5">
      <w:pPr>
        <w:spacing w:after="242"/>
        <w:ind w:left="-5"/>
      </w:pPr>
      <w:r>
        <w:t xml:space="preserve">Consequences are not equally shared and this is where community level analysis is necessary. The mean </w:t>
      </w:r>
      <w:proofErr w:type="spellStart"/>
      <w:r>
        <w:t>glycated</w:t>
      </w:r>
      <w:proofErr w:type="spellEnd"/>
      <w:r>
        <w:t xml:space="preserve"> haemoglobin (HbA1C) for children in the most deprived quintile in England and Wales was 66.6 </w:t>
      </w:r>
      <w:proofErr w:type="spellStart"/>
      <w:r>
        <w:t>mmol</w:t>
      </w:r>
      <w:proofErr w:type="spellEnd"/>
      <w:r>
        <w:t>/</w:t>
      </w:r>
      <w:proofErr w:type="spellStart"/>
      <w:r>
        <w:t>mol</w:t>
      </w:r>
      <w:proofErr w:type="spellEnd"/>
      <w:r>
        <w:t xml:space="preserve">, compared with 60.0 </w:t>
      </w:r>
      <w:proofErr w:type="spellStart"/>
      <w:r>
        <w:t>mmol</w:t>
      </w:r>
      <w:proofErr w:type="spellEnd"/>
      <w:r>
        <w:t>/</w:t>
      </w:r>
      <w:proofErr w:type="spellStart"/>
      <w:r>
        <w:t>mol</w:t>
      </w:r>
      <w:proofErr w:type="spellEnd"/>
      <w:r>
        <w:t xml:space="preserve"> in the least deprived quintile, and the mean for Black children was 70.8 </w:t>
      </w:r>
      <w:proofErr w:type="spellStart"/>
      <w:r>
        <w:t>mmol</w:t>
      </w:r>
      <w:proofErr w:type="spellEnd"/>
      <w:r>
        <w:t>/</w:t>
      </w:r>
      <w:proofErr w:type="spellStart"/>
      <w:r>
        <w:t>mol</w:t>
      </w:r>
      <w:proofErr w:type="spellEnd"/>
      <w:r>
        <w:t xml:space="preserve">, compared with 63.1 </w:t>
      </w:r>
      <w:proofErr w:type="spellStart"/>
      <w:r>
        <w:t>mmol</w:t>
      </w:r>
      <w:proofErr w:type="spellEnd"/>
      <w:r>
        <w:t>/</w:t>
      </w:r>
      <w:proofErr w:type="spellStart"/>
      <w:r>
        <w:t>mol</w:t>
      </w:r>
      <w:proofErr w:type="spellEnd"/>
      <w:r>
        <w:t xml:space="preserve"> for White children, with lower uptake of glucose monitoring technology in the same groups (Royal College of Paediatrics and Child Health, 2025). These gaps have been slightly reduced in 2024/25 but remain (Royal College of Paediatrics and Child Health, 2026). It also impacts on everyday life, including school, work, driving, family relationships, and carers of children with type 1 diabetes have a constant supervisory burden. Inequality is not just local, it is also global, as in 2025, a large proportion of the 174,000 premature deaths were due to late diagnosis or interrupted access to insulin, and survival is heavily dependent on where a person lives (Ogle et al., 2025). </w:t>
      </w:r>
    </w:p>
    <w:p w14:paraId="52D1B6B4" w14:textId="77777777" w:rsidR="004603C4" w:rsidRDefault="00463FE5">
      <w:pPr>
        <w:pStyle w:val="Heading1"/>
        <w:ind w:left="-5" w:right="0"/>
      </w:pPr>
      <w:bookmarkStart w:id="4" w:name="_Toc5312"/>
      <w:r>
        <w:t xml:space="preserve">Health and Social Care Support Services Required </w:t>
      </w:r>
      <w:bookmarkEnd w:id="4"/>
    </w:p>
    <w:p w14:paraId="525B0529" w14:textId="77777777" w:rsidR="004603C4" w:rsidRDefault="00463FE5">
      <w:pPr>
        <w:ind w:left="-5"/>
      </w:pPr>
      <w:r>
        <w:t xml:space="preserve">A coordinated multidisciplinary team is required to meet these needs, not any one service. The specialist diabetes team comprising of a consultant, diabetes specialist nurses, dietitian and psychologist) adjust insulin, offer structured education and technology support, and the primary care team conducts the annual review and the recall systems that keep people engaged with the services. The surveillance arm of the program involves retinal screening, podiatry and renal monitoring for early detection of complications. </w:t>
      </w:r>
    </w:p>
    <w:p w14:paraId="08E1D3B5" w14:textId="77777777" w:rsidR="004603C4" w:rsidRDefault="00463FE5">
      <w:pPr>
        <w:ind w:left="-5"/>
      </w:pPr>
      <w:r>
        <w:t xml:space="preserve">Several practical steps follow for professionals. First, psychological provision should be integrated into diabetes teams and not referred out, as distress is common as described above. Second, services should audit technology uptake by ethnicity and deprivation and proactively offer, as passive offers will replicate the inequalities found in national audit. Thirdly, schools are required to have individual healthcare plans and trained staff, as set out in section 100 of the Children and Families Act 2014, and employers are required to make reasonable adjustments under the Equality Act 2010. Fourth, transition to adult services should be planned for and not administrative as early adult disengagement is a known risk factor. Lastly, primary </w:t>
      </w:r>
      <w:r>
        <w:lastRenderedPageBreak/>
        <w:t xml:space="preserve">care and urgent care providers must be continually reminded of the four </w:t>
      </w:r>
      <w:proofErr w:type="spellStart"/>
      <w:r>
        <w:t>Ts</w:t>
      </w:r>
      <w:proofErr w:type="spellEnd"/>
      <w:r>
        <w:t xml:space="preserve">, as over 20% of children continue to arrive in ketoacidosis and a quick capillary glucose test for any child with these symptoms is a cheap and easy way to prevent a preventable emergency. </w:t>
      </w:r>
    </w:p>
    <w:p w14:paraId="5A838A1D" w14:textId="77777777" w:rsidR="004603C4" w:rsidRDefault="00463FE5">
      <w:pPr>
        <w:spacing w:after="242"/>
        <w:ind w:left="-5"/>
      </w:pPr>
      <w:r>
        <w:t xml:space="preserve">Social care and community services are important for older people, where hypoglycaemia is a major risk of falling and where there may be domiciliary carers who administer insulin. Voluntary sector peer support complements clinical support, because it can reach where clinical appointments cannot, addressing the isolation that people often feel, and training domiciliary staff in insulin administration and hypoglycaemia recognition enables people to stay safely at home. </w:t>
      </w:r>
    </w:p>
    <w:p w14:paraId="03565FB1" w14:textId="77777777" w:rsidR="004603C4" w:rsidRDefault="00463FE5">
      <w:pPr>
        <w:pStyle w:val="Heading1"/>
        <w:ind w:left="-5" w:right="0"/>
      </w:pPr>
      <w:bookmarkStart w:id="5" w:name="_Toc5313"/>
      <w:r>
        <w:t xml:space="preserve">Conclusion </w:t>
      </w:r>
      <w:bookmarkEnd w:id="5"/>
    </w:p>
    <w:p w14:paraId="23A1C505" w14:textId="77777777" w:rsidR="004603C4" w:rsidRDefault="00463FE5">
      <w:pPr>
        <w:ind w:left="-5"/>
      </w:pPr>
      <w:r>
        <w:t xml:space="preserve">Type 1 diabetes is a chronic autoimmune disease that is estimated to affect 9.5 million people globally and approximately 376,000 people in the United Kingdom, and the number of people with the disease is increasing. This report has demonstrated that measurement can be done at two levels: national audit and modelling describe populations, while </w:t>
      </w:r>
      <w:proofErr w:type="spellStart"/>
      <w:r>
        <w:t>glycated</w:t>
      </w:r>
      <w:proofErr w:type="spellEnd"/>
      <w:r>
        <w:t xml:space="preserve"> haemoglobin and continuous glucose monitoring describe individuals, and that each has limitations that should dampen the confidence in the numbers. Today, control is achieved through insulin, structured education and rapidly evolving technology, and the median </w:t>
      </w:r>
      <w:proofErr w:type="spellStart"/>
      <w:r>
        <w:t>glycated</w:t>
      </w:r>
      <w:proofErr w:type="spellEnd"/>
      <w:r>
        <w:t xml:space="preserve"> haemoglobin levels in children are declining. However, the outcomes are socially patterned, with deprivation and ethnicity being strongly associated with poorer outcomes. The focus of services should therefore not be simply on further uptake of technology, but on the intentional addressing of unequal access to technology, for a treatment that benefits only those who are already benefiting from good treatment will further widen the very gaps that national audit is designed to reveal. </w:t>
      </w:r>
    </w:p>
    <w:p w14:paraId="101021BE" w14:textId="77777777" w:rsidR="004603C4" w:rsidRDefault="00463FE5">
      <w:pPr>
        <w:spacing w:after="0" w:line="259" w:lineRule="auto"/>
        <w:ind w:left="0" w:firstLine="0"/>
        <w:jc w:val="left"/>
      </w:pPr>
      <w:r>
        <w:t xml:space="preserve"> </w:t>
      </w:r>
      <w:r>
        <w:tab/>
      </w:r>
      <w:r>
        <w:rPr>
          <w:b/>
          <w:sz w:val="24"/>
        </w:rPr>
        <w:t xml:space="preserve"> </w:t>
      </w:r>
    </w:p>
    <w:p w14:paraId="55EB3018" w14:textId="77777777" w:rsidR="004603C4" w:rsidRDefault="00463FE5">
      <w:pPr>
        <w:pStyle w:val="Heading1"/>
        <w:ind w:left="-5" w:right="0"/>
      </w:pPr>
      <w:bookmarkStart w:id="6" w:name="_Toc5314"/>
      <w:r>
        <w:t xml:space="preserve">Reference </w:t>
      </w:r>
      <w:bookmarkEnd w:id="6"/>
    </w:p>
    <w:p w14:paraId="3AA0D9CB" w14:textId="77777777" w:rsidR="004603C4" w:rsidRDefault="00463FE5">
      <w:pPr>
        <w:ind w:left="-5"/>
      </w:pPr>
      <w:proofErr w:type="spellStart"/>
      <w:r>
        <w:t>AlOzairi</w:t>
      </w:r>
      <w:proofErr w:type="spellEnd"/>
      <w:r>
        <w:t xml:space="preserve">, A., </w:t>
      </w:r>
      <w:proofErr w:type="spellStart"/>
      <w:r>
        <w:t>Irshad</w:t>
      </w:r>
      <w:proofErr w:type="spellEnd"/>
      <w:r>
        <w:t xml:space="preserve">, M., </w:t>
      </w:r>
      <w:proofErr w:type="spellStart"/>
      <w:r>
        <w:t>AlKandari</w:t>
      </w:r>
      <w:proofErr w:type="spellEnd"/>
      <w:r>
        <w:t xml:space="preserve">, J., </w:t>
      </w:r>
      <w:proofErr w:type="spellStart"/>
      <w:r>
        <w:t>AlSaraf</w:t>
      </w:r>
      <w:proofErr w:type="spellEnd"/>
      <w:r>
        <w:t>, H. and Al-</w:t>
      </w:r>
      <w:proofErr w:type="spellStart"/>
      <w:r>
        <w:t>Ozairi</w:t>
      </w:r>
      <w:proofErr w:type="spellEnd"/>
      <w:r>
        <w:t xml:space="preserve">, E. (2024) 'Prevalence and predictors of diabetes distress and depression in people with type 1 diabetes', </w:t>
      </w:r>
      <w:r>
        <w:rPr>
          <w:i/>
        </w:rPr>
        <w:t>Frontiers in Psychiatry</w:t>
      </w:r>
      <w:r>
        <w:t xml:space="preserve">, 15, 1367876. </w:t>
      </w:r>
      <w:proofErr w:type="spellStart"/>
      <w:r>
        <w:t>doi</w:t>
      </w:r>
      <w:proofErr w:type="spellEnd"/>
      <w:r>
        <w:t xml:space="preserve">: 10.3389/fpsyt.2024.1367876. </w:t>
      </w:r>
    </w:p>
    <w:p w14:paraId="47D008C1" w14:textId="77777777" w:rsidR="004603C4" w:rsidRDefault="00463FE5">
      <w:pPr>
        <w:spacing w:after="307" w:line="259" w:lineRule="auto"/>
        <w:ind w:left="-5"/>
      </w:pPr>
      <w:r>
        <w:t xml:space="preserve">Children and Families Act 2014, c. 6. London: The Stationery Office. </w:t>
      </w:r>
    </w:p>
    <w:p w14:paraId="12EC9CF2" w14:textId="77777777" w:rsidR="004603C4" w:rsidRDefault="00463FE5">
      <w:pPr>
        <w:ind w:left="-5"/>
      </w:pPr>
      <w:r>
        <w:t xml:space="preserve">Diabetes UK (2025) </w:t>
      </w:r>
      <w:r>
        <w:rPr>
          <w:i/>
        </w:rPr>
        <w:t>How many people in the UK have diabetes?</w:t>
      </w:r>
      <w:r>
        <w:t xml:space="preserve"> London: Diabetes UK. Available at: https://www.diabetes.org.uk/about-us/about-the-charity/our-strategy/statistics (Accessed: 13 August 2026). </w:t>
      </w:r>
    </w:p>
    <w:p w14:paraId="1A4DB8AC" w14:textId="77777777" w:rsidR="004603C4" w:rsidRDefault="00463FE5">
      <w:pPr>
        <w:spacing w:after="287" w:line="259" w:lineRule="auto"/>
        <w:ind w:left="-5"/>
      </w:pPr>
      <w:r>
        <w:t xml:space="preserve">Equality Act 2010, c. 15. London: The Stationery Office. </w:t>
      </w:r>
    </w:p>
    <w:p w14:paraId="32B26046" w14:textId="77777777" w:rsidR="004603C4" w:rsidRDefault="00463FE5">
      <w:pPr>
        <w:ind w:left="-5"/>
      </w:pPr>
      <w:r>
        <w:lastRenderedPageBreak/>
        <w:t xml:space="preserve">International Diabetes Federation (2025) </w:t>
      </w:r>
      <w:r>
        <w:rPr>
          <w:i/>
        </w:rPr>
        <w:t>IDF Diabetes Atlas</w:t>
      </w:r>
      <w:r>
        <w:t xml:space="preserve">. 11th </w:t>
      </w:r>
      <w:proofErr w:type="spellStart"/>
      <w:r>
        <w:t>edn</w:t>
      </w:r>
      <w:proofErr w:type="spellEnd"/>
      <w:r>
        <w:t xml:space="preserve">. Brussels: International Diabetes Federation. Available at: https://diabetesatlas.org (Accessed: 13 August 2026). </w:t>
      </w:r>
    </w:p>
    <w:p w14:paraId="00242358" w14:textId="77777777" w:rsidR="004603C4" w:rsidRDefault="00463FE5">
      <w:pPr>
        <w:ind w:left="-5"/>
      </w:pPr>
      <w:r>
        <w:t xml:space="preserve">National Institute for Health and Care Excellence (2022) </w:t>
      </w:r>
      <w:r>
        <w:rPr>
          <w:i/>
        </w:rPr>
        <w:t>Type 1 diabetes in adults: diagnosis and management</w:t>
      </w:r>
      <w:r>
        <w:t xml:space="preserve">. NICE guideline NG17. London: NICE. Available at: https://www.nice.org.uk/guidance/ng17 (Accessed: 13 August 2026). </w:t>
      </w:r>
    </w:p>
    <w:p w14:paraId="056C8625" w14:textId="77777777" w:rsidR="004603C4" w:rsidRDefault="00463FE5">
      <w:pPr>
        <w:ind w:left="-5"/>
      </w:pPr>
      <w:r>
        <w:t xml:space="preserve">National Institute for Health and Care Excellence (2023) </w:t>
      </w:r>
      <w:r>
        <w:rPr>
          <w:i/>
        </w:rPr>
        <w:t>Hybrid closed loop systems for managing blood glucose levels in type 1 diabetes</w:t>
      </w:r>
      <w:r>
        <w:t xml:space="preserve">. Technology appraisal guidance TA943. London: NICE. Available at: https://www.nice.org.uk/guidance/ta943 (Accessed: 13 August 2026). </w:t>
      </w:r>
    </w:p>
    <w:p w14:paraId="2F62DC23" w14:textId="77777777" w:rsidR="004603C4" w:rsidRDefault="00463FE5">
      <w:pPr>
        <w:ind w:left="-5"/>
      </w:pPr>
      <w:r>
        <w:t xml:space="preserve">NHS England (2024) </w:t>
      </w:r>
      <w:r>
        <w:rPr>
          <w:i/>
        </w:rPr>
        <w:t>Hybrid closed loop technologies: 5 year implementation strategy</w:t>
      </w:r>
      <w:r>
        <w:t xml:space="preserve">. Leeds: NHS England. Available at: https://www.england.nhs.uk/long-read/hybrid-closed-looptechnologies-5-year-implementation-strategy/ (Accessed: 13 August 2026). </w:t>
      </w:r>
    </w:p>
    <w:p w14:paraId="7EA3F061" w14:textId="77777777" w:rsidR="004603C4" w:rsidRDefault="00463FE5">
      <w:pPr>
        <w:ind w:left="-5"/>
      </w:pPr>
      <w:r>
        <w:t xml:space="preserve">NHS England (2025) </w:t>
      </w:r>
      <w:r>
        <w:rPr>
          <w:i/>
        </w:rPr>
        <w:t>National Diabetes Audit core report 1, care processes and treatment targets 2023-24</w:t>
      </w:r>
      <w:r>
        <w:t xml:space="preserve">. Leeds: NHS England. Available at: https://digital.nhs.uk/data-andinformation/publications/statistical/national-diabetes-audit (Accessed: 13 August 2026). </w:t>
      </w:r>
    </w:p>
    <w:p w14:paraId="7249C610" w14:textId="77777777" w:rsidR="004603C4" w:rsidRDefault="00463FE5">
      <w:pPr>
        <w:ind w:left="-5"/>
      </w:pPr>
      <w:r>
        <w:t xml:space="preserve">Ogle, G.D., Wang, F., Haynes, A., Gregory, G.A., King, T.W., Deng, K., </w:t>
      </w:r>
      <w:proofErr w:type="spellStart"/>
      <w:r>
        <w:t>Dabelea</w:t>
      </w:r>
      <w:proofErr w:type="spellEnd"/>
      <w:r>
        <w:t xml:space="preserve">, D., James, S., Jenkins, A.J., Li, X., Ma, R.C.W., </w:t>
      </w:r>
      <w:proofErr w:type="spellStart"/>
      <w:r>
        <w:t>Maahs</w:t>
      </w:r>
      <w:proofErr w:type="spellEnd"/>
      <w:r>
        <w:t xml:space="preserve">, D.M., </w:t>
      </w:r>
      <w:proofErr w:type="spellStart"/>
      <w:r>
        <w:t>Oram</w:t>
      </w:r>
      <w:proofErr w:type="spellEnd"/>
      <w:r>
        <w:t xml:space="preserve">, R.A., </w:t>
      </w:r>
      <w:proofErr w:type="spellStart"/>
      <w:r>
        <w:t>Pihoker</w:t>
      </w:r>
      <w:proofErr w:type="spellEnd"/>
      <w:r>
        <w:t xml:space="preserve">, C., </w:t>
      </w:r>
      <w:proofErr w:type="spellStart"/>
      <w:r>
        <w:t>Svensson</w:t>
      </w:r>
      <w:proofErr w:type="spellEnd"/>
      <w:r>
        <w:t xml:space="preserve">, J., Zhou, Z., </w:t>
      </w:r>
      <w:proofErr w:type="spellStart"/>
      <w:r>
        <w:t>Magliano</w:t>
      </w:r>
      <w:proofErr w:type="spellEnd"/>
      <w:r>
        <w:t xml:space="preserve">, D.J. and </w:t>
      </w:r>
      <w:proofErr w:type="spellStart"/>
      <w:r>
        <w:t>Maniam</w:t>
      </w:r>
      <w:proofErr w:type="spellEnd"/>
      <w:r>
        <w:t xml:space="preserve">, J. (2025) 'Global type 1 diabetes prevalence, incidence, and mortality estimates 2025: results from the International Diabetes Federation Atlas, 11th edition, and the T1D Index version 3.0', </w:t>
      </w:r>
      <w:r>
        <w:rPr>
          <w:i/>
        </w:rPr>
        <w:t>Diabetes Research and Clinical Practice</w:t>
      </w:r>
      <w:r>
        <w:t xml:space="preserve">, 225, 112277. </w:t>
      </w:r>
      <w:proofErr w:type="spellStart"/>
      <w:r>
        <w:t>doi</w:t>
      </w:r>
      <w:proofErr w:type="spellEnd"/>
      <w:r>
        <w:t xml:space="preserve">: 10.1016/j.diabres.2025.112277. </w:t>
      </w:r>
    </w:p>
    <w:p w14:paraId="13404FF9" w14:textId="77777777" w:rsidR="004603C4" w:rsidRDefault="00463FE5">
      <w:pPr>
        <w:spacing w:after="107" w:line="259" w:lineRule="auto"/>
        <w:ind w:left="-5"/>
      </w:pPr>
      <w:r>
        <w:t xml:space="preserve">Quinn, L.M. et al. (2026) 'Feasibility of general population screening for type 1 diabetes in the </w:t>
      </w:r>
    </w:p>
    <w:p w14:paraId="2548B62F" w14:textId="77777777" w:rsidR="004603C4" w:rsidRDefault="00463FE5">
      <w:pPr>
        <w:ind w:left="-5"/>
      </w:pPr>
      <w:r>
        <w:t xml:space="preserve">UK, the ELSA study', </w:t>
      </w:r>
      <w:r>
        <w:rPr>
          <w:i/>
        </w:rPr>
        <w:t>The Lancet Diabetes &amp; Endocrinology</w:t>
      </w:r>
      <w:r>
        <w:t xml:space="preserve">. </w:t>
      </w:r>
      <w:proofErr w:type="spellStart"/>
      <w:r>
        <w:t>doi</w:t>
      </w:r>
      <w:proofErr w:type="spellEnd"/>
      <w:r>
        <w:t xml:space="preserve">: 10.1016/S22138587(25)00363-8. </w:t>
      </w:r>
    </w:p>
    <w:p w14:paraId="718201C9" w14:textId="77777777" w:rsidR="004603C4" w:rsidRDefault="00463FE5">
      <w:pPr>
        <w:ind w:left="-5"/>
      </w:pPr>
      <w:r>
        <w:t xml:space="preserve">Royal College of Paediatrics and Child Health (2025) </w:t>
      </w:r>
      <w:r>
        <w:rPr>
          <w:i/>
        </w:rPr>
        <w:t>National Paediatric Diabetes Audit, care and outcomes 2023/24</w:t>
      </w:r>
      <w:r>
        <w:t xml:space="preserve">. London: RCPCH. Available at: https://www.rcpch.ac.uk/work-wedo/clinical-audits/npda (Accessed: 13 August 2026). </w:t>
      </w:r>
    </w:p>
    <w:p w14:paraId="238B7E9F" w14:textId="77777777" w:rsidR="004603C4" w:rsidRDefault="00463FE5">
      <w:pPr>
        <w:spacing w:after="2"/>
        <w:ind w:left="-5"/>
      </w:pPr>
      <w:r>
        <w:t xml:space="preserve">Royal College of Paediatrics and Child Health (2026) </w:t>
      </w:r>
      <w:r>
        <w:rPr>
          <w:i/>
        </w:rPr>
        <w:t>National Paediatric Diabetes Audit, annual report on 2024/25 data</w:t>
      </w:r>
      <w:r>
        <w:t xml:space="preserve">. London: RCPCH. Available at: </w:t>
      </w:r>
    </w:p>
    <w:p w14:paraId="39856451" w14:textId="77777777" w:rsidR="004603C4" w:rsidRDefault="00463FE5">
      <w:pPr>
        <w:ind w:left="-5"/>
      </w:pPr>
      <w:r>
        <w:t xml:space="preserve">https://www.rcpch.ac.uk/resources/national-paediatric-diabetes-audit-npda-annual-report2024-25-data (Accessed: 13 August 2026). </w:t>
      </w:r>
    </w:p>
    <w:sectPr w:rsidR="004603C4" w:rsidSect="0084627E">
      <w:footerReference w:type="even" r:id="rId6"/>
      <w:footerReference w:type="default" r:id="rId7"/>
      <w:footerReference w:type="first" r:id="rId8"/>
      <w:pgSz w:w="11906" w:h="16838"/>
      <w:pgMar w:top="1440" w:right="1440" w:bottom="1440" w:left="1440" w:header="720" w:footer="71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3CD55" w14:textId="77777777" w:rsidR="00643298" w:rsidRDefault="00643298">
      <w:pPr>
        <w:spacing w:after="0" w:line="240" w:lineRule="auto"/>
      </w:pPr>
      <w:r>
        <w:separator/>
      </w:r>
    </w:p>
  </w:endnote>
  <w:endnote w:type="continuationSeparator" w:id="0">
    <w:p w14:paraId="52211DDE" w14:textId="77777777" w:rsidR="00643298" w:rsidRDefault="00643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389E3" w14:textId="77777777" w:rsidR="004603C4" w:rsidRDefault="00463FE5">
    <w:pPr>
      <w:spacing w:after="0" w:line="259" w:lineRule="auto"/>
      <w:ind w:left="0" w:right="1" w:firstLine="0"/>
      <w:jc w:val="center"/>
    </w:pPr>
    <w:r>
      <w:fldChar w:fldCharType="begin"/>
    </w:r>
    <w:r>
      <w:instrText xml:space="preserve"> PAGE   \* MERGEFORMAT </w:instrText>
    </w:r>
    <w:r>
      <w:fldChar w:fldCharType="separate"/>
    </w:r>
    <w:r>
      <w:rPr>
        <w:sz w:val="20"/>
      </w:rPr>
      <w:t>1</w:t>
    </w:r>
    <w:r>
      <w:rPr>
        <w:sz w:val="20"/>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EC98F" w14:textId="77777777" w:rsidR="004603C4" w:rsidRDefault="00463FE5">
    <w:pPr>
      <w:spacing w:after="0" w:line="259" w:lineRule="auto"/>
      <w:ind w:left="0" w:right="1" w:firstLine="0"/>
      <w:jc w:val="center"/>
    </w:pPr>
    <w:r>
      <w:fldChar w:fldCharType="begin"/>
    </w:r>
    <w:r>
      <w:instrText xml:space="preserve"> PAGE   \* MERGEFORMAT </w:instrText>
    </w:r>
    <w:r>
      <w:fldChar w:fldCharType="separate"/>
    </w:r>
    <w:r>
      <w:rPr>
        <w:sz w:val="20"/>
      </w:rPr>
      <w:t>1</w:t>
    </w:r>
    <w:r>
      <w:rPr>
        <w:sz w:val="20"/>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422C" w14:textId="77777777" w:rsidR="004603C4" w:rsidRDefault="00463FE5">
    <w:pPr>
      <w:spacing w:after="0" w:line="259" w:lineRule="auto"/>
      <w:ind w:left="0" w:right="1" w:firstLine="0"/>
      <w:jc w:val="center"/>
    </w:pPr>
    <w:r>
      <w:fldChar w:fldCharType="begin"/>
    </w:r>
    <w:r>
      <w:instrText xml:space="preserve"> PAGE   \* MERGEFORMAT </w:instrText>
    </w:r>
    <w:r>
      <w:fldChar w:fldCharType="separate"/>
    </w:r>
    <w:r>
      <w:rPr>
        <w:sz w:val="20"/>
      </w:rPr>
      <w:t>1</w:t>
    </w:r>
    <w:r>
      <w:rPr>
        <w:sz w:val="20"/>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829EC" w14:textId="77777777" w:rsidR="00643298" w:rsidRDefault="00643298">
      <w:pPr>
        <w:spacing w:after="0" w:line="240" w:lineRule="auto"/>
      </w:pPr>
      <w:r>
        <w:separator/>
      </w:r>
    </w:p>
  </w:footnote>
  <w:footnote w:type="continuationSeparator" w:id="0">
    <w:p w14:paraId="2429D12D" w14:textId="77777777" w:rsidR="00643298" w:rsidRDefault="006432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3C4"/>
    <w:rsid w:val="00034338"/>
    <w:rsid w:val="000373F4"/>
    <w:rsid w:val="00054D30"/>
    <w:rsid w:val="00224665"/>
    <w:rsid w:val="002D41F4"/>
    <w:rsid w:val="00302746"/>
    <w:rsid w:val="003F5B04"/>
    <w:rsid w:val="00405AAD"/>
    <w:rsid w:val="004603C4"/>
    <w:rsid w:val="00463FE5"/>
    <w:rsid w:val="004644C0"/>
    <w:rsid w:val="00643298"/>
    <w:rsid w:val="00666246"/>
    <w:rsid w:val="0084627E"/>
    <w:rsid w:val="008E02A1"/>
    <w:rsid w:val="00CE18E0"/>
    <w:rsid w:val="00F25FF2"/>
    <w:rsid w:val="00FB0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D37C80"/>
  <w15:docId w15:val="{C6276414-15A1-B545-8CBA-019B6EF18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58"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322" w:line="259" w:lineRule="auto"/>
      <w:ind w:left="10" w:right="288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TOC1">
    <w:name w:val="toc 1"/>
    <w:hidden/>
    <w:pPr>
      <w:spacing w:after="362" w:line="259" w:lineRule="auto"/>
      <w:ind w:left="25" w:right="20" w:hanging="1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2161</Words>
  <Characters>12324</Characters>
  <Application>Microsoft Office Word</Application>
  <DocSecurity>0</DocSecurity>
  <Lines>102</Lines>
  <Paragraphs>28</Paragraphs>
  <ScaleCrop>false</ScaleCrop>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Mojisola Abatti (2515877)</cp:lastModifiedBy>
  <cp:revision>2</cp:revision>
  <dcterms:created xsi:type="dcterms:W3CDTF">2026-08-15T00:52:00Z</dcterms:created>
  <dcterms:modified xsi:type="dcterms:W3CDTF">2026-08-15T00:52:00Z</dcterms:modified>
</cp:coreProperties>
</file>