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41C55" w14:textId="77777777" w:rsidR="00266E7B" w:rsidRPr="009E7CF8" w:rsidRDefault="00266E7B" w:rsidP="00266E7B">
      <w:pPr>
        <w:jc w:val="center"/>
      </w:pPr>
      <w:r>
        <w:drawing>
          <wp:inline distT="0" distB="0" distL="0" distR="0" wp14:anchorId="68732049" wp14:editId="23AA9226">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337"/>
        <w:gridCol w:w="2698"/>
        <w:gridCol w:w="2271"/>
        <w:gridCol w:w="1876"/>
      </w:tblGrid>
      <w:tr w:rsidR="00266E7B" w:rsidRPr="009E7CF8" w14:paraId="28102A0B" w14:textId="77777777" w:rsidTr="004438AE">
        <w:trPr>
          <w:trHeight w:val="990"/>
        </w:trPr>
        <w:tc>
          <w:tcPr>
            <w:tcW w:w="2295" w:type="dxa"/>
            <w:tcBorders>
              <w:top w:val="single" w:sz="4" w:space="0" w:color="auto"/>
              <w:left w:val="single" w:sz="4" w:space="0" w:color="auto"/>
              <w:bottom w:val="single" w:sz="4" w:space="0" w:color="auto"/>
              <w:right w:val="single" w:sz="4" w:space="0" w:color="auto"/>
            </w:tcBorders>
            <w:hideMark/>
          </w:tcPr>
          <w:p w14:paraId="7A8FAB0A" w14:textId="77777777" w:rsidR="00266E7B" w:rsidRPr="009E7CF8" w:rsidRDefault="00266E7B" w:rsidP="004438AE">
            <w:pPr>
              <w:spacing w:after="160" w:line="259" w:lineRule="auto"/>
              <w:rPr>
                <w:b/>
                <w:bCs/>
                <w:sz w:val="36"/>
                <w:szCs w:val="36"/>
              </w:rPr>
            </w:pPr>
            <w:r w:rsidRPr="009E7CF8">
              <w:rPr>
                <w:b/>
                <w:bCs/>
                <w:sz w:val="36"/>
                <w:szCs w:val="36"/>
              </w:rPr>
              <w:t>Student Name:</w:t>
            </w:r>
          </w:p>
        </w:tc>
        <w:tc>
          <w:tcPr>
            <w:tcW w:w="2295" w:type="dxa"/>
            <w:tcBorders>
              <w:top w:val="single" w:sz="4" w:space="0" w:color="auto"/>
              <w:left w:val="single" w:sz="4" w:space="0" w:color="auto"/>
              <w:bottom w:val="single" w:sz="4" w:space="0" w:color="auto"/>
              <w:right w:val="single" w:sz="4" w:space="0" w:color="auto"/>
            </w:tcBorders>
            <w:hideMark/>
          </w:tcPr>
          <w:p w14:paraId="74A18761" w14:textId="7BBDE2E7" w:rsidR="00266E7B" w:rsidRPr="009E7CF8" w:rsidRDefault="00266E7B" w:rsidP="004438AE">
            <w:pPr>
              <w:spacing w:after="160" w:line="259" w:lineRule="auto"/>
              <w:rPr>
                <w:sz w:val="36"/>
                <w:szCs w:val="36"/>
              </w:rPr>
            </w:pPr>
            <w:r>
              <w:rPr>
                <w:sz w:val="36"/>
                <w:szCs w:val="36"/>
              </w:rPr>
              <w:t>Zeel Talaviya</w:t>
            </w:r>
          </w:p>
        </w:tc>
        <w:tc>
          <w:tcPr>
            <w:tcW w:w="2295" w:type="dxa"/>
            <w:tcBorders>
              <w:top w:val="single" w:sz="4" w:space="0" w:color="auto"/>
              <w:left w:val="single" w:sz="4" w:space="0" w:color="auto"/>
              <w:bottom w:val="single" w:sz="4" w:space="0" w:color="auto"/>
              <w:right w:val="single" w:sz="4" w:space="0" w:color="auto"/>
            </w:tcBorders>
            <w:hideMark/>
          </w:tcPr>
          <w:p w14:paraId="73D3920A" w14:textId="77777777" w:rsidR="00266E7B" w:rsidRPr="009E7CF8" w:rsidRDefault="00266E7B" w:rsidP="004438AE">
            <w:pPr>
              <w:spacing w:after="160" w:line="259" w:lineRule="auto"/>
              <w:rPr>
                <w:b/>
                <w:bCs/>
                <w:sz w:val="36"/>
                <w:szCs w:val="36"/>
              </w:rPr>
            </w:pPr>
            <w:r w:rsidRPr="009E7CF8">
              <w:rPr>
                <w:b/>
                <w:bCs/>
                <w:sz w:val="36"/>
                <w:szCs w:val="36"/>
              </w:rPr>
              <w:t>Student ID:</w:t>
            </w:r>
          </w:p>
        </w:tc>
        <w:tc>
          <w:tcPr>
            <w:tcW w:w="2297" w:type="dxa"/>
            <w:tcBorders>
              <w:top w:val="single" w:sz="4" w:space="0" w:color="auto"/>
              <w:left w:val="single" w:sz="4" w:space="0" w:color="auto"/>
              <w:bottom w:val="single" w:sz="4" w:space="0" w:color="auto"/>
              <w:right w:val="single" w:sz="4" w:space="0" w:color="auto"/>
            </w:tcBorders>
            <w:hideMark/>
          </w:tcPr>
          <w:p w14:paraId="169688F0" w14:textId="4E334F03" w:rsidR="00266E7B" w:rsidRPr="009E7CF8" w:rsidRDefault="00266E7B" w:rsidP="004438AE">
            <w:pPr>
              <w:spacing w:after="160" w:line="259" w:lineRule="auto"/>
              <w:rPr>
                <w:sz w:val="36"/>
                <w:szCs w:val="36"/>
              </w:rPr>
            </w:pPr>
            <w:r w:rsidRPr="00BA3DF1">
              <w:rPr>
                <w:sz w:val="36"/>
                <w:szCs w:val="36"/>
              </w:rPr>
              <w:t>2</w:t>
            </w:r>
            <w:r w:rsidR="007459E9">
              <w:rPr>
                <w:sz w:val="36"/>
                <w:szCs w:val="36"/>
              </w:rPr>
              <w:t>434306</w:t>
            </w:r>
          </w:p>
        </w:tc>
      </w:tr>
      <w:tr w:rsidR="00266E7B" w:rsidRPr="009E7CF8" w14:paraId="0C322830" w14:textId="77777777" w:rsidTr="004438AE">
        <w:trPr>
          <w:trHeight w:val="928"/>
        </w:trPr>
        <w:tc>
          <w:tcPr>
            <w:tcW w:w="2295" w:type="dxa"/>
            <w:tcBorders>
              <w:top w:val="single" w:sz="4" w:space="0" w:color="auto"/>
              <w:left w:val="single" w:sz="4" w:space="0" w:color="auto"/>
              <w:bottom w:val="single" w:sz="4" w:space="0" w:color="auto"/>
              <w:right w:val="single" w:sz="4" w:space="0" w:color="auto"/>
            </w:tcBorders>
            <w:hideMark/>
          </w:tcPr>
          <w:p w14:paraId="0F29AD15" w14:textId="77777777" w:rsidR="00266E7B" w:rsidRPr="009E7CF8" w:rsidRDefault="00266E7B" w:rsidP="004438AE">
            <w:pPr>
              <w:spacing w:after="160" w:line="259" w:lineRule="auto"/>
              <w:rPr>
                <w:b/>
                <w:bCs/>
                <w:sz w:val="36"/>
                <w:szCs w:val="36"/>
              </w:rPr>
            </w:pPr>
            <w:r w:rsidRPr="009E7CF8">
              <w:rPr>
                <w:b/>
                <w:bCs/>
                <w:sz w:val="36"/>
                <w:szCs w:val="36"/>
              </w:rPr>
              <w:t>Programme:</w:t>
            </w:r>
          </w:p>
        </w:tc>
        <w:tc>
          <w:tcPr>
            <w:tcW w:w="6887" w:type="dxa"/>
            <w:gridSpan w:val="3"/>
            <w:tcBorders>
              <w:top w:val="single" w:sz="4" w:space="0" w:color="auto"/>
              <w:left w:val="single" w:sz="4" w:space="0" w:color="auto"/>
              <w:bottom w:val="single" w:sz="4" w:space="0" w:color="auto"/>
              <w:right w:val="single" w:sz="4" w:space="0" w:color="auto"/>
            </w:tcBorders>
            <w:hideMark/>
          </w:tcPr>
          <w:p w14:paraId="4CE1C43D" w14:textId="77777777" w:rsidR="00266E7B" w:rsidRPr="009E7CF8" w:rsidRDefault="00266E7B" w:rsidP="004438AE">
            <w:pPr>
              <w:spacing w:after="160" w:line="259" w:lineRule="auto"/>
              <w:rPr>
                <w:sz w:val="36"/>
                <w:szCs w:val="36"/>
              </w:rPr>
            </w:pPr>
            <w:r w:rsidRPr="009E7CF8">
              <w:rPr>
                <w:sz w:val="36"/>
                <w:szCs w:val="36"/>
              </w:rPr>
              <w:t>Master of Business Administration</w:t>
            </w:r>
          </w:p>
        </w:tc>
      </w:tr>
      <w:tr w:rsidR="00266E7B" w:rsidRPr="009E7CF8" w14:paraId="502B2B30" w14:textId="77777777" w:rsidTr="004438AE">
        <w:trPr>
          <w:trHeight w:val="990"/>
        </w:trPr>
        <w:tc>
          <w:tcPr>
            <w:tcW w:w="2295" w:type="dxa"/>
            <w:tcBorders>
              <w:top w:val="single" w:sz="4" w:space="0" w:color="auto"/>
              <w:left w:val="single" w:sz="4" w:space="0" w:color="auto"/>
              <w:bottom w:val="single" w:sz="4" w:space="0" w:color="auto"/>
              <w:right w:val="single" w:sz="4" w:space="0" w:color="auto"/>
            </w:tcBorders>
            <w:hideMark/>
          </w:tcPr>
          <w:p w14:paraId="7B3C6C9C" w14:textId="77777777" w:rsidR="00266E7B" w:rsidRPr="009E7CF8" w:rsidRDefault="00266E7B" w:rsidP="004438AE">
            <w:pPr>
              <w:spacing w:after="160" w:line="259" w:lineRule="auto"/>
              <w:rPr>
                <w:b/>
                <w:bCs/>
                <w:sz w:val="36"/>
                <w:szCs w:val="36"/>
              </w:rPr>
            </w:pPr>
            <w:r w:rsidRPr="009E7CF8">
              <w:rPr>
                <w:b/>
                <w:bCs/>
                <w:sz w:val="36"/>
                <w:szCs w:val="36"/>
              </w:rPr>
              <w:t>Module:</w:t>
            </w:r>
          </w:p>
        </w:tc>
        <w:tc>
          <w:tcPr>
            <w:tcW w:w="6887" w:type="dxa"/>
            <w:gridSpan w:val="3"/>
            <w:tcBorders>
              <w:top w:val="single" w:sz="4" w:space="0" w:color="auto"/>
              <w:left w:val="single" w:sz="4" w:space="0" w:color="auto"/>
              <w:bottom w:val="single" w:sz="4" w:space="0" w:color="auto"/>
              <w:right w:val="single" w:sz="4" w:space="0" w:color="auto"/>
            </w:tcBorders>
            <w:hideMark/>
          </w:tcPr>
          <w:p w14:paraId="581F9F32" w14:textId="77777777" w:rsidR="00266E7B" w:rsidRPr="009E7CF8" w:rsidRDefault="00266E7B" w:rsidP="004438AE">
            <w:pPr>
              <w:spacing w:after="160" w:line="259" w:lineRule="auto"/>
              <w:rPr>
                <w:sz w:val="36"/>
                <w:szCs w:val="36"/>
              </w:rPr>
            </w:pPr>
            <w:r w:rsidRPr="009E7CF8">
              <w:rPr>
                <w:sz w:val="36"/>
                <w:szCs w:val="36"/>
              </w:rPr>
              <w:t>Marketing Management</w:t>
            </w:r>
          </w:p>
        </w:tc>
      </w:tr>
      <w:tr w:rsidR="00266E7B" w:rsidRPr="009E7CF8" w14:paraId="2A54366B" w14:textId="77777777" w:rsidTr="004438AE">
        <w:trPr>
          <w:trHeight w:val="990"/>
        </w:trPr>
        <w:tc>
          <w:tcPr>
            <w:tcW w:w="2295" w:type="dxa"/>
            <w:tcBorders>
              <w:top w:val="single" w:sz="4" w:space="0" w:color="auto"/>
              <w:left w:val="single" w:sz="4" w:space="0" w:color="auto"/>
              <w:bottom w:val="single" w:sz="4" w:space="0" w:color="auto"/>
              <w:right w:val="single" w:sz="4" w:space="0" w:color="auto"/>
            </w:tcBorders>
            <w:hideMark/>
          </w:tcPr>
          <w:p w14:paraId="2324AB1A" w14:textId="77777777" w:rsidR="00266E7B" w:rsidRPr="009E7CF8" w:rsidRDefault="00266E7B" w:rsidP="004438AE">
            <w:pPr>
              <w:spacing w:after="160" w:line="259" w:lineRule="auto"/>
              <w:rPr>
                <w:b/>
                <w:bCs/>
                <w:sz w:val="36"/>
                <w:szCs w:val="36"/>
              </w:rPr>
            </w:pPr>
            <w:r w:rsidRPr="009E7CF8">
              <w:rPr>
                <w:b/>
                <w:bCs/>
                <w:sz w:val="36"/>
                <w:szCs w:val="36"/>
              </w:rPr>
              <w:t>Module Code:</w:t>
            </w:r>
          </w:p>
        </w:tc>
        <w:tc>
          <w:tcPr>
            <w:tcW w:w="6887" w:type="dxa"/>
            <w:gridSpan w:val="3"/>
            <w:tcBorders>
              <w:top w:val="single" w:sz="4" w:space="0" w:color="auto"/>
              <w:left w:val="single" w:sz="4" w:space="0" w:color="auto"/>
              <w:bottom w:val="single" w:sz="4" w:space="0" w:color="auto"/>
              <w:right w:val="single" w:sz="4" w:space="0" w:color="auto"/>
            </w:tcBorders>
            <w:hideMark/>
          </w:tcPr>
          <w:p w14:paraId="50C4D60B" w14:textId="77777777" w:rsidR="00266E7B" w:rsidRPr="009E7CF8" w:rsidRDefault="00266E7B" w:rsidP="004438AE">
            <w:pPr>
              <w:spacing w:after="160" w:line="259" w:lineRule="auto"/>
              <w:rPr>
                <w:sz w:val="36"/>
                <w:szCs w:val="36"/>
              </w:rPr>
            </w:pPr>
            <w:r w:rsidRPr="009E7CF8">
              <w:rPr>
                <w:sz w:val="36"/>
                <w:szCs w:val="36"/>
              </w:rPr>
              <w:t>LCMB7024</w:t>
            </w:r>
          </w:p>
        </w:tc>
      </w:tr>
      <w:tr w:rsidR="00266E7B" w:rsidRPr="009E7CF8" w14:paraId="33009CDB" w14:textId="77777777" w:rsidTr="004438AE">
        <w:trPr>
          <w:trHeight w:val="990"/>
        </w:trPr>
        <w:tc>
          <w:tcPr>
            <w:tcW w:w="2295" w:type="dxa"/>
            <w:tcBorders>
              <w:top w:val="single" w:sz="4" w:space="0" w:color="auto"/>
              <w:left w:val="single" w:sz="4" w:space="0" w:color="auto"/>
              <w:bottom w:val="single" w:sz="4" w:space="0" w:color="auto"/>
              <w:right w:val="single" w:sz="4" w:space="0" w:color="auto"/>
            </w:tcBorders>
            <w:hideMark/>
          </w:tcPr>
          <w:p w14:paraId="7BB87937" w14:textId="77777777" w:rsidR="00266E7B" w:rsidRPr="009E7CF8" w:rsidRDefault="00266E7B" w:rsidP="004438AE">
            <w:pPr>
              <w:spacing w:after="160" w:line="259" w:lineRule="auto"/>
              <w:rPr>
                <w:b/>
                <w:bCs/>
                <w:sz w:val="36"/>
                <w:szCs w:val="36"/>
              </w:rPr>
            </w:pPr>
            <w:r w:rsidRPr="009E7CF8">
              <w:rPr>
                <w:b/>
                <w:bCs/>
                <w:sz w:val="36"/>
                <w:szCs w:val="36"/>
              </w:rPr>
              <w:t>Assignment Title:</w:t>
            </w:r>
          </w:p>
        </w:tc>
        <w:tc>
          <w:tcPr>
            <w:tcW w:w="6887" w:type="dxa"/>
            <w:gridSpan w:val="3"/>
            <w:tcBorders>
              <w:top w:val="single" w:sz="4" w:space="0" w:color="auto"/>
              <w:left w:val="single" w:sz="4" w:space="0" w:color="auto"/>
              <w:bottom w:val="single" w:sz="4" w:space="0" w:color="auto"/>
              <w:right w:val="single" w:sz="4" w:space="0" w:color="auto"/>
            </w:tcBorders>
            <w:hideMark/>
          </w:tcPr>
          <w:p w14:paraId="6F0F24B8" w14:textId="77777777" w:rsidR="00266E7B" w:rsidRPr="009E7CF8" w:rsidRDefault="00266E7B" w:rsidP="004438AE">
            <w:pPr>
              <w:spacing w:after="160" w:line="259" w:lineRule="auto"/>
              <w:rPr>
                <w:sz w:val="36"/>
                <w:szCs w:val="36"/>
              </w:rPr>
            </w:pPr>
            <w:r w:rsidRPr="00B570D8">
              <w:rPr>
                <w:sz w:val="36"/>
                <w:szCs w:val="36"/>
              </w:rPr>
              <w:t>Marketing Strategies Portfolio</w:t>
            </w:r>
          </w:p>
        </w:tc>
      </w:tr>
      <w:tr w:rsidR="00266E7B" w:rsidRPr="009E7CF8" w14:paraId="0C6C6984" w14:textId="77777777" w:rsidTr="004438AE">
        <w:trPr>
          <w:trHeight w:val="928"/>
        </w:trPr>
        <w:tc>
          <w:tcPr>
            <w:tcW w:w="2295" w:type="dxa"/>
            <w:tcBorders>
              <w:top w:val="single" w:sz="4" w:space="0" w:color="auto"/>
              <w:left w:val="single" w:sz="4" w:space="0" w:color="auto"/>
              <w:bottom w:val="single" w:sz="4" w:space="0" w:color="auto"/>
              <w:right w:val="single" w:sz="4" w:space="0" w:color="auto"/>
            </w:tcBorders>
            <w:hideMark/>
          </w:tcPr>
          <w:p w14:paraId="398E5AB2" w14:textId="77777777" w:rsidR="00266E7B" w:rsidRPr="009E7CF8" w:rsidRDefault="00266E7B" w:rsidP="004438AE">
            <w:pPr>
              <w:spacing w:after="160" w:line="259" w:lineRule="auto"/>
              <w:rPr>
                <w:b/>
                <w:bCs/>
                <w:sz w:val="36"/>
                <w:szCs w:val="36"/>
              </w:rPr>
            </w:pPr>
            <w:r w:rsidRPr="009E7CF8">
              <w:rPr>
                <w:b/>
                <w:bCs/>
                <w:sz w:val="36"/>
                <w:szCs w:val="36"/>
              </w:rPr>
              <w:t>Lecturer Name:</w:t>
            </w:r>
          </w:p>
        </w:tc>
        <w:tc>
          <w:tcPr>
            <w:tcW w:w="6887" w:type="dxa"/>
            <w:gridSpan w:val="3"/>
            <w:tcBorders>
              <w:top w:val="single" w:sz="4" w:space="0" w:color="auto"/>
              <w:left w:val="single" w:sz="4" w:space="0" w:color="auto"/>
              <w:bottom w:val="single" w:sz="4" w:space="0" w:color="auto"/>
              <w:right w:val="single" w:sz="4" w:space="0" w:color="auto"/>
            </w:tcBorders>
            <w:hideMark/>
          </w:tcPr>
          <w:p w14:paraId="253A300A" w14:textId="77777777" w:rsidR="00266E7B" w:rsidRDefault="00266E7B" w:rsidP="004438AE">
            <w:pPr>
              <w:spacing w:after="160" w:line="259" w:lineRule="auto"/>
              <w:rPr>
                <w:sz w:val="36"/>
                <w:szCs w:val="36"/>
              </w:rPr>
            </w:pPr>
            <w:r w:rsidRPr="005E1EE2">
              <w:rPr>
                <w:sz w:val="36"/>
                <w:szCs w:val="36"/>
              </w:rPr>
              <w:t xml:space="preserve">Laila Maazouz </w:t>
            </w:r>
          </w:p>
          <w:p w14:paraId="4451AD26" w14:textId="77777777" w:rsidR="00266E7B" w:rsidRPr="009E7CF8" w:rsidRDefault="00266E7B" w:rsidP="004438AE">
            <w:pPr>
              <w:spacing w:after="160" w:line="259" w:lineRule="auto"/>
              <w:rPr>
                <w:sz w:val="36"/>
                <w:szCs w:val="36"/>
              </w:rPr>
            </w:pPr>
            <w:r w:rsidRPr="005E1EE2">
              <w:rPr>
                <w:sz w:val="36"/>
                <w:szCs w:val="36"/>
              </w:rPr>
              <w:t>Dian Mayasar</w:t>
            </w:r>
            <w:r>
              <w:rPr>
                <w:sz w:val="36"/>
                <w:szCs w:val="36"/>
              </w:rPr>
              <w:t>i</w:t>
            </w:r>
          </w:p>
        </w:tc>
      </w:tr>
      <w:tr w:rsidR="00266E7B" w:rsidRPr="009E7CF8" w14:paraId="26BE2A8D" w14:textId="77777777" w:rsidTr="004438AE">
        <w:trPr>
          <w:trHeight w:val="990"/>
        </w:trPr>
        <w:tc>
          <w:tcPr>
            <w:tcW w:w="2295" w:type="dxa"/>
            <w:tcBorders>
              <w:top w:val="single" w:sz="4" w:space="0" w:color="auto"/>
              <w:left w:val="single" w:sz="4" w:space="0" w:color="auto"/>
              <w:bottom w:val="single" w:sz="4" w:space="0" w:color="auto"/>
              <w:right w:val="single" w:sz="4" w:space="0" w:color="auto"/>
            </w:tcBorders>
            <w:hideMark/>
          </w:tcPr>
          <w:p w14:paraId="3618B735" w14:textId="77777777" w:rsidR="00266E7B" w:rsidRPr="009E7CF8" w:rsidRDefault="00266E7B" w:rsidP="004438AE">
            <w:pPr>
              <w:spacing w:after="160" w:line="259" w:lineRule="auto"/>
              <w:rPr>
                <w:b/>
                <w:bCs/>
                <w:sz w:val="36"/>
                <w:szCs w:val="36"/>
              </w:rPr>
            </w:pPr>
            <w:r w:rsidRPr="009E7CF8">
              <w:rPr>
                <w:b/>
                <w:bCs/>
                <w:sz w:val="36"/>
                <w:szCs w:val="36"/>
              </w:rPr>
              <w:t>Word Count:</w:t>
            </w:r>
          </w:p>
        </w:tc>
        <w:tc>
          <w:tcPr>
            <w:tcW w:w="2295" w:type="dxa"/>
            <w:tcBorders>
              <w:top w:val="single" w:sz="4" w:space="0" w:color="auto"/>
              <w:left w:val="single" w:sz="4" w:space="0" w:color="auto"/>
              <w:bottom w:val="single" w:sz="4" w:space="0" w:color="auto"/>
              <w:right w:val="single" w:sz="4" w:space="0" w:color="auto"/>
            </w:tcBorders>
            <w:hideMark/>
          </w:tcPr>
          <w:p w14:paraId="6D394651" w14:textId="5969D9AC" w:rsidR="00266E7B" w:rsidRPr="009E7CF8" w:rsidRDefault="00266E7B" w:rsidP="004438AE">
            <w:pPr>
              <w:spacing w:after="160" w:line="259" w:lineRule="auto"/>
              <w:rPr>
                <w:sz w:val="36"/>
                <w:szCs w:val="36"/>
              </w:rPr>
            </w:pPr>
            <w:r w:rsidRPr="009E7CF8">
              <w:rPr>
                <w:sz w:val="36"/>
                <w:szCs w:val="36"/>
              </w:rPr>
              <w:t>2</w:t>
            </w:r>
            <w:r>
              <w:rPr>
                <w:sz w:val="36"/>
                <w:szCs w:val="36"/>
              </w:rPr>
              <w:t>216</w:t>
            </w:r>
            <w:r w:rsidRPr="009E7CF8">
              <w:rPr>
                <w:sz w:val="36"/>
                <w:szCs w:val="36"/>
              </w:rPr>
              <w:t>(Excluding Refernces, Tables)</w:t>
            </w:r>
          </w:p>
        </w:tc>
        <w:tc>
          <w:tcPr>
            <w:tcW w:w="2295" w:type="dxa"/>
            <w:tcBorders>
              <w:top w:val="single" w:sz="4" w:space="0" w:color="auto"/>
              <w:left w:val="single" w:sz="4" w:space="0" w:color="auto"/>
              <w:bottom w:val="single" w:sz="4" w:space="0" w:color="auto"/>
              <w:right w:val="single" w:sz="4" w:space="0" w:color="auto"/>
            </w:tcBorders>
            <w:hideMark/>
          </w:tcPr>
          <w:p w14:paraId="494B7801" w14:textId="77777777" w:rsidR="00266E7B" w:rsidRPr="009E7CF8" w:rsidRDefault="00266E7B" w:rsidP="004438AE">
            <w:pPr>
              <w:spacing w:after="160" w:line="259" w:lineRule="auto"/>
              <w:rPr>
                <w:b/>
                <w:bCs/>
                <w:sz w:val="36"/>
                <w:szCs w:val="36"/>
              </w:rPr>
            </w:pPr>
            <w:r w:rsidRPr="009E7CF8">
              <w:rPr>
                <w:b/>
                <w:bCs/>
                <w:sz w:val="36"/>
                <w:szCs w:val="36"/>
              </w:rPr>
              <w:t>Submission Date:</w:t>
            </w:r>
          </w:p>
        </w:tc>
        <w:tc>
          <w:tcPr>
            <w:tcW w:w="2297" w:type="dxa"/>
            <w:tcBorders>
              <w:top w:val="single" w:sz="4" w:space="0" w:color="auto"/>
              <w:left w:val="single" w:sz="4" w:space="0" w:color="auto"/>
              <w:bottom w:val="single" w:sz="4" w:space="0" w:color="auto"/>
              <w:right w:val="single" w:sz="4" w:space="0" w:color="auto"/>
            </w:tcBorders>
            <w:hideMark/>
          </w:tcPr>
          <w:p w14:paraId="6F478B76" w14:textId="77777777" w:rsidR="00266E7B" w:rsidRPr="009E7CF8" w:rsidRDefault="00266E7B" w:rsidP="004438AE">
            <w:pPr>
              <w:spacing w:after="160" w:line="259" w:lineRule="auto"/>
              <w:rPr>
                <w:sz w:val="36"/>
                <w:szCs w:val="36"/>
              </w:rPr>
            </w:pPr>
            <w:r>
              <w:rPr>
                <w:sz w:val="36"/>
                <w:szCs w:val="36"/>
              </w:rPr>
              <w:t>1</w:t>
            </w:r>
            <w:r w:rsidRPr="00E6708A">
              <w:rPr>
                <w:sz w:val="36"/>
                <w:szCs w:val="36"/>
                <w:vertAlign w:val="superscript"/>
              </w:rPr>
              <w:t>st</w:t>
            </w:r>
            <w:r>
              <w:rPr>
                <w:sz w:val="36"/>
                <w:szCs w:val="36"/>
              </w:rPr>
              <w:t xml:space="preserve"> </w:t>
            </w:r>
            <w:r w:rsidRPr="009E7CF8">
              <w:rPr>
                <w:sz w:val="36"/>
                <w:szCs w:val="36"/>
              </w:rPr>
              <w:t xml:space="preserve"> Ma</w:t>
            </w:r>
            <w:r>
              <w:rPr>
                <w:sz w:val="36"/>
                <w:szCs w:val="36"/>
              </w:rPr>
              <w:t>y</w:t>
            </w:r>
            <w:r w:rsidRPr="009E7CF8">
              <w:rPr>
                <w:sz w:val="36"/>
                <w:szCs w:val="36"/>
              </w:rPr>
              <w:t>, 2026</w:t>
            </w:r>
          </w:p>
        </w:tc>
      </w:tr>
    </w:tbl>
    <w:p w14:paraId="002ACE90" w14:textId="3010E0EF" w:rsidR="007459E9" w:rsidRDefault="007459E9" w:rsidP="00266E7B"/>
    <w:p w14:paraId="12920127" w14:textId="77777777" w:rsidR="007459E9" w:rsidRDefault="007459E9">
      <w:pPr>
        <w:jc w:val="left"/>
      </w:pPr>
      <w:r>
        <w:br w:type="page"/>
      </w:r>
    </w:p>
    <w:sdt>
      <w:sdtPr>
        <w:id w:val="-777718945"/>
        <w:docPartObj>
          <w:docPartGallery w:val="Table of Contents"/>
          <w:docPartUnique/>
        </w:docPartObj>
      </w:sdtPr>
      <w:sdtEndPr>
        <w:rPr>
          <w:rFonts w:ascii="Arial" w:eastAsiaTheme="minorHAnsi" w:hAnsi="Arial" w:cstheme="minorBidi"/>
          <w:b/>
          <w:bCs/>
          <w:noProof/>
          <w:color w:val="auto"/>
          <w:kern w:val="2"/>
          <w:sz w:val="24"/>
          <w:szCs w:val="22"/>
          <w:lang w:val="en-IN"/>
          <w14:ligatures w14:val="standardContextual"/>
        </w:rPr>
      </w:sdtEndPr>
      <w:sdtContent>
        <w:p w14:paraId="40D7B8B5" w14:textId="099F8D1E" w:rsidR="007459E9" w:rsidRDefault="007459E9">
          <w:pPr>
            <w:pStyle w:val="TOCHeading"/>
          </w:pPr>
          <w:r>
            <w:t>Table of Contents</w:t>
          </w:r>
        </w:p>
        <w:p w14:paraId="36B45972" w14:textId="482132DE" w:rsidR="007459E9" w:rsidRDefault="007459E9">
          <w:pPr>
            <w:pStyle w:val="TOC1"/>
            <w:tabs>
              <w:tab w:val="right" w:leader="dot" w:pos="9016"/>
            </w:tabs>
          </w:pPr>
          <w:r>
            <w:fldChar w:fldCharType="begin"/>
          </w:r>
          <w:r>
            <w:instrText xml:space="preserve"> TOC \o "1-3" \h \z \u </w:instrText>
          </w:r>
          <w:r>
            <w:fldChar w:fldCharType="separate"/>
          </w:r>
          <w:hyperlink w:anchor="_Toc228275922" w:history="1">
            <w:r w:rsidRPr="00231702">
              <w:rPr>
                <w:rStyle w:val="Hyperlink"/>
              </w:rPr>
              <w:t>Element 1: Brand Extension</w:t>
            </w:r>
            <w:r>
              <w:rPr>
                <w:webHidden/>
              </w:rPr>
              <w:tab/>
            </w:r>
            <w:r>
              <w:rPr>
                <w:webHidden/>
              </w:rPr>
              <w:fldChar w:fldCharType="begin"/>
            </w:r>
            <w:r>
              <w:rPr>
                <w:webHidden/>
              </w:rPr>
              <w:instrText xml:space="preserve"> PAGEREF _Toc228275922 \h </w:instrText>
            </w:r>
            <w:r>
              <w:rPr>
                <w:webHidden/>
              </w:rPr>
            </w:r>
            <w:r>
              <w:rPr>
                <w:webHidden/>
              </w:rPr>
              <w:fldChar w:fldCharType="separate"/>
            </w:r>
            <w:r>
              <w:rPr>
                <w:webHidden/>
              </w:rPr>
              <w:t>2</w:t>
            </w:r>
            <w:r>
              <w:rPr>
                <w:webHidden/>
              </w:rPr>
              <w:fldChar w:fldCharType="end"/>
            </w:r>
          </w:hyperlink>
        </w:p>
        <w:p w14:paraId="3FD83006" w14:textId="45C1AFE9" w:rsidR="007459E9" w:rsidRDefault="007459E9">
          <w:pPr>
            <w:pStyle w:val="TOC2"/>
            <w:tabs>
              <w:tab w:val="right" w:leader="dot" w:pos="9016"/>
            </w:tabs>
          </w:pPr>
          <w:hyperlink w:anchor="_Toc228275923" w:history="1">
            <w:r w:rsidRPr="00231702">
              <w:rPr>
                <w:rStyle w:val="Hyperlink"/>
              </w:rPr>
              <w:t>1. Introduction</w:t>
            </w:r>
            <w:r>
              <w:rPr>
                <w:webHidden/>
              </w:rPr>
              <w:tab/>
            </w:r>
            <w:r>
              <w:rPr>
                <w:webHidden/>
              </w:rPr>
              <w:fldChar w:fldCharType="begin"/>
            </w:r>
            <w:r>
              <w:rPr>
                <w:webHidden/>
              </w:rPr>
              <w:instrText xml:space="preserve"> PAGEREF _Toc228275923 \h </w:instrText>
            </w:r>
            <w:r>
              <w:rPr>
                <w:webHidden/>
              </w:rPr>
            </w:r>
            <w:r>
              <w:rPr>
                <w:webHidden/>
              </w:rPr>
              <w:fldChar w:fldCharType="separate"/>
            </w:r>
            <w:r>
              <w:rPr>
                <w:webHidden/>
              </w:rPr>
              <w:t>2</w:t>
            </w:r>
            <w:r>
              <w:rPr>
                <w:webHidden/>
              </w:rPr>
              <w:fldChar w:fldCharType="end"/>
            </w:r>
          </w:hyperlink>
        </w:p>
        <w:p w14:paraId="63B72634" w14:textId="6510D626" w:rsidR="007459E9" w:rsidRDefault="007459E9">
          <w:pPr>
            <w:pStyle w:val="TOC1"/>
            <w:tabs>
              <w:tab w:val="right" w:leader="dot" w:pos="9016"/>
            </w:tabs>
          </w:pPr>
          <w:hyperlink w:anchor="_Toc228275924" w:history="1">
            <w:r w:rsidRPr="00231702">
              <w:rPr>
                <w:rStyle w:val="Hyperlink"/>
              </w:rPr>
              <w:t>Element 2: STDP Analysis</w:t>
            </w:r>
            <w:r>
              <w:rPr>
                <w:webHidden/>
              </w:rPr>
              <w:tab/>
            </w:r>
            <w:r>
              <w:rPr>
                <w:webHidden/>
              </w:rPr>
              <w:fldChar w:fldCharType="begin"/>
            </w:r>
            <w:r>
              <w:rPr>
                <w:webHidden/>
              </w:rPr>
              <w:instrText xml:space="preserve"> PAGEREF _Toc228275924 \h </w:instrText>
            </w:r>
            <w:r>
              <w:rPr>
                <w:webHidden/>
              </w:rPr>
            </w:r>
            <w:r>
              <w:rPr>
                <w:webHidden/>
              </w:rPr>
              <w:fldChar w:fldCharType="separate"/>
            </w:r>
            <w:r>
              <w:rPr>
                <w:webHidden/>
              </w:rPr>
              <w:t>2</w:t>
            </w:r>
            <w:r>
              <w:rPr>
                <w:webHidden/>
              </w:rPr>
              <w:fldChar w:fldCharType="end"/>
            </w:r>
          </w:hyperlink>
        </w:p>
        <w:p w14:paraId="0441726F" w14:textId="294050FD" w:rsidR="007459E9" w:rsidRDefault="007459E9">
          <w:pPr>
            <w:pStyle w:val="TOC2"/>
            <w:tabs>
              <w:tab w:val="right" w:leader="dot" w:pos="9016"/>
            </w:tabs>
          </w:pPr>
          <w:hyperlink w:anchor="_Toc228275925" w:history="1">
            <w:r w:rsidRPr="00231702">
              <w:rPr>
                <w:rStyle w:val="Hyperlink"/>
              </w:rPr>
              <w:t>2.1 Segmentation</w:t>
            </w:r>
            <w:r>
              <w:rPr>
                <w:webHidden/>
              </w:rPr>
              <w:tab/>
            </w:r>
            <w:r>
              <w:rPr>
                <w:webHidden/>
              </w:rPr>
              <w:fldChar w:fldCharType="begin"/>
            </w:r>
            <w:r>
              <w:rPr>
                <w:webHidden/>
              </w:rPr>
              <w:instrText xml:space="preserve"> PAGEREF _Toc228275925 \h </w:instrText>
            </w:r>
            <w:r>
              <w:rPr>
                <w:webHidden/>
              </w:rPr>
            </w:r>
            <w:r>
              <w:rPr>
                <w:webHidden/>
              </w:rPr>
              <w:fldChar w:fldCharType="separate"/>
            </w:r>
            <w:r>
              <w:rPr>
                <w:webHidden/>
              </w:rPr>
              <w:t>2</w:t>
            </w:r>
            <w:r>
              <w:rPr>
                <w:webHidden/>
              </w:rPr>
              <w:fldChar w:fldCharType="end"/>
            </w:r>
          </w:hyperlink>
        </w:p>
        <w:p w14:paraId="5DCFC21F" w14:textId="0F24B796" w:rsidR="007459E9" w:rsidRDefault="007459E9">
          <w:pPr>
            <w:pStyle w:val="TOC2"/>
            <w:tabs>
              <w:tab w:val="right" w:leader="dot" w:pos="9016"/>
            </w:tabs>
          </w:pPr>
          <w:hyperlink w:anchor="_Toc228275926" w:history="1">
            <w:r w:rsidRPr="00231702">
              <w:rPr>
                <w:rStyle w:val="Hyperlink"/>
              </w:rPr>
              <w:t>2.2 Targeting</w:t>
            </w:r>
            <w:r>
              <w:rPr>
                <w:webHidden/>
              </w:rPr>
              <w:tab/>
            </w:r>
            <w:r>
              <w:rPr>
                <w:webHidden/>
              </w:rPr>
              <w:fldChar w:fldCharType="begin"/>
            </w:r>
            <w:r>
              <w:rPr>
                <w:webHidden/>
              </w:rPr>
              <w:instrText xml:space="preserve"> PAGEREF _Toc228275926 \h </w:instrText>
            </w:r>
            <w:r>
              <w:rPr>
                <w:webHidden/>
              </w:rPr>
            </w:r>
            <w:r>
              <w:rPr>
                <w:webHidden/>
              </w:rPr>
              <w:fldChar w:fldCharType="separate"/>
            </w:r>
            <w:r>
              <w:rPr>
                <w:webHidden/>
              </w:rPr>
              <w:t>3</w:t>
            </w:r>
            <w:r>
              <w:rPr>
                <w:webHidden/>
              </w:rPr>
              <w:fldChar w:fldCharType="end"/>
            </w:r>
          </w:hyperlink>
        </w:p>
        <w:p w14:paraId="06570924" w14:textId="3A47E4BA" w:rsidR="007459E9" w:rsidRDefault="007459E9">
          <w:pPr>
            <w:pStyle w:val="TOC2"/>
            <w:tabs>
              <w:tab w:val="right" w:leader="dot" w:pos="9016"/>
            </w:tabs>
          </w:pPr>
          <w:hyperlink w:anchor="_Toc228275927" w:history="1">
            <w:r w:rsidRPr="00231702">
              <w:rPr>
                <w:rStyle w:val="Hyperlink"/>
              </w:rPr>
              <w:t>2.3 Differentiation</w:t>
            </w:r>
            <w:r>
              <w:rPr>
                <w:webHidden/>
              </w:rPr>
              <w:tab/>
            </w:r>
            <w:r>
              <w:rPr>
                <w:webHidden/>
              </w:rPr>
              <w:fldChar w:fldCharType="begin"/>
            </w:r>
            <w:r>
              <w:rPr>
                <w:webHidden/>
              </w:rPr>
              <w:instrText xml:space="preserve"> PAGEREF _Toc228275927 \h </w:instrText>
            </w:r>
            <w:r>
              <w:rPr>
                <w:webHidden/>
              </w:rPr>
            </w:r>
            <w:r>
              <w:rPr>
                <w:webHidden/>
              </w:rPr>
              <w:fldChar w:fldCharType="separate"/>
            </w:r>
            <w:r>
              <w:rPr>
                <w:webHidden/>
              </w:rPr>
              <w:t>3</w:t>
            </w:r>
            <w:r>
              <w:rPr>
                <w:webHidden/>
              </w:rPr>
              <w:fldChar w:fldCharType="end"/>
            </w:r>
          </w:hyperlink>
        </w:p>
        <w:p w14:paraId="54065071" w14:textId="7754791B" w:rsidR="007459E9" w:rsidRDefault="007459E9">
          <w:pPr>
            <w:pStyle w:val="TOC2"/>
            <w:tabs>
              <w:tab w:val="right" w:leader="dot" w:pos="9016"/>
            </w:tabs>
          </w:pPr>
          <w:hyperlink w:anchor="_Toc228275928" w:history="1">
            <w:r w:rsidRPr="00231702">
              <w:rPr>
                <w:rStyle w:val="Hyperlink"/>
              </w:rPr>
              <w:t>2.4 Positioning</w:t>
            </w:r>
            <w:r>
              <w:rPr>
                <w:webHidden/>
              </w:rPr>
              <w:tab/>
            </w:r>
            <w:r>
              <w:rPr>
                <w:webHidden/>
              </w:rPr>
              <w:fldChar w:fldCharType="begin"/>
            </w:r>
            <w:r>
              <w:rPr>
                <w:webHidden/>
              </w:rPr>
              <w:instrText xml:space="preserve"> PAGEREF _Toc228275928 \h </w:instrText>
            </w:r>
            <w:r>
              <w:rPr>
                <w:webHidden/>
              </w:rPr>
            </w:r>
            <w:r>
              <w:rPr>
                <w:webHidden/>
              </w:rPr>
              <w:fldChar w:fldCharType="separate"/>
            </w:r>
            <w:r>
              <w:rPr>
                <w:webHidden/>
              </w:rPr>
              <w:t>4</w:t>
            </w:r>
            <w:r>
              <w:rPr>
                <w:webHidden/>
              </w:rPr>
              <w:fldChar w:fldCharType="end"/>
            </w:r>
          </w:hyperlink>
        </w:p>
        <w:p w14:paraId="1148D8E5" w14:textId="4B643C38" w:rsidR="007459E9" w:rsidRDefault="007459E9">
          <w:pPr>
            <w:pStyle w:val="TOC1"/>
            <w:tabs>
              <w:tab w:val="right" w:leader="dot" w:pos="9016"/>
            </w:tabs>
          </w:pPr>
          <w:hyperlink w:anchor="_Toc228275929" w:history="1">
            <w:r w:rsidRPr="00231702">
              <w:rPr>
                <w:rStyle w:val="Hyperlink"/>
              </w:rPr>
              <w:t>Element 3: Marketing Mix</w:t>
            </w:r>
            <w:r>
              <w:rPr>
                <w:webHidden/>
              </w:rPr>
              <w:tab/>
            </w:r>
            <w:r>
              <w:rPr>
                <w:webHidden/>
              </w:rPr>
              <w:fldChar w:fldCharType="begin"/>
            </w:r>
            <w:r>
              <w:rPr>
                <w:webHidden/>
              </w:rPr>
              <w:instrText xml:space="preserve"> PAGEREF _Toc228275929 \h </w:instrText>
            </w:r>
            <w:r>
              <w:rPr>
                <w:webHidden/>
              </w:rPr>
            </w:r>
            <w:r>
              <w:rPr>
                <w:webHidden/>
              </w:rPr>
              <w:fldChar w:fldCharType="separate"/>
            </w:r>
            <w:r>
              <w:rPr>
                <w:webHidden/>
              </w:rPr>
              <w:t>4</w:t>
            </w:r>
            <w:r>
              <w:rPr>
                <w:webHidden/>
              </w:rPr>
              <w:fldChar w:fldCharType="end"/>
            </w:r>
          </w:hyperlink>
        </w:p>
        <w:p w14:paraId="32B57480" w14:textId="0F7CF90F" w:rsidR="007459E9" w:rsidRDefault="007459E9">
          <w:pPr>
            <w:pStyle w:val="TOC2"/>
            <w:tabs>
              <w:tab w:val="right" w:leader="dot" w:pos="9016"/>
            </w:tabs>
          </w:pPr>
          <w:hyperlink w:anchor="_Toc228275930" w:history="1">
            <w:r w:rsidRPr="00231702">
              <w:rPr>
                <w:rStyle w:val="Hyperlink"/>
              </w:rPr>
              <w:t>3.1 Product</w:t>
            </w:r>
            <w:r>
              <w:rPr>
                <w:webHidden/>
              </w:rPr>
              <w:tab/>
            </w:r>
            <w:r>
              <w:rPr>
                <w:webHidden/>
              </w:rPr>
              <w:fldChar w:fldCharType="begin"/>
            </w:r>
            <w:r>
              <w:rPr>
                <w:webHidden/>
              </w:rPr>
              <w:instrText xml:space="preserve"> PAGEREF _Toc228275930 \h </w:instrText>
            </w:r>
            <w:r>
              <w:rPr>
                <w:webHidden/>
              </w:rPr>
            </w:r>
            <w:r>
              <w:rPr>
                <w:webHidden/>
              </w:rPr>
              <w:fldChar w:fldCharType="separate"/>
            </w:r>
            <w:r>
              <w:rPr>
                <w:webHidden/>
              </w:rPr>
              <w:t>4</w:t>
            </w:r>
            <w:r>
              <w:rPr>
                <w:webHidden/>
              </w:rPr>
              <w:fldChar w:fldCharType="end"/>
            </w:r>
          </w:hyperlink>
        </w:p>
        <w:p w14:paraId="76432BE3" w14:textId="5CFFEF70" w:rsidR="007459E9" w:rsidRDefault="007459E9">
          <w:pPr>
            <w:pStyle w:val="TOC2"/>
            <w:tabs>
              <w:tab w:val="right" w:leader="dot" w:pos="9016"/>
            </w:tabs>
          </w:pPr>
          <w:hyperlink w:anchor="_Toc228275931" w:history="1">
            <w:r w:rsidRPr="00231702">
              <w:rPr>
                <w:rStyle w:val="Hyperlink"/>
              </w:rPr>
              <w:t>3.2 Price</w:t>
            </w:r>
            <w:r>
              <w:rPr>
                <w:webHidden/>
              </w:rPr>
              <w:tab/>
            </w:r>
            <w:r>
              <w:rPr>
                <w:webHidden/>
              </w:rPr>
              <w:fldChar w:fldCharType="begin"/>
            </w:r>
            <w:r>
              <w:rPr>
                <w:webHidden/>
              </w:rPr>
              <w:instrText xml:space="preserve"> PAGEREF _Toc228275931 \h </w:instrText>
            </w:r>
            <w:r>
              <w:rPr>
                <w:webHidden/>
              </w:rPr>
            </w:r>
            <w:r>
              <w:rPr>
                <w:webHidden/>
              </w:rPr>
              <w:fldChar w:fldCharType="separate"/>
            </w:r>
            <w:r>
              <w:rPr>
                <w:webHidden/>
              </w:rPr>
              <w:t>5</w:t>
            </w:r>
            <w:r>
              <w:rPr>
                <w:webHidden/>
              </w:rPr>
              <w:fldChar w:fldCharType="end"/>
            </w:r>
          </w:hyperlink>
        </w:p>
        <w:p w14:paraId="09F7980F" w14:textId="27C06667" w:rsidR="007459E9" w:rsidRDefault="007459E9">
          <w:pPr>
            <w:pStyle w:val="TOC2"/>
            <w:tabs>
              <w:tab w:val="right" w:leader="dot" w:pos="9016"/>
            </w:tabs>
          </w:pPr>
          <w:hyperlink w:anchor="_Toc228275932" w:history="1">
            <w:r w:rsidRPr="00231702">
              <w:rPr>
                <w:rStyle w:val="Hyperlink"/>
              </w:rPr>
              <w:t>3.3 Place</w:t>
            </w:r>
            <w:r>
              <w:rPr>
                <w:webHidden/>
              </w:rPr>
              <w:tab/>
            </w:r>
            <w:r>
              <w:rPr>
                <w:webHidden/>
              </w:rPr>
              <w:fldChar w:fldCharType="begin"/>
            </w:r>
            <w:r>
              <w:rPr>
                <w:webHidden/>
              </w:rPr>
              <w:instrText xml:space="preserve"> PAGEREF _Toc228275932 \h </w:instrText>
            </w:r>
            <w:r>
              <w:rPr>
                <w:webHidden/>
              </w:rPr>
            </w:r>
            <w:r>
              <w:rPr>
                <w:webHidden/>
              </w:rPr>
              <w:fldChar w:fldCharType="separate"/>
            </w:r>
            <w:r>
              <w:rPr>
                <w:webHidden/>
              </w:rPr>
              <w:t>5</w:t>
            </w:r>
            <w:r>
              <w:rPr>
                <w:webHidden/>
              </w:rPr>
              <w:fldChar w:fldCharType="end"/>
            </w:r>
          </w:hyperlink>
        </w:p>
        <w:p w14:paraId="7A911CD6" w14:textId="7EBA3CE0" w:rsidR="007459E9" w:rsidRDefault="007459E9">
          <w:pPr>
            <w:pStyle w:val="TOC2"/>
            <w:tabs>
              <w:tab w:val="right" w:leader="dot" w:pos="9016"/>
            </w:tabs>
          </w:pPr>
          <w:hyperlink w:anchor="_Toc228275933" w:history="1">
            <w:r w:rsidRPr="00231702">
              <w:rPr>
                <w:rStyle w:val="Hyperlink"/>
              </w:rPr>
              <w:t>3.4 Promotion</w:t>
            </w:r>
            <w:r>
              <w:rPr>
                <w:webHidden/>
              </w:rPr>
              <w:tab/>
            </w:r>
            <w:r>
              <w:rPr>
                <w:webHidden/>
              </w:rPr>
              <w:fldChar w:fldCharType="begin"/>
            </w:r>
            <w:r>
              <w:rPr>
                <w:webHidden/>
              </w:rPr>
              <w:instrText xml:space="preserve"> PAGEREF _Toc228275933 \h </w:instrText>
            </w:r>
            <w:r>
              <w:rPr>
                <w:webHidden/>
              </w:rPr>
            </w:r>
            <w:r>
              <w:rPr>
                <w:webHidden/>
              </w:rPr>
              <w:fldChar w:fldCharType="separate"/>
            </w:r>
            <w:r>
              <w:rPr>
                <w:webHidden/>
              </w:rPr>
              <w:t>6</w:t>
            </w:r>
            <w:r>
              <w:rPr>
                <w:webHidden/>
              </w:rPr>
              <w:fldChar w:fldCharType="end"/>
            </w:r>
          </w:hyperlink>
        </w:p>
        <w:p w14:paraId="2C0C3016" w14:textId="25865A9F" w:rsidR="007459E9" w:rsidRDefault="007459E9">
          <w:pPr>
            <w:pStyle w:val="TOC1"/>
            <w:tabs>
              <w:tab w:val="right" w:leader="dot" w:pos="9016"/>
            </w:tabs>
          </w:pPr>
          <w:hyperlink w:anchor="_Toc228275934" w:history="1">
            <w:r w:rsidRPr="00231702">
              <w:rPr>
                <w:rStyle w:val="Hyperlink"/>
              </w:rPr>
              <w:t>Element 4: Reflection</w:t>
            </w:r>
            <w:r>
              <w:rPr>
                <w:webHidden/>
              </w:rPr>
              <w:tab/>
            </w:r>
            <w:r>
              <w:rPr>
                <w:webHidden/>
              </w:rPr>
              <w:fldChar w:fldCharType="begin"/>
            </w:r>
            <w:r>
              <w:rPr>
                <w:webHidden/>
              </w:rPr>
              <w:instrText xml:space="preserve"> PAGEREF _Toc228275934 \h </w:instrText>
            </w:r>
            <w:r>
              <w:rPr>
                <w:webHidden/>
              </w:rPr>
            </w:r>
            <w:r>
              <w:rPr>
                <w:webHidden/>
              </w:rPr>
              <w:fldChar w:fldCharType="separate"/>
            </w:r>
            <w:r>
              <w:rPr>
                <w:webHidden/>
              </w:rPr>
              <w:t>6</w:t>
            </w:r>
            <w:r>
              <w:rPr>
                <w:webHidden/>
              </w:rPr>
              <w:fldChar w:fldCharType="end"/>
            </w:r>
          </w:hyperlink>
        </w:p>
        <w:p w14:paraId="6A9D76A9" w14:textId="31873CFF" w:rsidR="007459E9" w:rsidRDefault="007459E9">
          <w:pPr>
            <w:pStyle w:val="TOC2"/>
            <w:tabs>
              <w:tab w:val="right" w:leader="dot" w:pos="9016"/>
            </w:tabs>
          </w:pPr>
          <w:hyperlink w:anchor="_Toc228275935" w:history="1">
            <w:r w:rsidRPr="00231702">
              <w:rPr>
                <w:rStyle w:val="Hyperlink"/>
              </w:rPr>
              <w:t>4.1 Learning Experience</w:t>
            </w:r>
            <w:r>
              <w:rPr>
                <w:webHidden/>
              </w:rPr>
              <w:tab/>
            </w:r>
            <w:r>
              <w:rPr>
                <w:webHidden/>
              </w:rPr>
              <w:fldChar w:fldCharType="begin"/>
            </w:r>
            <w:r>
              <w:rPr>
                <w:webHidden/>
              </w:rPr>
              <w:instrText xml:space="preserve"> PAGEREF _Toc228275935 \h </w:instrText>
            </w:r>
            <w:r>
              <w:rPr>
                <w:webHidden/>
              </w:rPr>
            </w:r>
            <w:r>
              <w:rPr>
                <w:webHidden/>
              </w:rPr>
              <w:fldChar w:fldCharType="separate"/>
            </w:r>
            <w:r>
              <w:rPr>
                <w:webHidden/>
              </w:rPr>
              <w:t>6</w:t>
            </w:r>
            <w:r>
              <w:rPr>
                <w:webHidden/>
              </w:rPr>
              <w:fldChar w:fldCharType="end"/>
            </w:r>
          </w:hyperlink>
        </w:p>
        <w:p w14:paraId="35DE13DA" w14:textId="0C9D877E" w:rsidR="007459E9" w:rsidRDefault="007459E9">
          <w:pPr>
            <w:pStyle w:val="TOC2"/>
            <w:tabs>
              <w:tab w:val="right" w:leader="dot" w:pos="9016"/>
            </w:tabs>
          </w:pPr>
          <w:hyperlink w:anchor="_Toc228275936" w:history="1">
            <w:r w:rsidRPr="00231702">
              <w:rPr>
                <w:rStyle w:val="Hyperlink"/>
              </w:rPr>
              <w:t>4.2 Skills Developed</w:t>
            </w:r>
            <w:r>
              <w:rPr>
                <w:webHidden/>
              </w:rPr>
              <w:tab/>
            </w:r>
            <w:r>
              <w:rPr>
                <w:webHidden/>
              </w:rPr>
              <w:fldChar w:fldCharType="begin"/>
            </w:r>
            <w:r>
              <w:rPr>
                <w:webHidden/>
              </w:rPr>
              <w:instrText xml:space="preserve"> PAGEREF _Toc228275936 \h </w:instrText>
            </w:r>
            <w:r>
              <w:rPr>
                <w:webHidden/>
              </w:rPr>
            </w:r>
            <w:r>
              <w:rPr>
                <w:webHidden/>
              </w:rPr>
              <w:fldChar w:fldCharType="separate"/>
            </w:r>
            <w:r>
              <w:rPr>
                <w:webHidden/>
              </w:rPr>
              <w:t>7</w:t>
            </w:r>
            <w:r>
              <w:rPr>
                <w:webHidden/>
              </w:rPr>
              <w:fldChar w:fldCharType="end"/>
            </w:r>
          </w:hyperlink>
        </w:p>
        <w:p w14:paraId="23AC5F99" w14:textId="11F0B578" w:rsidR="007459E9" w:rsidRDefault="007459E9">
          <w:pPr>
            <w:pStyle w:val="TOC2"/>
            <w:tabs>
              <w:tab w:val="right" w:leader="dot" w:pos="9016"/>
            </w:tabs>
          </w:pPr>
          <w:hyperlink w:anchor="_Toc228275937" w:history="1">
            <w:r w:rsidRPr="00231702">
              <w:rPr>
                <w:rStyle w:val="Hyperlink"/>
              </w:rPr>
              <w:t>4.3 Future Improvements</w:t>
            </w:r>
            <w:r>
              <w:rPr>
                <w:webHidden/>
              </w:rPr>
              <w:tab/>
            </w:r>
            <w:r>
              <w:rPr>
                <w:webHidden/>
              </w:rPr>
              <w:fldChar w:fldCharType="begin"/>
            </w:r>
            <w:r>
              <w:rPr>
                <w:webHidden/>
              </w:rPr>
              <w:instrText xml:space="preserve"> PAGEREF _Toc228275937 \h </w:instrText>
            </w:r>
            <w:r>
              <w:rPr>
                <w:webHidden/>
              </w:rPr>
            </w:r>
            <w:r>
              <w:rPr>
                <w:webHidden/>
              </w:rPr>
              <w:fldChar w:fldCharType="separate"/>
            </w:r>
            <w:r>
              <w:rPr>
                <w:webHidden/>
              </w:rPr>
              <w:t>7</w:t>
            </w:r>
            <w:r>
              <w:rPr>
                <w:webHidden/>
              </w:rPr>
              <w:fldChar w:fldCharType="end"/>
            </w:r>
          </w:hyperlink>
        </w:p>
        <w:p w14:paraId="26DC3C69" w14:textId="5C26F92E" w:rsidR="007459E9" w:rsidRDefault="007459E9">
          <w:pPr>
            <w:pStyle w:val="TOC2"/>
            <w:tabs>
              <w:tab w:val="right" w:leader="dot" w:pos="9016"/>
            </w:tabs>
          </w:pPr>
          <w:hyperlink w:anchor="_Toc228275938" w:history="1">
            <w:r w:rsidRPr="00231702">
              <w:rPr>
                <w:rStyle w:val="Hyperlink"/>
              </w:rPr>
              <w:t>References</w:t>
            </w:r>
            <w:r>
              <w:rPr>
                <w:webHidden/>
              </w:rPr>
              <w:tab/>
            </w:r>
            <w:r>
              <w:rPr>
                <w:webHidden/>
              </w:rPr>
              <w:fldChar w:fldCharType="begin"/>
            </w:r>
            <w:r>
              <w:rPr>
                <w:webHidden/>
              </w:rPr>
              <w:instrText xml:space="preserve"> PAGEREF _Toc228275938 \h </w:instrText>
            </w:r>
            <w:r>
              <w:rPr>
                <w:webHidden/>
              </w:rPr>
            </w:r>
            <w:r>
              <w:rPr>
                <w:webHidden/>
              </w:rPr>
              <w:fldChar w:fldCharType="separate"/>
            </w:r>
            <w:r>
              <w:rPr>
                <w:webHidden/>
              </w:rPr>
              <w:t>8</w:t>
            </w:r>
            <w:r>
              <w:rPr>
                <w:webHidden/>
              </w:rPr>
              <w:fldChar w:fldCharType="end"/>
            </w:r>
          </w:hyperlink>
        </w:p>
        <w:p w14:paraId="6A065B17" w14:textId="4A06F654" w:rsidR="007459E9" w:rsidRDefault="007459E9">
          <w:pPr>
            <w:pStyle w:val="TOC2"/>
            <w:tabs>
              <w:tab w:val="right" w:leader="dot" w:pos="9016"/>
            </w:tabs>
          </w:pPr>
          <w:hyperlink w:anchor="_Toc228275939" w:history="1">
            <w:r w:rsidRPr="00231702">
              <w:rPr>
                <w:rStyle w:val="Hyperlink"/>
              </w:rPr>
              <w:t>Appendix</w:t>
            </w:r>
            <w:r>
              <w:rPr>
                <w:webHidden/>
              </w:rPr>
              <w:tab/>
            </w:r>
            <w:r>
              <w:rPr>
                <w:webHidden/>
              </w:rPr>
              <w:fldChar w:fldCharType="begin"/>
            </w:r>
            <w:r>
              <w:rPr>
                <w:webHidden/>
              </w:rPr>
              <w:instrText xml:space="preserve"> PAGEREF _Toc228275939 \h </w:instrText>
            </w:r>
            <w:r>
              <w:rPr>
                <w:webHidden/>
              </w:rPr>
            </w:r>
            <w:r>
              <w:rPr>
                <w:webHidden/>
              </w:rPr>
              <w:fldChar w:fldCharType="separate"/>
            </w:r>
            <w:r>
              <w:rPr>
                <w:webHidden/>
              </w:rPr>
              <w:t>9</w:t>
            </w:r>
            <w:r>
              <w:rPr>
                <w:webHidden/>
              </w:rPr>
              <w:fldChar w:fldCharType="end"/>
            </w:r>
          </w:hyperlink>
        </w:p>
        <w:p w14:paraId="2ED5D2CB" w14:textId="0824DF84" w:rsidR="007459E9" w:rsidRDefault="007459E9">
          <w:r>
            <w:rPr>
              <w:b/>
              <w:bCs/>
            </w:rPr>
            <w:fldChar w:fldCharType="end"/>
          </w:r>
        </w:p>
      </w:sdtContent>
    </w:sdt>
    <w:p w14:paraId="221F912B" w14:textId="7802FE8B" w:rsidR="007459E9" w:rsidRDefault="007459E9">
      <w:pPr>
        <w:jc w:val="left"/>
      </w:pPr>
      <w:r>
        <w:br w:type="page"/>
      </w:r>
    </w:p>
    <w:p w14:paraId="6BDAAD04" w14:textId="77777777" w:rsidR="007459E9" w:rsidRDefault="007459E9" w:rsidP="00266E7B">
      <w:pPr>
        <w:pStyle w:val="Heading1"/>
        <w:sectPr w:rsidR="007459E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bookmarkStart w:id="0" w:name="_Toc228275922"/>
    </w:p>
    <w:p w14:paraId="1576B9D2" w14:textId="3C937636" w:rsidR="00266E7B" w:rsidRDefault="00266E7B" w:rsidP="00266E7B">
      <w:pPr>
        <w:pStyle w:val="Heading1"/>
      </w:pPr>
      <w:r>
        <w:lastRenderedPageBreak/>
        <w:t>Element 1: Brand Extension</w:t>
      </w:r>
      <w:bookmarkEnd w:id="0"/>
    </w:p>
    <w:p w14:paraId="00E24B96" w14:textId="05AE942A" w:rsidR="00F06185" w:rsidRDefault="00F06185" w:rsidP="00266E7B">
      <w:pPr>
        <w:pStyle w:val="Heading2"/>
      </w:pPr>
      <w:bookmarkStart w:id="1" w:name="_Toc228275923"/>
      <w:r>
        <w:t>1. Introduction</w:t>
      </w:r>
      <w:bookmarkEnd w:id="1"/>
    </w:p>
    <w:p w14:paraId="047A579E" w14:textId="77777777" w:rsidR="00F06185" w:rsidRDefault="00F06185" w:rsidP="00F06185">
      <w:r>
        <w:t>Since its creation in 1993 by Jensen Huang, Chris Malachowsky and Curtis Priem, NVIDIA has become one of the global leaders in artificial intelligence, accelerated computing and innovation of GPUs, changing the industries of gaming, healthcare, and the enterprise technology (NVIDIA, 2024). Based on this technological advantage, NVIDIA NeuroBand is suggested as a high-end wearable brain-computer interface that combines AI-guided neurofeedback, cognitive enhancement, wellness analytics and immersive gaming features. This is a strategic brand extension that rides on the rising world demand of wearable health technologies, customised wellbeing solutions and advanced digital experiences. NeuroBand will position NVIDIA at the forefront of the innovation market and generate new revenue streams by diversifying into consumer neurotechnology. Competitive advantage and brand value in the long run are further enhanced by sustainable materials and energy-efficient design (Statista, 2024; Deloitte, 2023).</w:t>
      </w:r>
    </w:p>
    <w:p w14:paraId="647FFC9F" w14:textId="77777777" w:rsidR="00F06185" w:rsidRDefault="00F06185" w:rsidP="00F06185"/>
    <w:p w14:paraId="1D0B5C41" w14:textId="77777777" w:rsidR="00F06185" w:rsidRDefault="00F06185" w:rsidP="00266E7B">
      <w:pPr>
        <w:pStyle w:val="Heading1"/>
      </w:pPr>
      <w:bookmarkStart w:id="2" w:name="_Toc228275924"/>
      <w:r>
        <w:t>Element 2: STDP Analysis</w:t>
      </w:r>
      <w:bookmarkEnd w:id="2"/>
      <w:r>
        <w:t xml:space="preserve"> </w:t>
      </w:r>
    </w:p>
    <w:p w14:paraId="57DEE0D6" w14:textId="77777777" w:rsidR="00F06185" w:rsidRDefault="00F06185" w:rsidP="00266E7B">
      <w:pPr>
        <w:pStyle w:val="Heading2"/>
      </w:pPr>
      <w:bookmarkStart w:id="3" w:name="_Toc228275925"/>
      <w:r>
        <w:t>2.1 Segmentation</w:t>
      </w:r>
      <w:bookmarkEnd w:id="3"/>
    </w:p>
    <w:p w14:paraId="1C644690" w14:textId="77777777" w:rsidR="00F06185" w:rsidRDefault="00F06185" w:rsidP="00F06185">
      <w:r>
        <w:t>NVIDIA NeuroBand aims to reach precisely set global market segments by geographic, demographic, psychographic and behavioural factors to achieve optimal commercial viability. Geographically, North America, Europe and Asia-Pacific, especially high-tech urban centres, which are strongest in terms of advanced digital infrastructure, premium purchasing power and early adaptability to wearable technologies, are the main markets (Statista, 2024). These markets lead in the world wearable technology consumption because of greater disposable incomes and acceptance of AI-based products.</w:t>
      </w:r>
    </w:p>
    <w:p w14:paraId="4DF3CD77" w14:textId="77777777" w:rsidR="00F06185" w:rsidRDefault="00F06185" w:rsidP="00F06185">
      <w:r>
        <w:t>NeuroBand is primarily targeted at the 18-45 demographic, encompassing high-end professionals, competitive gamers, technology lovers, and health-conscious individuals who want to enhance their productivity. This segment generally has a high-income potential and therefore it is very appropriate to the high-value pricing strategy of NVIDIA. Psychographically, the brand targets innovators and early adopters, performance-oriented users and the wellness consumer segment, who care about technological excellence, self-optimisation, and futuristic digital experiences. Such consumers will embrace neurotechnology solutions, which integrate lifestyle improvement with luxury.</w:t>
      </w:r>
    </w:p>
    <w:p w14:paraId="1D1E2F31" w14:textId="77777777" w:rsidR="00F06185" w:rsidRDefault="00F06185" w:rsidP="00F06185">
      <w:r>
        <w:t xml:space="preserve">On the behavioural front, the target group comprises of high-technology users, high-end electronics purchasers and current members of the wider NVIDIA ecosystem of AI and gaming. These consumers exhibit great brand loyalty, upgrades and readiness to invest in new technologies. The rationale behind this segmentation approach is the </w:t>
      </w:r>
      <w:r>
        <w:lastRenderedPageBreak/>
        <w:t>fast-growing global market in wearable AI, which is bound to increase significantly as more people become interested in personalised health tracking and the experience of living in a digital world (Deloitte, 2023).</w:t>
      </w:r>
    </w:p>
    <w:p w14:paraId="2A051FED" w14:textId="77777777" w:rsidR="00F06185" w:rsidRDefault="00F06185" w:rsidP="00F06185"/>
    <w:p w14:paraId="21A6989F" w14:textId="77777777" w:rsidR="00F06185" w:rsidRDefault="00F06185" w:rsidP="00266E7B">
      <w:pPr>
        <w:pStyle w:val="Heading2"/>
      </w:pPr>
      <w:bookmarkStart w:id="4" w:name="_Toc228275926"/>
      <w:r>
        <w:t>2.2 Targeting</w:t>
      </w:r>
      <w:bookmarkEnd w:id="4"/>
    </w:p>
    <w:p w14:paraId="0F39D738" w14:textId="77777777" w:rsidR="00F06185" w:rsidRDefault="00F06185" w:rsidP="00F06185">
      <w:r>
        <w:t>NVIDIA NeuroBand uses a differentiated targeting approach, concentrating its efforts on elite gamers, technology users and cognitive performance users, and secondarily addressing wellness consumers and healthcare monitoring market segments. Elite gamers are an extremely lucrative market because they require immersive experiences, performance-enhancing experiences, whereas tech professionals require optimisation of productivity, stress relief and mental efficiency. Cognitive performance consumers, such as entrepreneurs and digital creatives, have a significant premium-market potential because of the growing interest in biohacking and mental performance technologies.</w:t>
      </w:r>
    </w:p>
    <w:p w14:paraId="39022F73" w14:textId="77777777" w:rsidR="00F06185" w:rsidRDefault="00F06185" w:rsidP="00F06185">
      <w:r>
        <w:t>Secondary markets contain wellness-oriented customers who may be interested in sleeptracking, neurofeedback and stressresponse, and healthcare sectors that are considering preventative cognitive monitoring applications. This two market strategy will enable NVIDIA to enter into several high growth segments and retain high-end niche status.</w:t>
      </w:r>
    </w:p>
    <w:p w14:paraId="23E319C8" w14:textId="77777777" w:rsidR="00F06185" w:rsidRDefault="00F06185" w:rsidP="00F06185">
      <w:r>
        <w:t>These segments offer the best profitability, owing to their high purchasing power, high technology adoption and alignment with innovation-oriented brand image of NVIDIA. Moreover, by targeting the consumers who have already become a part of the NVIDIA gaming and AI ecosystem, the market entry can be minimized and the potential of customer retention will increase (McKinsey, 2024).</w:t>
      </w:r>
    </w:p>
    <w:p w14:paraId="5A60E0AD" w14:textId="77777777" w:rsidR="00F06185" w:rsidRDefault="00F06185" w:rsidP="00F06185"/>
    <w:p w14:paraId="51983094" w14:textId="77777777" w:rsidR="00F06185" w:rsidRDefault="00F06185" w:rsidP="00266E7B">
      <w:pPr>
        <w:pStyle w:val="Heading2"/>
      </w:pPr>
      <w:bookmarkStart w:id="5" w:name="_Toc228275927"/>
      <w:r>
        <w:t>2.3 Differentiation</w:t>
      </w:r>
      <w:bookmarkEnd w:id="5"/>
    </w:p>
    <w:p w14:paraId="568C6E8A" w14:textId="77777777" w:rsidR="00F06185" w:rsidRDefault="00F06185" w:rsidP="00F06185">
      <w:r>
        <w:t>Compared to its rivals, including Apple Vision Pro, Neuralink and Meta wearables, NVIDIA NeuroBand stands out in its own way due to its novel combination of high-tech AI computing, neurofeedback, and consumer-friendly cognitive improvement. As Apple is more focused on space computing and ecosystem connectivity, and Neuralink is mainly focused on neural implantation of the medical grade, NVIDIA places NeuroBand strategically in non-invasive and high-end neurotechnology to mainstream consumers. The wearable ecosystem of Meta, though an immersive one, does not have the same level of deep AI processing and cognitive optimisation as NVIDIA.</w:t>
      </w:r>
    </w:p>
    <w:p w14:paraId="647976A1" w14:textId="77777777" w:rsidR="00F06185" w:rsidRDefault="00F06185" w:rsidP="00F06185">
      <w:r>
        <w:t xml:space="preserve">The proven legacy of NVIDIA in real-time processing of graphics cards, AI infrastructure and game development generate significant competitive advantages that are hard to duplicate because the company has decades of experience in accelerated computing. It also provides a unique multi-functional product through neurofeedback, wellness analytics and mind-controlled gaming. Energy-efficient design and recycled materials also contribute to sustainability, which is connected to </w:t>
      </w:r>
      <w:r>
        <w:lastRenderedPageBreak/>
        <w:t>differentiation in reaction to the currently popular ethical demands of consumers (Accenture, 2023).</w:t>
      </w:r>
    </w:p>
    <w:p w14:paraId="22C8D7CE" w14:textId="77777777" w:rsidR="00F06185" w:rsidRDefault="00F06185" w:rsidP="00F06185"/>
    <w:p w14:paraId="0E0BC119" w14:textId="77777777" w:rsidR="00F06185" w:rsidRDefault="00F06185" w:rsidP="00266E7B">
      <w:pPr>
        <w:pStyle w:val="Heading2"/>
      </w:pPr>
      <w:bookmarkStart w:id="6" w:name="_Toc228275928"/>
      <w:r>
        <w:t>2.4 Positioning</w:t>
      </w:r>
      <w:bookmarkEnd w:id="6"/>
    </w:p>
    <w:p w14:paraId="73FB8597" w14:textId="77777777" w:rsidR="00F06185" w:rsidRDefault="00F06185" w:rsidP="00F06185">
      <w:r>
        <w:t>NVIDIA NeuroBand is packaged as a high-end AI-driven cognitive wearable that improves performance, gaming and wellness by using intelligent brain-computer interaction. This branding is a strategy that brings together innovation, prestige, high-performance technology and sustainability, which solidify the image of NVIDIA as a market leader of the future.</w:t>
      </w:r>
    </w:p>
    <w:p w14:paraId="1340E3D3" w14:textId="77777777" w:rsidR="00F06185" w:rsidRDefault="00F06185" w:rsidP="00F06185">
      <w:r>
        <w:t>The product is in a high value market segment where hi-tech neurotechnology meets high-end consumer electronics, and its customer segment is a user who is seeking practical cognitive value and aspirational technological identity. This positioning will help NeuroBand stand out as not just a wearable device, but an elite performance ecosystem.</w:t>
      </w:r>
    </w:p>
    <w:p w14:paraId="6055F45B" w14:textId="3B70D3C5" w:rsidR="006B01C2" w:rsidRDefault="00F06185" w:rsidP="00F06185">
      <w:r>
        <w:t>An innovation versus consumer utility positioning map would make NeuroBand a leader in both technological complexity and practicality in everyday use, further enhancing its competitive position in new markets of consumer neurotechnology (Kotler et al., 2024).</w:t>
      </w:r>
    </w:p>
    <w:p w14:paraId="79C2FF67" w14:textId="77777777" w:rsidR="00F06185" w:rsidRDefault="00F06185" w:rsidP="00F06185"/>
    <w:p w14:paraId="53D6EA20" w14:textId="77777777" w:rsidR="00F06185" w:rsidRDefault="00F06185" w:rsidP="00266E7B">
      <w:pPr>
        <w:pStyle w:val="Heading1"/>
      </w:pPr>
      <w:bookmarkStart w:id="7" w:name="_Toc228275929"/>
      <w:r>
        <w:t>Element 3: Marketing Mix</w:t>
      </w:r>
      <w:bookmarkEnd w:id="7"/>
    </w:p>
    <w:p w14:paraId="76E0B7DF" w14:textId="77777777" w:rsidR="00F06185" w:rsidRDefault="00F06185" w:rsidP="00266E7B">
      <w:pPr>
        <w:pStyle w:val="Heading2"/>
      </w:pPr>
      <w:bookmarkStart w:id="8" w:name="_Toc228275930"/>
      <w:r>
        <w:t>3.1 Product</w:t>
      </w:r>
      <w:bookmarkEnd w:id="8"/>
    </w:p>
    <w:p w14:paraId="25FAD595" w14:textId="77777777" w:rsidR="00F06185" w:rsidRDefault="00F06185" w:rsidP="00F06185">
      <w:r>
        <w:t>NVIDIA NeuroBand is a new high-end wearable device that will strategically expand NVIDIA technological dominance into consumer neurotechnology market. Fundamentally, the product provides cognitive improvements, productivity and interactive digital experiences with advanced brain-computer interfaces. With real-time EEG tracking, AI-based neurofeedback and machine learning analytics, NeuroBand allows users to enhance their focus, mental performance, stress management and sleep quality and hands-free gaming experiences.</w:t>
      </w:r>
    </w:p>
    <w:p w14:paraId="22E07A71" w14:textId="77777777" w:rsidR="00F06185" w:rsidRDefault="00F06185" w:rsidP="00F06185">
      <w:r>
        <w:t>In the real product sense, NeuroBand is a smooth, energy-efficient wearable chip that has the ability to sense the EEG, neurofeedback software, cognitive analytics dashboards and flawless integration with the wider NVIDIA AI, gaming, and cloud platform. Embedding with GeForce gaming systems, enterprise AI systems and health systems are a great way to add value to products by building dependency on ecosystems and cross-platform use.</w:t>
      </w:r>
    </w:p>
    <w:p w14:paraId="18C5F534" w14:textId="77777777" w:rsidR="00F06185" w:rsidRDefault="00F06185" w:rsidP="00F06185">
      <w:r>
        <w:t xml:space="preserve">The augmented product will consist of cognitive insights delivered in form of subscriptions, and individualised wellness suggestions, software updates, high-value customer care and possible healthcare integration, which will intensify customer involvement over time and recurring revenue flows. The theory of product innovation will help the position of NeuroBand as a disruptive technology that applies the current </w:t>
      </w:r>
      <w:r>
        <w:lastRenderedPageBreak/>
        <w:t>AI knowledge and developing wearable neurotechnology to develop differentiated market value (Kotler et al., 2024).</w:t>
      </w:r>
    </w:p>
    <w:p w14:paraId="7D5C8F8C" w14:textId="77777777" w:rsidR="00F06185" w:rsidRDefault="00F06185" w:rsidP="00F06185">
      <w:r>
        <w:t>But to the cognitive data privacy, neurological surveillance and informed consent, ethical issues are involved and need critical strategic management. Handling sensitive brainwave data can lead to consumer mistrust, and strong cybersecurity, clear data policies and regulations are needed to ensure the sustainability of a successful brand (PwC, 2023).</w:t>
      </w:r>
    </w:p>
    <w:p w14:paraId="62FBEEE2" w14:textId="77777777" w:rsidR="00F06185" w:rsidRDefault="00F06185" w:rsidP="00F06185"/>
    <w:p w14:paraId="76084C35" w14:textId="77777777" w:rsidR="00F06185" w:rsidRPr="00266E7B" w:rsidRDefault="00F06185" w:rsidP="00266E7B">
      <w:pPr>
        <w:pStyle w:val="Heading2"/>
      </w:pPr>
      <w:bookmarkStart w:id="9" w:name="_Toc228275931"/>
      <w:r>
        <w:t>3.2 Price</w:t>
      </w:r>
      <w:bookmarkEnd w:id="9"/>
    </w:p>
    <w:p w14:paraId="376093FA" w14:textId="77777777" w:rsidR="00F06185" w:rsidRDefault="00F06185" w:rsidP="00F06185">
      <w:r>
        <w:t>NVIDIA NeuroBand ought to implement a premium pricing and market-skimming approach to mirror its technological capabilities, leadership in exclusivity and innovations. Being an early entrant in mainstream AI-driven cognitive wearables, a high price helps drive a sense of quality of the product, prestige and technological advantage, which attracts high-end early adopters who are willing to spend on cutting-edge technology.</w:t>
      </w:r>
    </w:p>
    <w:p w14:paraId="0F19A814" w14:textId="77777777" w:rsidR="00F06185" w:rsidRDefault="00F06185" w:rsidP="00F06185">
      <w:r>
        <w:t>The value-based pricing is especially suitable, because NeuroBand can provide a high level of functional, psychological and social value to the consumers in the form of increased productivity, immersive gaming and personalised wellness advantages. With this strategy NVIDIA is able to maximise profitability and recoup significant research and development investments.</w:t>
      </w:r>
    </w:p>
    <w:p w14:paraId="6651BAF7" w14:textId="77777777" w:rsidR="00F06185" w:rsidRDefault="00F06185" w:rsidP="00F06185">
      <w:r>
        <w:t>Also, a subscription plan to the advanced AI analytics, neurofeedback coaching and premium wellness insights can be used to create recurrent income and raise customer LTV. The financial sustainability is enhanced by such pricing diversification, and it also contributes to the integration of the ecosystem in the long run. Premium pricing is also in line with the brand image that NVIDIA has built, which makes it less sensitive to the price, among target consumers (McKinsey, 2024).</w:t>
      </w:r>
    </w:p>
    <w:p w14:paraId="687E7C4E" w14:textId="77777777" w:rsidR="00F06185" w:rsidRDefault="00F06185" w:rsidP="00F06185"/>
    <w:p w14:paraId="5773AFB9" w14:textId="77777777" w:rsidR="00F06185" w:rsidRDefault="00F06185" w:rsidP="00266E7B">
      <w:pPr>
        <w:pStyle w:val="Heading2"/>
      </w:pPr>
      <w:bookmarkStart w:id="10" w:name="_Toc228275932"/>
      <w:r>
        <w:t>3.3 Place</w:t>
      </w:r>
      <w:bookmarkEnd w:id="10"/>
    </w:p>
    <w:p w14:paraId="0C2941EC" w14:textId="77777777" w:rsidR="00F06185" w:rsidRDefault="00F06185" w:rsidP="00F06185">
      <w:r>
        <w:t>NVIDIA NeuroBand must adopt omni-channel method of distribution involving direct digital selling and selective retailing relationships worldwide so as to ensure maximum visibility and maintain their high end brand image. The distribution should mainly be done via the official site of NVIDIA and direct to consumer online channels, which will guarantee good brand control, access to customer information as well as increased profit margins.</w:t>
      </w:r>
    </w:p>
    <w:p w14:paraId="25D2BBED" w14:textId="77777777" w:rsidR="00F06185" w:rsidRDefault="00F06185" w:rsidP="00F06185">
      <w:r>
        <w:t>Premium technology retailers, gaming conventions, specialist electronics distributors and strategic healthcare alliances (especially in technologically advanced markets in North America, Europe and Asia-Pacific) are all considered secondary channels. Such channels enhance product awareness and reach out to the appropriate consumer groups.</w:t>
      </w:r>
    </w:p>
    <w:p w14:paraId="208027A0" w14:textId="77777777" w:rsidR="00F06185" w:rsidRDefault="00F06185" w:rsidP="00F06185">
      <w:r>
        <w:lastRenderedPageBreak/>
        <w:t>Selective distribution will help NeuroBand to be attached to exclusivity and innovations, not to mass-market commodification. Taking part in international gaming exhibitions, technology conferences and neurotechnology joint ventures may hasten the uptake among the target groups.</w:t>
      </w:r>
    </w:p>
    <w:p w14:paraId="6F7CE543" w14:textId="77777777" w:rsidR="00F06185" w:rsidRDefault="00F06185" w:rsidP="00F06185">
      <w:r>
        <w:t>The opportunities in international expansion are especially high in the markets where wearable technologies are gaining popularity, including South Korea, Japan and Singapore, where technological advancement and the demand to purchase high-quality products are high (Statista, 2024).</w:t>
      </w:r>
    </w:p>
    <w:p w14:paraId="257427C3" w14:textId="77777777" w:rsidR="00F06185" w:rsidRDefault="00F06185" w:rsidP="00F06185"/>
    <w:p w14:paraId="74263762" w14:textId="77777777" w:rsidR="00F06185" w:rsidRDefault="00F06185" w:rsidP="00266E7B">
      <w:pPr>
        <w:pStyle w:val="Heading2"/>
      </w:pPr>
      <w:bookmarkStart w:id="11" w:name="_Toc228275933"/>
      <w:r>
        <w:t>3.4 Promotion</w:t>
      </w:r>
      <w:bookmarkEnd w:id="11"/>
    </w:p>
    <w:p w14:paraId="792798BE" w14:textId="77777777" w:rsidR="00F06185" w:rsidRDefault="00F06185" w:rsidP="00F06185">
      <w:r>
        <w:t>NVIDIA NeuroBand needs a combined integrated marketing communications (IMC) approach, which is a strategic amalgamation of digital innovation, experience marketing, and thought leadership to create awareness, trust and high value desirability. The influencer partnerships with the technology experts, neuroscientists, elite gamers and wellness advocates should be among the promotional activities to increase the credibility among the various groups of consumers.</w:t>
      </w:r>
    </w:p>
    <w:p w14:paraId="7F1BB1D2" w14:textId="77777777" w:rsidR="00F06185" w:rsidRDefault="00F06185" w:rsidP="00F06185">
      <w:r>
        <w:t>Immersive consumer interaction and displaying the high-end features of NeuroBand can be achieved through Esports collaborations, AR/VR demonstrations, trade shows and social media campaigns. Using the AIDA model, the promotional campaigns are to create awareness with high-impact digital content, create interest by demonstrating the product, stimulate desire with aspirational performance messaging and encourage action by being an exclusive launcher.</w:t>
      </w:r>
    </w:p>
    <w:p w14:paraId="6481CEC8" w14:textId="77777777" w:rsidR="00F06185" w:rsidRDefault="00F06185" w:rsidP="00F06185">
      <w:r>
        <w:t>The digital transformation marketing also promotes personalised communication via AI-enabled customer insights and information-based campaign optimisation. The powerful brand authority of NVIDIA can be also used by thought leadership content that is devoted to the future of neurotechnology, productivity and wellness.</w:t>
      </w:r>
    </w:p>
    <w:p w14:paraId="7B76105B" w14:textId="33AE950F" w:rsidR="00F06185" w:rsidRDefault="00F06185" w:rsidP="00F06185">
      <w:r>
        <w:t>Nonetheless, ethical issues need to be approached with high level of concern, especially in terms of advertising cognitive enhancement technologies. Claiming more than they can deliver in terms of neurological benefits or capitalizing on consumer insecurities may harm brand trust and expose it to regulatory investigations. Thus, the promotional messages should be transparent, evidence-based and socially responsible (Deloitte, 2023).</w:t>
      </w:r>
    </w:p>
    <w:p w14:paraId="50CE1583" w14:textId="77777777" w:rsidR="00266E7B" w:rsidRDefault="00266E7B" w:rsidP="00F06185"/>
    <w:p w14:paraId="1FCD640C" w14:textId="77777777" w:rsidR="00266E7B" w:rsidRDefault="00266E7B" w:rsidP="00266E7B">
      <w:pPr>
        <w:pStyle w:val="Heading1"/>
      </w:pPr>
      <w:bookmarkStart w:id="12" w:name="_Toc228275934"/>
      <w:r>
        <w:t>Element 4: Reflection</w:t>
      </w:r>
      <w:bookmarkEnd w:id="12"/>
      <w:r>
        <w:t xml:space="preserve"> </w:t>
      </w:r>
    </w:p>
    <w:p w14:paraId="2583EE70" w14:textId="77777777" w:rsidR="00266E7B" w:rsidRDefault="00266E7B" w:rsidP="00266E7B">
      <w:pPr>
        <w:pStyle w:val="Heading2"/>
      </w:pPr>
      <w:bookmarkStart w:id="13" w:name="_Toc228275935"/>
      <w:r>
        <w:t>4.1 Learning Experience</w:t>
      </w:r>
      <w:bookmarkEnd w:id="13"/>
      <w:r>
        <w:t xml:space="preserve"> </w:t>
      </w:r>
    </w:p>
    <w:p w14:paraId="515EFC81" w14:textId="77777777" w:rsidR="00266E7B" w:rsidRDefault="00266E7B" w:rsidP="00266E7B">
      <w:r>
        <w:t xml:space="preserve">My NVIDIA NeuroBand brand extension helped me to gain a lot of knowledge about strategic brand development in the very competitive technology markets. The project helped me critically apply the fundamental marketing concepts, specifically Segmentation, Targeting, Differentiation and Positioning (STDP) and the marketing </w:t>
      </w:r>
      <w:r>
        <w:lastRenderedPageBreak/>
        <w:t>mix of 4Ps to a business setting in a commercial realistic environment. Combining both theoretical knowledge with practical market trends, I learned more in-depth how technology companies could achieve sustainable growth by implementing innovative brand extension strategies. It has also enhanced my sensitivity to the dynamics of modern consumer expectations, and future marketing practices, where emerging technologies like artificial intelligence, wearable devices and neurotechnology are transforming consumer demands and expectations. On the whole, this experience proved the strategic significance of the technological innovation and consumer demand alignment, ethical responsibility and long-term brand equity (Kotler et al., 2024).</w:t>
      </w:r>
    </w:p>
    <w:p w14:paraId="4409B515" w14:textId="77777777" w:rsidR="00266E7B" w:rsidRDefault="00266E7B" w:rsidP="00266E7B"/>
    <w:p w14:paraId="4374C6C3" w14:textId="77777777" w:rsidR="00266E7B" w:rsidRDefault="00266E7B" w:rsidP="00266E7B">
      <w:pPr>
        <w:pStyle w:val="Heading2"/>
      </w:pPr>
      <w:bookmarkStart w:id="14" w:name="_Toc228275936"/>
      <w:r>
        <w:t>4.2 Skills Developed</w:t>
      </w:r>
      <w:bookmarkEnd w:id="14"/>
      <w:r>
        <w:t xml:space="preserve"> </w:t>
      </w:r>
    </w:p>
    <w:p w14:paraId="71FA0266" w14:textId="77777777" w:rsidR="00266E7B" w:rsidRDefault="00266E7B" w:rsidP="00266E7B">
      <w:r>
        <w:t>Some of the key postgraduate and professional skills were enhanced significantly in this project. On the one hand, having been able to critically analyze the market opportunities, competitive dynamics and consumer segmentation strategies with the help of the existing academic and industry research enhanced my critical analysis skills. The vast amount of research on the topic of wearable technology, trends in AI innovation and neurotechnology helped develop my skills in locating reliable and modern sources and processing complicated information.</w:t>
      </w:r>
    </w:p>
    <w:p w14:paraId="1F3B01E9" w14:textId="77777777" w:rsidR="00266E7B" w:rsidRDefault="00266E7B" w:rsidP="00266E7B">
      <w:r>
        <w:t>The strategic thinking was also enhanced as an integrated marketing strategy was built, which was commercially viable, balanced in terms of innovation, profitability and sustainability. The preparation and designing of the poster presentation enhanced my skills in visualizing and convincing the academic and professional listeners to complex strategic ideas. Also, the portfolio improved my academic writing ability as it entailed systematic, supported, argumentative work, professional presentation and articulate strategic presentation. The project helped me to develop skills in applying marketing theory to technological innovation in a viable strategy commercially.</w:t>
      </w:r>
    </w:p>
    <w:p w14:paraId="35C50F0D" w14:textId="77777777" w:rsidR="00266E7B" w:rsidRDefault="00266E7B" w:rsidP="00266E7B"/>
    <w:p w14:paraId="63DF4388" w14:textId="77777777" w:rsidR="00266E7B" w:rsidRDefault="00266E7B" w:rsidP="00266E7B">
      <w:pPr>
        <w:pStyle w:val="Heading2"/>
      </w:pPr>
      <w:bookmarkStart w:id="15" w:name="_Toc228275937"/>
      <w:r>
        <w:t>4.3 Future Improvements</w:t>
      </w:r>
      <w:bookmarkEnd w:id="15"/>
      <w:r>
        <w:t xml:space="preserve"> </w:t>
      </w:r>
    </w:p>
    <w:p w14:paraId="072EA222" w14:textId="77777777" w:rsidR="00266E7B" w:rsidRDefault="00266E7B" w:rsidP="00266E7B">
      <w:r>
        <w:t>Although this was a very valuable project, there are a number of areas that have been identified to be improved. In future work, it would be more valuable to conduct more primary consumer research, which could be in the form of surveys or focus groups, to make segmentation more accurate and ensure the assumptions about target audiences more solid. More financial forecasting, such as the projections of profitability, analysis of pricing elasticity and investment risk, would also enhance the credibility of the strategies and investor attractiveness.</w:t>
      </w:r>
    </w:p>
    <w:p w14:paraId="095366F5" w14:textId="74B33A07" w:rsidR="00266E7B" w:rsidRDefault="00266E7B" w:rsidP="00266E7B">
      <w:r>
        <w:t xml:space="preserve">Further, the more in depth competitor benchmarking of the fast changing markets of neurotechnology and wearable technology would enhance differentiation strategies. It is also necessary to enhance ethical analysis that will be more related to consumer privacy, cognitive data security and responsible technological marketing. With technology becoming a more and more tangible part of individual wellbeing, marketers need to be very careful about the opportunities presented by the technology as well </w:t>
      </w:r>
      <w:r>
        <w:lastRenderedPageBreak/>
        <w:t>as the social consequences. Such changes would enable a more advanced, data-driven and ethically holistic strategic marketing practice in the future professional practice (PwC, 2023).</w:t>
      </w:r>
    </w:p>
    <w:p w14:paraId="3B770FA7" w14:textId="77777777" w:rsidR="00266E7B" w:rsidRDefault="00266E7B" w:rsidP="00266E7B"/>
    <w:p w14:paraId="5CB3AACA" w14:textId="1EA883F4" w:rsidR="00266E7B" w:rsidRDefault="00266E7B" w:rsidP="00266E7B">
      <w:pPr>
        <w:pStyle w:val="Heading2"/>
      </w:pPr>
      <w:bookmarkStart w:id="16" w:name="_Toc228275938"/>
      <w:r>
        <w:t>References</w:t>
      </w:r>
      <w:bookmarkEnd w:id="16"/>
    </w:p>
    <w:p w14:paraId="22D973D8" w14:textId="77777777" w:rsidR="00266E7B" w:rsidRPr="00266E7B" w:rsidRDefault="00266E7B" w:rsidP="00266E7B">
      <w:r w:rsidRPr="00266E7B">
        <w:t xml:space="preserve">Accenture (2023) </w:t>
      </w:r>
      <w:r w:rsidRPr="00266E7B">
        <w:rPr>
          <w:i/>
          <w:iCs/>
        </w:rPr>
        <w:t>Technology Vision 2023: When Atoms Meet Bits</w:t>
      </w:r>
      <w:r w:rsidRPr="00266E7B">
        <w:t>. Dublin: Accenture.</w:t>
      </w:r>
    </w:p>
    <w:p w14:paraId="0B3DE89C" w14:textId="77777777" w:rsidR="00266E7B" w:rsidRPr="00266E7B" w:rsidRDefault="00266E7B" w:rsidP="00266E7B">
      <w:r w:rsidRPr="00266E7B">
        <w:t xml:space="preserve">Deloitte (2023) </w:t>
      </w:r>
      <w:r w:rsidRPr="00266E7B">
        <w:rPr>
          <w:i/>
          <w:iCs/>
        </w:rPr>
        <w:t>2023 Global Technology Industry Outlook</w:t>
      </w:r>
      <w:r w:rsidRPr="00266E7B">
        <w:t>. London: Deloitte Insights.</w:t>
      </w:r>
    </w:p>
    <w:p w14:paraId="6111528E" w14:textId="77777777" w:rsidR="00266E7B" w:rsidRPr="00266E7B" w:rsidRDefault="00266E7B" w:rsidP="00266E7B">
      <w:r w:rsidRPr="00266E7B">
        <w:t xml:space="preserve">Kotler, P., Keller, K.L. and Chernev, A. (2024) </w:t>
      </w:r>
      <w:r w:rsidRPr="00266E7B">
        <w:rPr>
          <w:i/>
          <w:iCs/>
        </w:rPr>
        <w:t>Marketing Management</w:t>
      </w:r>
      <w:r w:rsidRPr="00266E7B">
        <w:t>. 17th edn. Harlow: Pearson Education.</w:t>
      </w:r>
    </w:p>
    <w:p w14:paraId="70990007" w14:textId="77777777" w:rsidR="00266E7B" w:rsidRPr="00266E7B" w:rsidRDefault="00266E7B" w:rsidP="00266E7B">
      <w:r w:rsidRPr="00266E7B">
        <w:t xml:space="preserve">McKinsey &amp; Company (2024) </w:t>
      </w:r>
      <w:r w:rsidRPr="00266E7B">
        <w:rPr>
          <w:i/>
          <w:iCs/>
        </w:rPr>
        <w:t>The State of AI and Consumer Technology 2024</w:t>
      </w:r>
      <w:r w:rsidRPr="00266E7B">
        <w:t>. New York: McKinsey Global Institute.</w:t>
      </w:r>
    </w:p>
    <w:p w14:paraId="38A302B5" w14:textId="77777777" w:rsidR="00266E7B" w:rsidRPr="00266E7B" w:rsidRDefault="00266E7B" w:rsidP="00266E7B">
      <w:r w:rsidRPr="00266E7B">
        <w:t xml:space="preserve">NVIDIA (2024) </w:t>
      </w:r>
      <w:r w:rsidRPr="00266E7B">
        <w:rPr>
          <w:i/>
          <w:iCs/>
        </w:rPr>
        <w:t>NVIDIA Annual Report 2024</w:t>
      </w:r>
      <w:r w:rsidRPr="00266E7B">
        <w:t>. Santa Clara: NVIDIA Corporation.</w:t>
      </w:r>
    </w:p>
    <w:p w14:paraId="60AB9E76" w14:textId="77777777" w:rsidR="00266E7B" w:rsidRPr="00266E7B" w:rsidRDefault="00266E7B" w:rsidP="00266E7B">
      <w:r w:rsidRPr="00266E7B">
        <w:t xml:space="preserve">NVIDIA (2024) </w:t>
      </w:r>
      <w:r w:rsidRPr="00266E7B">
        <w:rPr>
          <w:i/>
          <w:iCs/>
        </w:rPr>
        <w:t>NVIDIA Sustainability Report 2024</w:t>
      </w:r>
      <w:r w:rsidRPr="00266E7B">
        <w:t>. Santa Clara: NVIDIA Corporation.</w:t>
      </w:r>
    </w:p>
    <w:p w14:paraId="32EB045D" w14:textId="77777777" w:rsidR="00266E7B" w:rsidRPr="00266E7B" w:rsidRDefault="00266E7B" w:rsidP="00266E7B">
      <w:r w:rsidRPr="00266E7B">
        <w:t xml:space="preserve">PwC (2023) </w:t>
      </w:r>
      <w:r w:rsidRPr="00266E7B">
        <w:rPr>
          <w:i/>
          <w:iCs/>
        </w:rPr>
        <w:t>Responsible AI and Consumer Data Ethics Report</w:t>
      </w:r>
      <w:r w:rsidRPr="00266E7B">
        <w:t>. London: PricewaterhouseCoopers.</w:t>
      </w:r>
    </w:p>
    <w:p w14:paraId="7D13220C" w14:textId="77777777" w:rsidR="00266E7B" w:rsidRPr="00266E7B" w:rsidRDefault="00266E7B" w:rsidP="00266E7B">
      <w:r w:rsidRPr="00266E7B">
        <w:t xml:space="preserve">Statista (2024) </w:t>
      </w:r>
      <w:r w:rsidRPr="00266E7B">
        <w:rPr>
          <w:i/>
          <w:iCs/>
        </w:rPr>
        <w:t>Wearable Technology Market Revenue Worldwide 2024</w:t>
      </w:r>
      <w:r w:rsidRPr="00266E7B">
        <w:t>. Hamburg: Statista Research Department.</w:t>
      </w:r>
    </w:p>
    <w:p w14:paraId="620E2463" w14:textId="77777777" w:rsidR="00266E7B" w:rsidRPr="00266E7B" w:rsidRDefault="00266E7B" w:rsidP="00266E7B">
      <w:r w:rsidRPr="00266E7B">
        <w:t xml:space="preserve">Statista (2024) </w:t>
      </w:r>
      <w:r w:rsidRPr="00266E7B">
        <w:rPr>
          <w:i/>
          <w:iCs/>
        </w:rPr>
        <w:t>Artificial Intelligence Consumer Market Forecast 2024–2030</w:t>
      </w:r>
      <w:r w:rsidRPr="00266E7B">
        <w:t>. Hamburg: Statista Research Department.</w:t>
      </w:r>
    </w:p>
    <w:p w14:paraId="5396D7E2" w14:textId="77777777" w:rsidR="00266E7B" w:rsidRPr="00266E7B" w:rsidRDefault="00266E7B" w:rsidP="00266E7B">
      <w:r w:rsidRPr="00266E7B">
        <w:t xml:space="preserve">World Economic Forum (2023) </w:t>
      </w:r>
      <w:r w:rsidRPr="00266E7B">
        <w:rPr>
          <w:i/>
          <w:iCs/>
        </w:rPr>
        <w:t>The Future of Jobs and Technology Transformation Report</w:t>
      </w:r>
      <w:r w:rsidRPr="00266E7B">
        <w:t>. Geneva: WEF.</w:t>
      </w:r>
    </w:p>
    <w:p w14:paraId="5CE4E4D9" w14:textId="77777777" w:rsidR="00266E7B" w:rsidRPr="00266E7B" w:rsidRDefault="00266E7B" w:rsidP="00266E7B">
      <w:r w:rsidRPr="00266E7B">
        <w:t xml:space="preserve">Gartner (2024) </w:t>
      </w:r>
      <w:r w:rsidRPr="00266E7B">
        <w:rPr>
          <w:i/>
          <w:iCs/>
        </w:rPr>
        <w:t>Emerging Technologies and Trends Impact Radar: Wearable AI</w:t>
      </w:r>
      <w:r w:rsidRPr="00266E7B">
        <w:t>. Stamford: Gartner Research.</w:t>
      </w:r>
    </w:p>
    <w:p w14:paraId="542C3A50" w14:textId="77777777" w:rsidR="00266E7B" w:rsidRPr="00266E7B" w:rsidRDefault="00266E7B" w:rsidP="00266E7B">
      <w:r w:rsidRPr="00266E7B">
        <w:t xml:space="preserve">Euromonitor International (2024) </w:t>
      </w:r>
      <w:r w:rsidRPr="00266E7B">
        <w:rPr>
          <w:i/>
          <w:iCs/>
        </w:rPr>
        <w:t>Global Consumer Electronics and Wearable Technology Outlook</w:t>
      </w:r>
      <w:r w:rsidRPr="00266E7B">
        <w:t>. London: Euromonitor.</w:t>
      </w:r>
    </w:p>
    <w:p w14:paraId="7A2640D8" w14:textId="77777777" w:rsidR="00266E7B" w:rsidRDefault="00266E7B" w:rsidP="00266E7B">
      <w:pPr>
        <w:pStyle w:val="Heading2"/>
      </w:pPr>
      <w:r>
        <w:br/>
      </w:r>
    </w:p>
    <w:p w14:paraId="1D0610FD" w14:textId="77777777" w:rsidR="00266E7B" w:rsidRDefault="00266E7B">
      <w:pPr>
        <w:jc w:val="left"/>
        <w:rPr>
          <w:rFonts w:eastAsiaTheme="majorEastAsia" w:cstheme="majorBidi"/>
          <w:b/>
          <w:color w:val="000000" w:themeColor="text1"/>
          <w:sz w:val="32"/>
          <w:szCs w:val="32"/>
        </w:rPr>
      </w:pPr>
      <w:r>
        <w:br w:type="page"/>
      </w:r>
    </w:p>
    <w:p w14:paraId="056AF02F" w14:textId="2892A664" w:rsidR="00266E7B" w:rsidRDefault="00266E7B" w:rsidP="00266E7B">
      <w:pPr>
        <w:pStyle w:val="Heading2"/>
      </w:pPr>
      <w:bookmarkStart w:id="17" w:name="_Toc228275939"/>
      <w:r>
        <w:lastRenderedPageBreak/>
        <w:t>Appendix</w:t>
      </w:r>
      <w:bookmarkEnd w:id="17"/>
    </w:p>
    <w:p w14:paraId="3E57752A" w14:textId="577B5350" w:rsidR="00266E7B" w:rsidRDefault="00266E7B" w:rsidP="00266E7B">
      <w:r>
        <w:t>Poster:</w:t>
      </w:r>
    </w:p>
    <w:p w14:paraId="4C6A94B6" w14:textId="06F80F33" w:rsidR="00266E7B" w:rsidRPr="00266E7B" w:rsidRDefault="00266E7B" w:rsidP="00266E7B">
      <w:pPr>
        <w:jc w:val="center"/>
      </w:pPr>
      <w:r>
        <w:drawing>
          <wp:inline distT="0" distB="0" distL="0" distR="0" wp14:anchorId="756BC65B" wp14:editId="5A34F478">
            <wp:extent cx="5493719" cy="8244840"/>
            <wp:effectExtent l="0" t="0" r="0" b="3810"/>
            <wp:docPr id="890237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37586" name="Picture 890237586"/>
                    <pic:cNvPicPr/>
                  </pic:nvPicPr>
                  <pic:blipFill>
                    <a:blip r:embed="rId14">
                      <a:extLst>
                        <a:ext uri="{28A0092B-C50C-407E-A947-70E740481C1C}">
                          <a14:useLocalDpi xmlns:a14="http://schemas.microsoft.com/office/drawing/2010/main" val="0"/>
                        </a:ext>
                      </a:extLst>
                    </a:blip>
                    <a:stretch>
                      <a:fillRect/>
                    </a:stretch>
                  </pic:blipFill>
                  <pic:spPr>
                    <a:xfrm>
                      <a:off x="0" y="0"/>
                      <a:ext cx="5497807" cy="8250976"/>
                    </a:xfrm>
                    <a:prstGeom prst="rect">
                      <a:avLst/>
                    </a:prstGeom>
                  </pic:spPr>
                </pic:pic>
              </a:graphicData>
            </a:graphic>
          </wp:inline>
        </w:drawing>
      </w:r>
    </w:p>
    <w:sectPr w:rsidR="00266E7B" w:rsidRPr="00266E7B" w:rsidSect="007459E9">
      <w:footerReference w:type="defaul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4FA6A" w14:textId="77777777" w:rsidR="003E36BB" w:rsidRDefault="003E36BB" w:rsidP="007459E9">
      <w:pPr>
        <w:spacing w:after="0" w:line="240" w:lineRule="auto"/>
      </w:pPr>
      <w:r>
        <w:separator/>
      </w:r>
    </w:p>
  </w:endnote>
  <w:endnote w:type="continuationSeparator" w:id="0">
    <w:p w14:paraId="2DD35B8C" w14:textId="77777777" w:rsidR="003E36BB" w:rsidRDefault="003E36BB" w:rsidP="00745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82ED30" w14:textId="77777777" w:rsidR="007459E9" w:rsidRDefault="007459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368879097"/>
      <w:docPartObj>
        <w:docPartGallery w:val="Page Numbers (Bottom of Page)"/>
        <w:docPartUnique/>
      </w:docPartObj>
    </w:sdtPr>
    <w:sdtEndPr>
      <w:rPr>
        <w:noProof/>
      </w:rPr>
    </w:sdtEndPr>
    <w:sdtContent>
      <w:p w14:paraId="784192AD" w14:textId="050A13F3" w:rsidR="007459E9" w:rsidRDefault="007459E9">
        <w:pPr>
          <w:pStyle w:val="Footer"/>
          <w:jc w:val="center"/>
        </w:pPr>
      </w:p>
    </w:sdtContent>
  </w:sdt>
  <w:p w14:paraId="0E3FF214" w14:textId="77777777" w:rsidR="007459E9" w:rsidRDefault="007459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548693304"/>
      <w:docPartObj>
        <w:docPartGallery w:val="Page Numbers (Bottom of Page)"/>
        <w:docPartUnique/>
      </w:docPartObj>
    </w:sdtPr>
    <w:sdtEndPr>
      <w:rPr>
        <w:noProof/>
      </w:rPr>
    </w:sdtEndPr>
    <w:sdtContent>
      <w:p w14:paraId="4B74A1FE" w14:textId="04C40950" w:rsidR="007459E9" w:rsidRDefault="007459E9">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1D5F9E1D" w14:textId="77777777" w:rsidR="007459E9" w:rsidRDefault="007459E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970850076"/>
      <w:docPartObj>
        <w:docPartGallery w:val="Page Numbers (Bottom of Page)"/>
        <w:docPartUnique/>
      </w:docPartObj>
    </w:sdtPr>
    <w:sdtEndPr>
      <w:rPr>
        <w:noProof/>
      </w:rPr>
    </w:sdtEndPr>
    <w:sdtContent>
      <w:p w14:paraId="4F4EFF52" w14:textId="77777777" w:rsidR="007459E9" w:rsidRDefault="007459E9">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24A5BB2B" w14:textId="77777777" w:rsidR="007459E9" w:rsidRDefault="00745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1F3BD" w14:textId="77777777" w:rsidR="003E36BB" w:rsidRDefault="003E36BB" w:rsidP="007459E9">
      <w:pPr>
        <w:spacing w:after="0" w:line="240" w:lineRule="auto"/>
      </w:pPr>
      <w:r>
        <w:separator/>
      </w:r>
    </w:p>
  </w:footnote>
  <w:footnote w:type="continuationSeparator" w:id="0">
    <w:p w14:paraId="78E942B8" w14:textId="77777777" w:rsidR="003E36BB" w:rsidRDefault="003E36BB" w:rsidP="007459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78CF8" w14:textId="77777777" w:rsidR="007459E9" w:rsidRDefault="007459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806960" w14:textId="77777777" w:rsidR="007459E9" w:rsidRDefault="007459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A0952" w14:textId="77777777" w:rsidR="007459E9" w:rsidRDefault="007459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185"/>
    <w:rsid w:val="002275A3"/>
    <w:rsid w:val="00266E7B"/>
    <w:rsid w:val="00387053"/>
    <w:rsid w:val="003E36BB"/>
    <w:rsid w:val="00512961"/>
    <w:rsid w:val="005C08EF"/>
    <w:rsid w:val="006B01C2"/>
    <w:rsid w:val="006E7942"/>
    <w:rsid w:val="0074186B"/>
    <w:rsid w:val="007459E9"/>
    <w:rsid w:val="00A955EC"/>
    <w:rsid w:val="00D91C68"/>
    <w:rsid w:val="00E16342"/>
    <w:rsid w:val="00E27655"/>
    <w:rsid w:val="00E346C3"/>
    <w:rsid w:val="00F061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43229"/>
  <w15:chartTrackingRefBased/>
  <w15:docId w15:val="{31B33593-69CE-426E-894B-55203A020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185"/>
    <w:pPr>
      <w:jc w:val="both"/>
    </w:pPr>
    <w:rPr>
      <w:rFonts w:ascii="Arial" w:hAnsi="Arial"/>
      <w:noProof/>
      <w:sz w:val="24"/>
    </w:rPr>
  </w:style>
  <w:style w:type="paragraph" w:styleId="Heading1">
    <w:name w:val="heading 1"/>
    <w:basedOn w:val="Normal"/>
    <w:next w:val="Normal"/>
    <w:link w:val="Heading1Char"/>
    <w:uiPriority w:val="9"/>
    <w:qFormat/>
    <w:rsid w:val="00F06185"/>
    <w:pPr>
      <w:keepNext/>
      <w:keepLines/>
      <w:spacing w:before="360" w:after="80"/>
      <w:outlineLvl w:val="0"/>
    </w:pPr>
    <w:rPr>
      <w:rFonts w:eastAsiaTheme="majorEastAsia" w:cstheme="majorBidi"/>
      <w:b/>
      <w:color w:val="000000" w:themeColor="text1"/>
      <w:sz w:val="36"/>
      <w:szCs w:val="40"/>
      <w:u w:val="single"/>
    </w:rPr>
  </w:style>
  <w:style w:type="paragraph" w:styleId="Heading2">
    <w:name w:val="heading 2"/>
    <w:basedOn w:val="Normal"/>
    <w:next w:val="Normal"/>
    <w:link w:val="Heading2Char"/>
    <w:uiPriority w:val="9"/>
    <w:unhideWhenUsed/>
    <w:qFormat/>
    <w:rsid w:val="00F06185"/>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semiHidden/>
    <w:unhideWhenUsed/>
    <w:qFormat/>
    <w:rsid w:val="00F061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61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61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61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1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1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1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185"/>
    <w:rPr>
      <w:rFonts w:ascii="Arial" w:eastAsiaTheme="majorEastAsia" w:hAnsi="Arial" w:cstheme="majorBidi"/>
      <w:b/>
      <w:noProof/>
      <w:color w:val="000000" w:themeColor="text1"/>
      <w:sz w:val="36"/>
      <w:szCs w:val="40"/>
      <w:u w:val="single"/>
    </w:rPr>
  </w:style>
  <w:style w:type="character" w:customStyle="1" w:styleId="Heading2Char">
    <w:name w:val="Heading 2 Char"/>
    <w:basedOn w:val="DefaultParagraphFont"/>
    <w:link w:val="Heading2"/>
    <w:uiPriority w:val="9"/>
    <w:rsid w:val="00F06185"/>
    <w:rPr>
      <w:rFonts w:ascii="Arial" w:eastAsiaTheme="majorEastAsia" w:hAnsi="Arial" w:cstheme="majorBidi"/>
      <w:b/>
      <w:noProof/>
      <w:color w:val="000000" w:themeColor="text1"/>
      <w:sz w:val="32"/>
      <w:szCs w:val="32"/>
    </w:rPr>
  </w:style>
  <w:style w:type="character" w:customStyle="1" w:styleId="Heading3Char">
    <w:name w:val="Heading 3 Char"/>
    <w:basedOn w:val="DefaultParagraphFont"/>
    <w:link w:val="Heading3"/>
    <w:uiPriority w:val="9"/>
    <w:semiHidden/>
    <w:rsid w:val="00F06185"/>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F06185"/>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F06185"/>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F06185"/>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F06185"/>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F06185"/>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F06185"/>
    <w:rPr>
      <w:rFonts w:eastAsiaTheme="majorEastAsia" w:cstheme="majorBidi"/>
      <w:noProof/>
      <w:color w:val="272727" w:themeColor="text1" w:themeTint="D8"/>
    </w:rPr>
  </w:style>
  <w:style w:type="paragraph" w:styleId="Title">
    <w:name w:val="Title"/>
    <w:basedOn w:val="Normal"/>
    <w:next w:val="Normal"/>
    <w:link w:val="TitleChar"/>
    <w:uiPriority w:val="10"/>
    <w:qFormat/>
    <w:rsid w:val="00F061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185"/>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F061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185"/>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F06185"/>
    <w:pPr>
      <w:spacing w:before="160"/>
      <w:jc w:val="center"/>
    </w:pPr>
    <w:rPr>
      <w:i/>
      <w:iCs/>
      <w:color w:val="404040" w:themeColor="text1" w:themeTint="BF"/>
    </w:rPr>
  </w:style>
  <w:style w:type="character" w:customStyle="1" w:styleId="QuoteChar">
    <w:name w:val="Quote Char"/>
    <w:basedOn w:val="DefaultParagraphFont"/>
    <w:link w:val="Quote"/>
    <w:uiPriority w:val="29"/>
    <w:rsid w:val="00F06185"/>
    <w:rPr>
      <w:i/>
      <w:iCs/>
      <w:noProof/>
      <w:color w:val="404040" w:themeColor="text1" w:themeTint="BF"/>
    </w:rPr>
  </w:style>
  <w:style w:type="paragraph" w:styleId="ListParagraph">
    <w:name w:val="List Paragraph"/>
    <w:basedOn w:val="Normal"/>
    <w:uiPriority w:val="34"/>
    <w:qFormat/>
    <w:rsid w:val="00F06185"/>
    <w:pPr>
      <w:ind w:left="720"/>
      <w:contextualSpacing/>
    </w:pPr>
  </w:style>
  <w:style w:type="character" w:styleId="IntenseEmphasis">
    <w:name w:val="Intense Emphasis"/>
    <w:basedOn w:val="DefaultParagraphFont"/>
    <w:uiPriority w:val="21"/>
    <w:qFormat/>
    <w:rsid w:val="00F06185"/>
    <w:rPr>
      <w:i/>
      <w:iCs/>
      <w:color w:val="2F5496" w:themeColor="accent1" w:themeShade="BF"/>
    </w:rPr>
  </w:style>
  <w:style w:type="paragraph" w:styleId="IntenseQuote">
    <w:name w:val="Intense Quote"/>
    <w:basedOn w:val="Normal"/>
    <w:next w:val="Normal"/>
    <w:link w:val="IntenseQuoteChar"/>
    <w:uiPriority w:val="30"/>
    <w:qFormat/>
    <w:rsid w:val="00F061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6185"/>
    <w:rPr>
      <w:i/>
      <w:iCs/>
      <w:noProof/>
      <w:color w:val="2F5496" w:themeColor="accent1" w:themeShade="BF"/>
    </w:rPr>
  </w:style>
  <w:style w:type="character" w:styleId="IntenseReference">
    <w:name w:val="Intense Reference"/>
    <w:basedOn w:val="DefaultParagraphFont"/>
    <w:uiPriority w:val="32"/>
    <w:qFormat/>
    <w:rsid w:val="00F06185"/>
    <w:rPr>
      <w:b/>
      <w:bCs/>
      <w:smallCaps/>
      <w:color w:val="2F5496" w:themeColor="accent1" w:themeShade="BF"/>
      <w:spacing w:val="5"/>
    </w:rPr>
  </w:style>
  <w:style w:type="table" w:styleId="TableGrid">
    <w:name w:val="Table Grid"/>
    <w:basedOn w:val="TableNormal"/>
    <w:uiPriority w:val="39"/>
    <w:rsid w:val="00266E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459E9"/>
    <w:pPr>
      <w:spacing w:before="240" w:after="0"/>
      <w:jc w:val="left"/>
      <w:outlineLvl w:val="9"/>
    </w:pPr>
    <w:rPr>
      <w:rFonts w:asciiTheme="majorHAnsi" w:hAnsiTheme="majorHAnsi"/>
      <w:b w:val="0"/>
      <w:noProof w:val="0"/>
      <w:color w:val="2F5496"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7459E9"/>
    <w:pPr>
      <w:spacing w:after="100"/>
    </w:pPr>
  </w:style>
  <w:style w:type="paragraph" w:styleId="TOC2">
    <w:name w:val="toc 2"/>
    <w:basedOn w:val="Normal"/>
    <w:next w:val="Normal"/>
    <w:autoRedefine/>
    <w:uiPriority w:val="39"/>
    <w:unhideWhenUsed/>
    <w:rsid w:val="007459E9"/>
    <w:pPr>
      <w:spacing w:after="100"/>
      <w:ind w:left="240"/>
    </w:pPr>
  </w:style>
  <w:style w:type="character" w:styleId="Hyperlink">
    <w:name w:val="Hyperlink"/>
    <w:basedOn w:val="DefaultParagraphFont"/>
    <w:uiPriority w:val="99"/>
    <w:unhideWhenUsed/>
    <w:rsid w:val="007459E9"/>
    <w:rPr>
      <w:color w:val="0563C1" w:themeColor="hyperlink"/>
      <w:u w:val="single"/>
    </w:rPr>
  </w:style>
  <w:style w:type="paragraph" w:styleId="Header">
    <w:name w:val="header"/>
    <w:basedOn w:val="Normal"/>
    <w:link w:val="HeaderChar"/>
    <w:uiPriority w:val="99"/>
    <w:unhideWhenUsed/>
    <w:rsid w:val="007459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9E9"/>
    <w:rPr>
      <w:rFonts w:ascii="Arial" w:hAnsi="Arial"/>
      <w:noProof/>
      <w:sz w:val="24"/>
    </w:rPr>
  </w:style>
  <w:style w:type="paragraph" w:styleId="Footer">
    <w:name w:val="footer"/>
    <w:basedOn w:val="Normal"/>
    <w:link w:val="FooterChar"/>
    <w:uiPriority w:val="99"/>
    <w:unhideWhenUsed/>
    <w:rsid w:val="007459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9E9"/>
    <w:rPr>
      <w:rFonts w:ascii="Arial" w:hAnsi="Arial"/>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061048F-543D-4538-B30D-50940B5A1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10</Pages>
  <Words>2903</Words>
  <Characters>16549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zeel talaviya</dc:creator>
  <cp:keywords/>
  <dc:description/>
  <cp:lastModifiedBy>Avani Kasundra</cp:lastModifiedBy>
  <cp:revision>1</cp:revision>
  <dcterms:created xsi:type="dcterms:W3CDTF">2026-04-28T07:46:00Z</dcterms:created>
  <dcterms:modified xsi:type="dcterms:W3CDTF">2026-04-28T08:10:00Z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f91eb7ff-2626-454d-9cfe-e5c427c7610e</vt:lpwstr>
  </property>
</Properties>
</file>