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70F3" w:rsidRDefault="00864740" w:rsidP="00864740">
      <w:pPr>
        <w:jc w:val="center"/>
        <w:rPr>
          <w:b/>
        </w:rPr>
      </w:pPr>
      <w:r>
        <w:rPr>
          <w:b/>
        </w:rPr>
        <w:t>John 14:1-14 Exegesis</w:t>
      </w:r>
    </w:p>
    <w:p w:rsidR="002F7494" w:rsidRDefault="002F7494" w:rsidP="00864740">
      <w:pPr>
        <w:jc w:val="both"/>
        <w:rPr>
          <w:b/>
        </w:rPr>
      </w:pPr>
    </w:p>
    <w:p w:rsidR="00864740" w:rsidRDefault="002F7494" w:rsidP="00864740">
      <w:pPr>
        <w:jc w:val="both"/>
        <w:rPr>
          <w:b/>
        </w:rPr>
      </w:pPr>
      <w:r>
        <w:rPr>
          <w:b/>
        </w:rPr>
        <w:t>Setting the Scene</w:t>
      </w:r>
    </w:p>
    <w:p w:rsidR="00864740" w:rsidRDefault="00864740" w:rsidP="00864740">
      <w:pPr>
        <w:jc w:val="both"/>
      </w:pPr>
      <w:r>
        <w:t>The fourteenth chapter of John’s Gospel holds much theological depth; it explores the author</w:t>
      </w:r>
      <w:r w:rsidR="007E34C3">
        <w:t>’</w:t>
      </w:r>
      <w:r>
        <w:t>s vital Christological beliefs</w:t>
      </w:r>
      <w:r w:rsidR="002F7494">
        <w:t xml:space="preserve"> (14:10)</w:t>
      </w:r>
      <w:r>
        <w:t>, hints at his eschatological ideas</w:t>
      </w:r>
      <w:r w:rsidR="002F7494">
        <w:t xml:space="preserve"> (14:2)</w:t>
      </w:r>
      <w:r>
        <w:t xml:space="preserve"> and</w:t>
      </w:r>
      <w:r w:rsidR="007E34C3">
        <w:t xml:space="preserve"> highlights the tension between the incarnation and the long-held doctrine of monotheism</w:t>
      </w:r>
      <w:r w:rsidR="002F7494">
        <w:t xml:space="preserve"> (14:7)</w:t>
      </w:r>
      <w:r w:rsidR="007E34C3">
        <w:t>. This is the second chapter in Jesus’ lengthy Farewell Discourse (John 13-17), a monologue in which Jesus is summing up his entire mission and urging his disciples not to lose</w:t>
      </w:r>
      <w:r w:rsidR="00DA2BBC">
        <w:t xml:space="preserve"> their</w:t>
      </w:r>
      <w:r w:rsidR="007E34C3">
        <w:t xml:space="preserve"> faith</w:t>
      </w:r>
      <w:r w:rsidR="00AC1C9C">
        <w:t xml:space="preserve"> </w:t>
      </w:r>
      <w:r w:rsidR="007E34C3">
        <w:t xml:space="preserve">in the face of the trauma that Jesus knows is imminent. </w:t>
      </w:r>
      <w:r w:rsidR="00443FF7">
        <w:t>From a literary point of view, the author uses this monologue as a means of building tension and apprehension, as the reader edges ever closer to the distressing passion narrative (</w:t>
      </w:r>
      <w:r w:rsidR="00AC1C9C">
        <w:t xml:space="preserve">John </w:t>
      </w:r>
      <w:r w:rsidR="00443FF7">
        <w:t xml:space="preserve">18-20). From a theological </w:t>
      </w:r>
      <w:r w:rsidR="00DA2BBC">
        <w:t>standpoint</w:t>
      </w:r>
      <w:r w:rsidR="00443FF7">
        <w:t>, it is within this Farewell Discourse that</w:t>
      </w:r>
      <w:r w:rsidR="00702DF3">
        <w:t xml:space="preserve"> the author presents much of his highly Christological beliefs, which can only be truly understood in the light of the </w:t>
      </w:r>
      <w:r w:rsidR="00DA2BBC">
        <w:t>forth</w:t>
      </w:r>
      <w:r w:rsidR="00702DF3">
        <w:t xml:space="preserve">coming passion narrative. </w:t>
      </w:r>
      <w:r w:rsidR="0081786C">
        <w:t xml:space="preserve">In typical Johannine fashion, Jesus’ words are abstract and poetic, leaving his disciples deeply confused. In John 14 we hear only two other voices- those of Thomas (14:5) and Phillip (14:8) who interrupt Jesus’ eloquent monologue with questions </w:t>
      </w:r>
      <w:r w:rsidR="00DA2BBC">
        <w:t>and</w:t>
      </w:r>
      <w:r w:rsidR="0081786C">
        <w:t xml:space="preserve"> confusion. These interruptions prompt Jesus to offer an element of clarification, perhaps not only for the disciples present within the narrative, but also for the readers. </w:t>
      </w:r>
    </w:p>
    <w:p w:rsidR="0040456F" w:rsidRDefault="0040456F" w:rsidP="00864740">
      <w:pPr>
        <w:jc w:val="both"/>
      </w:pPr>
      <w:r>
        <w:t xml:space="preserve">It is Thomas’ question </w:t>
      </w:r>
      <w:proofErr w:type="gramStart"/>
      <w:r>
        <w:t>in particular that</w:t>
      </w:r>
      <w:proofErr w:type="gramEnd"/>
      <w:r>
        <w:t xml:space="preserve"> I would like to focus on, as it brings forth one of Jesus’ most heavily quoted statements</w:t>
      </w:r>
      <w:r w:rsidR="00387B10">
        <w:t xml:space="preserve"> in not only the Johannine gospel, but the New Testament as a whole</w:t>
      </w:r>
      <w:r>
        <w:t>. For four verses, Jesus has confused Thomas with statements such as “</w:t>
      </w:r>
      <w:r w:rsidRPr="0040456F">
        <w:t>I will come again and will take you to myself, so that where I am, there you may be also</w:t>
      </w:r>
      <w:r>
        <w:t>” (14:3) and “</w:t>
      </w:r>
      <w:r w:rsidRPr="0040456F">
        <w:t>you know the way to the place where I am going.”</w:t>
      </w:r>
      <w:r>
        <w:t xml:space="preserve"> (14:4). As we eavesdrop on this conversation between Jesus and his disciples, we have the benefit of being aware of where Jesus’ life trajectory is taking him- to his death, resurrection and glorification. We therefore possess an element of understanding that the disciples within the narrative did not, </w:t>
      </w:r>
      <w:r w:rsidR="00387B10">
        <w:t>we are aware that Jesus is predicting such events and alluding to the eternal life that they will offer</w:t>
      </w:r>
      <w:r w:rsidR="009B189A">
        <w:t xml:space="preserve"> as a result</w:t>
      </w:r>
      <w:r w:rsidR="00387B10">
        <w:t xml:space="preserve">, as Marianne </w:t>
      </w:r>
      <w:proofErr w:type="spellStart"/>
      <w:r w:rsidR="00387B10">
        <w:t>Meye</w:t>
      </w:r>
      <w:proofErr w:type="spellEnd"/>
      <w:r w:rsidR="00387B10">
        <w:t xml:space="preserve"> Thompson explains</w:t>
      </w:r>
      <w:r w:rsidR="00DA2BBC">
        <w:t>,</w:t>
      </w:r>
      <w:r w:rsidR="00387B10">
        <w:t xml:space="preserve"> Jesus’ words “reference to </w:t>
      </w:r>
      <w:r w:rsidR="00DA2BBC">
        <w:t>his</w:t>
      </w:r>
      <w:r w:rsidR="00387B10">
        <w:t xml:space="preserve"> future return in order to gather the faithful to be with him in his dwelling with God”</w:t>
      </w:r>
      <w:r w:rsidR="00387B10">
        <w:rPr>
          <w:rStyle w:val="FootnoteReference"/>
        </w:rPr>
        <w:footnoteReference w:id="1"/>
      </w:r>
      <w:r w:rsidR="009101EF">
        <w:t xml:space="preserve"> Thompson also notes that “i</w:t>
      </w:r>
      <w:r w:rsidR="00DA2BBC">
        <w:t>f</w:t>
      </w:r>
      <w:r w:rsidR="009101EF">
        <w:t xml:space="preserve"> Jesus has explained any of this to his disciples, if he has shared with them his knowledge that his </w:t>
      </w:r>
      <w:r w:rsidR="00DA2BBC">
        <w:t>h</w:t>
      </w:r>
      <w:r w:rsidR="009101EF">
        <w:t>our has come to go to the father, they seem not to have understood it”</w:t>
      </w:r>
      <w:r w:rsidR="009101EF">
        <w:rPr>
          <w:rStyle w:val="FootnoteReference"/>
        </w:rPr>
        <w:footnoteReference w:id="2"/>
      </w:r>
      <w:r w:rsidR="009101EF">
        <w:t xml:space="preserve">. This is clear when Thomas </w:t>
      </w:r>
      <w:r w:rsidR="00DA2BBC">
        <w:t xml:space="preserve">responds to Jesus’ claims by </w:t>
      </w:r>
      <w:r w:rsidR="009101EF">
        <w:t>ask</w:t>
      </w:r>
      <w:r w:rsidR="00DA2BBC">
        <w:t>ing</w:t>
      </w:r>
      <w:r w:rsidR="009101EF">
        <w:t xml:space="preserve"> “</w:t>
      </w:r>
      <w:r w:rsidR="00DA2BBC" w:rsidRPr="00DA2BBC">
        <w:t>“Lord, we do not know where you are going. How can we know the way?”</w:t>
      </w:r>
      <w:r w:rsidR="00DA2BBC">
        <w:t xml:space="preserve"> (14:5). This question prompts Jesus to make a profound statement about his identity and mission, he says “</w:t>
      </w:r>
      <w:r w:rsidR="00DA2BBC" w:rsidRPr="00DA2BBC">
        <w:t>“I am the way, and the truth, and the life. No one comes to the Father except through me.</w:t>
      </w:r>
      <w:r w:rsidR="00DA2BBC">
        <w:t xml:space="preserve">” (14:6), </w:t>
      </w:r>
      <w:r w:rsidR="00306BD0">
        <w:t>this self-</w:t>
      </w:r>
      <w:r w:rsidR="000D1B33">
        <w:t xml:space="preserve">proclamation </w:t>
      </w:r>
      <w:r w:rsidR="00DA2BBC">
        <w:t xml:space="preserve">has a mass of theological implications, with every word holding </w:t>
      </w:r>
      <w:r w:rsidR="002D4C4B">
        <w:t xml:space="preserve">a wealth of </w:t>
      </w:r>
      <w:r w:rsidR="00DA2BBC">
        <w:t>Christological depth</w:t>
      </w:r>
      <w:r w:rsidR="00941F81">
        <w:t>. In these two seemingly simple sentences, John is making profound statements regarding Jesus</w:t>
      </w:r>
      <w:r w:rsidR="00306BD0">
        <w:t>’</w:t>
      </w:r>
      <w:r w:rsidR="00941F81">
        <w:t xml:space="preserve"> identity, his mission, his connection to the father, the </w:t>
      </w:r>
      <w:r w:rsidR="00A05E91">
        <w:t xml:space="preserve">means in which </w:t>
      </w:r>
      <w:r w:rsidR="009B189A">
        <w:t>one can</w:t>
      </w:r>
      <w:r w:rsidR="00A05E91">
        <w:t xml:space="preserve"> gain </w:t>
      </w:r>
      <w:r w:rsidR="00941F81">
        <w:t xml:space="preserve">eternal life and the covenant made between God and his people in the Hebrew Bible. </w:t>
      </w:r>
      <w:r w:rsidR="000D1B33">
        <w:t xml:space="preserve">This is perhaps one of the most theologically rich declarations John’s gospel. </w:t>
      </w:r>
    </w:p>
    <w:p w:rsidR="009F04D0" w:rsidRPr="00BC1000" w:rsidRDefault="007A3E59" w:rsidP="00864740">
      <w:pPr>
        <w:jc w:val="both"/>
      </w:pPr>
      <w:r>
        <w:t xml:space="preserve">Yet there is another element to this </w:t>
      </w:r>
      <w:r w:rsidR="00BC1000">
        <w:t xml:space="preserve">famous </w:t>
      </w:r>
      <w:r>
        <w:t xml:space="preserve">statement that cannot be ignored- </w:t>
      </w:r>
      <w:r w:rsidR="00350BA2">
        <w:t xml:space="preserve">Jesus’ words in this account </w:t>
      </w:r>
      <w:r w:rsidR="007E5E97">
        <w:t xml:space="preserve">have </w:t>
      </w:r>
      <w:r w:rsidR="009C4178">
        <w:t xml:space="preserve">profoundly influenced </w:t>
      </w:r>
      <w:r w:rsidR="00350BA2">
        <w:t>the way in which Christian</w:t>
      </w:r>
      <w:r w:rsidR="007E5E97">
        <w:t>ity has</w:t>
      </w:r>
      <w:r w:rsidR="00350BA2">
        <w:t xml:space="preserve"> react</w:t>
      </w:r>
      <w:r w:rsidR="007E5E97">
        <w:t>ed</w:t>
      </w:r>
      <w:r w:rsidR="00350BA2">
        <w:t xml:space="preserve"> to other faiths and religious beliefs</w:t>
      </w:r>
      <w:r w:rsidR="009868F3">
        <w:t xml:space="preserve">. We live in a </w:t>
      </w:r>
      <w:r w:rsidR="007E5E97">
        <w:t>society where people from differing backgrounds, cultures and faiths are more connected than ever</w:t>
      </w:r>
      <w:r w:rsidR="00AC1C9C">
        <w:t>;</w:t>
      </w:r>
      <w:r w:rsidR="007E5E97">
        <w:t xml:space="preserve"> the way in which we interact with each other is more than a conceptual issue, it is a reality. What influence then, does a statement as seemingly exclusive as this one </w:t>
      </w:r>
      <w:proofErr w:type="gramStart"/>
      <w:r w:rsidR="00BC1000">
        <w:t>have</w:t>
      </w:r>
      <w:proofErr w:type="gramEnd"/>
      <w:r w:rsidR="00BC1000">
        <w:t xml:space="preserve"> </w:t>
      </w:r>
      <w:r w:rsidR="007E5E97">
        <w:t xml:space="preserve">on </w:t>
      </w:r>
      <w:r w:rsidR="007E5E97">
        <w:lastRenderedPageBreak/>
        <w:t>Christians</w:t>
      </w:r>
      <w:r w:rsidR="009B189A">
        <w:t>’ world paradigm</w:t>
      </w:r>
      <w:r w:rsidR="007E5E97">
        <w:t>? What are the implications o</w:t>
      </w:r>
      <w:r w:rsidR="008D0B7B">
        <w:t>f</w:t>
      </w:r>
      <w:r w:rsidR="007E5E97">
        <w:t xml:space="preserve"> Jesus’ words for interfaith relations?</w:t>
      </w:r>
      <w:r w:rsidR="009F04D0">
        <w:t xml:space="preserve"> Exclusivism is a term </w:t>
      </w:r>
      <w:r w:rsidR="00BC1000">
        <w:t>accredited</w:t>
      </w:r>
      <w:r w:rsidR="009F04D0">
        <w:t xml:space="preserve"> to people who have the theological belief that their religion alone is the means by which salvation can be gained, a</w:t>
      </w:r>
      <w:r w:rsidR="00BC1000">
        <w:t>s a</w:t>
      </w:r>
      <w:r w:rsidR="009F04D0">
        <w:t xml:space="preserve"> common element of</w:t>
      </w:r>
      <w:r w:rsidR="00BC1000">
        <w:t xml:space="preserve"> both</w:t>
      </w:r>
      <w:r w:rsidR="009F04D0">
        <w:t xml:space="preserve"> Calvinism and Lutheranism in particular, Christianity has historically been the most dominant voice advocating an exclusive </w:t>
      </w:r>
      <w:r w:rsidR="00BC1000">
        <w:t>worldview</w:t>
      </w:r>
      <w:r w:rsidR="009F04D0">
        <w:t xml:space="preserve">. </w:t>
      </w:r>
      <w:r w:rsidR="00BC1000">
        <w:t>Inclusivism on the other hand, places emphasis on God’s ultimate universal ‘salvific will’</w:t>
      </w:r>
      <w:r w:rsidR="00BC1000">
        <w:rPr>
          <w:rStyle w:val="FootnoteReference"/>
        </w:rPr>
        <w:footnoteReference w:id="3"/>
      </w:r>
      <w:r w:rsidR="002A0975">
        <w:t>, and focus</w:t>
      </w:r>
      <w:r w:rsidR="00864320">
        <w:t>es</w:t>
      </w:r>
      <w:r w:rsidR="002A0975">
        <w:t xml:space="preserve"> on the fact that Jesus was continually broadening religious boundaries, inviting the religious ‘other’ into the eternal life he had to offer.</w:t>
      </w:r>
    </w:p>
    <w:p w:rsidR="00355CC4" w:rsidRPr="00EB0258" w:rsidRDefault="007E5E97" w:rsidP="00864740">
      <w:pPr>
        <w:jc w:val="both"/>
      </w:pPr>
      <w:r>
        <w:t xml:space="preserve"> </w:t>
      </w:r>
      <w:r w:rsidR="002A0975">
        <w:t>Despite Jesus’ often inclusive actions in the Gospel of John, it has been argued that in this fourteenth chapter,</w:t>
      </w:r>
      <w:r w:rsidR="00232A0A">
        <w:t xml:space="preserve"> Jesus is telling his followers (then and now) that </w:t>
      </w:r>
      <w:r w:rsidR="00C623F0">
        <w:t>they have two choices- belief in him, or no</w:t>
      </w:r>
      <w:r w:rsidR="009462CC">
        <w:t xml:space="preserve"> belief at all</w:t>
      </w:r>
      <w:r w:rsidR="00C623F0">
        <w:t xml:space="preserve">. </w:t>
      </w:r>
      <w:r w:rsidR="00BC1000" w:rsidRPr="00BC1000">
        <w:rPr>
          <w:i/>
        </w:rPr>
        <w:t>‘Solus Christus’</w:t>
      </w:r>
      <w:r w:rsidR="00864320">
        <w:t xml:space="preserve"> is </w:t>
      </w:r>
      <w:r w:rsidR="00BC1000" w:rsidRPr="00BC1000">
        <w:t>the idea that salvation comes from Christ alone</w:t>
      </w:r>
      <w:r w:rsidR="00864320">
        <w:t>,</w:t>
      </w:r>
      <w:r w:rsidR="00BC1000" w:rsidRPr="00BC1000">
        <w:t xml:space="preserve"> </w:t>
      </w:r>
      <w:r w:rsidR="00864320">
        <w:t xml:space="preserve">such an idea has found more theological backing in </w:t>
      </w:r>
      <w:r w:rsidR="00BC1000" w:rsidRPr="00BC1000">
        <w:t xml:space="preserve">this </w:t>
      </w:r>
      <w:r w:rsidR="00864320">
        <w:t xml:space="preserve">one </w:t>
      </w:r>
      <w:r w:rsidR="00BC1000" w:rsidRPr="00BC1000">
        <w:t xml:space="preserve">verse from the fourteenth chapter of John’s Gospel than </w:t>
      </w:r>
      <w:r w:rsidR="00864320">
        <w:t xml:space="preserve">in </w:t>
      </w:r>
      <w:r w:rsidR="00BC1000" w:rsidRPr="00BC1000">
        <w:t>any other piece of scripture</w:t>
      </w:r>
      <w:r w:rsidR="00864320">
        <w:t xml:space="preserve"> in the New testament</w:t>
      </w:r>
      <w:r w:rsidR="00BC1000" w:rsidRPr="00BC1000">
        <w:t>.</w:t>
      </w:r>
      <w:r w:rsidR="00864320">
        <w:t xml:space="preserve"> </w:t>
      </w:r>
      <w:r w:rsidR="008D0B7B">
        <w:t xml:space="preserve">So, are Jesus’ words here evidence that </w:t>
      </w:r>
      <w:r w:rsidR="00D063FD">
        <w:t>endorses a strict exclusivist viewpoint? This is a question that I would like to investigate further, while exploring each of the three titles Jesus accredits to himself- the</w:t>
      </w:r>
      <w:r w:rsidR="00232A0A">
        <w:t xml:space="preserve"> </w:t>
      </w:r>
      <w:r w:rsidR="00232A0A" w:rsidRPr="00232A0A">
        <w:rPr>
          <w:i/>
        </w:rPr>
        <w:t>way</w:t>
      </w:r>
      <w:r w:rsidR="00232A0A">
        <w:t>, the</w:t>
      </w:r>
      <w:r w:rsidR="00232A0A" w:rsidRPr="00232A0A">
        <w:rPr>
          <w:i/>
        </w:rPr>
        <w:t xml:space="preserve"> truth</w:t>
      </w:r>
      <w:r w:rsidR="00232A0A">
        <w:t xml:space="preserve"> and the </w:t>
      </w:r>
      <w:r w:rsidR="00232A0A" w:rsidRPr="00232A0A">
        <w:rPr>
          <w:i/>
        </w:rPr>
        <w:t>life</w:t>
      </w:r>
      <w:r w:rsidR="00232A0A">
        <w:t xml:space="preserve">. </w:t>
      </w:r>
    </w:p>
    <w:p w:rsidR="009B189A" w:rsidRPr="00355CC4" w:rsidRDefault="00355CC4" w:rsidP="00864740">
      <w:pPr>
        <w:jc w:val="both"/>
        <w:rPr>
          <w:b/>
        </w:rPr>
      </w:pPr>
      <w:r w:rsidRPr="00355CC4">
        <w:rPr>
          <w:b/>
        </w:rPr>
        <w:t>‘I AM’</w:t>
      </w:r>
    </w:p>
    <w:p w:rsidR="00355CC4" w:rsidRDefault="00355CC4" w:rsidP="00864740">
      <w:pPr>
        <w:jc w:val="both"/>
      </w:pPr>
      <w:r>
        <w:t>Before attempting to break open the author</w:t>
      </w:r>
      <w:r w:rsidR="00FC0A20">
        <w:t>’</w:t>
      </w:r>
      <w:r>
        <w:t xml:space="preserve">s intention when using each of the afore mentioned titles for Jesus, we must first </w:t>
      </w:r>
      <w:r w:rsidR="00B50C56">
        <w:t>understand</w:t>
      </w:r>
      <w:r>
        <w:t xml:space="preserve"> the significance held by the first two words- </w:t>
      </w:r>
      <w:r w:rsidR="00B50C56">
        <w:t>‘</w:t>
      </w:r>
      <w:r>
        <w:rPr>
          <w:i/>
        </w:rPr>
        <w:t xml:space="preserve">ego </w:t>
      </w:r>
      <w:proofErr w:type="spellStart"/>
      <w:r>
        <w:rPr>
          <w:i/>
        </w:rPr>
        <w:t>eimi</w:t>
      </w:r>
      <w:proofErr w:type="spellEnd"/>
      <w:r w:rsidR="00B50C56">
        <w:rPr>
          <w:i/>
        </w:rPr>
        <w:t>’</w:t>
      </w:r>
      <w:r w:rsidR="00FC0A20">
        <w:rPr>
          <w:i/>
        </w:rPr>
        <w:t>/’I am’</w:t>
      </w:r>
      <w:r>
        <w:rPr>
          <w:i/>
        </w:rPr>
        <w:t xml:space="preserve">. </w:t>
      </w:r>
      <w:r>
        <w:t xml:space="preserve">These two words frame Jesus’ statement, they are the theological foundation upon which the three titles rest. </w:t>
      </w:r>
      <w:r w:rsidR="00B50C56">
        <w:t>According to John’s account of Jesus</w:t>
      </w:r>
      <w:r w:rsidR="00D4216D">
        <w:t xml:space="preserve">’ </w:t>
      </w:r>
      <w:r w:rsidR="00B50C56">
        <w:t xml:space="preserve">life, this </w:t>
      </w:r>
      <w:r w:rsidR="00D4216D">
        <w:t>is</w:t>
      </w:r>
      <w:r w:rsidR="00B50C56">
        <w:t xml:space="preserve"> the sixth time that Jesus has used these words when revealing himself to his followers, he has previously stated that he is the bread of life, the light of the world, and the good shepherd to name a few (6:35; 8:12; 10:9; 10:11; 11:25; 14:6)</w:t>
      </w:r>
      <w:r w:rsidR="00592EBA">
        <w:t>.</w:t>
      </w:r>
      <w:r w:rsidR="00D4216D">
        <w:t xml:space="preserve"> </w:t>
      </w:r>
      <w:r w:rsidR="00592EBA">
        <w:t xml:space="preserve">In the following chapter </w:t>
      </w:r>
      <w:r w:rsidR="00FC0A20">
        <w:t>Jesus</w:t>
      </w:r>
      <w:r w:rsidR="00D4216D">
        <w:t xml:space="preserve"> will state that he is the ‘true vine’</w:t>
      </w:r>
      <w:r w:rsidR="00FC0A20">
        <w:t xml:space="preserve"> (15:1)</w:t>
      </w:r>
      <w:r w:rsidR="00D4216D">
        <w:t xml:space="preserve">, meaning that </w:t>
      </w:r>
      <w:r w:rsidR="00FC0A20">
        <w:t>he</w:t>
      </w:r>
      <w:r w:rsidR="00D4216D">
        <w:t xml:space="preserve"> will</w:t>
      </w:r>
      <w:r w:rsidR="00FC0A20">
        <w:t xml:space="preserve"> have</w:t>
      </w:r>
      <w:r w:rsidR="00D4216D">
        <w:t xml:space="preserve"> use</w:t>
      </w:r>
      <w:r w:rsidR="00FC0A20">
        <w:t>d</w:t>
      </w:r>
      <w:r w:rsidR="00D4216D">
        <w:t xml:space="preserve"> the words ‘</w:t>
      </w:r>
      <w:r w:rsidR="00D4216D" w:rsidRPr="00AA3805">
        <w:rPr>
          <w:i/>
        </w:rPr>
        <w:t xml:space="preserve">ego </w:t>
      </w:r>
      <w:proofErr w:type="spellStart"/>
      <w:r w:rsidR="00D4216D" w:rsidRPr="00AA3805">
        <w:rPr>
          <w:i/>
        </w:rPr>
        <w:t>eimi</w:t>
      </w:r>
      <w:proofErr w:type="spellEnd"/>
      <w:r w:rsidR="00D4216D" w:rsidRPr="00AA3805">
        <w:rPr>
          <w:i/>
        </w:rPr>
        <w:t>’</w:t>
      </w:r>
      <w:r w:rsidR="00D4216D">
        <w:t xml:space="preserve"> seven times, </w:t>
      </w:r>
      <w:r w:rsidR="00FC0A20">
        <w:t xml:space="preserve">a number which is </w:t>
      </w:r>
      <w:r w:rsidR="00AD4642">
        <w:t>often</w:t>
      </w:r>
      <w:r w:rsidR="00D4216D">
        <w:t xml:space="preserve"> </w:t>
      </w:r>
      <w:r w:rsidR="00AD4642">
        <w:t xml:space="preserve">used </w:t>
      </w:r>
      <w:r w:rsidR="00D4216D">
        <w:t>as</w:t>
      </w:r>
      <w:r w:rsidR="00FC0A20">
        <w:t xml:space="preserve"> a</w:t>
      </w:r>
      <w:r w:rsidR="00AD4642">
        <w:t xml:space="preserve"> theological</w:t>
      </w:r>
      <w:r w:rsidR="00FC0A20">
        <w:t xml:space="preserve"> symbol</w:t>
      </w:r>
      <w:r w:rsidR="00D4216D">
        <w:t xml:space="preserve"> of completion and wholeness</w:t>
      </w:r>
      <w:r w:rsidR="00AD4642">
        <w:t xml:space="preserve"> (Gen.1; Deut. 5:12; Isa. 11:2; Rev. Matt. 18:22)</w:t>
      </w:r>
      <w:r w:rsidR="00B50C56">
        <w:t>.</w:t>
      </w:r>
      <w:r w:rsidR="00AD4642">
        <w:t xml:space="preserve"> </w:t>
      </w:r>
      <w:r w:rsidR="00EA51FD">
        <w:t xml:space="preserve">Yet these two words are much more than vehicles that Jesus uses to bring about new titles for himself, the words ‘I Am’ are a title within themselves. </w:t>
      </w:r>
      <w:r w:rsidR="00FB0738">
        <w:t>T</w:t>
      </w:r>
      <w:r w:rsidR="00EA51FD">
        <w:t xml:space="preserve">he author of John has taken note of the words spoken by YHWH when he introduces himself to Moses in the book of Exodus, he </w:t>
      </w:r>
      <w:proofErr w:type="gramStart"/>
      <w:r w:rsidR="00EA51FD">
        <w:t xml:space="preserve">says </w:t>
      </w:r>
      <w:r w:rsidR="00EA51FD" w:rsidRPr="00EA51FD">
        <w:t xml:space="preserve"> </w:t>
      </w:r>
      <w:r w:rsidR="00EA51FD">
        <w:t>‘</w:t>
      </w:r>
      <w:proofErr w:type="gramEnd"/>
      <w:r w:rsidR="00EA51FD" w:rsidRPr="00EA51FD">
        <w:t>“I am who I am.” He said further, “Thus you shall say to the Israelites, ‘I am has sent me to you.’”</w:t>
      </w:r>
      <w:r w:rsidR="00EA51FD">
        <w:t xml:space="preserve"> (Exod. 3:14). These words were then used by the prophet Isaiah </w:t>
      </w:r>
      <w:r w:rsidR="00217B87">
        <w:t xml:space="preserve">(Isa. 43:11; 43:25) in order to highlight the exclusivity of YHWH. </w:t>
      </w:r>
      <w:r w:rsidR="00AC1C9C">
        <w:t>David M. B</w:t>
      </w:r>
      <w:r w:rsidR="00217B87">
        <w:t>all observes that “just as the ‘I am’ sayings in Isaiah express exclusivity, so do those in John.”</w:t>
      </w:r>
      <w:r w:rsidR="00217B87">
        <w:rPr>
          <w:rStyle w:val="FootnoteReference"/>
        </w:rPr>
        <w:footnoteReference w:id="4"/>
      </w:r>
    </w:p>
    <w:p w:rsidR="00355CC4" w:rsidRDefault="00AF6929" w:rsidP="00864740">
      <w:pPr>
        <w:jc w:val="both"/>
      </w:pPr>
      <w:r>
        <w:t xml:space="preserve">By using these two simple words, Jesus’ is adopting YHWH’s title, mission and purpose. These two words are referencing the incarnation that shapes Johannine theology. To the author of this gospel, the incarnation is more than a concept, a metaphor or a symbol- it is ontological truth, it is simply who Jesus is- God incarnate (1:14). </w:t>
      </w:r>
      <w:r w:rsidR="0085701D">
        <w:t xml:space="preserve"> Again, in response to John’s use of </w:t>
      </w:r>
      <w:r w:rsidR="0085701D" w:rsidRPr="00F960FE">
        <w:rPr>
          <w:i/>
        </w:rPr>
        <w:t xml:space="preserve">‘ego </w:t>
      </w:r>
      <w:proofErr w:type="spellStart"/>
      <w:r w:rsidR="0085701D" w:rsidRPr="00F960FE">
        <w:rPr>
          <w:i/>
        </w:rPr>
        <w:t>eimi</w:t>
      </w:r>
      <w:proofErr w:type="spellEnd"/>
      <w:r w:rsidR="0085701D" w:rsidRPr="00F960FE">
        <w:rPr>
          <w:i/>
        </w:rPr>
        <w:t>’</w:t>
      </w:r>
      <w:r w:rsidR="0085701D">
        <w:t>, David M. Ball writes that “Jesus is unique not because of what God has done through him as a man, but because he himself is divine”</w:t>
      </w:r>
      <w:r w:rsidR="00AA3805">
        <w:t>.</w:t>
      </w:r>
      <w:r w:rsidR="0085701D">
        <w:rPr>
          <w:rStyle w:val="FootnoteReference"/>
        </w:rPr>
        <w:footnoteReference w:id="5"/>
      </w:r>
      <w:r w:rsidR="0085701D">
        <w:t xml:space="preserve"> </w:t>
      </w:r>
      <w:r w:rsidR="00442A4E">
        <w:t>This</w:t>
      </w:r>
      <w:r w:rsidR="00AA3805">
        <w:t xml:space="preserve"> is</w:t>
      </w:r>
      <w:r w:rsidR="00442A4E">
        <w:t xml:space="preserve"> where the deep tension between incarnation and monotheism is </w:t>
      </w:r>
      <w:r w:rsidR="00AA3805">
        <w:t xml:space="preserve">most </w:t>
      </w:r>
      <w:r w:rsidR="00442A4E">
        <w:t xml:space="preserve">evident; for John, Jesus poses no threat to monotheistic doctrine, as he is not a rival to YHWH, nor is he a replacement/superseding YHWH, he is YHWH incarnate. </w:t>
      </w:r>
      <w:r w:rsidR="00AE6619">
        <w:t>As has previously</w:t>
      </w:r>
      <w:r w:rsidR="00AE0ED6">
        <w:t xml:space="preserve"> been</w:t>
      </w:r>
      <w:r w:rsidR="00AE6619">
        <w:t xml:space="preserve"> stated, the exclusive nature of God is not questioned</w:t>
      </w:r>
      <w:r w:rsidR="00AE0ED6">
        <w:t xml:space="preserve"> by John, it is affirmed</w:t>
      </w:r>
      <w:r w:rsidR="00AA3805">
        <w:t xml:space="preserve"> through Jesus’ divinity</w:t>
      </w:r>
      <w:r w:rsidR="00AE0ED6">
        <w:t xml:space="preserve">. </w:t>
      </w:r>
      <w:r w:rsidR="00B86828">
        <w:t xml:space="preserve">Yet Ball argues that this </w:t>
      </w:r>
      <w:r w:rsidR="00B86828">
        <w:lastRenderedPageBreak/>
        <w:t xml:space="preserve">exclusivity would do nothing to pacify Christianity’s neighbouring </w:t>
      </w:r>
      <w:r w:rsidR="007D052F">
        <w:t xml:space="preserve">monotheistic </w:t>
      </w:r>
      <w:r w:rsidR="00B86828">
        <w:t>faiths</w:t>
      </w:r>
      <w:r w:rsidR="007D052F">
        <w:t xml:space="preserve"> (Judaism and Is</w:t>
      </w:r>
      <w:r w:rsidR="00AA3805">
        <w:t>la</w:t>
      </w:r>
      <w:r w:rsidR="007D052F">
        <w:t>m in particular)</w:t>
      </w:r>
      <w:r w:rsidR="00B86828">
        <w:t xml:space="preserve">, as he </w:t>
      </w:r>
      <w:r w:rsidR="00AA3805">
        <w:t>reminds us that to th</w:t>
      </w:r>
      <w:r w:rsidR="00CC0366">
        <w:t>ose faiths</w:t>
      </w:r>
      <w:r w:rsidR="00AA3805">
        <w:t xml:space="preserve">- </w:t>
      </w:r>
      <w:r w:rsidR="00B86828">
        <w:t>“that God should become flesh is a detestable suggestion; that anyone should claim to be identified with God is blasphemous”</w:t>
      </w:r>
      <w:r w:rsidR="00F960FE">
        <w:t>.</w:t>
      </w:r>
      <w:r w:rsidR="00B86828">
        <w:rPr>
          <w:rStyle w:val="FootnoteReference"/>
        </w:rPr>
        <w:footnoteReference w:id="6"/>
      </w:r>
      <w:r w:rsidR="00F960FE">
        <w:t xml:space="preserve"> </w:t>
      </w:r>
    </w:p>
    <w:p w:rsidR="002F7494" w:rsidRPr="00EB0258" w:rsidRDefault="00CC0366" w:rsidP="00864740">
      <w:pPr>
        <w:jc w:val="both"/>
      </w:pPr>
      <w:r>
        <w:t>It is these two words that must frame the next three paragraphs of exploration</w:t>
      </w:r>
      <w:r w:rsidR="002F7494">
        <w:t xml:space="preserve"> as they</w:t>
      </w:r>
      <w:r>
        <w:t xml:space="preserve"> underpin Jesus’ identity as the way, the truth and the life. </w:t>
      </w:r>
      <w:r w:rsidR="002F7494">
        <w:t xml:space="preserve">I would argue that without the incarnation, this passage of scripture has little to no theological potency, such is the significance of </w:t>
      </w:r>
      <w:r w:rsidR="002F7494" w:rsidRPr="002F7494">
        <w:rPr>
          <w:i/>
        </w:rPr>
        <w:t xml:space="preserve">‘ego </w:t>
      </w:r>
      <w:proofErr w:type="spellStart"/>
      <w:r w:rsidR="002F7494" w:rsidRPr="002F7494">
        <w:rPr>
          <w:i/>
        </w:rPr>
        <w:t>eimi</w:t>
      </w:r>
      <w:proofErr w:type="spellEnd"/>
      <w:r w:rsidR="002F7494" w:rsidRPr="002F7494">
        <w:rPr>
          <w:i/>
        </w:rPr>
        <w:t>’</w:t>
      </w:r>
      <w:r w:rsidR="002F7494">
        <w:t xml:space="preserve">. </w:t>
      </w:r>
    </w:p>
    <w:p w:rsidR="002F7494" w:rsidRDefault="00355CC4" w:rsidP="00864740">
      <w:pPr>
        <w:jc w:val="both"/>
        <w:rPr>
          <w:b/>
        </w:rPr>
      </w:pPr>
      <w:r w:rsidRPr="00355CC4">
        <w:rPr>
          <w:b/>
        </w:rPr>
        <w:t>The Wa</w:t>
      </w:r>
      <w:r w:rsidR="002F7494">
        <w:rPr>
          <w:b/>
        </w:rPr>
        <w:t>y</w:t>
      </w:r>
    </w:p>
    <w:p w:rsidR="00E90F5E" w:rsidRDefault="00355CC4" w:rsidP="00864740">
      <w:pPr>
        <w:jc w:val="both"/>
      </w:pPr>
      <w:r w:rsidRPr="00355CC4">
        <w:rPr>
          <w:b/>
        </w:rPr>
        <w:t xml:space="preserve"> </w:t>
      </w:r>
      <w:r w:rsidR="002F7494">
        <w:t>The first of the three titles</w:t>
      </w:r>
      <w:r w:rsidR="00AF2A56">
        <w:t xml:space="preserve"> that Jesus</w:t>
      </w:r>
      <w:r w:rsidR="002F7494">
        <w:t xml:space="preserve"> gives himself is the </w:t>
      </w:r>
      <w:r w:rsidR="002F7494" w:rsidRPr="002F7494">
        <w:rPr>
          <w:i/>
        </w:rPr>
        <w:t>‘</w:t>
      </w:r>
      <w:proofErr w:type="spellStart"/>
      <w:r w:rsidR="002F7494" w:rsidRPr="002F7494">
        <w:rPr>
          <w:i/>
        </w:rPr>
        <w:t>hodos</w:t>
      </w:r>
      <w:proofErr w:type="spellEnd"/>
      <w:r w:rsidR="002F7494" w:rsidRPr="002F7494">
        <w:rPr>
          <w:i/>
        </w:rPr>
        <w:t>’</w:t>
      </w:r>
      <w:proofErr w:type="gramStart"/>
      <w:r w:rsidR="002F7494" w:rsidRPr="002F7494">
        <w:rPr>
          <w:i/>
        </w:rPr>
        <w:t>/‘</w:t>
      </w:r>
      <w:proofErr w:type="gramEnd"/>
      <w:r w:rsidR="002F7494" w:rsidRPr="002F7494">
        <w:rPr>
          <w:i/>
        </w:rPr>
        <w:t>way’</w:t>
      </w:r>
      <w:r w:rsidR="002F7494">
        <w:rPr>
          <w:i/>
        </w:rPr>
        <w:t xml:space="preserve">, </w:t>
      </w:r>
      <w:r w:rsidR="00AF2A56">
        <w:t xml:space="preserve">a title which he has referenced previously in the passage, prompting Thomas to voice his confusion as to where Jesus is going and how one can follow him. John presents Jesus as the way to eternal life, to salvation, to re-connection with the Father. It could be stated that as well as being the way, truth and life, Jesus is the way </w:t>
      </w:r>
      <w:r w:rsidR="00AF2A56">
        <w:rPr>
          <w:i/>
        </w:rPr>
        <w:t xml:space="preserve">to </w:t>
      </w:r>
      <w:r w:rsidR="00AF2A56">
        <w:t>truth and life; Thompson writes that “Jesus is the way that leads to the father, precisely because he himself embodies the truth and life that come from the father”.</w:t>
      </w:r>
      <w:r w:rsidR="00AF2A56">
        <w:rPr>
          <w:rStyle w:val="FootnoteReference"/>
        </w:rPr>
        <w:footnoteReference w:id="7"/>
      </w:r>
      <w:r w:rsidR="00AF2A56">
        <w:t xml:space="preserve"> There is a word that Thompson uses in her observation of this passage that is extremely significant- </w:t>
      </w:r>
      <w:r w:rsidR="00AF2A56" w:rsidRPr="00AF2A56">
        <w:rPr>
          <w:i/>
        </w:rPr>
        <w:t>embodies</w:t>
      </w:r>
      <w:r w:rsidR="00AF2A56">
        <w:t xml:space="preserve">. Jesus does not hold </w:t>
      </w:r>
      <w:r w:rsidR="00106E30">
        <w:t>‘</w:t>
      </w:r>
      <w:r w:rsidR="00AF2A56">
        <w:t>the way</w:t>
      </w:r>
      <w:r w:rsidR="00106E30">
        <w:t>’</w:t>
      </w:r>
      <w:r w:rsidR="00AF2A56">
        <w:t xml:space="preserve"> </w:t>
      </w:r>
      <w:r w:rsidR="00C73034">
        <w:t>as</w:t>
      </w:r>
      <w:r w:rsidR="00B82790">
        <w:t xml:space="preserve"> </w:t>
      </w:r>
      <w:r w:rsidR="00106E30">
        <w:t xml:space="preserve">the </w:t>
      </w:r>
      <w:r w:rsidR="00B82790">
        <w:t>heroes</w:t>
      </w:r>
      <w:r w:rsidR="00106E30">
        <w:t>/prophets of the Hebrew Bible d</w:t>
      </w:r>
      <w:r w:rsidR="00B82790">
        <w:t>id</w:t>
      </w:r>
      <w:r w:rsidR="00106E30">
        <w:t xml:space="preserve">, </w:t>
      </w:r>
      <w:r w:rsidR="00C73034">
        <w:t xml:space="preserve">nor is it </w:t>
      </w:r>
      <w:proofErr w:type="gramStart"/>
      <w:r w:rsidR="00EC2A50">
        <w:t>similar to</w:t>
      </w:r>
      <w:proofErr w:type="gramEnd"/>
      <w:r w:rsidR="00C73034">
        <w:t xml:space="preserve"> how </w:t>
      </w:r>
      <w:r w:rsidR="00AC1C9C">
        <w:t xml:space="preserve">the prophet </w:t>
      </w:r>
      <w:r w:rsidR="00106E30">
        <w:t xml:space="preserve">Muhammad held the way to Paradise and eternal connection with </w:t>
      </w:r>
      <w:r w:rsidR="00C73034">
        <w:t>God</w:t>
      </w:r>
      <w:r w:rsidR="00106E30">
        <w:t>, or</w:t>
      </w:r>
      <w:r w:rsidR="00C73034">
        <w:t xml:space="preserve"> how</w:t>
      </w:r>
      <w:r w:rsidR="00106E30">
        <w:t xml:space="preserve"> the Buddha held the way to ultimate enlightenment.</w:t>
      </w:r>
      <w:r w:rsidR="00AF2A56">
        <w:t xml:space="preserve"> </w:t>
      </w:r>
      <w:r w:rsidR="00B82790">
        <w:t xml:space="preserve">No, there is a significant difference here- </w:t>
      </w:r>
      <w:r w:rsidR="00106E30">
        <w:t xml:space="preserve">Jesus does not claim to </w:t>
      </w:r>
      <w:r w:rsidR="00106E30">
        <w:rPr>
          <w:i/>
        </w:rPr>
        <w:t xml:space="preserve">have </w:t>
      </w:r>
      <w:r w:rsidR="00106E30">
        <w:t xml:space="preserve">the way, he claims to </w:t>
      </w:r>
      <w:r w:rsidR="00106E30">
        <w:rPr>
          <w:i/>
        </w:rPr>
        <w:t xml:space="preserve">be </w:t>
      </w:r>
      <w:r w:rsidR="00106E30">
        <w:t xml:space="preserve">the way.  </w:t>
      </w:r>
      <w:r w:rsidR="00E05A8E">
        <w:t xml:space="preserve">Jesus tells his disciples that they “know” the way to where he is going (14:4), they know the way because they know him. </w:t>
      </w:r>
      <w:r w:rsidR="00EC2A50">
        <w:t xml:space="preserve">Craig Koester writes that Jesus claims to </w:t>
      </w:r>
      <w:r w:rsidR="00EC2A50" w:rsidRPr="00EC2A50">
        <w:rPr>
          <w:i/>
        </w:rPr>
        <w:t>be</w:t>
      </w:r>
      <w:r w:rsidR="00EC2A50">
        <w:t xml:space="preserve"> the way because he is aware that he is about to </w:t>
      </w:r>
      <w:r w:rsidR="00EC2A50" w:rsidRPr="00EC2A50">
        <w:rPr>
          <w:i/>
        </w:rPr>
        <w:t>go</w:t>
      </w:r>
      <w:r w:rsidR="00EC2A50">
        <w:t xml:space="preserve"> the way himself- through his death and resurrection.</w:t>
      </w:r>
      <w:r w:rsidR="00916975">
        <w:rPr>
          <w:rStyle w:val="FootnoteReference"/>
        </w:rPr>
        <w:footnoteReference w:id="8"/>
      </w:r>
      <w:r w:rsidR="00EC2A50">
        <w:t xml:space="preserve"> Within the Johannine narrative, and Jesus’ Farewell Discourse in particular, the readers are continually reminded that Jesus is completely aware of the path that awaits him, a path that includes death but does not stop there. </w:t>
      </w:r>
      <w:r w:rsidR="004C6967">
        <w:t>Jesus’</w:t>
      </w:r>
      <w:r w:rsidR="00EC2A50">
        <w:t xml:space="preserve"> destination is his ‘</w:t>
      </w:r>
      <w:r w:rsidR="00E90F5E">
        <w:t>f</w:t>
      </w:r>
      <w:r w:rsidR="00EC2A50">
        <w:t>ather’s house’ (14:2)</w:t>
      </w:r>
      <w:r w:rsidR="004C6967">
        <w:t>;</w:t>
      </w:r>
      <w:r w:rsidR="00E90F5E">
        <w:t xml:space="preserve"> it is a destination which can await all people through Jesus</w:t>
      </w:r>
      <w:r w:rsidR="00EC2A50">
        <w:t>.</w:t>
      </w:r>
    </w:p>
    <w:p w:rsidR="001058C5" w:rsidRPr="001058C5" w:rsidRDefault="00D9050A" w:rsidP="00864740">
      <w:pPr>
        <w:jc w:val="both"/>
      </w:pPr>
      <w:r>
        <w:t xml:space="preserve"> </w:t>
      </w:r>
      <w:r w:rsidR="00193A41">
        <w:t>I</w:t>
      </w:r>
      <w:r w:rsidR="00E90F5E">
        <w:t>f</w:t>
      </w:r>
      <w:r w:rsidR="00193A41">
        <w:t xml:space="preserve"> Jesus is the way, a</w:t>
      </w:r>
      <w:r w:rsidR="002F0879">
        <w:t xml:space="preserve"> question is raised- for whom is Jesus the way? This is a question that has strong inter-faith implications</w:t>
      </w:r>
      <w:r w:rsidR="009A5909">
        <w:t xml:space="preserve">. In earlier chapters, the author of John makes it clear that Jesus came to be the way </w:t>
      </w:r>
      <w:r w:rsidR="004C6967">
        <w:t>for all people</w:t>
      </w:r>
      <w:r w:rsidR="009A5909">
        <w:t>- the whole ‘</w:t>
      </w:r>
      <w:proofErr w:type="spellStart"/>
      <w:r w:rsidR="009A5909" w:rsidRPr="009A5909">
        <w:rPr>
          <w:i/>
        </w:rPr>
        <w:t>kosmos</w:t>
      </w:r>
      <w:proofErr w:type="spellEnd"/>
      <w:r w:rsidR="009A5909" w:rsidRPr="009A5909">
        <w:rPr>
          <w:i/>
        </w:rPr>
        <w:t>’/’world’</w:t>
      </w:r>
      <w:r w:rsidR="009A5909">
        <w:t xml:space="preserve"> (1:29; 3:16). According to Rachel B. Edwards, such claims bring hope that Jesus’ </w:t>
      </w:r>
      <w:r w:rsidR="004C6967">
        <w:t xml:space="preserve">Johannine </w:t>
      </w:r>
      <w:r w:rsidR="009A5909">
        <w:t>words are not as intentionally exclusive as once thought, but rather</w:t>
      </w:r>
      <w:r w:rsidR="004C6967">
        <w:t>, he</w:t>
      </w:r>
      <w:r w:rsidR="009A5909">
        <w:t xml:space="preserve"> </w:t>
      </w:r>
      <w:r w:rsidR="00A809B8">
        <w:t>is presenting</w:t>
      </w:r>
      <w:r w:rsidR="009A5909">
        <w:t xml:space="preserve"> himself as a “constitutive mediator of salvation”</w:t>
      </w:r>
      <w:r w:rsidR="0012248E">
        <w:rPr>
          <w:rStyle w:val="FootnoteReference"/>
        </w:rPr>
        <w:footnoteReference w:id="9"/>
      </w:r>
      <w:r w:rsidR="009A5909">
        <w:t xml:space="preserve"> for all people</w:t>
      </w:r>
      <w:r w:rsidR="0012248E">
        <w:t xml:space="preserve">. Such an idea is not uncommon and has given rise to </w:t>
      </w:r>
      <w:r w:rsidR="00E90F5E">
        <w:t xml:space="preserve">inclusive concepts </w:t>
      </w:r>
      <w:r w:rsidR="0012248E">
        <w:t xml:space="preserve">such as ‘anonymous Christianity’, which proposes that Jesus is the means of all </w:t>
      </w:r>
      <w:r w:rsidR="00AB6096">
        <w:t>salvation but</w:t>
      </w:r>
      <w:r w:rsidR="0012248E">
        <w:t xml:space="preserve"> works namelessly within the context of other religious beliefs and practices.</w:t>
      </w:r>
      <w:r w:rsidR="00D53E4C">
        <w:t xml:space="preserve"> This reverts us back to God’s afore mentioned ‘salvific will’ which is a staple feature of the Christian inclusive paradigm. </w:t>
      </w:r>
    </w:p>
    <w:p w:rsidR="00355CC4" w:rsidRPr="00355CC4" w:rsidRDefault="00355CC4" w:rsidP="00864740">
      <w:pPr>
        <w:jc w:val="both"/>
        <w:rPr>
          <w:b/>
        </w:rPr>
      </w:pPr>
      <w:r w:rsidRPr="00355CC4">
        <w:rPr>
          <w:b/>
        </w:rPr>
        <w:t>The Truth</w:t>
      </w:r>
    </w:p>
    <w:p w:rsidR="00E51676" w:rsidRDefault="00A809B8" w:rsidP="00864740">
      <w:pPr>
        <w:jc w:val="both"/>
      </w:pPr>
      <w:r>
        <w:t>The second title Jesus adopts is the</w:t>
      </w:r>
      <w:r w:rsidR="00790F74">
        <w:t xml:space="preserve"> ‘</w:t>
      </w:r>
      <w:proofErr w:type="spellStart"/>
      <w:r w:rsidR="00790F74" w:rsidRPr="00790F74">
        <w:rPr>
          <w:i/>
        </w:rPr>
        <w:t>alethia</w:t>
      </w:r>
      <w:proofErr w:type="spellEnd"/>
      <w:r w:rsidR="00790F74" w:rsidRPr="00790F74">
        <w:rPr>
          <w:i/>
        </w:rPr>
        <w:t>’</w:t>
      </w:r>
      <w:proofErr w:type="gramStart"/>
      <w:r w:rsidR="00790F74" w:rsidRPr="00790F74">
        <w:rPr>
          <w:i/>
        </w:rPr>
        <w:t>/</w:t>
      </w:r>
      <w:r w:rsidRPr="00790F74">
        <w:rPr>
          <w:i/>
        </w:rPr>
        <w:t>‘</w:t>
      </w:r>
      <w:proofErr w:type="gramEnd"/>
      <w:r w:rsidRPr="00790F74">
        <w:rPr>
          <w:i/>
        </w:rPr>
        <w:t>truth’</w:t>
      </w:r>
      <w:r w:rsidR="00DD280C">
        <w:t xml:space="preserve">, he is the revelation of the unseen Father made plain for humanity to witness. </w:t>
      </w:r>
      <w:r w:rsidR="002744FE">
        <w:t>From the first chapter of John’s Gospel, we are aware that revealing the nature of God was a primary aspect of Jesus’ earthly mission as John the Baptist announced the impending arrival of “</w:t>
      </w:r>
      <w:r w:rsidR="002744FE" w:rsidRPr="002744FE">
        <w:t xml:space="preserve">The true light, which enlightens everyone, </w:t>
      </w:r>
      <w:r w:rsidR="00E51676">
        <w:t>i</w:t>
      </w:r>
      <w:r w:rsidR="002744FE" w:rsidRPr="002744FE">
        <w:t>s coming into the world</w:t>
      </w:r>
      <w:r w:rsidR="002744FE">
        <w:t>!” (1:9).</w:t>
      </w:r>
      <w:r w:rsidR="00AA1D7F">
        <w:t xml:space="preserve"> Jesus is able to represent the father because he was sent to do so, there is a reference to the Jewish tradition of ‘authorized agency’ according to which the one who is sent is to be treated in accordance to the </w:t>
      </w:r>
      <w:r w:rsidR="00AA1D7F">
        <w:lastRenderedPageBreak/>
        <w:t>one who has sent</w:t>
      </w:r>
      <w:r w:rsidR="002D4F77">
        <w:t xml:space="preserve"> them</w:t>
      </w:r>
      <w:r w:rsidR="00C3633D">
        <w:t>,</w:t>
      </w:r>
      <w:r w:rsidR="00AA1D7F">
        <w:rPr>
          <w:rStyle w:val="FootnoteReference"/>
        </w:rPr>
        <w:footnoteReference w:id="10"/>
      </w:r>
      <w:r w:rsidR="00C3633D">
        <w:t xml:space="preserve"> Jesus acts as God’s authorized agent in the world.</w:t>
      </w:r>
      <w:r w:rsidR="00E51676">
        <w:t xml:space="preserve"> In chapter fourteen of John’s Gospel Jesus states that “the words that I say to you I do not speak on my own; but the father who dwells in me does his works” (14:10). It is important to Johannine Christology that Jesus was present with God since the beginning of time, dwelling with him even before the creation of the world (1:1-5), but Jesus states that not only has he dwelt in the presence of God for an eternity, but that </w:t>
      </w:r>
      <w:r w:rsidR="00AA1D7F">
        <w:t xml:space="preserve">the presence of </w:t>
      </w:r>
      <w:r w:rsidR="00E51676">
        <w:t>God dwells within him. As John’s prologue states,</w:t>
      </w:r>
      <w:r w:rsidR="00ED1120">
        <w:t xml:space="preserve"> Jesus </w:t>
      </w:r>
      <w:proofErr w:type="gramStart"/>
      <w:r w:rsidR="00ED1120">
        <w:t>is able to</w:t>
      </w:r>
      <w:proofErr w:type="gramEnd"/>
      <w:r w:rsidR="00ED1120">
        <w:t xml:space="preserve"> reveal the truth about God, not just because he has experienced him but because he is him, he is the truth incarnate. Raymond Brown writes that because of this “he is the sole source of knowledge about the father”.</w:t>
      </w:r>
      <w:r w:rsidR="00ED1120">
        <w:rPr>
          <w:rStyle w:val="FootnoteReference"/>
        </w:rPr>
        <w:footnoteReference w:id="11"/>
      </w:r>
      <w:r w:rsidR="00AA1D7F">
        <w:t xml:space="preserve"> </w:t>
      </w:r>
    </w:p>
    <w:p w:rsidR="00355CC4" w:rsidRDefault="002744FE" w:rsidP="00864740">
      <w:pPr>
        <w:jc w:val="both"/>
      </w:pPr>
      <w:r>
        <w:t xml:space="preserve"> </w:t>
      </w:r>
      <w:r w:rsidR="00E51676">
        <w:t xml:space="preserve">Furthermore, </w:t>
      </w:r>
      <w:r w:rsidR="00EC5B0B">
        <w:t xml:space="preserve">Andrew T. Lincoln has noted a subtle significance in three words that Jesus speaks to his disciples in John 14- Jesus </w:t>
      </w:r>
      <w:r w:rsidR="005D5FA9">
        <w:t>says,</w:t>
      </w:r>
      <w:r w:rsidR="00EC5B0B">
        <w:t xml:space="preserve"> </w:t>
      </w:r>
      <w:r w:rsidR="00EC5B0B" w:rsidRPr="00EC5B0B">
        <w:rPr>
          <w:i/>
        </w:rPr>
        <w:t>“</w:t>
      </w:r>
      <w:r w:rsidR="00EC5B0B" w:rsidRPr="00EC5B0B">
        <w:rPr>
          <w:i/>
        </w:rPr>
        <w:t xml:space="preserve">From now on </w:t>
      </w:r>
      <w:r w:rsidR="00EC5B0B" w:rsidRPr="00EC5B0B">
        <w:t xml:space="preserve">you do know him </w:t>
      </w:r>
      <w:r w:rsidR="00EC5B0B">
        <w:t xml:space="preserve">(the father) </w:t>
      </w:r>
      <w:r w:rsidR="00EC5B0B" w:rsidRPr="00EC5B0B">
        <w:t>and have seen him</w:t>
      </w:r>
      <w:r w:rsidR="00EC5B0B">
        <w:t>” (14:7). It seems from his words that Jesus is drawing a line in the sand, he is making a distinction between ‘then’ and ‘now’, Lincoln writes that “from the completion of Jesus’ hour, their (the disciples) relation to the father will be one of authentic knowledge and sight”.</w:t>
      </w:r>
      <w:r w:rsidR="00EC5B0B">
        <w:rPr>
          <w:rStyle w:val="FootnoteReference"/>
        </w:rPr>
        <w:footnoteReference w:id="12"/>
      </w:r>
      <w:r w:rsidR="00EC5B0B">
        <w:t xml:space="preserve"> </w:t>
      </w:r>
      <w:r w:rsidR="00F634CF">
        <w:t xml:space="preserve">Through Jesus’ imminent death and resurrection the truth will take on a new significance, his abstract words and teachings that seem to baffle the disciples will be made clear in the light of the Passion Narrative. </w:t>
      </w:r>
    </w:p>
    <w:p w:rsidR="00D53E4C" w:rsidRPr="00EB0258" w:rsidRDefault="00B76DCF" w:rsidP="00864740">
      <w:pPr>
        <w:jc w:val="both"/>
      </w:pPr>
      <w:r>
        <w:t xml:space="preserve">It could be argued that this ‘truth’ title is the most adhering to an exclusive attitude towards other religions. </w:t>
      </w:r>
      <w:r w:rsidR="00B74629">
        <w:t>If Jesus, and Jesus alone is the truth, the ‘sole source of knowledge’ as Brown states, then other religious truths at the centre of other religio</w:t>
      </w:r>
      <w:r w:rsidR="00333000">
        <w:t>us traditions</w:t>
      </w:r>
      <w:r w:rsidR="00B74629">
        <w:t xml:space="preserve"> must</w:t>
      </w:r>
      <w:r w:rsidR="00333000">
        <w:t>,</w:t>
      </w:r>
      <w:r w:rsidR="00B74629">
        <w:t xml:space="preserve"> by default</w:t>
      </w:r>
      <w:r w:rsidR="00333000">
        <w:t>,</w:t>
      </w:r>
      <w:r w:rsidR="00B74629">
        <w:t xml:space="preserve"> be false.</w:t>
      </w:r>
      <w:r w:rsidR="00333000">
        <w:t xml:space="preserve"> </w:t>
      </w:r>
      <w:r w:rsidR="005912F6">
        <w:t xml:space="preserve">Alvin </w:t>
      </w:r>
      <w:proofErr w:type="spellStart"/>
      <w:r w:rsidR="005912F6">
        <w:t>Platinga</w:t>
      </w:r>
      <w:proofErr w:type="spellEnd"/>
      <w:r w:rsidR="005912F6">
        <w:t xml:space="preserve"> observes that an exclusivist Christian “must believe that those who believe something incompatible with them are mistaken and believe what is false. That’s no more than simple logic.”</w:t>
      </w:r>
      <w:r w:rsidR="005912F6">
        <w:rPr>
          <w:rStyle w:val="FootnoteReference"/>
        </w:rPr>
        <w:footnoteReference w:id="13"/>
      </w:r>
      <w:r w:rsidR="00B74629">
        <w:t xml:space="preserve"> </w:t>
      </w:r>
    </w:p>
    <w:p w:rsidR="00355CC4" w:rsidRPr="00355CC4" w:rsidRDefault="00355CC4" w:rsidP="00864740">
      <w:pPr>
        <w:jc w:val="both"/>
        <w:rPr>
          <w:b/>
        </w:rPr>
      </w:pPr>
      <w:r w:rsidRPr="00355CC4">
        <w:rPr>
          <w:b/>
        </w:rPr>
        <w:t xml:space="preserve">The Life </w:t>
      </w:r>
    </w:p>
    <w:p w:rsidR="00355CC4" w:rsidRDefault="00C3633D" w:rsidP="00864740">
      <w:pPr>
        <w:jc w:val="both"/>
      </w:pPr>
      <w:r w:rsidRPr="00C3633D">
        <w:t xml:space="preserve">Thirdly, Jesus entitles himself the </w:t>
      </w:r>
      <w:r>
        <w:rPr>
          <w:i/>
        </w:rPr>
        <w:t>‘</w:t>
      </w:r>
      <w:proofErr w:type="spellStart"/>
      <w:r>
        <w:rPr>
          <w:i/>
        </w:rPr>
        <w:t>zoe</w:t>
      </w:r>
      <w:proofErr w:type="spellEnd"/>
      <w:r>
        <w:rPr>
          <w:i/>
        </w:rPr>
        <w:t xml:space="preserve">’/’life’, </w:t>
      </w:r>
      <w:r w:rsidR="000F77C8">
        <w:t xml:space="preserve">by which he is referring to </w:t>
      </w:r>
      <w:r w:rsidR="00916975">
        <w:t>the e</w:t>
      </w:r>
      <w:r w:rsidR="0033576A">
        <w:t>schatological</w:t>
      </w:r>
      <w:r w:rsidR="00916975">
        <w:t xml:space="preserve"> life that can only be obtained through a re-connection to God, Koester defines the Johannine eternal life as “a relational expression”.</w:t>
      </w:r>
      <w:r w:rsidR="00916975">
        <w:rPr>
          <w:rStyle w:val="FootnoteReference"/>
        </w:rPr>
        <w:footnoteReference w:id="14"/>
      </w:r>
      <w:r w:rsidR="00916975">
        <w:t xml:space="preserve"> </w:t>
      </w:r>
      <w:r w:rsidR="0033576A">
        <w:t xml:space="preserve">The Synoptic Gospels speak regularly of </w:t>
      </w:r>
      <w:r w:rsidR="000F77C8">
        <w:t>‘</w:t>
      </w:r>
      <w:r w:rsidR="0033576A">
        <w:t>salvation</w:t>
      </w:r>
      <w:r w:rsidR="000F77C8">
        <w:t>’</w:t>
      </w:r>
      <w:r w:rsidR="0033576A">
        <w:t xml:space="preserve">, and Jesus’ role as the </w:t>
      </w:r>
      <w:r w:rsidR="000F77C8">
        <w:t>‘</w:t>
      </w:r>
      <w:r w:rsidR="0033576A">
        <w:t>saviour</w:t>
      </w:r>
      <w:r w:rsidR="000F77C8">
        <w:t>’</w:t>
      </w:r>
      <w:r w:rsidR="0033576A">
        <w:t>, while John’s Gospel doesn’t completely omit such phrases (4:42; 4:22; 3:17), it does place much more emphasis on the term- ‘</w:t>
      </w:r>
      <w:r w:rsidR="0033576A" w:rsidRPr="00EB0258">
        <w:rPr>
          <w:i/>
        </w:rPr>
        <w:t>eternal life’/’</w:t>
      </w:r>
      <w:proofErr w:type="spellStart"/>
      <w:r w:rsidR="0033576A" w:rsidRPr="00EB0258">
        <w:rPr>
          <w:i/>
        </w:rPr>
        <w:t>zoe</w:t>
      </w:r>
      <w:proofErr w:type="spellEnd"/>
      <w:r w:rsidR="0033576A" w:rsidRPr="00EB0258">
        <w:rPr>
          <w:i/>
        </w:rPr>
        <w:t xml:space="preserve"> </w:t>
      </w:r>
      <w:proofErr w:type="spellStart"/>
      <w:r w:rsidR="0033576A" w:rsidRPr="00EB0258">
        <w:rPr>
          <w:i/>
        </w:rPr>
        <w:t>aionios</w:t>
      </w:r>
      <w:proofErr w:type="spellEnd"/>
      <w:r w:rsidR="0033576A" w:rsidRPr="00EB0258">
        <w:rPr>
          <w:i/>
        </w:rPr>
        <w:t>’</w:t>
      </w:r>
      <w:r w:rsidR="000F77C8">
        <w:t xml:space="preserve"> and </w:t>
      </w:r>
      <w:r w:rsidR="008410E8">
        <w:t>teaches its audience</w:t>
      </w:r>
      <w:r w:rsidR="000F77C8">
        <w:t xml:space="preserve"> that one does not have to wait until the end-times to experience such life, it is presently available through Jesus. By the time the readers/receivers of John’s gospel have reached the fourteenth chapter, they are already aware of Jesus raising Lazarus from the dead in the eleventh chapter (11:1-53) in what w</w:t>
      </w:r>
      <w:r w:rsidR="00BA2E08">
        <w:t>ill be</w:t>
      </w:r>
      <w:r w:rsidR="000F77C8">
        <w:t xml:space="preserve"> his climactic final sign before his own death and resurrection. They are therefore already aware that Jesus holds the power of life and death, yet in this passage the author is taking it one step further, theologising the miracle, Jesus does not only hold life, he </w:t>
      </w:r>
      <w:r w:rsidR="000F77C8" w:rsidRPr="00BA2E08">
        <w:rPr>
          <w:i/>
        </w:rPr>
        <w:t>is</w:t>
      </w:r>
      <w:r w:rsidR="000F77C8">
        <w:t xml:space="preserve"> life.</w:t>
      </w:r>
      <w:r w:rsidR="00BA2E08">
        <w:t xml:space="preserve"> </w:t>
      </w:r>
      <w:r w:rsidR="00BD67F8">
        <w:t>Lincoln notes that Jesus is telling his disciples that “he is the life and the means of participating in the life of God”,</w:t>
      </w:r>
      <w:r w:rsidR="00BD67F8">
        <w:rPr>
          <w:rStyle w:val="FootnoteReference"/>
        </w:rPr>
        <w:footnoteReference w:id="15"/>
      </w:r>
      <w:r w:rsidR="00BD67F8">
        <w:t xml:space="preserve"> yet again, we have the benefit of knowing how Jesus is planning to ensure this life for anyone who believes in him- through his death and resurrection. Sandra M. </w:t>
      </w:r>
      <w:proofErr w:type="spellStart"/>
      <w:r w:rsidR="00BD67F8">
        <w:t>Schneiders</w:t>
      </w:r>
      <w:proofErr w:type="spellEnd"/>
      <w:r w:rsidR="00BD67F8">
        <w:t xml:space="preserve"> depicts the irony within the forthcoming </w:t>
      </w:r>
      <w:r w:rsidR="008410E8">
        <w:t>P</w:t>
      </w:r>
      <w:r w:rsidR="00BD67F8">
        <w:t xml:space="preserve">assion </w:t>
      </w:r>
      <w:r w:rsidR="008410E8">
        <w:t>N</w:t>
      </w:r>
      <w:r w:rsidR="00BD67F8">
        <w:t xml:space="preserve">arrative; it is because Jesus claims to be the life that he has his life taken away from him, yet </w:t>
      </w:r>
      <w:proofErr w:type="spellStart"/>
      <w:r w:rsidR="00BD67F8">
        <w:lastRenderedPageBreak/>
        <w:t>Schneiders</w:t>
      </w:r>
      <w:proofErr w:type="spellEnd"/>
      <w:r w:rsidR="00BD67F8">
        <w:t xml:space="preserve"> writes that “his execution will be his glorification, the final revelation of the resurrection and the life”.</w:t>
      </w:r>
      <w:r w:rsidR="00BD67F8">
        <w:rPr>
          <w:rStyle w:val="FootnoteReference"/>
        </w:rPr>
        <w:footnoteReference w:id="16"/>
      </w:r>
    </w:p>
    <w:p w:rsidR="00872B9C" w:rsidRPr="00653DA3" w:rsidRDefault="008410E8" w:rsidP="00864740">
      <w:pPr>
        <w:jc w:val="both"/>
      </w:pPr>
      <w:r>
        <w:t>The theological idea of eternal life is not exclusive to John, but has its roots in several Jewish texts (Dan. 12:2; 1QS 4:7), yet the author of John</w:t>
      </w:r>
      <w:r w:rsidR="00F31AE4">
        <w:t xml:space="preserve"> adapts this idea, he suggests </w:t>
      </w:r>
      <w:r>
        <w:t xml:space="preserve"> that what those texts portray as a futuristic promise, can actually be experienced on earth, through Jesus. This idea was central to Johannine theology and was the basis of much of the disagreement that occurred between the Johannine community and the synagogue. </w:t>
      </w:r>
      <w:r w:rsidR="00BB5515">
        <w:t xml:space="preserve">According to John 14 (along with other Johannine passages), </w:t>
      </w:r>
      <w:r w:rsidR="001F7938">
        <w:t xml:space="preserve">belief in </w:t>
      </w:r>
      <w:r w:rsidR="00BB5515">
        <w:t xml:space="preserve">Jesus is the one and only means by which one can enter into life, by which he is referring to life in its eschatological abundance- Jesus himself says “believe in God, believe also in me” (14:1). </w:t>
      </w:r>
      <w:r w:rsidR="00E9444F">
        <w:t>David Cheetham speaks of this life that Jesus offers to the world, and states that an aspect of that life is the benefit of seeing others as God sees them- “as made in his image, as loved from eternity, as a part of God’s plan for salvation”.</w:t>
      </w:r>
      <w:r w:rsidR="00E9444F">
        <w:rPr>
          <w:rStyle w:val="FootnoteReference"/>
        </w:rPr>
        <w:footnoteReference w:id="17"/>
      </w:r>
      <w:r w:rsidR="00E9444F">
        <w:t xml:space="preserve"> Therefore, according to Cheetham, an inclusive worldview is not about compromising or denying Jesus’ statements, but embracing the inclusive nature of the one who is declaring them.</w:t>
      </w:r>
    </w:p>
    <w:p w:rsidR="00355CC4" w:rsidRDefault="004D699A" w:rsidP="00864740">
      <w:pPr>
        <w:jc w:val="both"/>
        <w:rPr>
          <w:b/>
        </w:rPr>
      </w:pPr>
      <w:r>
        <w:rPr>
          <w:b/>
        </w:rPr>
        <w:t>Concluding Thoughts</w:t>
      </w:r>
    </w:p>
    <w:p w:rsidR="00BC1000" w:rsidRPr="007631AB" w:rsidRDefault="004D699A" w:rsidP="00864740">
      <w:pPr>
        <w:jc w:val="both"/>
      </w:pPr>
      <w:r>
        <w:t>Can we fully understand the theological intention behind any given piece of scripture without having an awareness (however brief that awareness may be) of the context in which the scripture was composed and</w:t>
      </w:r>
      <w:r w:rsidR="00642F7C">
        <w:t xml:space="preserve"> originally</w:t>
      </w:r>
      <w:r>
        <w:t xml:space="preserve"> received? It is thought by social-scientific biblical scholars that the Gospel of John was written from within an isolated, persecuted community who found themselves fitting into neither the dominant Jewish religion, nor the emerging Christian movement. </w:t>
      </w:r>
      <w:r w:rsidR="007631AB">
        <w:t>Rachel B. Evans therefore argues that to use the fourteenth chapter of John’s Gospel as evidence for either inclusivism or exclusivism would be unfair, she writes that “it must be frankly recognised that John, writing in the first century CE, was not concerned with world religions in a modern sense”.</w:t>
      </w:r>
      <w:r w:rsidR="007631AB">
        <w:rPr>
          <w:rStyle w:val="FootnoteReference"/>
        </w:rPr>
        <w:footnoteReference w:id="18"/>
      </w:r>
      <w:r w:rsidR="007631AB">
        <w:t xml:space="preserve"> </w:t>
      </w:r>
      <w:r w:rsidR="00BC1000">
        <w:t xml:space="preserve">Dr Daniel Strange </w:t>
      </w:r>
      <w:r w:rsidR="007631AB">
        <w:t xml:space="preserve">reiterates such </w:t>
      </w:r>
      <w:r w:rsidR="00642F7C">
        <w:t>sentiment in his research</w:t>
      </w:r>
      <w:r w:rsidR="007631AB">
        <w:t xml:space="preserve">, simply observing </w:t>
      </w:r>
      <w:r w:rsidR="00BC1000">
        <w:t>that “Christians did not know any better because they did not know the religious ‘other’ any better”.</w:t>
      </w:r>
      <w:r w:rsidR="00BC1000">
        <w:rPr>
          <w:rStyle w:val="FootnoteReference"/>
        </w:rPr>
        <w:footnoteReference w:id="19"/>
      </w:r>
    </w:p>
    <w:p w:rsidR="00D063FD" w:rsidRDefault="00EB660B" w:rsidP="00864740">
      <w:pPr>
        <w:jc w:val="both"/>
      </w:pPr>
      <w:r>
        <w:t xml:space="preserve">While I believe that this is an important point to acknowledge, I do believe that the author of John had an element of awareness that he was producing scripture and an intention to do so (21:24-25), therefore we mustn’t disregard his words/ideas as intended for only a specific audience and a specific time, heeding no relevance to any recipients in differing contexts. By stating that Jesus is the </w:t>
      </w:r>
      <w:r w:rsidRPr="00EB660B">
        <w:rPr>
          <w:i/>
        </w:rPr>
        <w:t>way</w:t>
      </w:r>
      <w:r>
        <w:t xml:space="preserve">, the </w:t>
      </w:r>
      <w:r w:rsidRPr="00EB660B">
        <w:rPr>
          <w:i/>
        </w:rPr>
        <w:t>truth</w:t>
      </w:r>
      <w:r>
        <w:t xml:space="preserve"> and the </w:t>
      </w:r>
      <w:r w:rsidRPr="00EB660B">
        <w:rPr>
          <w:i/>
        </w:rPr>
        <w:t>life</w:t>
      </w:r>
      <w:r>
        <w:t xml:space="preserve">, he is bringing together three crucial aspects of Johannine theology and accrediting them solely to himself. Such a statement has, and will always, be at the centre of inter-faith discussion as we explore the realities of an </w:t>
      </w:r>
      <w:proofErr w:type="gramStart"/>
      <w:r>
        <w:t>ever increasing</w:t>
      </w:r>
      <w:proofErr w:type="gramEnd"/>
      <w:r>
        <w:t xml:space="preserve"> pluralistic society. </w:t>
      </w:r>
    </w:p>
    <w:p w:rsidR="00E62FFF" w:rsidRDefault="00E62FFF" w:rsidP="00864740">
      <w:pPr>
        <w:jc w:val="both"/>
      </w:pPr>
    </w:p>
    <w:p w:rsidR="00E62FFF" w:rsidRDefault="00E62FFF" w:rsidP="00864740">
      <w:pPr>
        <w:jc w:val="both"/>
      </w:pPr>
    </w:p>
    <w:p w:rsidR="00E62FFF" w:rsidRDefault="00E62FFF" w:rsidP="00864740">
      <w:pPr>
        <w:jc w:val="both"/>
      </w:pPr>
    </w:p>
    <w:p w:rsidR="00E62FFF" w:rsidRDefault="00E62FFF" w:rsidP="00864740">
      <w:pPr>
        <w:jc w:val="both"/>
      </w:pPr>
    </w:p>
    <w:p w:rsidR="00E62FFF" w:rsidRDefault="00E62FFF" w:rsidP="00864740">
      <w:pPr>
        <w:jc w:val="both"/>
        <w:rPr>
          <w:b/>
        </w:rPr>
      </w:pPr>
      <w:r>
        <w:rPr>
          <w:b/>
        </w:rPr>
        <w:lastRenderedPageBreak/>
        <w:t xml:space="preserve">Bibliography: </w:t>
      </w:r>
    </w:p>
    <w:p w:rsidR="00971C47" w:rsidRDefault="00971C47" w:rsidP="00864740">
      <w:pPr>
        <w:jc w:val="both"/>
      </w:pPr>
      <w:r>
        <w:t>Ball,</w:t>
      </w:r>
      <w:r>
        <w:t xml:space="preserve"> D.M.,</w:t>
      </w:r>
      <w:r>
        <w:t xml:space="preserve"> </w:t>
      </w:r>
      <w:r>
        <w:rPr>
          <w:i/>
        </w:rPr>
        <w:t xml:space="preserve">The ‘I Am’ Sayings of Jesus and Religious Pluralism </w:t>
      </w:r>
      <w:r>
        <w:t xml:space="preserve">in </w:t>
      </w:r>
      <w:r>
        <w:rPr>
          <w:i/>
        </w:rPr>
        <w:t xml:space="preserve">One God One Lord: Christianity in a World of Religious Pluralism, </w:t>
      </w:r>
      <w:r>
        <w:t>eds. Andrew D. Clark and Bruce W. Winter, (Grand Rapids: Baker Book House, 1992).</w:t>
      </w:r>
    </w:p>
    <w:p w:rsidR="00971C47" w:rsidRDefault="00971C47" w:rsidP="00864740">
      <w:pPr>
        <w:jc w:val="both"/>
      </w:pPr>
      <w:r>
        <w:t>Brown,</w:t>
      </w:r>
      <w:r>
        <w:t xml:space="preserve"> R.E.,</w:t>
      </w:r>
      <w:r>
        <w:t xml:space="preserve"> </w:t>
      </w:r>
      <w:r>
        <w:rPr>
          <w:i/>
        </w:rPr>
        <w:t xml:space="preserve">The Gospel and Epistles of John: A Concise Commentary, </w:t>
      </w:r>
      <w:r>
        <w:t>(Minnesota: The Liturgical Press, 1988</w:t>
      </w:r>
    </w:p>
    <w:p w:rsidR="00E62FFF" w:rsidRDefault="00E62FFF" w:rsidP="00864740">
      <w:pPr>
        <w:jc w:val="both"/>
      </w:pPr>
      <w:r w:rsidRPr="00E62FFF">
        <w:t>Cheetham,</w:t>
      </w:r>
      <w:r>
        <w:t xml:space="preserve"> D.,</w:t>
      </w:r>
      <w:r w:rsidRPr="00E62FFF">
        <w:t xml:space="preserve"> </w:t>
      </w:r>
      <w:r w:rsidRPr="00E62FFF">
        <w:rPr>
          <w:i/>
        </w:rPr>
        <w:t xml:space="preserve">Inclusivism’s: Honouring Faithfulness and Openness </w:t>
      </w:r>
      <w:r w:rsidRPr="00E62FFF">
        <w:t xml:space="preserve">in </w:t>
      </w:r>
      <w:r w:rsidRPr="00E62FFF">
        <w:rPr>
          <w:i/>
        </w:rPr>
        <w:t xml:space="preserve">Christian Approaches to Other Faiths </w:t>
      </w:r>
      <w:r w:rsidRPr="00E62FFF">
        <w:t>eds. Alan Race and Paul M. Hedges, (London: SCM Press, 2008</w:t>
      </w:r>
      <w:r>
        <w:t>)</w:t>
      </w:r>
    </w:p>
    <w:p w:rsidR="001976D3" w:rsidRDefault="00E62FFF" w:rsidP="00864740">
      <w:pPr>
        <w:jc w:val="both"/>
      </w:pPr>
      <w:r>
        <w:t>Evans,</w:t>
      </w:r>
      <w:r>
        <w:t xml:space="preserve"> R.B.,</w:t>
      </w:r>
      <w:r>
        <w:t xml:space="preserve"> </w:t>
      </w:r>
      <w:r>
        <w:rPr>
          <w:i/>
        </w:rPr>
        <w:t xml:space="preserve">Discovering John, </w:t>
      </w:r>
      <w:r>
        <w:t>(London: SPCK, 2014)</w:t>
      </w:r>
    </w:p>
    <w:p w:rsidR="00971C47" w:rsidRDefault="00971C47" w:rsidP="00864740">
      <w:pPr>
        <w:jc w:val="both"/>
      </w:pPr>
      <w:r>
        <w:t>Koester,</w:t>
      </w:r>
      <w:r>
        <w:t xml:space="preserve"> C.R.,</w:t>
      </w:r>
      <w:r>
        <w:t xml:space="preserve"> </w:t>
      </w:r>
      <w:r>
        <w:rPr>
          <w:i/>
        </w:rPr>
        <w:t xml:space="preserve">Symbolism in the Fourth Gospel, </w:t>
      </w:r>
      <w:r>
        <w:t>(Minneapolis: Fortress Press, 2003),</w:t>
      </w:r>
    </w:p>
    <w:p w:rsidR="001976D3" w:rsidRDefault="001976D3" w:rsidP="00864740">
      <w:pPr>
        <w:jc w:val="both"/>
      </w:pPr>
      <w:r>
        <w:t>Lincoln,</w:t>
      </w:r>
      <w:r>
        <w:t xml:space="preserve"> A.T.,</w:t>
      </w:r>
      <w:r>
        <w:t xml:space="preserve"> </w:t>
      </w:r>
      <w:r>
        <w:rPr>
          <w:i/>
        </w:rPr>
        <w:t xml:space="preserve">The Gospel According to St. John, </w:t>
      </w:r>
      <w:r>
        <w:t>(New York: Hendrickson Publishers, 2005</w:t>
      </w:r>
      <w:r w:rsidR="006778CF">
        <w:t>)</w:t>
      </w:r>
    </w:p>
    <w:p w:rsidR="006778CF" w:rsidRPr="006778CF" w:rsidRDefault="006778CF" w:rsidP="00864740">
      <w:pPr>
        <w:jc w:val="both"/>
        <w:rPr>
          <w:i/>
        </w:rPr>
      </w:pPr>
      <w:r>
        <w:t xml:space="preserve">Malina, B., </w:t>
      </w:r>
      <w:r>
        <w:rPr>
          <w:i/>
        </w:rPr>
        <w:t xml:space="preserve">John’s Maverick Christian Group: The Evidence of Sociolinguistics, Biblical Theology Bulletin 24, </w:t>
      </w:r>
      <w:r>
        <w:t>pp-167-82.</w:t>
      </w:r>
      <w:bookmarkStart w:id="13" w:name="_GoBack"/>
      <w:bookmarkEnd w:id="13"/>
      <w:r>
        <w:rPr>
          <w:i/>
        </w:rPr>
        <w:t xml:space="preserve"> </w:t>
      </w:r>
    </w:p>
    <w:p w:rsidR="001976D3" w:rsidRDefault="001976D3" w:rsidP="00864740">
      <w:pPr>
        <w:jc w:val="both"/>
      </w:pPr>
      <w:proofErr w:type="spellStart"/>
      <w:r>
        <w:t>Platinga</w:t>
      </w:r>
      <w:proofErr w:type="spellEnd"/>
      <w:r>
        <w:t>,</w:t>
      </w:r>
      <w:r>
        <w:t xml:space="preserve"> A.,</w:t>
      </w:r>
      <w:r>
        <w:t xml:space="preserve"> </w:t>
      </w:r>
      <w:r>
        <w:rPr>
          <w:i/>
        </w:rPr>
        <w:t xml:space="preserve">Pluralism: A Defence of Religious Exclusivism </w:t>
      </w:r>
      <w:r>
        <w:t xml:space="preserve">in </w:t>
      </w:r>
      <w:r w:rsidRPr="005912F6">
        <w:rPr>
          <w:i/>
        </w:rPr>
        <w:t>The Rationality</w:t>
      </w:r>
      <w:r>
        <w:rPr>
          <w:i/>
        </w:rPr>
        <w:t xml:space="preserve"> of Belief and the Plurality of Faith, </w:t>
      </w:r>
      <w:r>
        <w:t>(London: Cornell University Press, 1995</w:t>
      </w:r>
      <w:r>
        <w:t>)</w:t>
      </w:r>
    </w:p>
    <w:p w:rsidR="00E62FFF" w:rsidRDefault="00E62FFF" w:rsidP="00864740">
      <w:pPr>
        <w:jc w:val="both"/>
      </w:pPr>
      <w:proofErr w:type="spellStart"/>
      <w:r>
        <w:t>Schneiders</w:t>
      </w:r>
      <w:proofErr w:type="spellEnd"/>
      <w:r>
        <w:t>,</w:t>
      </w:r>
      <w:r>
        <w:t xml:space="preserve"> S.M.,</w:t>
      </w:r>
      <w:r>
        <w:t xml:space="preserve"> </w:t>
      </w:r>
      <w:r>
        <w:rPr>
          <w:i/>
        </w:rPr>
        <w:t xml:space="preserve">Written That You May Believe: Encountering Jesus in the Fourth Gospel, </w:t>
      </w:r>
      <w:r>
        <w:t>(New York: The Crossroad Publishing Company, 2003</w:t>
      </w:r>
    </w:p>
    <w:p w:rsidR="00E62FFF" w:rsidRDefault="00E62FFF" w:rsidP="00864740">
      <w:pPr>
        <w:jc w:val="both"/>
      </w:pPr>
      <w:r>
        <w:t>Strange,</w:t>
      </w:r>
      <w:r>
        <w:t xml:space="preserve"> D.,</w:t>
      </w:r>
      <w:r>
        <w:t xml:space="preserve"> </w:t>
      </w:r>
      <w:proofErr w:type="spellStart"/>
      <w:r>
        <w:rPr>
          <w:i/>
        </w:rPr>
        <w:t>Exclusivisms</w:t>
      </w:r>
      <w:proofErr w:type="spellEnd"/>
      <w:r>
        <w:rPr>
          <w:i/>
        </w:rPr>
        <w:t xml:space="preserve">: Their Rock is Not Like Our Rock </w:t>
      </w:r>
      <w:r>
        <w:t xml:space="preserve">in </w:t>
      </w:r>
      <w:r>
        <w:rPr>
          <w:i/>
        </w:rPr>
        <w:t xml:space="preserve">Christian Approaches to Other Faiths </w:t>
      </w:r>
      <w:r>
        <w:t>eds. Alan Race and Paul M. Hedges, (London: SCM Press, 2008)</w:t>
      </w:r>
    </w:p>
    <w:p w:rsidR="00971C47" w:rsidRPr="00E62FFF" w:rsidRDefault="00971C47" w:rsidP="00864740">
      <w:pPr>
        <w:jc w:val="both"/>
        <w:rPr>
          <w:b/>
        </w:rPr>
      </w:pPr>
      <w:r w:rsidRPr="00AF2A56">
        <w:t>Thompson,</w:t>
      </w:r>
      <w:r>
        <w:t xml:space="preserve"> M.M.</w:t>
      </w:r>
      <w:proofErr w:type="gramStart"/>
      <w:r>
        <w:t xml:space="preserve">, </w:t>
      </w:r>
      <w:r w:rsidRPr="00AF2A56">
        <w:t xml:space="preserve"> </w:t>
      </w:r>
      <w:r w:rsidRPr="00AF2A56">
        <w:rPr>
          <w:i/>
        </w:rPr>
        <w:t>John</w:t>
      </w:r>
      <w:proofErr w:type="gramEnd"/>
      <w:r w:rsidRPr="00AF2A56">
        <w:rPr>
          <w:i/>
        </w:rPr>
        <w:t xml:space="preserve">: A Commentary, </w:t>
      </w:r>
      <w:r w:rsidRPr="00AF2A56">
        <w:t>(Louisville: Westminster John Knox Press)</w:t>
      </w:r>
    </w:p>
    <w:sectPr w:rsidR="00971C47" w:rsidRPr="00E62F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1095" w:rsidRDefault="00781095" w:rsidP="00387B10">
      <w:pPr>
        <w:spacing w:after="0" w:line="240" w:lineRule="auto"/>
      </w:pPr>
      <w:r>
        <w:separator/>
      </w:r>
    </w:p>
  </w:endnote>
  <w:endnote w:type="continuationSeparator" w:id="0">
    <w:p w:rsidR="00781095" w:rsidRDefault="00781095" w:rsidP="00387B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1095" w:rsidRDefault="00781095" w:rsidP="00387B10">
      <w:pPr>
        <w:spacing w:after="0" w:line="240" w:lineRule="auto"/>
      </w:pPr>
      <w:r>
        <w:separator/>
      </w:r>
    </w:p>
  </w:footnote>
  <w:footnote w:type="continuationSeparator" w:id="0">
    <w:p w:rsidR="00781095" w:rsidRDefault="00781095" w:rsidP="00387B10">
      <w:pPr>
        <w:spacing w:after="0" w:line="240" w:lineRule="auto"/>
      </w:pPr>
      <w:r>
        <w:continuationSeparator/>
      </w:r>
    </w:p>
  </w:footnote>
  <w:footnote w:id="1">
    <w:p w:rsidR="00C73034" w:rsidRPr="0048217F" w:rsidRDefault="00C73034">
      <w:pPr>
        <w:pStyle w:val="FootnoteText"/>
      </w:pPr>
      <w:r>
        <w:rPr>
          <w:rStyle w:val="FootnoteReference"/>
        </w:rPr>
        <w:footnoteRef/>
      </w:r>
      <w:r>
        <w:t xml:space="preserve"> Marianne </w:t>
      </w:r>
      <w:proofErr w:type="spellStart"/>
      <w:r>
        <w:t>Meye</w:t>
      </w:r>
      <w:proofErr w:type="spellEnd"/>
      <w:r>
        <w:t xml:space="preserve"> Thompson, </w:t>
      </w:r>
      <w:r>
        <w:rPr>
          <w:i/>
        </w:rPr>
        <w:t xml:space="preserve">John: A Commentary, </w:t>
      </w:r>
      <w:r>
        <w:t xml:space="preserve">(Louisville: Westminster John Knox Press) p- 305. </w:t>
      </w:r>
    </w:p>
  </w:footnote>
  <w:footnote w:id="2">
    <w:p w:rsidR="00C73034" w:rsidRPr="009101EF" w:rsidRDefault="00C73034">
      <w:pPr>
        <w:pStyle w:val="FootnoteText"/>
      </w:pPr>
      <w:r>
        <w:rPr>
          <w:rStyle w:val="FootnoteReference"/>
        </w:rPr>
        <w:footnoteRef/>
      </w:r>
      <w:r>
        <w:t xml:space="preserve"> </w:t>
      </w:r>
      <w:proofErr w:type="spellStart"/>
      <w:r>
        <w:t>Thomspon</w:t>
      </w:r>
      <w:proofErr w:type="spellEnd"/>
      <w:r>
        <w:t xml:space="preserve">, </w:t>
      </w:r>
      <w:r>
        <w:rPr>
          <w:i/>
        </w:rPr>
        <w:t xml:space="preserve">John, </w:t>
      </w:r>
      <w:r>
        <w:t xml:space="preserve">p- 308. </w:t>
      </w:r>
    </w:p>
  </w:footnote>
  <w:footnote w:id="3">
    <w:p w:rsidR="00BC1000" w:rsidRPr="00BC1000" w:rsidRDefault="00BC1000">
      <w:pPr>
        <w:pStyle w:val="FootnoteText"/>
        <w:rPr>
          <w:i/>
        </w:rPr>
      </w:pPr>
      <w:r>
        <w:rPr>
          <w:rStyle w:val="FootnoteReference"/>
        </w:rPr>
        <w:footnoteRef/>
      </w:r>
      <w:r>
        <w:t xml:space="preserve"> </w:t>
      </w:r>
      <w:bookmarkStart w:id="0" w:name="_Hlk10466288"/>
      <w:r>
        <w:t xml:space="preserve">David Cheetham, </w:t>
      </w:r>
      <w:r>
        <w:rPr>
          <w:i/>
        </w:rPr>
        <w:t xml:space="preserve">Inclusivism’s: </w:t>
      </w:r>
      <w:r w:rsidR="002A0975">
        <w:rPr>
          <w:i/>
        </w:rPr>
        <w:t>Honouring Faithfulness and Openness</w:t>
      </w:r>
      <w:r>
        <w:rPr>
          <w:i/>
        </w:rPr>
        <w:t xml:space="preserve"> </w:t>
      </w:r>
      <w:r w:rsidR="002A0975">
        <w:t xml:space="preserve">in </w:t>
      </w:r>
      <w:r w:rsidR="002A0975">
        <w:rPr>
          <w:i/>
        </w:rPr>
        <w:t xml:space="preserve">Christian Approaches to Other Faiths </w:t>
      </w:r>
      <w:r w:rsidR="002A0975">
        <w:t>eds. Alan Race and Paul M. Hedges, (London: SCM Press, 2008), p-</w:t>
      </w:r>
      <w:r w:rsidR="002A0975">
        <w:t xml:space="preserve">63. </w:t>
      </w:r>
      <w:bookmarkEnd w:id="0"/>
    </w:p>
  </w:footnote>
  <w:footnote w:id="4">
    <w:p w:rsidR="00C73034" w:rsidRPr="00217B87" w:rsidRDefault="00C73034">
      <w:pPr>
        <w:pStyle w:val="FootnoteText"/>
      </w:pPr>
      <w:r>
        <w:rPr>
          <w:rStyle w:val="FootnoteReference"/>
        </w:rPr>
        <w:footnoteRef/>
      </w:r>
      <w:r>
        <w:t xml:space="preserve"> </w:t>
      </w:r>
      <w:bookmarkStart w:id="1" w:name="_Hlk10467688"/>
      <w:r>
        <w:t xml:space="preserve">David M Ball, </w:t>
      </w:r>
      <w:proofErr w:type="gramStart"/>
      <w:r>
        <w:rPr>
          <w:i/>
        </w:rPr>
        <w:t>The</w:t>
      </w:r>
      <w:proofErr w:type="gramEnd"/>
      <w:r>
        <w:rPr>
          <w:i/>
        </w:rPr>
        <w:t xml:space="preserve"> ‘I Am’ Sayings of Jesus and Religious Pluralism </w:t>
      </w:r>
      <w:r>
        <w:t xml:space="preserve">in </w:t>
      </w:r>
      <w:r>
        <w:rPr>
          <w:i/>
        </w:rPr>
        <w:t xml:space="preserve">One God One Lord: Christianity in a World of Religious Pluralism, </w:t>
      </w:r>
      <w:r>
        <w:t xml:space="preserve">eds. Andrew D. Clark and Bruce W. Winter, (Grand Rapids: Baker Book House, 1992). </w:t>
      </w:r>
      <w:bookmarkEnd w:id="1"/>
      <w:r>
        <w:t xml:space="preserve">P- 79. </w:t>
      </w:r>
    </w:p>
  </w:footnote>
  <w:footnote w:id="5">
    <w:p w:rsidR="00C73034" w:rsidRPr="0085701D" w:rsidRDefault="00C73034">
      <w:pPr>
        <w:pStyle w:val="FootnoteText"/>
      </w:pPr>
      <w:r>
        <w:rPr>
          <w:rStyle w:val="FootnoteReference"/>
        </w:rPr>
        <w:footnoteRef/>
      </w:r>
      <w:r>
        <w:t xml:space="preserve"> Ball, </w:t>
      </w:r>
      <w:r>
        <w:rPr>
          <w:i/>
        </w:rPr>
        <w:t xml:space="preserve">I AM Sayings, </w:t>
      </w:r>
      <w:r>
        <w:t>p- 76.</w:t>
      </w:r>
    </w:p>
  </w:footnote>
  <w:footnote w:id="6">
    <w:p w:rsidR="00C73034" w:rsidRPr="00B86828" w:rsidRDefault="00C73034">
      <w:pPr>
        <w:pStyle w:val="FootnoteText"/>
      </w:pPr>
      <w:r>
        <w:rPr>
          <w:rStyle w:val="FootnoteReference"/>
        </w:rPr>
        <w:footnoteRef/>
      </w:r>
      <w:r>
        <w:t xml:space="preserve"> Ball, </w:t>
      </w:r>
      <w:r>
        <w:rPr>
          <w:i/>
        </w:rPr>
        <w:t xml:space="preserve">I AM Sayings, </w:t>
      </w:r>
      <w:r>
        <w:t xml:space="preserve">p- 79. </w:t>
      </w:r>
    </w:p>
  </w:footnote>
  <w:footnote w:id="7">
    <w:p w:rsidR="00C73034" w:rsidRDefault="00C73034">
      <w:pPr>
        <w:pStyle w:val="FootnoteText"/>
      </w:pPr>
      <w:r>
        <w:rPr>
          <w:rStyle w:val="FootnoteReference"/>
        </w:rPr>
        <w:footnoteRef/>
      </w:r>
      <w:r>
        <w:t xml:space="preserve"> </w:t>
      </w:r>
      <w:bookmarkStart w:id="2" w:name="_Hlk10467643"/>
      <w:r w:rsidRPr="00AF2A56">
        <w:t xml:space="preserve">Marianne </w:t>
      </w:r>
      <w:proofErr w:type="spellStart"/>
      <w:r w:rsidRPr="00AF2A56">
        <w:t>Meye</w:t>
      </w:r>
      <w:proofErr w:type="spellEnd"/>
      <w:r w:rsidRPr="00AF2A56">
        <w:t xml:space="preserve"> Thompson, </w:t>
      </w:r>
      <w:r w:rsidRPr="00AF2A56">
        <w:rPr>
          <w:i/>
        </w:rPr>
        <w:t xml:space="preserve">John: A Commentary, </w:t>
      </w:r>
      <w:r w:rsidRPr="00AF2A56">
        <w:t xml:space="preserve">(Louisville: Westminster John Knox Press) </w:t>
      </w:r>
      <w:bookmarkEnd w:id="2"/>
      <w:r w:rsidRPr="00AF2A56">
        <w:t>p- 30</w:t>
      </w:r>
      <w:r>
        <w:t xml:space="preserve">9. </w:t>
      </w:r>
    </w:p>
  </w:footnote>
  <w:footnote w:id="8">
    <w:p w:rsidR="00916975" w:rsidRPr="00916975" w:rsidRDefault="00916975">
      <w:pPr>
        <w:pStyle w:val="FootnoteText"/>
      </w:pPr>
      <w:r>
        <w:rPr>
          <w:rStyle w:val="FootnoteReference"/>
        </w:rPr>
        <w:footnoteRef/>
      </w:r>
      <w:r>
        <w:t xml:space="preserve"> </w:t>
      </w:r>
      <w:bookmarkStart w:id="3" w:name="_Hlk10467586"/>
      <w:r>
        <w:t xml:space="preserve">Craig R. Koester, </w:t>
      </w:r>
      <w:r>
        <w:rPr>
          <w:i/>
        </w:rPr>
        <w:t xml:space="preserve">Symbolism in the Fourth Gospel, </w:t>
      </w:r>
      <w:r>
        <w:t xml:space="preserve">(Minneapolis: Fortress Press, 2003), </w:t>
      </w:r>
      <w:bookmarkEnd w:id="3"/>
      <w:r>
        <w:t>PP- 294-299.</w:t>
      </w:r>
    </w:p>
  </w:footnote>
  <w:footnote w:id="9">
    <w:p w:rsidR="0012248E" w:rsidRPr="0012248E" w:rsidRDefault="0012248E">
      <w:pPr>
        <w:pStyle w:val="FootnoteText"/>
      </w:pPr>
      <w:r>
        <w:rPr>
          <w:rStyle w:val="FootnoteReference"/>
        </w:rPr>
        <w:footnoteRef/>
      </w:r>
      <w:r>
        <w:t xml:space="preserve"> </w:t>
      </w:r>
      <w:bookmarkStart w:id="4" w:name="_Hlk10463804"/>
      <w:r>
        <w:t xml:space="preserve">Rachel B. Evans, </w:t>
      </w:r>
      <w:r>
        <w:rPr>
          <w:i/>
        </w:rPr>
        <w:t xml:space="preserve">Discovering John, </w:t>
      </w:r>
      <w:r>
        <w:t>(London: SPCK, 2014), p- 165.</w:t>
      </w:r>
      <w:bookmarkEnd w:id="4"/>
    </w:p>
  </w:footnote>
  <w:footnote w:id="10">
    <w:p w:rsidR="00AA1D7F" w:rsidRDefault="00AA1D7F">
      <w:pPr>
        <w:pStyle w:val="FootnoteText"/>
      </w:pPr>
      <w:r>
        <w:rPr>
          <w:rStyle w:val="FootnoteReference"/>
        </w:rPr>
        <w:footnoteRef/>
      </w:r>
      <w:r>
        <w:t xml:space="preserve"> </w:t>
      </w:r>
      <w:r w:rsidRPr="00AA1D7F">
        <w:t xml:space="preserve">Andrew T. Lincoln, </w:t>
      </w:r>
      <w:r w:rsidRPr="00AA1D7F">
        <w:rPr>
          <w:i/>
        </w:rPr>
        <w:t xml:space="preserve">The Gospel According to St. John, </w:t>
      </w:r>
      <w:r w:rsidRPr="00AA1D7F">
        <w:t>(New York: Hendrickson Publishers, 2005) p- 391.</w:t>
      </w:r>
    </w:p>
    <w:p w:rsidR="002D4F77" w:rsidRDefault="002D4F77">
      <w:pPr>
        <w:pStyle w:val="FootnoteText"/>
      </w:pPr>
      <w:r>
        <w:t xml:space="preserve">Cf. Genesis 23- Abraham sends a servant as his agent to arrange marriage for his son, Isaac. </w:t>
      </w:r>
    </w:p>
  </w:footnote>
  <w:footnote w:id="11">
    <w:p w:rsidR="00ED1120" w:rsidRPr="00ED1120" w:rsidRDefault="00ED1120">
      <w:pPr>
        <w:pStyle w:val="FootnoteText"/>
      </w:pPr>
      <w:r>
        <w:rPr>
          <w:rStyle w:val="FootnoteReference"/>
        </w:rPr>
        <w:footnoteRef/>
      </w:r>
      <w:r>
        <w:t xml:space="preserve"> </w:t>
      </w:r>
      <w:bookmarkStart w:id="5" w:name="_Hlk10467537"/>
      <w:r>
        <w:t xml:space="preserve">Raymond E. Brown, </w:t>
      </w:r>
      <w:r>
        <w:rPr>
          <w:i/>
        </w:rPr>
        <w:t xml:space="preserve">The Gospel and Epistles of John: A Concise Commentary, </w:t>
      </w:r>
      <w:r>
        <w:t>(Minnesota: The Liturgical Press, 1988</w:t>
      </w:r>
      <w:bookmarkEnd w:id="5"/>
      <w:r>
        <w:t xml:space="preserve">), p-75. </w:t>
      </w:r>
    </w:p>
  </w:footnote>
  <w:footnote w:id="12">
    <w:p w:rsidR="00EC5B0B" w:rsidRPr="00EC5B0B" w:rsidRDefault="00EC5B0B">
      <w:pPr>
        <w:pStyle w:val="FootnoteText"/>
      </w:pPr>
      <w:r>
        <w:rPr>
          <w:rStyle w:val="FootnoteReference"/>
        </w:rPr>
        <w:footnoteRef/>
      </w:r>
      <w:r>
        <w:t xml:space="preserve"> </w:t>
      </w:r>
      <w:bookmarkStart w:id="6" w:name="_Hlk10467438"/>
      <w:r>
        <w:t xml:space="preserve">Andrew T. Lincoln, </w:t>
      </w:r>
      <w:r>
        <w:rPr>
          <w:i/>
        </w:rPr>
        <w:t xml:space="preserve">The Gospel According to St. John, </w:t>
      </w:r>
      <w:r>
        <w:t>(New York: Hendrickson Publishers, 2005</w:t>
      </w:r>
      <w:bookmarkEnd w:id="6"/>
      <w:r>
        <w:t xml:space="preserve">) p- 391. </w:t>
      </w:r>
    </w:p>
  </w:footnote>
  <w:footnote w:id="13">
    <w:p w:rsidR="005912F6" w:rsidRPr="005912F6" w:rsidRDefault="005912F6">
      <w:pPr>
        <w:pStyle w:val="FootnoteText"/>
      </w:pPr>
      <w:r>
        <w:rPr>
          <w:rStyle w:val="FootnoteReference"/>
        </w:rPr>
        <w:footnoteRef/>
      </w:r>
      <w:r>
        <w:t xml:space="preserve"> </w:t>
      </w:r>
      <w:bookmarkStart w:id="7" w:name="_Hlk10467382"/>
      <w:r>
        <w:t xml:space="preserve">Alvin </w:t>
      </w:r>
      <w:proofErr w:type="spellStart"/>
      <w:r>
        <w:t>Platinga</w:t>
      </w:r>
      <w:proofErr w:type="spellEnd"/>
      <w:r>
        <w:t xml:space="preserve">, </w:t>
      </w:r>
      <w:r>
        <w:rPr>
          <w:i/>
        </w:rPr>
        <w:t xml:space="preserve">Pluralism: A Defence of Religious Exclusivism </w:t>
      </w:r>
      <w:r>
        <w:t xml:space="preserve">in </w:t>
      </w:r>
      <w:r w:rsidRPr="005912F6">
        <w:rPr>
          <w:i/>
        </w:rPr>
        <w:t>The Rationality</w:t>
      </w:r>
      <w:r>
        <w:rPr>
          <w:i/>
        </w:rPr>
        <w:t xml:space="preserve"> of Belief and the Plurality of Faith, </w:t>
      </w:r>
      <w:r>
        <w:t>(London: Cornell University Press, 1995</w:t>
      </w:r>
      <w:bookmarkEnd w:id="7"/>
      <w:r>
        <w:t>), p- 197.</w:t>
      </w:r>
    </w:p>
  </w:footnote>
  <w:footnote w:id="14">
    <w:p w:rsidR="00916975" w:rsidRPr="00916975" w:rsidRDefault="00916975">
      <w:pPr>
        <w:pStyle w:val="FootnoteText"/>
      </w:pPr>
      <w:r>
        <w:rPr>
          <w:rStyle w:val="FootnoteReference"/>
        </w:rPr>
        <w:footnoteRef/>
      </w:r>
      <w:r>
        <w:t xml:space="preserve"> Koester, </w:t>
      </w:r>
      <w:r>
        <w:rPr>
          <w:i/>
        </w:rPr>
        <w:t xml:space="preserve">Symbolism in the Fourth Gospel, </w:t>
      </w:r>
      <w:r>
        <w:t xml:space="preserve">p-298. </w:t>
      </w:r>
    </w:p>
  </w:footnote>
  <w:footnote w:id="15">
    <w:p w:rsidR="00BD67F8" w:rsidRPr="00BD67F8" w:rsidRDefault="00BD67F8">
      <w:pPr>
        <w:pStyle w:val="FootnoteText"/>
      </w:pPr>
      <w:r>
        <w:rPr>
          <w:rStyle w:val="FootnoteReference"/>
        </w:rPr>
        <w:footnoteRef/>
      </w:r>
      <w:r>
        <w:t xml:space="preserve"> Lincoln, </w:t>
      </w:r>
      <w:r>
        <w:rPr>
          <w:i/>
        </w:rPr>
        <w:t xml:space="preserve">The Gospel According to St. John, </w:t>
      </w:r>
      <w:r>
        <w:t xml:space="preserve">p-391. </w:t>
      </w:r>
    </w:p>
  </w:footnote>
  <w:footnote w:id="16">
    <w:p w:rsidR="00BD67F8" w:rsidRPr="00BD67F8" w:rsidRDefault="00BD67F8">
      <w:pPr>
        <w:pStyle w:val="FootnoteText"/>
      </w:pPr>
      <w:r>
        <w:rPr>
          <w:rStyle w:val="FootnoteReference"/>
        </w:rPr>
        <w:footnoteRef/>
      </w:r>
      <w:r>
        <w:t xml:space="preserve"> </w:t>
      </w:r>
      <w:bookmarkStart w:id="8" w:name="_Hlk10467337"/>
      <w:r>
        <w:t xml:space="preserve">Sandra, M. </w:t>
      </w:r>
      <w:proofErr w:type="spellStart"/>
      <w:r>
        <w:t>Schneiders</w:t>
      </w:r>
      <w:proofErr w:type="spellEnd"/>
      <w:r>
        <w:t xml:space="preserve">, </w:t>
      </w:r>
      <w:r>
        <w:rPr>
          <w:i/>
        </w:rPr>
        <w:t xml:space="preserve">Written That You May Believe: Encountering Jesus in the Fourth Gospel, </w:t>
      </w:r>
      <w:r>
        <w:t>(New York: The Crossroad Publishing Company, 2003</w:t>
      </w:r>
      <w:bookmarkEnd w:id="8"/>
      <w:r>
        <w:t xml:space="preserve">), p-183.  </w:t>
      </w:r>
    </w:p>
  </w:footnote>
  <w:footnote w:id="17">
    <w:p w:rsidR="00E9444F" w:rsidRDefault="00E9444F">
      <w:pPr>
        <w:pStyle w:val="FootnoteText"/>
      </w:pPr>
      <w:r>
        <w:rPr>
          <w:rStyle w:val="FootnoteReference"/>
        </w:rPr>
        <w:footnoteRef/>
      </w:r>
      <w:r>
        <w:t xml:space="preserve"> </w:t>
      </w:r>
      <w:bookmarkStart w:id="9" w:name="_Hlk10467221"/>
      <w:r w:rsidRPr="00E9444F">
        <w:t xml:space="preserve">David Cheetham, </w:t>
      </w:r>
      <w:r w:rsidRPr="00E9444F">
        <w:rPr>
          <w:i/>
        </w:rPr>
        <w:t xml:space="preserve">Inclusivism’s: Honouring Faithfulness and Openness </w:t>
      </w:r>
      <w:r w:rsidRPr="00E9444F">
        <w:t xml:space="preserve">in </w:t>
      </w:r>
      <w:r w:rsidRPr="00E9444F">
        <w:rPr>
          <w:i/>
        </w:rPr>
        <w:t xml:space="preserve">Christian Approaches to Other Faiths </w:t>
      </w:r>
      <w:r w:rsidRPr="00E9444F">
        <w:t>eds. Alan Race and Paul M. Hedges, (London: SCM Press, 2008</w:t>
      </w:r>
      <w:bookmarkEnd w:id="9"/>
      <w:r w:rsidRPr="00E9444F">
        <w:t>), p-</w:t>
      </w:r>
      <w:r>
        <w:t>80.</w:t>
      </w:r>
    </w:p>
  </w:footnote>
  <w:footnote w:id="18">
    <w:p w:rsidR="007631AB" w:rsidRDefault="007631AB">
      <w:pPr>
        <w:pStyle w:val="FootnoteText"/>
      </w:pPr>
      <w:r>
        <w:rPr>
          <w:rStyle w:val="FootnoteReference"/>
        </w:rPr>
        <w:footnoteRef/>
      </w:r>
      <w:r>
        <w:t xml:space="preserve"> </w:t>
      </w:r>
      <w:bookmarkStart w:id="10" w:name="_Hlk10467261"/>
      <w:r>
        <w:t xml:space="preserve">Rachel B. Evans, </w:t>
      </w:r>
      <w:r>
        <w:rPr>
          <w:i/>
        </w:rPr>
        <w:t xml:space="preserve">Discovering John, </w:t>
      </w:r>
      <w:r>
        <w:t xml:space="preserve">(London: SPCK, 2014), </w:t>
      </w:r>
      <w:bookmarkEnd w:id="10"/>
      <w:r>
        <w:t>p- 165.</w:t>
      </w:r>
    </w:p>
  </w:footnote>
  <w:footnote w:id="19">
    <w:p w:rsidR="00BC1000" w:rsidRPr="00BC1000" w:rsidRDefault="00BC1000" w:rsidP="00BC1000">
      <w:pPr>
        <w:pStyle w:val="FootnoteText"/>
      </w:pPr>
      <w:r>
        <w:rPr>
          <w:rStyle w:val="FootnoteReference"/>
        </w:rPr>
        <w:footnoteRef/>
      </w:r>
      <w:r>
        <w:t xml:space="preserve"> </w:t>
      </w:r>
      <w:bookmarkStart w:id="11" w:name="_Hlk10467289"/>
      <w:r>
        <w:t xml:space="preserve">Daniel Strange, </w:t>
      </w:r>
      <w:proofErr w:type="spellStart"/>
      <w:r>
        <w:rPr>
          <w:i/>
        </w:rPr>
        <w:t>Exclusivisms</w:t>
      </w:r>
      <w:proofErr w:type="spellEnd"/>
      <w:r>
        <w:rPr>
          <w:i/>
        </w:rPr>
        <w:t xml:space="preserve">: Their Rock is Not Like Our Rock </w:t>
      </w:r>
      <w:bookmarkStart w:id="12" w:name="_Hlk10462073"/>
      <w:r>
        <w:t xml:space="preserve">in </w:t>
      </w:r>
      <w:r>
        <w:rPr>
          <w:i/>
        </w:rPr>
        <w:t xml:space="preserve">Christian Approaches to Other Faiths </w:t>
      </w:r>
      <w:r>
        <w:t>eds. Alan Race and Paul M. Hedges, (London: SCM Press, 2008)</w:t>
      </w:r>
      <w:bookmarkEnd w:id="11"/>
      <w:r>
        <w:t xml:space="preserve">, p-36. </w:t>
      </w:r>
      <w:bookmarkEnd w:id="12"/>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740"/>
    <w:rsid w:val="0002755C"/>
    <w:rsid w:val="000618BD"/>
    <w:rsid w:val="000C0BE0"/>
    <w:rsid w:val="000D1B33"/>
    <w:rsid w:val="000F77C8"/>
    <w:rsid w:val="001058C5"/>
    <w:rsid w:val="00106E30"/>
    <w:rsid w:val="0012248E"/>
    <w:rsid w:val="00153098"/>
    <w:rsid w:val="00193A41"/>
    <w:rsid w:val="001976D3"/>
    <w:rsid w:val="001B1A92"/>
    <w:rsid w:val="001F7938"/>
    <w:rsid w:val="00217B87"/>
    <w:rsid w:val="00232A0A"/>
    <w:rsid w:val="002744FE"/>
    <w:rsid w:val="002A0975"/>
    <w:rsid w:val="002D4C4B"/>
    <w:rsid w:val="002D4F77"/>
    <w:rsid w:val="002F0879"/>
    <w:rsid w:val="002F7494"/>
    <w:rsid w:val="00306BD0"/>
    <w:rsid w:val="00333000"/>
    <w:rsid w:val="0033576A"/>
    <w:rsid w:val="00350BA2"/>
    <w:rsid w:val="00355CC4"/>
    <w:rsid w:val="00387B10"/>
    <w:rsid w:val="0040456F"/>
    <w:rsid w:val="00442A4E"/>
    <w:rsid w:val="00443FF7"/>
    <w:rsid w:val="0048217F"/>
    <w:rsid w:val="004C6967"/>
    <w:rsid w:val="004D699A"/>
    <w:rsid w:val="005912F6"/>
    <w:rsid w:val="00592EBA"/>
    <w:rsid w:val="005D5FA9"/>
    <w:rsid w:val="00642F7C"/>
    <w:rsid w:val="00653DA3"/>
    <w:rsid w:val="006778CF"/>
    <w:rsid w:val="006A2A31"/>
    <w:rsid w:val="00702DF3"/>
    <w:rsid w:val="007631AB"/>
    <w:rsid w:val="00781095"/>
    <w:rsid w:val="00790F74"/>
    <w:rsid w:val="007A3E59"/>
    <w:rsid w:val="007D052F"/>
    <w:rsid w:val="007E34C3"/>
    <w:rsid w:val="007E5E97"/>
    <w:rsid w:val="00805A71"/>
    <w:rsid w:val="0081786C"/>
    <w:rsid w:val="008410E8"/>
    <w:rsid w:val="0085701D"/>
    <w:rsid w:val="00864320"/>
    <w:rsid w:val="00864740"/>
    <w:rsid w:val="00872B9C"/>
    <w:rsid w:val="008D0B7B"/>
    <w:rsid w:val="008E67B3"/>
    <w:rsid w:val="009101EF"/>
    <w:rsid w:val="00916975"/>
    <w:rsid w:val="00941F81"/>
    <w:rsid w:val="009462CC"/>
    <w:rsid w:val="00971C47"/>
    <w:rsid w:val="009868F3"/>
    <w:rsid w:val="009A5909"/>
    <w:rsid w:val="009B189A"/>
    <w:rsid w:val="009C4178"/>
    <w:rsid w:val="009F04D0"/>
    <w:rsid w:val="00A05E91"/>
    <w:rsid w:val="00A33D80"/>
    <w:rsid w:val="00A809B8"/>
    <w:rsid w:val="00AA1D7F"/>
    <w:rsid w:val="00AA3805"/>
    <w:rsid w:val="00AB6096"/>
    <w:rsid w:val="00AC1C9C"/>
    <w:rsid w:val="00AD4642"/>
    <w:rsid w:val="00AE0ED6"/>
    <w:rsid w:val="00AE6619"/>
    <w:rsid w:val="00AF2A56"/>
    <w:rsid w:val="00AF6929"/>
    <w:rsid w:val="00B50C56"/>
    <w:rsid w:val="00B74629"/>
    <w:rsid w:val="00B76DCF"/>
    <w:rsid w:val="00B82790"/>
    <w:rsid w:val="00B86828"/>
    <w:rsid w:val="00B870F3"/>
    <w:rsid w:val="00BA2E08"/>
    <w:rsid w:val="00BA3E6F"/>
    <w:rsid w:val="00BB5515"/>
    <w:rsid w:val="00BC1000"/>
    <w:rsid w:val="00BD67F8"/>
    <w:rsid w:val="00C3633D"/>
    <w:rsid w:val="00C412E0"/>
    <w:rsid w:val="00C561E9"/>
    <w:rsid w:val="00C623F0"/>
    <w:rsid w:val="00C73034"/>
    <w:rsid w:val="00C820D3"/>
    <w:rsid w:val="00C940C3"/>
    <w:rsid w:val="00CC0366"/>
    <w:rsid w:val="00D063FD"/>
    <w:rsid w:val="00D4216D"/>
    <w:rsid w:val="00D53E4C"/>
    <w:rsid w:val="00D9050A"/>
    <w:rsid w:val="00DA2BBC"/>
    <w:rsid w:val="00DD280C"/>
    <w:rsid w:val="00E05A8E"/>
    <w:rsid w:val="00E51676"/>
    <w:rsid w:val="00E62FFF"/>
    <w:rsid w:val="00E90F5E"/>
    <w:rsid w:val="00E9444F"/>
    <w:rsid w:val="00EA51FD"/>
    <w:rsid w:val="00EB0258"/>
    <w:rsid w:val="00EB660B"/>
    <w:rsid w:val="00EC2A50"/>
    <w:rsid w:val="00EC5B0B"/>
    <w:rsid w:val="00ED1120"/>
    <w:rsid w:val="00F31AE4"/>
    <w:rsid w:val="00F634CF"/>
    <w:rsid w:val="00F960FE"/>
    <w:rsid w:val="00FB0738"/>
    <w:rsid w:val="00FC0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90599"/>
  <w15:chartTrackingRefBased/>
  <w15:docId w15:val="{B6917E2A-2B68-4E3C-A12B-41667E008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87B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7B10"/>
    <w:rPr>
      <w:sz w:val="20"/>
      <w:szCs w:val="20"/>
    </w:rPr>
  </w:style>
  <w:style w:type="character" w:styleId="FootnoteReference">
    <w:name w:val="footnote reference"/>
    <w:basedOn w:val="DefaultParagraphFont"/>
    <w:uiPriority w:val="99"/>
    <w:semiHidden/>
    <w:unhideWhenUsed/>
    <w:rsid w:val="00387B10"/>
    <w:rPr>
      <w:vertAlign w:val="superscript"/>
    </w:rPr>
  </w:style>
  <w:style w:type="character" w:styleId="Hyperlink">
    <w:name w:val="Hyperlink"/>
    <w:basedOn w:val="DefaultParagraphFont"/>
    <w:uiPriority w:val="99"/>
    <w:unhideWhenUsed/>
    <w:rsid w:val="00EA51FD"/>
    <w:rPr>
      <w:color w:val="0563C1" w:themeColor="hyperlink"/>
      <w:u w:val="single"/>
    </w:rPr>
  </w:style>
  <w:style w:type="character" w:styleId="UnresolvedMention">
    <w:name w:val="Unresolved Mention"/>
    <w:basedOn w:val="DefaultParagraphFont"/>
    <w:uiPriority w:val="99"/>
    <w:semiHidden/>
    <w:unhideWhenUsed/>
    <w:rsid w:val="00EA51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CB199D-5F61-4F9A-83C4-B5D775DE2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2876</Words>
  <Characters>16397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belle tindall</dc:creator>
  <cp:keywords/>
  <dc:description/>
  <cp:lastModifiedBy>belle tindall</cp:lastModifiedBy>
  <cp:revision>2</cp:revision>
  <dcterms:created xsi:type="dcterms:W3CDTF">2019-06-03T14:25:00Z</dcterms:created>
  <dcterms:modified xsi:type="dcterms:W3CDTF">2019-06-03T14:25:00Z</dcterms:modified>
</cp:coreProperties>
</file>