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DB8DD90" w:rsidR="7908378C" w:rsidRDefault="7908378C" w:rsidP="33572C6E">
            <w:pPr>
              <w:ind w:right="237"/>
              <w:rPr>
                <w:b/>
                <w:bCs/>
                <w:color w:val="auto"/>
                <w:sz w:val="32"/>
                <w:szCs w:val="32"/>
              </w:rPr>
            </w:pPr>
            <w:r w:rsidRPr="33572C6E">
              <w:rPr>
                <w:b/>
                <w:bCs/>
                <w:color w:val="auto"/>
                <w:sz w:val="32"/>
                <w:szCs w:val="32"/>
              </w:rPr>
              <w:t xml:space="preserve">Learner name: </w:t>
            </w:r>
            <w:r w:rsidR="0002077C">
              <w:rPr>
                <w:b/>
                <w:bCs/>
                <w:color w:val="auto"/>
                <w:sz w:val="32"/>
                <w:szCs w:val="32"/>
              </w:rPr>
              <w:t>Andrew LEONARD</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7F38D18D" w:rsidR="33572C6E" w:rsidRDefault="0002077C" w:rsidP="33572C6E">
            <w:pPr>
              <w:ind w:right="237"/>
              <w:rPr>
                <w:b/>
                <w:bCs/>
                <w:color w:val="auto"/>
                <w:sz w:val="32"/>
                <w:szCs w:val="32"/>
              </w:rPr>
            </w:pPr>
            <w:r>
              <w:rPr>
                <w:b/>
                <w:bCs/>
                <w:color w:val="auto"/>
                <w:sz w:val="32"/>
                <w:szCs w:val="32"/>
              </w:rPr>
              <w:t>2117602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A01A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7DB235A0" w:rsidR="5B843AF0" w:rsidRDefault="5B843AF0" w:rsidP="5B843AF0">
      <w:pPr>
        <w:ind w:right="237"/>
        <w:jc w:val="center"/>
        <w:rPr>
          <w:b/>
          <w:bCs/>
          <w:sz w:val="24"/>
          <w:szCs w:val="24"/>
        </w:rPr>
      </w:pPr>
    </w:p>
    <w:p w14:paraId="38C047C4" w14:textId="43443671" w:rsidR="006075EB" w:rsidRPr="00C60FC1" w:rsidRDefault="006075EB" w:rsidP="006075EB">
      <w:pPr>
        <w:ind w:right="237"/>
        <w:rPr>
          <w:sz w:val="24"/>
          <w:szCs w:val="24"/>
        </w:rPr>
      </w:pPr>
      <w:r w:rsidRPr="00C60FC1">
        <w:rPr>
          <w:sz w:val="24"/>
          <w:szCs w:val="24"/>
        </w:rPr>
        <w:t>Introduction</w:t>
      </w:r>
    </w:p>
    <w:p w14:paraId="2AE9623F" w14:textId="77777777" w:rsidR="006075EB" w:rsidRPr="00C60FC1" w:rsidRDefault="006075EB" w:rsidP="006075EB">
      <w:pPr>
        <w:ind w:right="237"/>
        <w:rPr>
          <w:sz w:val="24"/>
          <w:szCs w:val="24"/>
        </w:rPr>
      </w:pPr>
    </w:p>
    <w:p w14:paraId="5B1B04AB" w14:textId="4F6A259C" w:rsidR="006075EB" w:rsidRPr="00982059" w:rsidRDefault="00BA2BD3" w:rsidP="00BF1798">
      <w:pPr>
        <w:ind w:right="237"/>
        <w:rPr>
          <w:sz w:val="24"/>
          <w:szCs w:val="24"/>
        </w:rPr>
      </w:pPr>
      <w:r w:rsidRPr="00C60FC1">
        <w:rPr>
          <w:sz w:val="24"/>
          <w:szCs w:val="24"/>
        </w:rPr>
        <w:t xml:space="preserve">In this essay I will be talking about a policing incident involving a victim of a serious sexual assault. The role I played was that of the investigator, interviewing officer and officer in case. The victim in this case is a black female who </w:t>
      </w:r>
      <w:r w:rsidR="003A21B4">
        <w:rPr>
          <w:sz w:val="24"/>
          <w:szCs w:val="24"/>
        </w:rPr>
        <w:t xml:space="preserve">is </w:t>
      </w:r>
      <w:r w:rsidRPr="00C60FC1">
        <w:rPr>
          <w:sz w:val="24"/>
          <w:szCs w:val="24"/>
        </w:rPr>
        <w:t>a sex worker. The female has a history of drug abuse and has also been the victim of previous domestic</w:t>
      </w:r>
      <w:r w:rsidR="003A21B4">
        <w:rPr>
          <w:sz w:val="24"/>
          <w:szCs w:val="24"/>
        </w:rPr>
        <w:t xml:space="preserve">, </w:t>
      </w:r>
      <w:r w:rsidRPr="00C60FC1">
        <w:rPr>
          <w:sz w:val="24"/>
          <w:szCs w:val="24"/>
        </w:rPr>
        <w:t xml:space="preserve">sexual assaults and abuse. </w:t>
      </w:r>
      <w:r w:rsidR="00451131" w:rsidRPr="00C60FC1">
        <w:rPr>
          <w:sz w:val="24"/>
          <w:szCs w:val="24"/>
        </w:rPr>
        <w:t xml:space="preserve">The assault occurred whilst the female victim had been working. </w:t>
      </w:r>
      <w:r w:rsidR="006075EB" w:rsidRPr="00C60FC1">
        <w:rPr>
          <w:sz w:val="24"/>
          <w:szCs w:val="24"/>
        </w:rPr>
        <w:t xml:space="preserve">In this essay I will evaluate the appropriateness of different approaches by the police as well as support agencies in supporting and managing vulnerable people and people at risk of harm in relation to the nature of a serious sexual assault. I will go on to explore the strategies used to tackle repeat victimisation and offending and the strategies proven to work using evidence-based policing. </w:t>
      </w:r>
    </w:p>
    <w:p w14:paraId="635FD2A1" w14:textId="35123ACD" w:rsidR="006075EB" w:rsidRDefault="006075EB" w:rsidP="00BF1798">
      <w:pPr>
        <w:ind w:right="237"/>
        <w:rPr>
          <w:sz w:val="24"/>
          <w:szCs w:val="24"/>
        </w:rPr>
      </w:pPr>
    </w:p>
    <w:p w14:paraId="1766A36A" w14:textId="16094BFA" w:rsidR="00432243" w:rsidRDefault="00432243" w:rsidP="00BF1798">
      <w:pPr>
        <w:ind w:right="237"/>
        <w:rPr>
          <w:sz w:val="24"/>
          <w:szCs w:val="24"/>
        </w:rPr>
      </w:pPr>
      <w:r>
        <w:rPr>
          <w:sz w:val="24"/>
          <w:szCs w:val="24"/>
        </w:rPr>
        <w:t>Main Body</w:t>
      </w:r>
    </w:p>
    <w:p w14:paraId="7DB47548" w14:textId="77777777" w:rsidR="00432243" w:rsidRPr="00C60FC1" w:rsidRDefault="00432243" w:rsidP="00BF1798">
      <w:pPr>
        <w:ind w:right="237"/>
        <w:rPr>
          <w:sz w:val="24"/>
          <w:szCs w:val="24"/>
        </w:rPr>
      </w:pPr>
    </w:p>
    <w:p w14:paraId="4E91F61B" w14:textId="40A2D0E4" w:rsidR="00BF1798" w:rsidRPr="00982059" w:rsidRDefault="00BF1798" w:rsidP="00BF1798">
      <w:pPr>
        <w:ind w:right="237"/>
        <w:rPr>
          <w:color w:val="auto"/>
          <w:sz w:val="24"/>
          <w:szCs w:val="24"/>
          <w:shd w:val="clear" w:color="auto" w:fill="FFFFFF"/>
        </w:rPr>
      </w:pPr>
      <w:r w:rsidRPr="00C60FC1">
        <w:rPr>
          <w:color w:val="auto"/>
          <w:sz w:val="24"/>
          <w:szCs w:val="24"/>
          <w:shd w:val="clear" w:color="auto" w:fill="FFFFFF"/>
        </w:rPr>
        <w:t xml:space="preserve">In more recent years the use of the term “sex work” has replace the word "prostitution" (Sanders et al., 2017). </w:t>
      </w:r>
      <w:r w:rsidR="002B6768" w:rsidRPr="00C60FC1">
        <w:rPr>
          <w:color w:val="auto"/>
          <w:sz w:val="24"/>
          <w:szCs w:val="24"/>
          <w:shd w:val="clear" w:color="auto" w:fill="FFFFFF"/>
        </w:rPr>
        <w:t>Although the</w:t>
      </w:r>
      <w:r w:rsidRPr="00C60FC1">
        <w:rPr>
          <w:color w:val="auto"/>
          <w:sz w:val="24"/>
          <w:szCs w:val="24"/>
          <w:shd w:val="clear" w:color="auto" w:fill="FFFFFF"/>
        </w:rPr>
        <w:t xml:space="preserve"> substitution of the word “prostitution” </w:t>
      </w:r>
      <w:r w:rsidR="002B6768" w:rsidRPr="00C60FC1">
        <w:rPr>
          <w:color w:val="auto"/>
          <w:sz w:val="24"/>
          <w:szCs w:val="24"/>
          <w:shd w:val="clear" w:color="auto" w:fill="FFFFFF"/>
        </w:rPr>
        <w:t xml:space="preserve">was due to the negative connotations and it has also </w:t>
      </w:r>
      <w:r w:rsidRPr="00C60FC1">
        <w:rPr>
          <w:color w:val="auto"/>
          <w:sz w:val="24"/>
          <w:szCs w:val="24"/>
          <w:shd w:val="clear" w:color="auto" w:fill="FFFFFF"/>
        </w:rPr>
        <w:t xml:space="preserve">been argued in the literature that </w:t>
      </w:r>
      <w:r w:rsidR="002B6768" w:rsidRPr="00C60FC1">
        <w:rPr>
          <w:color w:val="auto"/>
          <w:sz w:val="24"/>
          <w:szCs w:val="24"/>
          <w:shd w:val="clear" w:color="auto" w:fill="FFFFFF"/>
        </w:rPr>
        <w:t>substituting the word with “sex work” downplays the high rates of abuse and discrimination that those in the industry face (Weitzer, 2012).</w:t>
      </w:r>
      <w:r w:rsidR="00532B36" w:rsidRPr="00C60FC1">
        <w:rPr>
          <w:color w:val="auto"/>
          <w:sz w:val="24"/>
          <w:szCs w:val="24"/>
          <w:shd w:val="clear" w:color="auto" w:fill="FFFFFF"/>
        </w:rPr>
        <w:t xml:space="preserve"> </w:t>
      </w:r>
      <w:r w:rsidR="002B6768" w:rsidRPr="00C60FC1">
        <w:rPr>
          <w:color w:val="auto"/>
          <w:sz w:val="24"/>
          <w:szCs w:val="24"/>
          <w:shd w:val="clear" w:color="auto" w:fill="FFFFFF"/>
        </w:rPr>
        <w:t xml:space="preserve">Research by Benoit and Millar (2001) finds that </w:t>
      </w:r>
      <w:r w:rsidRPr="00C60FC1">
        <w:rPr>
          <w:color w:val="auto"/>
          <w:sz w:val="24"/>
          <w:szCs w:val="24"/>
          <w:shd w:val="clear" w:color="auto" w:fill="FFFFFF"/>
        </w:rPr>
        <w:t xml:space="preserve">many </w:t>
      </w:r>
      <w:r w:rsidR="002B6768" w:rsidRPr="00C60FC1">
        <w:rPr>
          <w:color w:val="auto"/>
          <w:sz w:val="24"/>
          <w:szCs w:val="24"/>
          <w:shd w:val="clear" w:color="auto" w:fill="FFFFFF"/>
        </w:rPr>
        <w:t xml:space="preserve">of those who </w:t>
      </w:r>
      <w:r w:rsidRPr="00C60FC1">
        <w:rPr>
          <w:color w:val="auto"/>
          <w:sz w:val="24"/>
          <w:szCs w:val="24"/>
          <w:shd w:val="clear" w:color="auto" w:fill="FFFFFF"/>
        </w:rPr>
        <w:t>become</w:t>
      </w:r>
      <w:r w:rsidR="002B6768" w:rsidRPr="00C60FC1">
        <w:rPr>
          <w:color w:val="auto"/>
          <w:sz w:val="24"/>
          <w:szCs w:val="24"/>
          <w:shd w:val="clear" w:color="auto" w:fill="FFFFFF"/>
        </w:rPr>
        <w:t xml:space="preserve"> sex workers</w:t>
      </w:r>
      <w:r w:rsidRPr="00C60FC1">
        <w:rPr>
          <w:color w:val="auto"/>
          <w:sz w:val="24"/>
          <w:szCs w:val="24"/>
          <w:shd w:val="clear" w:color="auto" w:fill="FFFFFF"/>
        </w:rPr>
        <w:t> </w:t>
      </w:r>
      <w:r w:rsidR="002B6768" w:rsidRPr="00C60FC1">
        <w:rPr>
          <w:color w:val="auto"/>
          <w:sz w:val="24"/>
          <w:szCs w:val="24"/>
          <w:shd w:val="clear" w:color="auto" w:fill="FFFFFF"/>
        </w:rPr>
        <w:t xml:space="preserve">do so in order </w:t>
      </w:r>
      <w:r w:rsidRPr="00C60FC1">
        <w:rPr>
          <w:color w:val="auto"/>
          <w:sz w:val="24"/>
          <w:szCs w:val="24"/>
          <w:shd w:val="clear" w:color="auto" w:fill="FFFFFF"/>
        </w:rPr>
        <w:t xml:space="preserve">to escape poverty </w:t>
      </w:r>
      <w:r w:rsidR="002B6768" w:rsidRPr="00C60FC1">
        <w:rPr>
          <w:color w:val="auto"/>
          <w:sz w:val="24"/>
          <w:szCs w:val="24"/>
          <w:shd w:val="clear" w:color="auto" w:fill="FFFFFF"/>
        </w:rPr>
        <w:t xml:space="preserve">as a result of </w:t>
      </w:r>
      <w:r w:rsidRPr="00C60FC1">
        <w:rPr>
          <w:color w:val="auto"/>
          <w:sz w:val="24"/>
          <w:szCs w:val="24"/>
          <w:shd w:val="clear" w:color="auto" w:fill="FFFFFF"/>
        </w:rPr>
        <w:t xml:space="preserve">their harsh or low socioeconomic </w:t>
      </w:r>
      <w:r w:rsidRPr="00C60FC1">
        <w:rPr>
          <w:color w:val="auto"/>
          <w:sz w:val="24"/>
          <w:szCs w:val="24"/>
          <w:shd w:val="clear" w:color="auto" w:fill="FFFFFF"/>
        </w:rPr>
        <w:lastRenderedPageBreak/>
        <w:t>backgrounds</w:t>
      </w:r>
      <w:r w:rsidR="003C3E5D">
        <w:rPr>
          <w:color w:val="auto"/>
          <w:sz w:val="24"/>
          <w:szCs w:val="24"/>
          <w:shd w:val="clear" w:color="auto" w:fill="FFFFFF"/>
        </w:rPr>
        <w:t xml:space="preserve"> as well as support drug addictions</w:t>
      </w:r>
      <w:r w:rsidR="002B6768" w:rsidRPr="00C60FC1">
        <w:rPr>
          <w:color w:val="auto"/>
          <w:sz w:val="24"/>
          <w:szCs w:val="24"/>
          <w:shd w:val="clear" w:color="auto" w:fill="FFFFFF"/>
        </w:rPr>
        <w:t>.</w:t>
      </w:r>
      <w:r w:rsidR="003C3E5D">
        <w:rPr>
          <w:color w:val="auto"/>
          <w:sz w:val="24"/>
          <w:szCs w:val="24"/>
          <w:shd w:val="clear" w:color="auto" w:fill="FFFFFF"/>
        </w:rPr>
        <w:t xml:space="preserve"> Sex workers face high risks of violence </w:t>
      </w:r>
      <w:r w:rsidR="004453CE">
        <w:rPr>
          <w:color w:val="auto"/>
          <w:sz w:val="24"/>
          <w:szCs w:val="24"/>
          <w:shd w:val="clear" w:color="auto" w:fill="FFFFFF"/>
        </w:rPr>
        <w:t>during</w:t>
      </w:r>
      <w:r w:rsidR="003C3E5D">
        <w:rPr>
          <w:color w:val="auto"/>
          <w:sz w:val="24"/>
          <w:szCs w:val="24"/>
          <w:shd w:val="clear" w:color="auto" w:fill="FFFFFF"/>
        </w:rPr>
        <w:t xml:space="preserve"> their job and the prevalence to report crime to the police is very low. </w:t>
      </w:r>
      <w:r w:rsidR="00982059" w:rsidRPr="00C60FC1">
        <w:rPr>
          <w:sz w:val="24"/>
          <w:szCs w:val="24"/>
        </w:rPr>
        <w:t>Research studies show that sex wo</w:t>
      </w:r>
      <w:r w:rsidR="00982059" w:rsidRPr="00C60FC1">
        <w:rPr>
          <w:color w:val="auto"/>
          <w:sz w:val="24"/>
          <w:szCs w:val="24"/>
        </w:rPr>
        <w:t>rkers</w:t>
      </w:r>
      <w:r w:rsidR="00982059" w:rsidRPr="00C60FC1">
        <w:rPr>
          <w:color w:val="auto"/>
          <w:sz w:val="24"/>
          <w:szCs w:val="24"/>
          <w:shd w:val="clear" w:color="auto" w:fill="FFFFFF"/>
        </w:rPr>
        <w:t> experience high levels of violence in their scope of work (Lyons et al., 2017). However, due to the line of work that they are involved in many sex workers who are victims of violence do not report incidents to police. Victim</w:t>
      </w:r>
      <w:r w:rsidR="00982059">
        <w:rPr>
          <w:color w:val="auto"/>
          <w:sz w:val="24"/>
          <w:szCs w:val="24"/>
          <w:shd w:val="clear" w:color="auto" w:fill="FFFFFF"/>
        </w:rPr>
        <w:t>s</w:t>
      </w:r>
      <w:r w:rsidR="00982059" w:rsidRPr="00C60FC1">
        <w:rPr>
          <w:color w:val="auto"/>
          <w:sz w:val="24"/>
          <w:szCs w:val="24"/>
          <w:shd w:val="clear" w:color="auto" w:fill="FFFFFF"/>
        </w:rPr>
        <w:t xml:space="preserve"> involved in this line of work may fear that they be prejudiced by the criminal justice </w:t>
      </w:r>
      <w:r w:rsidR="00982059" w:rsidRPr="00C60FC1">
        <w:rPr>
          <w:color w:val="auto"/>
          <w:sz w:val="24"/>
          <w:szCs w:val="24"/>
          <w:shd w:val="clear" w:color="auto" w:fill="FFFFFF"/>
        </w:rPr>
        <w:t>system</w:t>
      </w:r>
      <w:r w:rsidR="004453CE">
        <w:rPr>
          <w:color w:val="auto"/>
          <w:sz w:val="24"/>
          <w:szCs w:val="24"/>
          <w:shd w:val="clear" w:color="auto" w:fill="FFFFFF"/>
        </w:rPr>
        <w:t xml:space="preserve">, </w:t>
      </w:r>
      <w:r w:rsidR="00982059" w:rsidRPr="00C60FC1">
        <w:rPr>
          <w:color w:val="auto"/>
          <w:sz w:val="24"/>
          <w:szCs w:val="24"/>
          <w:shd w:val="clear" w:color="auto" w:fill="FFFFFF"/>
        </w:rPr>
        <w:t xml:space="preserve">may not be </w:t>
      </w:r>
      <w:r w:rsidR="004453CE" w:rsidRPr="00C60FC1">
        <w:rPr>
          <w:color w:val="auto"/>
          <w:sz w:val="24"/>
          <w:szCs w:val="24"/>
          <w:shd w:val="clear" w:color="auto" w:fill="FFFFFF"/>
        </w:rPr>
        <w:t>believed,</w:t>
      </w:r>
      <w:r w:rsidR="00982059" w:rsidRPr="00C60FC1">
        <w:rPr>
          <w:color w:val="auto"/>
          <w:sz w:val="24"/>
          <w:szCs w:val="24"/>
          <w:shd w:val="clear" w:color="auto" w:fill="FFFFFF"/>
        </w:rPr>
        <w:t xml:space="preserve"> or fear they may be subject to criminal prosecution </w:t>
      </w:r>
      <w:r w:rsidR="004453CE">
        <w:rPr>
          <w:color w:val="auto"/>
          <w:sz w:val="24"/>
          <w:szCs w:val="24"/>
          <w:shd w:val="clear" w:color="auto" w:fill="FFFFFF"/>
        </w:rPr>
        <w:t xml:space="preserve">for </w:t>
      </w:r>
      <w:r w:rsidR="00982059" w:rsidRPr="00C60FC1">
        <w:rPr>
          <w:color w:val="auto"/>
          <w:sz w:val="24"/>
          <w:szCs w:val="24"/>
          <w:shd w:val="clear" w:color="auto" w:fill="FFFFFF"/>
        </w:rPr>
        <w:t xml:space="preserve">their work. Sex workers may be victims of numerous violent offences that never get reported to police. </w:t>
      </w:r>
      <w:r w:rsidR="003C3E5D">
        <w:rPr>
          <w:color w:val="auto"/>
          <w:sz w:val="24"/>
          <w:szCs w:val="24"/>
          <w:shd w:val="clear" w:color="auto" w:fill="FFFFFF"/>
        </w:rPr>
        <w:t xml:space="preserve">Research has found that the reasons for this are fear of punishment, maltreatment, </w:t>
      </w:r>
      <w:r w:rsidR="004453CE">
        <w:rPr>
          <w:color w:val="auto"/>
          <w:sz w:val="24"/>
          <w:szCs w:val="24"/>
          <w:shd w:val="clear" w:color="auto" w:fill="FFFFFF"/>
        </w:rPr>
        <w:t>exposure,</w:t>
      </w:r>
      <w:r w:rsidR="003C3E5D">
        <w:rPr>
          <w:color w:val="auto"/>
          <w:sz w:val="24"/>
          <w:szCs w:val="24"/>
          <w:shd w:val="clear" w:color="auto" w:fill="FFFFFF"/>
        </w:rPr>
        <w:t xml:space="preserve"> and impunity, with many in this line of work having very little trust in the police (Struyf, 2022). </w:t>
      </w:r>
      <w:r w:rsidR="00C35DC7">
        <w:rPr>
          <w:color w:val="auto"/>
          <w:sz w:val="24"/>
          <w:szCs w:val="24"/>
          <w:shd w:val="clear" w:color="auto" w:fill="FFFFFF"/>
        </w:rPr>
        <w:t xml:space="preserve">With the female in this case being a black female sex worker it presented a </w:t>
      </w:r>
      <w:r w:rsidR="003C3E5D">
        <w:rPr>
          <w:color w:val="auto"/>
          <w:sz w:val="24"/>
          <w:szCs w:val="24"/>
          <w:shd w:val="clear" w:color="auto" w:fill="FFFFFF"/>
        </w:rPr>
        <w:t>challenge</w:t>
      </w:r>
      <w:r w:rsidR="00C35DC7">
        <w:rPr>
          <w:color w:val="auto"/>
          <w:sz w:val="24"/>
          <w:szCs w:val="24"/>
          <w:shd w:val="clear" w:color="auto" w:fill="FFFFFF"/>
        </w:rPr>
        <w:t xml:space="preserve"> with engaging with the victim and </w:t>
      </w:r>
      <w:r w:rsidR="003C3E5D">
        <w:rPr>
          <w:color w:val="auto"/>
          <w:sz w:val="24"/>
          <w:szCs w:val="24"/>
          <w:shd w:val="clear" w:color="auto" w:fill="FFFFFF"/>
        </w:rPr>
        <w:t>encouraging</w:t>
      </w:r>
      <w:r w:rsidR="00C35DC7">
        <w:rPr>
          <w:color w:val="auto"/>
          <w:sz w:val="24"/>
          <w:szCs w:val="24"/>
          <w:shd w:val="clear" w:color="auto" w:fill="FFFFFF"/>
        </w:rPr>
        <w:t xml:space="preserve"> them to remain onboard with the case and to get the support they need</w:t>
      </w:r>
      <w:r w:rsidR="003C3E5D">
        <w:rPr>
          <w:color w:val="auto"/>
          <w:sz w:val="24"/>
          <w:szCs w:val="24"/>
          <w:shd w:val="clear" w:color="auto" w:fill="FFFFFF"/>
        </w:rPr>
        <w:t xml:space="preserve"> and obtain their trust</w:t>
      </w:r>
      <w:r w:rsidR="00C35DC7">
        <w:rPr>
          <w:color w:val="auto"/>
          <w:sz w:val="24"/>
          <w:szCs w:val="24"/>
          <w:shd w:val="clear" w:color="auto" w:fill="FFFFFF"/>
        </w:rPr>
        <w:t xml:space="preserve">. </w:t>
      </w:r>
      <w:r w:rsidR="003C3E5D">
        <w:rPr>
          <w:color w:val="auto"/>
          <w:sz w:val="24"/>
          <w:szCs w:val="24"/>
          <w:shd w:val="clear" w:color="auto" w:fill="FFFFFF"/>
        </w:rPr>
        <w:t xml:space="preserve">Struyf, </w:t>
      </w:r>
      <w:r w:rsidR="004453CE">
        <w:rPr>
          <w:color w:val="auto"/>
          <w:sz w:val="24"/>
          <w:szCs w:val="24"/>
          <w:shd w:val="clear" w:color="auto" w:fill="FFFFFF"/>
        </w:rPr>
        <w:t>(</w:t>
      </w:r>
      <w:r w:rsidR="003C3E5D">
        <w:rPr>
          <w:color w:val="auto"/>
          <w:sz w:val="24"/>
          <w:szCs w:val="24"/>
          <w:shd w:val="clear" w:color="auto" w:fill="FFFFFF"/>
        </w:rPr>
        <w:t>2022</w:t>
      </w:r>
      <w:r w:rsidR="004453CE">
        <w:rPr>
          <w:color w:val="auto"/>
          <w:sz w:val="24"/>
          <w:szCs w:val="24"/>
          <w:shd w:val="clear" w:color="auto" w:fill="FFFFFF"/>
        </w:rPr>
        <w:t>)</w:t>
      </w:r>
      <w:r w:rsidR="003C3E5D">
        <w:rPr>
          <w:color w:val="auto"/>
          <w:sz w:val="24"/>
          <w:szCs w:val="24"/>
          <w:shd w:val="clear" w:color="auto" w:fill="FFFFFF"/>
        </w:rPr>
        <w:t xml:space="preserve"> argues that</w:t>
      </w:r>
      <w:r w:rsidR="003C3E5D" w:rsidRPr="003C3E5D">
        <w:t xml:space="preserve"> </w:t>
      </w:r>
      <w:r w:rsidR="003C3E5D">
        <w:rPr>
          <w:color w:val="auto"/>
          <w:sz w:val="24"/>
          <w:szCs w:val="24"/>
          <w:shd w:val="clear" w:color="auto" w:fill="FFFFFF"/>
        </w:rPr>
        <w:t xml:space="preserve">by decriminalising </w:t>
      </w:r>
      <w:r w:rsidR="003C3E5D" w:rsidRPr="003C3E5D">
        <w:rPr>
          <w:color w:val="auto"/>
          <w:sz w:val="24"/>
          <w:szCs w:val="24"/>
          <w:shd w:val="clear" w:color="auto" w:fill="FFFFFF"/>
        </w:rPr>
        <w:t>the sex industry</w:t>
      </w:r>
      <w:r w:rsidR="003C3E5D">
        <w:rPr>
          <w:color w:val="auto"/>
          <w:sz w:val="24"/>
          <w:szCs w:val="24"/>
          <w:shd w:val="clear" w:color="auto" w:fill="FFFFFF"/>
        </w:rPr>
        <w:t xml:space="preserve"> may help to</w:t>
      </w:r>
      <w:r w:rsidR="003C3E5D" w:rsidRPr="003C3E5D">
        <w:rPr>
          <w:color w:val="auto"/>
          <w:sz w:val="24"/>
          <w:szCs w:val="24"/>
          <w:shd w:val="clear" w:color="auto" w:fill="FFFFFF"/>
        </w:rPr>
        <w:t xml:space="preserve"> increase the inclination of sex workers to report a crime to police</w:t>
      </w:r>
      <w:r w:rsidR="003C3E5D">
        <w:rPr>
          <w:color w:val="auto"/>
          <w:sz w:val="24"/>
          <w:szCs w:val="24"/>
          <w:shd w:val="clear" w:color="auto" w:fill="FFFFFF"/>
        </w:rPr>
        <w:t xml:space="preserve">. </w:t>
      </w:r>
      <w:r w:rsidR="004453CE">
        <w:rPr>
          <w:color w:val="auto"/>
          <w:sz w:val="24"/>
          <w:szCs w:val="24"/>
          <w:shd w:val="clear" w:color="auto" w:fill="FFFFFF"/>
        </w:rPr>
        <w:t xml:space="preserve">Thus, it is important to build trust and confidence with these persons particularly through not being prejudiced based on their lifestyle or ethnicity. </w:t>
      </w:r>
    </w:p>
    <w:p w14:paraId="76AA9CE6" w14:textId="77777777" w:rsidR="006137F8" w:rsidRPr="00C60FC1" w:rsidRDefault="006137F8" w:rsidP="00BA2BD3">
      <w:pPr>
        <w:ind w:right="237"/>
        <w:rPr>
          <w:sz w:val="24"/>
          <w:szCs w:val="24"/>
        </w:rPr>
      </w:pPr>
    </w:p>
    <w:p w14:paraId="667BA3B8" w14:textId="17104EA0" w:rsidR="00982059" w:rsidRDefault="00982059" w:rsidP="00BA2BD3">
      <w:pPr>
        <w:ind w:right="237"/>
        <w:rPr>
          <w:sz w:val="24"/>
          <w:szCs w:val="24"/>
        </w:rPr>
      </w:pPr>
      <w:r>
        <w:rPr>
          <w:sz w:val="24"/>
          <w:szCs w:val="24"/>
        </w:rPr>
        <w:t xml:space="preserve">It was important in this case to therefore build trust with the victim to get them to engage with the police and also enable us to provide them with a variety of support options. </w:t>
      </w:r>
      <w:r w:rsidR="007D1C4D" w:rsidRPr="00C60FC1">
        <w:rPr>
          <w:sz w:val="24"/>
          <w:szCs w:val="24"/>
        </w:rPr>
        <w:t xml:space="preserve">Whenever there is a crime involving a serious sexual assault there needs to be a significant and appropriate response when supporting and managing the victim of such a serious crime as the victim may continue to suffer from trauma, anxiety and depression among other conditions following the incident. There needs to be the appropriate resources in place to mange this and there needs to be multi-agency working and co-operation </w:t>
      </w:r>
      <w:r w:rsidR="004453CE" w:rsidRPr="00C60FC1">
        <w:rPr>
          <w:sz w:val="24"/>
          <w:szCs w:val="24"/>
        </w:rPr>
        <w:t>to</w:t>
      </w:r>
      <w:r w:rsidR="007D1C4D" w:rsidRPr="00C60FC1">
        <w:rPr>
          <w:sz w:val="24"/>
          <w:szCs w:val="24"/>
        </w:rPr>
        <w:t xml:space="preserve"> support the victim</w:t>
      </w:r>
      <w:r>
        <w:rPr>
          <w:sz w:val="24"/>
          <w:szCs w:val="24"/>
        </w:rPr>
        <w:t xml:space="preserve"> through numerous means to enable the right support to be in place.</w:t>
      </w:r>
    </w:p>
    <w:p w14:paraId="564ACB18" w14:textId="77777777" w:rsidR="00982059" w:rsidRDefault="00982059" w:rsidP="00BA2BD3">
      <w:pPr>
        <w:ind w:right="237"/>
        <w:rPr>
          <w:sz w:val="24"/>
          <w:szCs w:val="24"/>
        </w:rPr>
      </w:pPr>
    </w:p>
    <w:p w14:paraId="557F8B8B" w14:textId="77777777" w:rsidR="003035A9" w:rsidRDefault="00982059" w:rsidP="00BA2BD3">
      <w:pPr>
        <w:ind w:right="237"/>
        <w:rPr>
          <w:sz w:val="24"/>
          <w:szCs w:val="24"/>
        </w:rPr>
      </w:pPr>
      <w:r>
        <w:rPr>
          <w:sz w:val="24"/>
          <w:szCs w:val="24"/>
        </w:rPr>
        <w:t>Although t</w:t>
      </w:r>
      <w:r w:rsidRPr="00C60FC1">
        <w:rPr>
          <w:sz w:val="24"/>
          <w:szCs w:val="24"/>
        </w:rPr>
        <w:t>he police’s role i</w:t>
      </w:r>
      <w:r>
        <w:rPr>
          <w:sz w:val="24"/>
          <w:szCs w:val="24"/>
        </w:rPr>
        <w:t>s</w:t>
      </w:r>
      <w:r w:rsidRPr="00C60FC1">
        <w:rPr>
          <w:sz w:val="24"/>
          <w:szCs w:val="24"/>
        </w:rPr>
        <w:t xml:space="preserve"> to investigate the crime and gather all the evidence to build a case</w:t>
      </w:r>
      <w:r>
        <w:rPr>
          <w:sz w:val="24"/>
          <w:szCs w:val="24"/>
        </w:rPr>
        <w:t xml:space="preserve">, </w:t>
      </w:r>
      <w:r w:rsidR="007D1C4D" w:rsidRPr="00C60FC1">
        <w:rPr>
          <w:sz w:val="24"/>
          <w:szCs w:val="24"/>
        </w:rPr>
        <w:t xml:space="preserve">police should be firstly ensuring the victim of the crime is safeguarded and appropriate steps taken to ensure this, such as </w:t>
      </w:r>
      <w:r w:rsidR="003035A9">
        <w:rPr>
          <w:sz w:val="24"/>
          <w:szCs w:val="24"/>
        </w:rPr>
        <w:t xml:space="preserve">critical markers on the victim’s address to provide quicker responses, </w:t>
      </w:r>
      <w:r w:rsidR="007D1C4D" w:rsidRPr="00C60FC1">
        <w:rPr>
          <w:sz w:val="24"/>
          <w:szCs w:val="24"/>
        </w:rPr>
        <w:t xml:space="preserve">bail conditions if a suspect has been arrested as well as background checks and referrals to other agencies such as social services to assess any risks the suspect may pose to others. </w:t>
      </w:r>
      <w:r>
        <w:rPr>
          <w:sz w:val="24"/>
          <w:szCs w:val="24"/>
        </w:rPr>
        <w:t>There are numerous a</w:t>
      </w:r>
      <w:r w:rsidR="007D1C4D" w:rsidRPr="00C60FC1">
        <w:rPr>
          <w:sz w:val="24"/>
          <w:szCs w:val="24"/>
        </w:rPr>
        <w:t>gencies</w:t>
      </w:r>
      <w:r w:rsidR="009E4619" w:rsidRPr="00C60FC1">
        <w:rPr>
          <w:sz w:val="24"/>
          <w:szCs w:val="24"/>
        </w:rPr>
        <w:t xml:space="preserve"> and charities</w:t>
      </w:r>
      <w:r w:rsidR="007D1C4D" w:rsidRPr="00C60FC1">
        <w:rPr>
          <w:sz w:val="24"/>
          <w:szCs w:val="24"/>
        </w:rPr>
        <w:t xml:space="preserve"> who</w:t>
      </w:r>
      <w:r>
        <w:rPr>
          <w:sz w:val="24"/>
          <w:szCs w:val="24"/>
        </w:rPr>
        <w:t xml:space="preserve"> work closely with police and</w:t>
      </w:r>
      <w:r w:rsidR="007D1C4D" w:rsidRPr="00C60FC1">
        <w:rPr>
          <w:sz w:val="24"/>
          <w:szCs w:val="24"/>
        </w:rPr>
        <w:t xml:space="preserve"> have the appropriate training can then step in </w:t>
      </w:r>
      <w:r w:rsidR="009E4619" w:rsidRPr="00C60FC1">
        <w:rPr>
          <w:sz w:val="24"/>
          <w:szCs w:val="24"/>
        </w:rPr>
        <w:t>to</w:t>
      </w:r>
      <w:r w:rsidR="007D1C4D" w:rsidRPr="00C60FC1">
        <w:rPr>
          <w:sz w:val="24"/>
          <w:szCs w:val="24"/>
        </w:rPr>
        <w:t xml:space="preserve"> provide ongoing support for the health and well-being of the victim</w:t>
      </w:r>
      <w:r w:rsidR="009E4619" w:rsidRPr="00C60FC1">
        <w:rPr>
          <w:sz w:val="24"/>
          <w:szCs w:val="24"/>
        </w:rPr>
        <w:t xml:space="preserve">, providing counselling and other support or accommodation. These agencies and charities </w:t>
      </w:r>
      <w:r>
        <w:rPr>
          <w:sz w:val="24"/>
          <w:szCs w:val="24"/>
        </w:rPr>
        <w:t>would</w:t>
      </w:r>
      <w:r w:rsidR="009E4619" w:rsidRPr="00C60FC1">
        <w:rPr>
          <w:sz w:val="24"/>
          <w:szCs w:val="24"/>
        </w:rPr>
        <w:t xml:space="preserve"> be independent from the police and can provide support in processing how they have been affected by the incident and how to cope.</w:t>
      </w:r>
      <w:r w:rsidR="003035A9">
        <w:rPr>
          <w:sz w:val="24"/>
          <w:szCs w:val="24"/>
        </w:rPr>
        <w:t xml:space="preserve"> This may also assist with encouraging those who have less trust in the police such as sex workers to at least engage with these support agencies.</w:t>
      </w:r>
      <w:r w:rsidR="009E4619" w:rsidRPr="00C60FC1">
        <w:rPr>
          <w:sz w:val="24"/>
          <w:szCs w:val="24"/>
        </w:rPr>
        <w:t xml:space="preserve"> </w:t>
      </w:r>
    </w:p>
    <w:p w14:paraId="78D86C49" w14:textId="77777777" w:rsidR="003035A9" w:rsidRDefault="003035A9" w:rsidP="00BA2BD3">
      <w:pPr>
        <w:ind w:right="237"/>
        <w:rPr>
          <w:sz w:val="24"/>
          <w:szCs w:val="24"/>
        </w:rPr>
      </w:pPr>
    </w:p>
    <w:p w14:paraId="3442E4E7" w14:textId="4002C51F" w:rsidR="0090487C" w:rsidRPr="003035A9" w:rsidRDefault="003035A9" w:rsidP="00BA2BD3">
      <w:pPr>
        <w:ind w:right="237"/>
        <w:rPr>
          <w:sz w:val="24"/>
          <w:szCs w:val="24"/>
        </w:rPr>
      </w:pPr>
      <w:r>
        <w:rPr>
          <w:sz w:val="24"/>
          <w:szCs w:val="24"/>
        </w:rPr>
        <w:t>With the growing pressures of budget cuts, inflation and demand on resources, the public service sector can struggle to support the public. T</w:t>
      </w:r>
      <w:r w:rsidR="009E4619" w:rsidRPr="00C60FC1">
        <w:rPr>
          <w:sz w:val="24"/>
          <w:szCs w:val="24"/>
        </w:rPr>
        <w:t xml:space="preserve">he police do not have the resources to be able to support victims in </w:t>
      </w:r>
      <w:r>
        <w:rPr>
          <w:sz w:val="24"/>
          <w:szCs w:val="24"/>
        </w:rPr>
        <w:t>the same way other agencies can</w:t>
      </w:r>
      <w:r w:rsidR="009E4619" w:rsidRPr="00C60FC1">
        <w:rPr>
          <w:sz w:val="24"/>
          <w:szCs w:val="24"/>
        </w:rPr>
        <w:t xml:space="preserve"> and the resources they have need to be prioritised for investigating and preventing crimes</w:t>
      </w:r>
      <w:r>
        <w:rPr>
          <w:sz w:val="24"/>
          <w:szCs w:val="24"/>
        </w:rPr>
        <w:t xml:space="preserve"> to prevent other people don’t become victims or repeat victims of crime</w:t>
      </w:r>
    </w:p>
    <w:p w14:paraId="4E690015" w14:textId="77777777" w:rsidR="00B00184" w:rsidRPr="00C60FC1" w:rsidRDefault="00B00184" w:rsidP="00350286">
      <w:pPr>
        <w:ind w:right="237"/>
        <w:rPr>
          <w:sz w:val="24"/>
          <w:szCs w:val="24"/>
        </w:rPr>
      </w:pPr>
    </w:p>
    <w:p w14:paraId="381417F7" w14:textId="063B83B0" w:rsidR="003A21B4" w:rsidRDefault="003035A9" w:rsidP="00663C92">
      <w:pPr>
        <w:ind w:right="237"/>
        <w:rPr>
          <w:sz w:val="24"/>
          <w:szCs w:val="24"/>
        </w:rPr>
      </w:pPr>
      <w:r>
        <w:rPr>
          <w:sz w:val="24"/>
          <w:szCs w:val="24"/>
        </w:rPr>
        <w:lastRenderedPageBreak/>
        <w:t xml:space="preserve">One such way for police to provide more effective responses to tackling crime and repeat victimisation during a time when budgets are being cut is </w:t>
      </w:r>
      <w:r w:rsidR="004453CE">
        <w:rPr>
          <w:sz w:val="24"/>
          <w:szCs w:val="24"/>
        </w:rPr>
        <w:t>by using</w:t>
      </w:r>
      <w:r>
        <w:rPr>
          <w:sz w:val="24"/>
          <w:szCs w:val="24"/>
        </w:rPr>
        <w:t xml:space="preserve"> evidence-based policing. E</w:t>
      </w:r>
      <w:r w:rsidR="00663C92" w:rsidRPr="00C60FC1">
        <w:rPr>
          <w:sz w:val="24"/>
          <w:szCs w:val="24"/>
        </w:rPr>
        <w:t xml:space="preserve">vidence based policing has been defined in the literature as </w:t>
      </w:r>
      <w:r w:rsidR="00663C92" w:rsidRPr="00C60FC1">
        <w:rPr>
          <w:i/>
          <w:iCs/>
          <w:sz w:val="24"/>
          <w:szCs w:val="24"/>
        </w:rPr>
        <w:t xml:space="preserve">‘the use of the best available research on the outcomes of police work to implement guidelines and evaluate agencies, units and officers.’ </w:t>
      </w:r>
      <w:r w:rsidR="00663C92" w:rsidRPr="00C60FC1">
        <w:rPr>
          <w:sz w:val="24"/>
          <w:szCs w:val="24"/>
        </w:rPr>
        <w:t xml:space="preserve">(Sherman, 1998). Sherman (1998) </w:t>
      </w:r>
      <w:r>
        <w:rPr>
          <w:sz w:val="24"/>
          <w:szCs w:val="24"/>
        </w:rPr>
        <w:t xml:space="preserve">further </w:t>
      </w:r>
      <w:r w:rsidR="00663C92" w:rsidRPr="00C60FC1">
        <w:rPr>
          <w:sz w:val="24"/>
          <w:szCs w:val="24"/>
        </w:rPr>
        <w:t xml:space="preserve">defines </w:t>
      </w:r>
      <w:r>
        <w:rPr>
          <w:sz w:val="24"/>
          <w:szCs w:val="24"/>
        </w:rPr>
        <w:t xml:space="preserve">it </w:t>
      </w:r>
      <w:r w:rsidR="00663C92" w:rsidRPr="00C60FC1">
        <w:rPr>
          <w:sz w:val="24"/>
          <w:szCs w:val="24"/>
        </w:rPr>
        <w:t xml:space="preserve">as </w:t>
      </w:r>
      <w:r>
        <w:rPr>
          <w:sz w:val="24"/>
          <w:szCs w:val="24"/>
        </w:rPr>
        <w:t xml:space="preserve">the </w:t>
      </w:r>
      <w:r w:rsidR="00663C92" w:rsidRPr="00C60FC1">
        <w:rPr>
          <w:sz w:val="24"/>
          <w:szCs w:val="24"/>
        </w:rPr>
        <w:t>‘</w:t>
      </w:r>
      <w:r w:rsidR="00663C92" w:rsidRPr="00C60FC1">
        <w:rPr>
          <w:i/>
          <w:iCs/>
          <w:sz w:val="24"/>
          <w:szCs w:val="24"/>
        </w:rPr>
        <w:t>use of research to guide practice and evaluate practitioners. It uses the best evidence to shape the best practice’</w:t>
      </w:r>
      <w:r w:rsidR="00663C92" w:rsidRPr="00C60FC1">
        <w:rPr>
          <w:sz w:val="24"/>
          <w:szCs w:val="24"/>
        </w:rPr>
        <w:t>.</w:t>
      </w:r>
      <w:r w:rsidR="00BE1771">
        <w:rPr>
          <w:sz w:val="24"/>
          <w:szCs w:val="24"/>
        </w:rPr>
        <w:t xml:space="preserve"> </w:t>
      </w:r>
      <w:r w:rsidR="00663C92" w:rsidRPr="00C60FC1">
        <w:rPr>
          <w:sz w:val="24"/>
          <w:szCs w:val="24"/>
        </w:rPr>
        <w:t xml:space="preserve">The idea of using an </w:t>
      </w:r>
      <w:r w:rsidRPr="00C60FC1">
        <w:rPr>
          <w:sz w:val="24"/>
          <w:szCs w:val="24"/>
        </w:rPr>
        <w:t>evidence-based</w:t>
      </w:r>
      <w:r w:rsidR="00663C92" w:rsidRPr="00C60FC1">
        <w:rPr>
          <w:sz w:val="24"/>
          <w:szCs w:val="24"/>
        </w:rPr>
        <w:t xml:space="preserve"> approach to inform and improve practices is not a new concept and is a concept well established within the world of medicine and in education (Sackett and Rosenberg 1995; </w:t>
      </w:r>
      <w:r w:rsidR="00851D53">
        <w:rPr>
          <w:sz w:val="24"/>
          <w:szCs w:val="24"/>
        </w:rPr>
        <w:t xml:space="preserve">Black and William, </w:t>
      </w:r>
      <w:r w:rsidR="00663C92" w:rsidRPr="00C60FC1">
        <w:rPr>
          <w:sz w:val="24"/>
          <w:szCs w:val="24"/>
        </w:rPr>
        <w:t>1998)</w:t>
      </w:r>
      <w:r w:rsidR="00BE1771">
        <w:rPr>
          <w:sz w:val="24"/>
          <w:szCs w:val="24"/>
        </w:rPr>
        <w:t xml:space="preserve"> and research in this way is expanding into police work. </w:t>
      </w:r>
    </w:p>
    <w:p w14:paraId="605C7261" w14:textId="77274D04" w:rsidR="00D86D4B" w:rsidRPr="00D86D4B" w:rsidRDefault="00BE1771" w:rsidP="00B34C13">
      <w:pPr>
        <w:spacing w:before="240"/>
        <w:ind w:right="237"/>
        <w:rPr>
          <w:sz w:val="24"/>
          <w:szCs w:val="24"/>
        </w:rPr>
      </w:pPr>
      <w:r w:rsidRPr="00BE1771">
        <w:rPr>
          <w:sz w:val="24"/>
          <w:szCs w:val="24"/>
        </w:rPr>
        <w:t xml:space="preserve">Systematic </w:t>
      </w:r>
      <w:r>
        <w:rPr>
          <w:sz w:val="24"/>
          <w:szCs w:val="24"/>
        </w:rPr>
        <w:t xml:space="preserve">reviews of research </w:t>
      </w:r>
      <w:r w:rsidRPr="00BE1771">
        <w:rPr>
          <w:sz w:val="24"/>
          <w:szCs w:val="24"/>
        </w:rPr>
        <w:t>has shown, 5% of victims experience 60% of all crime (SooHyun and others, 2017)</w:t>
      </w:r>
      <w:r>
        <w:rPr>
          <w:sz w:val="24"/>
          <w:szCs w:val="24"/>
        </w:rPr>
        <w:t xml:space="preserve">. </w:t>
      </w:r>
      <w:r w:rsidR="00B34C13">
        <w:rPr>
          <w:sz w:val="24"/>
          <w:szCs w:val="24"/>
        </w:rPr>
        <w:t xml:space="preserve">Pease (1998) argues that </w:t>
      </w:r>
      <w:r w:rsidR="00B34C13" w:rsidRPr="00C60FC1">
        <w:rPr>
          <w:color w:val="auto"/>
          <w:sz w:val="24"/>
          <w:szCs w:val="24"/>
          <w:shd w:val="clear" w:color="auto" w:fill="FFFFFF"/>
        </w:rPr>
        <w:t>one of the best predictors of future victimisation risk is prior victimisation</w:t>
      </w:r>
      <w:r w:rsidR="00B34C13">
        <w:rPr>
          <w:color w:val="auto"/>
          <w:sz w:val="24"/>
          <w:szCs w:val="24"/>
          <w:shd w:val="clear" w:color="auto" w:fill="FFFFFF"/>
        </w:rPr>
        <w:t xml:space="preserve"> and r</w:t>
      </w:r>
      <w:r w:rsidR="00B34C13">
        <w:rPr>
          <w:sz w:val="24"/>
          <w:szCs w:val="24"/>
        </w:rPr>
        <w:t xml:space="preserve">esearch conducted in 2019 to 2020 by the office for national statistics found that in England and Wales, </w:t>
      </w:r>
      <w:r w:rsidR="00B34C13" w:rsidRPr="00B34C13">
        <w:rPr>
          <w:sz w:val="24"/>
          <w:szCs w:val="24"/>
        </w:rPr>
        <w:t>34% of domestic violence victims, 27% of acquaintance violence victims and 14% of stranger violence victims were repeat victims</w:t>
      </w:r>
      <w:r w:rsidR="00B34C13">
        <w:rPr>
          <w:sz w:val="24"/>
          <w:szCs w:val="24"/>
        </w:rPr>
        <w:t xml:space="preserve"> (Office for National Statistics, 2020). Thus, it</w:t>
      </w:r>
      <w:r w:rsidR="00D86D4B">
        <w:rPr>
          <w:sz w:val="24"/>
          <w:szCs w:val="24"/>
        </w:rPr>
        <w:t xml:space="preserve"> could be argued that it</w:t>
      </w:r>
      <w:r w:rsidR="00B34C13">
        <w:rPr>
          <w:sz w:val="24"/>
          <w:szCs w:val="24"/>
        </w:rPr>
        <w:t xml:space="preserve"> would be important for police to direct their resources towards identifying </w:t>
      </w:r>
      <w:r w:rsidR="00D86D4B">
        <w:rPr>
          <w:sz w:val="24"/>
          <w:szCs w:val="24"/>
        </w:rPr>
        <w:t xml:space="preserve">those who are previous victims and deploying resources for targeted and effectively and preventing them being victims again. </w:t>
      </w:r>
      <w:r w:rsidR="004F7CAC" w:rsidRPr="00C60FC1">
        <w:rPr>
          <w:color w:val="auto"/>
          <w:sz w:val="24"/>
          <w:szCs w:val="24"/>
        </w:rPr>
        <w:t xml:space="preserve">According to research conducted by Johnsen et al., (1997) </w:t>
      </w:r>
      <w:r w:rsidR="000330EB" w:rsidRPr="00C60FC1">
        <w:rPr>
          <w:color w:val="auto"/>
          <w:sz w:val="24"/>
          <w:szCs w:val="24"/>
          <w:shd w:val="clear" w:color="auto" w:fill="FFFFFF"/>
        </w:rPr>
        <w:t>when</w:t>
      </w:r>
      <w:r w:rsidR="004F7CAC" w:rsidRPr="00C60FC1">
        <w:rPr>
          <w:color w:val="auto"/>
          <w:sz w:val="24"/>
          <w:szCs w:val="24"/>
          <w:shd w:val="clear" w:color="auto" w:fill="FFFFFF"/>
        </w:rPr>
        <w:t xml:space="preserve"> repeat</w:t>
      </w:r>
      <w:r w:rsidR="00D86D4B">
        <w:rPr>
          <w:color w:val="auto"/>
          <w:sz w:val="24"/>
          <w:szCs w:val="24"/>
          <w:shd w:val="clear" w:color="auto" w:fill="FFFFFF"/>
        </w:rPr>
        <w:t xml:space="preserve"> victimisation</w:t>
      </w:r>
      <w:r w:rsidR="000330EB" w:rsidRPr="00C60FC1">
        <w:rPr>
          <w:color w:val="auto"/>
          <w:sz w:val="24"/>
          <w:szCs w:val="24"/>
          <w:shd w:val="clear" w:color="auto" w:fill="FFFFFF"/>
        </w:rPr>
        <w:t xml:space="preserve"> occurs it takes place </w:t>
      </w:r>
      <w:r w:rsidR="00D86D4B">
        <w:rPr>
          <w:color w:val="auto"/>
          <w:sz w:val="24"/>
          <w:szCs w:val="24"/>
          <w:shd w:val="clear" w:color="auto" w:fill="FFFFFF"/>
        </w:rPr>
        <w:t>close to when the previous incident occurred.</w:t>
      </w:r>
      <w:r w:rsidR="00B80343" w:rsidRPr="00C60FC1">
        <w:rPr>
          <w:color w:val="auto"/>
          <w:sz w:val="24"/>
          <w:szCs w:val="24"/>
          <w:shd w:val="clear" w:color="auto" w:fill="FFFFFF"/>
        </w:rPr>
        <w:t xml:space="preserve"> </w:t>
      </w:r>
      <w:r w:rsidR="00D86D4B" w:rsidRPr="00C60FC1">
        <w:rPr>
          <w:color w:val="auto"/>
          <w:sz w:val="24"/>
          <w:szCs w:val="24"/>
        </w:rPr>
        <w:t xml:space="preserve">Johnsen et al., (1997) </w:t>
      </w:r>
      <w:r w:rsidR="00D86D4B">
        <w:rPr>
          <w:color w:val="auto"/>
          <w:sz w:val="24"/>
          <w:szCs w:val="24"/>
        </w:rPr>
        <w:t xml:space="preserve">therefore </w:t>
      </w:r>
      <w:r w:rsidR="000330EB" w:rsidRPr="00C60FC1">
        <w:rPr>
          <w:color w:val="auto"/>
          <w:sz w:val="24"/>
          <w:szCs w:val="24"/>
          <w:shd w:val="clear" w:color="auto" w:fill="FFFFFF"/>
        </w:rPr>
        <w:t>suggest that the targeting of prior victims immediately after a victimi</w:t>
      </w:r>
      <w:r w:rsidR="00B80343" w:rsidRPr="00C60FC1">
        <w:rPr>
          <w:color w:val="auto"/>
          <w:sz w:val="24"/>
          <w:szCs w:val="24"/>
          <w:shd w:val="clear" w:color="auto" w:fill="FFFFFF"/>
        </w:rPr>
        <w:t>s</w:t>
      </w:r>
      <w:r w:rsidR="000330EB" w:rsidRPr="00C60FC1">
        <w:rPr>
          <w:color w:val="auto"/>
          <w:sz w:val="24"/>
          <w:szCs w:val="24"/>
          <w:shd w:val="clear" w:color="auto" w:fill="FFFFFF"/>
        </w:rPr>
        <w:t>ation is most likely to be effective.</w:t>
      </w:r>
      <w:r w:rsidR="00B80343" w:rsidRPr="00C60FC1">
        <w:rPr>
          <w:color w:val="auto"/>
          <w:sz w:val="24"/>
          <w:szCs w:val="24"/>
          <w:shd w:val="clear" w:color="auto" w:fill="FFFFFF"/>
        </w:rPr>
        <w:t xml:space="preserve"> The findings of this research can be used and implemented in a practical setting with deploying resources more efficiently and effectively. </w:t>
      </w:r>
    </w:p>
    <w:p w14:paraId="42DCD787" w14:textId="5413102A" w:rsidR="00663C92" w:rsidRPr="00B34C13" w:rsidRDefault="00663C92" w:rsidP="00B34C13">
      <w:pPr>
        <w:spacing w:before="240"/>
        <w:ind w:right="237"/>
        <w:rPr>
          <w:sz w:val="24"/>
          <w:szCs w:val="24"/>
        </w:rPr>
      </w:pPr>
      <w:r w:rsidRPr="00C60FC1">
        <w:rPr>
          <w:color w:val="auto"/>
          <w:sz w:val="24"/>
          <w:szCs w:val="24"/>
          <w:shd w:val="clear" w:color="auto" w:fill="FFFFFF"/>
        </w:rPr>
        <w:t xml:space="preserve">Research </w:t>
      </w:r>
      <w:r w:rsidR="008B0578" w:rsidRPr="00C60FC1">
        <w:rPr>
          <w:color w:val="auto"/>
          <w:sz w:val="24"/>
          <w:szCs w:val="24"/>
          <w:shd w:val="clear" w:color="auto" w:fill="FFFFFF"/>
        </w:rPr>
        <w:t>argue</w:t>
      </w:r>
      <w:r w:rsidR="00D86D4B">
        <w:rPr>
          <w:color w:val="auto"/>
          <w:sz w:val="24"/>
          <w:szCs w:val="24"/>
          <w:shd w:val="clear" w:color="auto" w:fill="FFFFFF"/>
        </w:rPr>
        <w:t>s</w:t>
      </w:r>
      <w:r w:rsidRPr="00C60FC1">
        <w:rPr>
          <w:color w:val="auto"/>
          <w:sz w:val="24"/>
          <w:szCs w:val="24"/>
          <w:shd w:val="clear" w:color="auto" w:fill="FFFFFF"/>
        </w:rPr>
        <w:t xml:space="preserve"> that</w:t>
      </w:r>
      <w:r w:rsidR="008B0578" w:rsidRPr="00C60FC1">
        <w:rPr>
          <w:color w:val="auto"/>
          <w:sz w:val="24"/>
          <w:szCs w:val="24"/>
          <w:shd w:val="clear" w:color="auto" w:fill="FFFFFF"/>
        </w:rPr>
        <w:t xml:space="preserve"> implementing effective crime control practices requires far more wide-ranging knowledge than just ‘what works’</w:t>
      </w:r>
      <w:r w:rsidR="00D86D4B">
        <w:rPr>
          <w:color w:val="auto"/>
          <w:sz w:val="24"/>
          <w:szCs w:val="24"/>
          <w:shd w:val="clear" w:color="auto" w:fill="FFFFFF"/>
        </w:rPr>
        <w:t xml:space="preserve"> (</w:t>
      </w:r>
      <w:r w:rsidR="00D86D4B" w:rsidRPr="00C60FC1">
        <w:rPr>
          <w:color w:val="auto"/>
          <w:sz w:val="24"/>
          <w:szCs w:val="24"/>
          <w:shd w:val="clear" w:color="auto" w:fill="FFFFFF"/>
        </w:rPr>
        <w:t>Pawson and Tilley</w:t>
      </w:r>
      <w:r w:rsidR="00D86D4B">
        <w:rPr>
          <w:color w:val="auto"/>
          <w:sz w:val="24"/>
          <w:szCs w:val="24"/>
          <w:shd w:val="clear" w:color="auto" w:fill="FFFFFF"/>
        </w:rPr>
        <w:t xml:space="preserve">, </w:t>
      </w:r>
      <w:r w:rsidR="00D86D4B" w:rsidRPr="00C60FC1">
        <w:rPr>
          <w:color w:val="auto"/>
          <w:sz w:val="24"/>
          <w:szCs w:val="24"/>
          <w:shd w:val="clear" w:color="auto" w:fill="FFFFFF"/>
        </w:rPr>
        <w:t>1997)</w:t>
      </w:r>
      <w:r w:rsidR="008B0578" w:rsidRPr="00C60FC1">
        <w:rPr>
          <w:color w:val="auto"/>
          <w:sz w:val="24"/>
          <w:szCs w:val="24"/>
          <w:shd w:val="clear" w:color="auto" w:fill="FFFFFF"/>
        </w:rPr>
        <w:t>.</w:t>
      </w:r>
      <w:r w:rsidRPr="00C60FC1">
        <w:rPr>
          <w:color w:val="auto"/>
          <w:sz w:val="24"/>
          <w:szCs w:val="24"/>
          <w:shd w:val="clear" w:color="auto" w:fill="FFFFFF"/>
        </w:rPr>
        <w:t xml:space="preserve"> Johnson et al., (2015) </w:t>
      </w:r>
      <w:r w:rsidR="00D86D4B">
        <w:rPr>
          <w:color w:val="auto"/>
          <w:sz w:val="24"/>
          <w:szCs w:val="24"/>
          <w:shd w:val="clear" w:color="auto" w:fill="FFFFFF"/>
        </w:rPr>
        <w:t>state</w:t>
      </w:r>
      <w:r w:rsidRPr="00C60FC1">
        <w:rPr>
          <w:color w:val="auto"/>
          <w:sz w:val="24"/>
          <w:szCs w:val="24"/>
          <w:shd w:val="clear" w:color="auto" w:fill="FFFFFF"/>
        </w:rPr>
        <w:t xml:space="preserve"> that </w:t>
      </w:r>
      <w:r w:rsidR="008B0578" w:rsidRPr="00C60FC1">
        <w:rPr>
          <w:color w:val="auto"/>
          <w:sz w:val="24"/>
          <w:szCs w:val="24"/>
          <w:shd w:val="clear" w:color="auto" w:fill="FFFFFF"/>
        </w:rPr>
        <w:t>practitioner</w:t>
      </w:r>
      <w:r w:rsidRPr="00C60FC1">
        <w:rPr>
          <w:color w:val="auto"/>
          <w:sz w:val="24"/>
          <w:szCs w:val="24"/>
          <w:shd w:val="clear" w:color="auto" w:fill="FFFFFF"/>
        </w:rPr>
        <w:t>s</w:t>
      </w:r>
      <w:r w:rsidR="008B0578" w:rsidRPr="00C60FC1">
        <w:rPr>
          <w:color w:val="auto"/>
          <w:sz w:val="24"/>
          <w:szCs w:val="24"/>
          <w:shd w:val="clear" w:color="auto" w:fill="FFFFFF"/>
        </w:rPr>
        <w:t xml:space="preserve"> need to have information on the context in which the intervention is likely to work</w:t>
      </w:r>
      <w:r w:rsidRPr="00C60FC1">
        <w:rPr>
          <w:color w:val="auto"/>
          <w:sz w:val="24"/>
          <w:szCs w:val="24"/>
          <w:shd w:val="clear" w:color="auto" w:fill="FFFFFF"/>
        </w:rPr>
        <w:t xml:space="preserve">, along with </w:t>
      </w:r>
      <w:r w:rsidR="008B0578" w:rsidRPr="00C60FC1">
        <w:rPr>
          <w:color w:val="auto"/>
          <w:sz w:val="24"/>
          <w:szCs w:val="24"/>
          <w:shd w:val="clear" w:color="auto" w:fill="FFFFFF"/>
        </w:rPr>
        <w:t xml:space="preserve">information on the mechanism which led to the change: the ‘how’. </w:t>
      </w:r>
      <w:r w:rsidR="00D86D4B">
        <w:rPr>
          <w:color w:val="auto"/>
          <w:sz w:val="24"/>
          <w:szCs w:val="24"/>
          <w:shd w:val="clear" w:color="auto" w:fill="FFFFFF"/>
        </w:rPr>
        <w:t>Thus, w</w:t>
      </w:r>
      <w:r w:rsidR="008B0578" w:rsidRPr="00C60FC1">
        <w:rPr>
          <w:color w:val="auto"/>
          <w:sz w:val="24"/>
          <w:szCs w:val="24"/>
          <w:shd w:val="clear" w:color="auto" w:fill="FFFFFF"/>
        </w:rPr>
        <w:t>ith both these pieces of information the practitioner is then able to make a judgment on the extent to which the initiative is likely to work in ‘their’ context</w:t>
      </w:r>
      <w:r w:rsidRPr="00C60FC1">
        <w:rPr>
          <w:color w:val="auto"/>
          <w:sz w:val="24"/>
          <w:szCs w:val="24"/>
          <w:shd w:val="clear" w:color="auto" w:fill="FFFFFF"/>
        </w:rPr>
        <w:t xml:space="preserve">. </w:t>
      </w:r>
    </w:p>
    <w:p w14:paraId="30205931" w14:textId="77777777" w:rsidR="00205B1B" w:rsidRPr="00C60FC1" w:rsidRDefault="00205B1B" w:rsidP="5CE196A1">
      <w:pPr>
        <w:pStyle w:val="paragraph"/>
        <w:spacing w:before="0" w:beforeAutospacing="0" w:after="0" w:afterAutospacing="0"/>
        <w:textAlignment w:val="baseline"/>
        <w:rPr>
          <w:rFonts w:ascii="Arial" w:hAnsi="Arial" w:cs="Arial"/>
          <w:color w:val="555555"/>
          <w:shd w:val="clear" w:color="auto" w:fill="FFFFFF"/>
        </w:rPr>
      </w:pPr>
    </w:p>
    <w:p w14:paraId="79A7C67F" w14:textId="440E9402" w:rsidR="00D86D4B" w:rsidRDefault="00205B1B" w:rsidP="5CE196A1">
      <w:pPr>
        <w:pStyle w:val="paragraph"/>
        <w:spacing w:before="0" w:beforeAutospacing="0" w:after="0" w:afterAutospacing="0"/>
        <w:textAlignment w:val="baseline"/>
        <w:rPr>
          <w:rFonts w:ascii="Arial" w:hAnsi="Arial" w:cs="Arial"/>
          <w:shd w:val="clear" w:color="auto" w:fill="FFFFFF"/>
        </w:rPr>
      </w:pPr>
      <w:r w:rsidRPr="00C60FC1">
        <w:rPr>
          <w:rFonts w:ascii="Arial" w:hAnsi="Arial" w:cs="Arial"/>
          <w:shd w:val="clear" w:color="auto" w:fill="FFFFFF"/>
        </w:rPr>
        <w:t xml:space="preserve">Research by Johnson et al. (2015), developed the EMMIE Framework as a whole approach to understanding </w:t>
      </w:r>
      <w:r w:rsidR="000613D5" w:rsidRPr="00C60FC1">
        <w:rPr>
          <w:rFonts w:ascii="Arial" w:hAnsi="Arial" w:cs="Arial"/>
          <w:shd w:val="clear" w:color="auto" w:fill="FFFFFF"/>
        </w:rPr>
        <w:t xml:space="preserve">the effectiveness and efficiency of interventions. The framework looks at </w:t>
      </w:r>
      <w:r w:rsidRPr="00C60FC1">
        <w:rPr>
          <w:rFonts w:ascii="Arial" w:hAnsi="Arial" w:cs="Arial"/>
          <w:shd w:val="clear" w:color="auto" w:fill="FFFFFF"/>
        </w:rPr>
        <w:t xml:space="preserve">the effect of an intervention, the causal </w:t>
      </w:r>
      <w:r w:rsidR="000613D5" w:rsidRPr="00C60FC1">
        <w:rPr>
          <w:rFonts w:ascii="Arial" w:hAnsi="Arial" w:cs="Arial"/>
          <w:shd w:val="clear" w:color="auto" w:fill="FFFFFF"/>
        </w:rPr>
        <w:t>mechanism(s)</w:t>
      </w:r>
      <w:r w:rsidRPr="00C60FC1">
        <w:rPr>
          <w:rFonts w:ascii="Arial" w:hAnsi="Arial" w:cs="Arial"/>
          <w:shd w:val="clear" w:color="auto" w:fill="FFFFFF"/>
        </w:rPr>
        <w:t xml:space="preserve"> through which interventions are intended to work, the factors that </w:t>
      </w:r>
      <w:r w:rsidR="000613D5" w:rsidRPr="00C60FC1">
        <w:rPr>
          <w:rFonts w:ascii="Arial" w:hAnsi="Arial" w:cs="Arial"/>
          <w:shd w:val="clear" w:color="auto" w:fill="FFFFFF"/>
        </w:rPr>
        <w:t>m</w:t>
      </w:r>
      <w:r w:rsidRPr="00C60FC1">
        <w:rPr>
          <w:rFonts w:ascii="Arial" w:hAnsi="Arial" w:cs="Arial"/>
          <w:shd w:val="clear" w:color="auto" w:fill="FFFFFF"/>
        </w:rPr>
        <w:t xml:space="preserve">oderate intervention effectiveness, </w:t>
      </w:r>
      <w:r w:rsidR="000613D5" w:rsidRPr="00C60FC1">
        <w:rPr>
          <w:rFonts w:ascii="Arial" w:hAnsi="Arial" w:cs="Arial"/>
          <w:shd w:val="clear" w:color="auto" w:fill="FFFFFF"/>
        </w:rPr>
        <w:t>i</w:t>
      </w:r>
      <w:r w:rsidRPr="00C60FC1">
        <w:rPr>
          <w:rFonts w:ascii="Arial" w:hAnsi="Arial" w:cs="Arial"/>
          <w:shd w:val="clear" w:color="auto" w:fill="FFFFFF"/>
        </w:rPr>
        <w:t xml:space="preserve">mplementation issues that may impede or facilitate the intervention, and the </w:t>
      </w:r>
      <w:r w:rsidR="000613D5" w:rsidRPr="00C60FC1">
        <w:rPr>
          <w:rFonts w:ascii="Arial" w:hAnsi="Arial" w:cs="Arial"/>
          <w:shd w:val="clear" w:color="auto" w:fill="FFFFFF"/>
        </w:rPr>
        <w:t>e</w:t>
      </w:r>
      <w:r w:rsidRPr="00C60FC1">
        <w:rPr>
          <w:rFonts w:ascii="Arial" w:hAnsi="Arial" w:cs="Arial"/>
          <w:shd w:val="clear" w:color="auto" w:fill="FFFFFF"/>
        </w:rPr>
        <w:t>conomic costs of interventions (Johnson et al., 2015).</w:t>
      </w:r>
      <w:r w:rsidR="00D86D4B">
        <w:rPr>
          <w:rFonts w:ascii="Arial" w:hAnsi="Arial" w:cs="Arial"/>
          <w:shd w:val="clear" w:color="auto" w:fill="FFFFFF"/>
        </w:rPr>
        <w:t xml:space="preserve"> </w:t>
      </w:r>
      <w:r w:rsidR="00C5790B">
        <w:rPr>
          <w:rFonts w:ascii="Arial" w:hAnsi="Arial" w:cs="Arial"/>
          <w:shd w:val="clear" w:color="auto" w:fill="FFFFFF"/>
        </w:rPr>
        <w:t xml:space="preserve">This type of framework could be utilised effectively within policing to assist with understanding a more </w:t>
      </w:r>
      <w:r w:rsidR="004453CE">
        <w:rPr>
          <w:rFonts w:ascii="Arial" w:hAnsi="Arial" w:cs="Arial"/>
          <w:shd w:val="clear" w:color="auto" w:fill="FFFFFF"/>
        </w:rPr>
        <w:t>whole approach</w:t>
      </w:r>
      <w:r w:rsidR="00C5790B">
        <w:rPr>
          <w:rFonts w:ascii="Arial" w:hAnsi="Arial" w:cs="Arial"/>
          <w:shd w:val="clear" w:color="auto" w:fill="FFFFFF"/>
        </w:rPr>
        <w:t xml:space="preserve"> to dealing with crime and issues within policing and understanding the causal roots of the issues enabling police to be more targeted and tailored in their approach to tackling crime and repeat offending. </w:t>
      </w:r>
    </w:p>
    <w:p w14:paraId="522E80DA" w14:textId="77777777" w:rsidR="00D86D4B" w:rsidRDefault="00D86D4B" w:rsidP="5CE196A1">
      <w:pPr>
        <w:pStyle w:val="paragraph"/>
        <w:spacing w:before="0" w:beforeAutospacing="0" w:after="0" w:afterAutospacing="0"/>
        <w:textAlignment w:val="baseline"/>
        <w:rPr>
          <w:rFonts w:ascii="Arial" w:hAnsi="Arial" w:cs="Arial"/>
          <w:shd w:val="clear" w:color="auto" w:fill="FFFFFF"/>
        </w:rPr>
      </w:pPr>
    </w:p>
    <w:p w14:paraId="4B4A2249" w14:textId="40E36C53" w:rsidR="00986E05" w:rsidRPr="00432243" w:rsidRDefault="00D86D4B" w:rsidP="5CE196A1">
      <w:pPr>
        <w:pStyle w:val="paragraph"/>
        <w:spacing w:before="0" w:beforeAutospacing="0" w:after="0" w:afterAutospacing="0"/>
        <w:textAlignment w:val="baseline"/>
        <w:rPr>
          <w:rFonts w:ascii="Arial" w:eastAsia="Arial" w:hAnsi="Arial" w:cs="Arial"/>
        </w:rPr>
      </w:pPr>
      <w:r>
        <w:rPr>
          <w:rFonts w:ascii="Arial" w:hAnsi="Arial" w:cs="Arial"/>
          <w:shd w:val="clear" w:color="auto" w:fill="FFFFFF"/>
        </w:rPr>
        <w:t>Other research has looked at tackling victimisation through tacking offending and offenders as opposed to concentrating on victims. One such study conducted looked at s</w:t>
      </w:r>
      <w:r w:rsidR="00663C92" w:rsidRPr="00D86D4B">
        <w:rPr>
          <w:rFonts w:ascii="Arial" w:hAnsi="Arial" w:cs="Arial"/>
          <w:shd w:val="clear" w:color="auto" w:fill="FFFFFF"/>
        </w:rPr>
        <w:t>ituational crime prevention (SCP)</w:t>
      </w:r>
      <w:r w:rsidRPr="00D86D4B">
        <w:rPr>
          <w:rFonts w:ascii="Arial" w:hAnsi="Arial" w:cs="Arial"/>
          <w:shd w:val="clear" w:color="auto" w:fill="FFFFFF"/>
        </w:rPr>
        <w:t xml:space="preserve"> (Clarke, 1995). They define SCP </w:t>
      </w:r>
      <w:r w:rsidR="00663C92" w:rsidRPr="00D86D4B">
        <w:rPr>
          <w:rFonts w:ascii="Arial" w:hAnsi="Arial" w:cs="Arial"/>
          <w:shd w:val="clear" w:color="auto" w:fill="FFFFFF"/>
        </w:rPr>
        <w:t xml:space="preserve">measures as </w:t>
      </w:r>
      <w:r w:rsidR="00663C92" w:rsidRPr="00D86D4B">
        <w:rPr>
          <w:rFonts w:ascii="Arial" w:hAnsi="Arial" w:cs="Arial"/>
          <w:shd w:val="clear" w:color="auto" w:fill="FFFFFF"/>
        </w:rPr>
        <w:lastRenderedPageBreak/>
        <w:t xml:space="preserve">those that aim to prevent crime by reducing opportunities for offending and by increasing the effort and risk to offenders (Clarke, </w:t>
      </w:r>
      <w:r w:rsidRPr="00D86D4B">
        <w:rPr>
          <w:rFonts w:ascii="Arial" w:hAnsi="Arial" w:cs="Arial"/>
          <w:shd w:val="clear" w:color="auto" w:fill="FFFFFF"/>
        </w:rPr>
        <w:t>199</w:t>
      </w:r>
      <w:r w:rsidR="00A25894">
        <w:rPr>
          <w:rFonts w:ascii="Arial" w:hAnsi="Arial" w:cs="Arial"/>
          <w:shd w:val="clear" w:color="auto" w:fill="FFFFFF"/>
        </w:rPr>
        <w:t>4</w:t>
      </w:r>
      <w:r w:rsidRPr="00D86D4B">
        <w:rPr>
          <w:rFonts w:ascii="Arial" w:hAnsi="Arial" w:cs="Arial"/>
          <w:shd w:val="clear" w:color="auto" w:fill="FFFFFF"/>
        </w:rPr>
        <w:t>)</w:t>
      </w:r>
      <w:r w:rsidR="00663C92" w:rsidRPr="00D86D4B">
        <w:rPr>
          <w:rFonts w:ascii="Arial" w:hAnsi="Arial" w:cs="Arial"/>
          <w:shd w:val="clear" w:color="auto" w:fill="FFFFFF"/>
        </w:rPr>
        <w:t>.</w:t>
      </w:r>
      <w:r w:rsidR="00432243">
        <w:rPr>
          <w:rFonts w:ascii="Arial" w:eastAsia="Arial" w:hAnsi="Arial" w:cs="Arial"/>
        </w:rPr>
        <w:t xml:space="preserve"> </w:t>
      </w:r>
      <w:r>
        <w:rPr>
          <w:rFonts w:ascii="Arial" w:eastAsia="Arial" w:hAnsi="Arial" w:cs="Arial"/>
          <w:color w:val="000000" w:themeColor="text1"/>
        </w:rPr>
        <w:t xml:space="preserve">More recent research </w:t>
      </w:r>
      <w:r w:rsidR="00D14B45">
        <w:rPr>
          <w:rFonts w:ascii="Arial" w:eastAsia="Arial" w:hAnsi="Arial" w:cs="Arial"/>
          <w:color w:val="000000" w:themeColor="text1"/>
        </w:rPr>
        <w:t>has</w:t>
      </w:r>
      <w:r>
        <w:rPr>
          <w:rFonts w:ascii="Arial" w:eastAsia="Arial" w:hAnsi="Arial" w:cs="Arial"/>
          <w:color w:val="000000" w:themeColor="text1"/>
        </w:rPr>
        <w:t xml:space="preserve"> </w:t>
      </w:r>
      <w:r w:rsidR="007241B4" w:rsidRPr="00C60FC1">
        <w:rPr>
          <w:rFonts w:ascii="Arial" w:eastAsia="Arial" w:hAnsi="Arial" w:cs="Arial"/>
          <w:color w:val="000000" w:themeColor="text1"/>
        </w:rPr>
        <w:t xml:space="preserve">explored various strategies and methods that have been </w:t>
      </w:r>
      <w:r w:rsidR="00D8309A" w:rsidRPr="00C60FC1">
        <w:rPr>
          <w:rFonts w:ascii="Arial" w:eastAsia="Arial" w:hAnsi="Arial" w:cs="Arial"/>
          <w:color w:val="000000" w:themeColor="text1"/>
        </w:rPr>
        <w:t>utilised in tackling repeat offending and reduction crime prevention (</w:t>
      </w:r>
      <w:r>
        <w:rPr>
          <w:rFonts w:ascii="Arial" w:eastAsia="Arial" w:hAnsi="Arial" w:cs="Arial"/>
          <w:color w:val="000000" w:themeColor="text1"/>
        </w:rPr>
        <w:t>Weisburd et al., 2016</w:t>
      </w:r>
      <w:r w:rsidR="00D8309A" w:rsidRPr="00C60FC1">
        <w:rPr>
          <w:rFonts w:ascii="Arial" w:eastAsia="Arial" w:hAnsi="Arial" w:cs="Arial"/>
          <w:color w:val="000000" w:themeColor="text1"/>
        </w:rPr>
        <w:t xml:space="preserve">). Weisburd </w:t>
      </w:r>
      <w:r w:rsidR="00D8309A" w:rsidRPr="00C60FC1">
        <w:rPr>
          <w:rFonts w:ascii="Arial" w:eastAsia="Arial" w:hAnsi="Arial" w:cs="Arial"/>
          <w:i/>
          <w:iCs/>
          <w:color w:val="000000" w:themeColor="text1"/>
        </w:rPr>
        <w:t>et al.,</w:t>
      </w:r>
      <w:r w:rsidR="00D8309A" w:rsidRPr="00C60FC1">
        <w:rPr>
          <w:rFonts w:ascii="Arial" w:eastAsia="Arial" w:hAnsi="Arial" w:cs="Arial"/>
          <w:color w:val="000000" w:themeColor="text1"/>
        </w:rPr>
        <w:t xml:space="preserve"> (2016) conducted a systematic review of previous reviews done on tackling crime and crime prevention and the different strategies that </w:t>
      </w:r>
      <w:r w:rsidR="00D8309A" w:rsidRPr="00C60FC1">
        <w:rPr>
          <w:rFonts w:ascii="Arial" w:eastAsia="Arial" w:hAnsi="Arial" w:cs="Arial"/>
        </w:rPr>
        <w:t>have been explored and studied</w:t>
      </w:r>
      <w:r w:rsidR="00D14B45">
        <w:rPr>
          <w:rFonts w:ascii="Arial" w:eastAsia="Arial" w:hAnsi="Arial" w:cs="Arial"/>
        </w:rPr>
        <w:t xml:space="preserve">. </w:t>
      </w:r>
      <w:r w:rsidR="00D8309A" w:rsidRPr="00C60FC1">
        <w:rPr>
          <w:rFonts w:ascii="Arial" w:eastAsia="Arial" w:hAnsi="Arial" w:cs="Arial"/>
        </w:rPr>
        <w:t xml:space="preserve">The study found </w:t>
      </w:r>
      <w:r w:rsidR="000641F7" w:rsidRPr="00C60FC1">
        <w:rPr>
          <w:rFonts w:ascii="Arial" w:hAnsi="Arial" w:cs="Arial"/>
          <w:shd w:val="clear" w:color="auto" w:fill="FFFFFF"/>
        </w:rPr>
        <w:t>evidence that crime prevention practices and programs are effective</w:t>
      </w:r>
      <w:r w:rsidR="00D8309A" w:rsidRPr="00C60FC1">
        <w:rPr>
          <w:rFonts w:ascii="Arial" w:hAnsi="Arial" w:cs="Arial"/>
          <w:shd w:val="clear" w:color="auto" w:fill="FFFFFF"/>
        </w:rPr>
        <w:t>, however also noted that there were also some programs which were ineffective and actually caused more harm (Weisburd et al., 2016)</w:t>
      </w:r>
      <w:r w:rsidR="002F7CAE" w:rsidRPr="00C60FC1">
        <w:rPr>
          <w:rFonts w:ascii="Arial" w:hAnsi="Arial" w:cs="Arial"/>
          <w:shd w:val="clear" w:color="auto" w:fill="FFFFFF"/>
        </w:rPr>
        <w:t xml:space="preserve">. </w:t>
      </w:r>
      <w:r w:rsidR="000641F7" w:rsidRPr="00C60FC1">
        <w:rPr>
          <w:rFonts w:ascii="Arial" w:hAnsi="Arial" w:cs="Arial"/>
        </w:rPr>
        <w:br/>
      </w:r>
    </w:p>
    <w:p w14:paraId="4D9F8BBC" w14:textId="4BE785AB" w:rsidR="00FD524E" w:rsidRPr="00D14B45" w:rsidRDefault="00D14B45" w:rsidP="00D14B45">
      <w:pPr>
        <w:pStyle w:val="paragraph"/>
        <w:spacing w:before="0" w:beforeAutospacing="0" w:after="0" w:afterAutospacing="0"/>
        <w:textAlignment w:val="baseline"/>
        <w:rPr>
          <w:rFonts w:ascii="Arial" w:eastAsia="Arial" w:hAnsi="Arial" w:cs="Arial"/>
          <w:color w:val="000000" w:themeColor="text1"/>
        </w:rPr>
      </w:pPr>
      <w:r w:rsidRPr="00D14B45">
        <w:rPr>
          <w:rFonts w:ascii="Arial" w:eastAsia="Arial" w:hAnsi="Arial" w:cs="Arial"/>
          <w:color w:val="000000" w:themeColor="text1"/>
        </w:rPr>
        <w:t xml:space="preserve">To refer back to the crime being exampled in this study </w:t>
      </w:r>
      <w:r w:rsidR="00FD524E" w:rsidRPr="00D14B45">
        <w:rPr>
          <w:rFonts w:ascii="Arial" w:eastAsia="Arial" w:hAnsi="Arial" w:cs="Arial"/>
          <w:color w:val="000000" w:themeColor="text1"/>
        </w:rPr>
        <w:t xml:space="preserve">research found that </w:t>
      </w:r>
      <w:r w:rsidR="00FD524E" w:rsidRPr="00D14B45">
        <w:rPr>
          <w:rFonts w:ascii="Arial" w:hAnsi="Arial" w:cs="Arial"/>
          <w:shd w:val="clear" w:color="auto" w:fill="FFFFFF"/>
        </w:rPr>
        <w:t>sex offender treatment programs can be effective, particularly those that use cognitive-</w:t>
      </w:r>
      <w:r w:rsidRPr="00D14B45">
        <w:rPr>
          <w:rFonts w:ascii="Arial" w:hAnsi="Arial" w:cs="Arial"/>
          <w:shd w:val="clear" w:color="auto" w:fill="FFFFFF"/>
        </w:rPr>
        <w:t>behavioural</w:t>
      </w:r>
      <w:r w:rsidR="00FD524E" w:rsidRPr="00D14B45">
        <w:rPr>
          <w:rFonts w:ascii="Arial" w:hAnsi="Arial" w:cs="Arial"/>
          <w:shd w:val="clear" w:color="auto" w:fill="FFFFFF"/>
        </w:rPr>
        <w:t xml:space="preserve"> methods and/ or hormonal medication. (</w:t>
      </w:r>
      <w:r>
        <w:rPr>
          <w:rFonts w:ascii="Arial" w:hAnsi="Arial" w:cs="Arial"/>
          <w:shd w:val="clear" w:color="auto" w:fill="FFFFFF"/>
        </w:rPr>
        <w:t>Weisburd et al., 2016</w:t>
      </w:r>
      <w:r w:rsidR="00FD524E" w:rsidRPr="00D14B45">
        <w:rPr>
          <w:rFonts w:ascii="Arial" w:hAnsi="Arial" w:cs="Arial"/>
          <w:shd w:val="clear" w:color="auto" w:fill="FFFFFF"/>
        </w:rPr>
        <w:t>).</w:t>
      </w:r>
      <w:r>
        <w:rPr>
          <w:rFonts w:ascii="Arial" w:hAnsi="Arial" w:cs="Arial"/>
          <w:shd w:val="clear" w:color="auto" w:fill="FFFFFF"/>
        </w:rPr>
        <w:t xml:space="preserve"> </w:t>
      </w:r>
      <w:r w:rsidR="0067595C" w:rsidRPr="00D14B45">
        <w:rPr>
          <w:rFonts w:ascii="Arial" w:eastAsia="Arial" w:hAnsi="Arial" w:cs="Arial"/>
          <w:color w:val="000000" w:themeColor="text1"/>
        </w:rPr>
        <w:t>However, programs involving repeat victimisation strategies there is a null effect</w:t>
      </w:r>
      <w:r>
        <w:rPr>
          <w:rFonts w:ascii="Arial" w:eastAsia="Arial" w:hAnsi="Arial" w:cs="Arial"/>
          <w:color w:val="000000" w:themeColor="text1"/>
        </w:rPr>
        <w:t xml:space="preserve">, suggesting </w:t>
      </w:r>
      <w:r w:rsidR="0067595C" w:rsidRPr="00D14B45">
        <w:rPr>
          <w:rFonts w:ascii="Arial" w:eastAsia="Arial" w:hAnsi="Arial" w:cs="Arial"/>
          <w:color w:val="000000" w:themeColor="text1"/>
        </w:rPr>
        <w:t xml:space="preserve">that these strategies might not be so effective (Weisburd </w:t>
      </w:r>
      <w:r w:rsidR="0067595C" w:rsidRPr="00D14B45">
        <w:rPr>
          <w:rFonts w:ascii="Arial" w:eastAsia="Arial" w:hAnsi="Arial" w:cs="Arial"/>
          <w:i/>
          <w:iCs/>
          <w:color w:val="000000" w:themeColor="text1"/>
        </w:rPr>
        <w:t>et al.,</w:t>
      </w:r>
      <w:r w:rsidR="0067595C" w:rsidRPr="00D14B45">
        <w:rPr>
          <w:rFonts w:ascii="Arial" w:eastAsia="Arial" w:hAnsi="Arial" w:cs="Arial"/>
          <w:color w:val="000000" w:themeColor="text1"/>
        </w:rPr>
        <w:t xml:space="preserve"> 2016).</w:t>
      </w:r>
      <w:r>
        <w:rPr>
          <w:rFonts w:ascii="Arial" w:eastAsia="Arial" w:hAnsi="Arial" w:cs="Arial"/>
          <w:color w:val="000000" w:themeColor="text1"/>
        </w:rPr>
        <w:t xml:space="preserve"> </w:t>
      </w:r>
      <w:r w:rsidR="00FD524E" w:rsidRPr="00D14B45">
        <w:rPr>
          <w:rFonts w:ascii="Arial" w:eastAsia="Arial" w:hAnsi="Arial" w:cs="Arial"/>
          <w:color w:val="000000" w:themeColor="text1"/>
        </w:rPr>
        <w:t xml:space="preserve">Although there is positive results from research conducted in relation to </w:t>
      </w:r>
      <w:r w:rsidR="0067595C" w:rsidRPr="00D14B45">
        <w:rPr>
          <w:rFonts w:ascii="Arial" w:eastAsia="Arial" w:hAnsi="Arial" w:cs="Arial"/>
          <w:color w:val="000000" w:themeColor="text1"/>
        </w:rPr>
        <w:t xml:space="preserve">reductions in reoffending, researchers suggest that </w:t>
      </w:r>
      <w:r w:rsidR="00FD524E" w:rsidRPr="00D14B45">
        <w:rPr>
          <w:rFonts w:ascii="Arial" w:hAnsi="Arial" w:cs="Arial"/>
          <w:shd w:val="clear" w:color="auto" w:fill="FFFFFF"/>
        </w:rPr>
        <w:t xml:space="preserve">programs should be part of the mix in how we address the problem of sexual offending but they are clearly not the sole solution to protecting the public. (Weisburd </w:t>
      </w:r>
      <w:r w:rsidR="00FD524E" w:rsidRPr="00D14B45">
        <w:rPr>
          <w:rFonts w:ascii="Arial" w:hAnsi="Arial" w:cs="Arial"/>
          <w:i/>
          <w:iCs/>
          <w:shd w:val="clear" w:color="auto" w:fill="FFFFFF"/>
        </w:rPr>
        <w:t>et al.,</w:t>
      </w:r>
      <w:r w:rsidR="00FD524E" w:rsidRPr="00D14B45">
        <w:rPr>
          <w:rFonts w:ascii="Arial" w:hAnsi="Arial" w:cs="Arial"/>
          <w:shd w:val="clear" w:color="auto" w:fill="FFFFFF"/>
        </w:rPr>
        <w:t xml:space="preserve"> 2016).</w:t>
      </w:r>
    </w:p>
    <w:p w14:paraId="25A52EC9" w14:textId="0488DE8B" w:rsidR="00BB1CD3" w:rsidRPr="00432243" w:rsidRDefault="00DF7E2A" w:rsidP="00D14B45">
      <w:pPr>
        <w:pStyle w:val="paragraph"/>
        <w:spacing w:before="0" w:beforeAutospacing="0" w:after="0" w:afterAutospacing="0"/>
        <w:rPr>
          <w:rFonts w:ascii="Arial" w:hAnsi="Arial" w:cs="Arial"/>
          <w:color w:val="000000" w:themeColor="text1"/>
        </w:rPr>
      </w:pPr>
      <w:r w:rsidRPr="00C60FC1">
        <w:rPr>
          <w:rFonts w:ascii="Arial" w:hAnsi="Arial" w:cs="Arial"/>
          <w:color w:val="555555"/>
        </w:rPr>
        <w:br/>
      </w:r>
      <w:r w:rsidR="00D14B45" w:rsidRPr="00432243">
        <w:rPr>
          <w:rFonts w:ascii="Arial" w:hAnsi="Arial" w:cs="Arial"/>
          <w:shd w:val="clear" w:color="auto" w:fill="FFFFFF"/>
        </w:rPr>
        <w:t xml:space="preserve">It should also be noted that although most victims who report being victims of sexual offences are female, there are also many males who are victims of sexual offences. </w:t>
      </w:r>
      <w:r w:rsidR="003A21B4" w:rsidRPr="00432243">
        <w:rPr>
          <w:rFonts w:ascii="Arial" w:hAnsi="Arial" w:cs="Arial"/>
          <w:shd w:val="clear" w:color="auto" w:fill="FFFFFF"/>
        </w:rPr>
        <w:t xml:space="preserve">A study conducted in </w:t>
      </w:r>
      <w:r w:rsidR="00D14B45" w:rsidRPr="00432243">
        <w:rPr>
          <w:rFonts w:ascii="Arial" w:hAnsi="Arial" w:cs="Arial"/>
          <w:shd w:val="clear" w:color="auto" w:fill="FFFFFF"/>
        </w:rPr>
        <w:t>Sweden</w:t>
      </w:r>
      <w:r w:rsidR="003A21B4" w:rsidRPr="00432243">
        <w:rPr>
          <w:rFonts w:ascii="Arial" w:hAnsi="Arial" w:cs="Arial"/>
          <w:shd w:val="clear" w:color="auto" w:fill="FFFFFF"/>
        </w:rPr>
        <w:t xml:space="preserve"> </w:t>
      </w:r>
      <w:r w:rsidR="00D14B45" w:rsidRPr="00432243">
        <w:rPr>
          <w:rFonts w:ascii="Arial" w:hAnsi="Arial" w:cs="Arial"/>
          <w:shd w:val="clear" w:color="auto" w:fill="FFFFFF"/>
        </w:rPr>
        <w:t xml:space="preserve">and risk assessments conducted by officers </w:t>
      </w:r>
      <w:r w:rsidR="003A21B4" w:rsidRPr="00432243">
        <w:rPr>
          <w:rFonts w:ascii="Arial" w:hAnsi="Arial" w:cs="Arial"/>
          <w:shd w:val="clear" w:color="auto" w:fill="FFFFFF"/>
        </w:rPr>
        <w:t>investigated the influence of victim vulnerability factors and gender on risk</w:t>
      </w:r>
      <w:r w:rsidR="00432243">
        <w:rPr>
          <w:rFonts w:ascii="Arial" w:hAnsi="Arial" w:cs="Arial"/>
          <w:shd w:val="clear" w:color="auto" w:fill="FFFFFF"/>
        </w:rPr>
        <w:t xml:space="preserve"> </w:t>
      </w:r>
      <w:r w:rsidR="003A21B4" w:rsidRPr="00432243">
        <w:rPr>
          <w:rFonts w:ascii="Arial" w:hAnsi="Arial" w:cs="Arial"/>
          <w:shd w:val="clear" w:color="auto" w:fill="FFFFFF"/>
        </w:rPr>
        <w:t>assessment for intimate partner violence (IPV)</w:t>
      </w:r>
      <w:r w:rsidR="00432243" w:rsidRPr="00432243">
        <w:rPr>
          <w:rFonts w:ascii="Arial" w:hAnsi="Arial" w:cs="Arial"/>
          <w:shd w:val="clear" w:color="auto" w:fill="FFFFFF"/>
        </w:rPr>
        <w:t>. The studies utilised a risk assessment form called the</w:t>
      </w:r>
      <w:r w:rsidR="003A21B4" w:rsidRPr="00432243">
        <w:rPr>
          <w:rFonts w:ascii="Arial" w:hAnsi="Arial" w:cs="Arial"/>
          <w:shd w:val="clear" w:color="auto" w:fill="FFFFFF"/>
        </w:rPr>
        <w:t> Brief Spousal Assault Form for the Evaluation of Risk (B-SAFER)</w:t>
      </w:r>
      <w:r w:rsidR="004453CE">
        <w:rPr>
          <w:rFonts w:ascii="Arial" w:hAnsi="Arial" w:cs="Arial"/>
          <w:shd w:val="clear" w:color="auto" w:fill="FFFFFF"/>
        </w:rPr>
        <w:t xml:space="preserve">. </w:t>
      </w:r>
      <w:r w:rsidR="00432243" w:rsidRPr="00432243">
        <w:rPr>
          <w:rFonts w:ascii="Arial" w:hAnsi="Arial" w:cs="Arial"/>
          <w:shd w:val="clear" w:color="auto" w:fill="FFFFFF"/>
        </w:rPr>
        <w:t xml:space="preserve">The study found that </w:t>
      </w:r>
      <w:r w:rsidR="00BB1CD3" w:rsidRPr="00432243">
        <w:rPr>
          <w:rFonts w:ascii="Arial" w:hAnsi="Arial" w:cs="Arial"/>
        </w:rPr>
        <w:t>B-SAFER victim vulnerability factors c</w:t>
      </w:r>
      <w:r w:rsidR="00432243" w:rsidRPr="00432243">
        <w:rPr>
          <w:rFonts w:ascii="Arial" w:hAnsi="Arial" w:cs="Arial"/>
        </w:rPr>
        <w:t xml:space="preserve">ould </w:t>
      </w:r>
      <w:r w:rsidR="00BB1CD3" w:rsidRPr="00432243">
        <w:rPr>
          <w:rFonts w:ascii="Arial" w:hAnsi="Arial" w:cs="Arial"/>
        </w:rPr>
        <w:t>be used in practice as intended with female victims of IPV</w:t>
      </w:r>
      <w:r w:rsidR="00432243" w:rsidRPr="00432243">
        <w:rPr>
          <w:rFonts w:ascii="Arial" w:hAnsi="Arial" w:cs="Arial"/>
        </w:rPr>
        <w:t xml:space="preserve"> as they worked well to identify </w:t>
      </w:r>
      <w:r w:rsidR="00BB1CD3" w:rsidRPr="00432243">
        <w:rPr>
          <w:rFonts w:ascii="Arial" w:hAnsi="Arial" w:cs="Arial"/>
        </w:rPr>
        <w:t xml:space="preserve">vulnerability factors </w:t>
      </w:r>
      <w:r w:rsidR="00432243" w:rsidRPr="00432243">
        <w:rPr>
          <w:rFonts w:ascii="Arial" w:hAnsi="Arial" w:cs="Arial"/>
        </w:rPr>
        <w:t xml:space="preserve">and assisted with </w:t>
      </w:r>
      <w:r w:rsidR="00BB1CD3" w:rsidRPr="00432243">
        <w:rPr>
          <w:rFonts w:ascii="Arial" w:hAnsi="Arial" w:cs="Arial"/>
        </w:rPr>
        <w:t>risk management recommendations</w:t>
      </w:r>
      <w:r w:rsidR="00432243" w:rsidRPr="00432243">
        <w:rPr>
          <w:rFonts w:ascii="Arial" w:hAnsi="Arial" w:cs="Arial"/>
        </w:rPr>
        <w:t xml:space="preserve"> </w:t>
      </w:r>
      <w:r w:rsidR="00432243" w:rsidRPr="00432243">
        <w:rPr>
          <w:rFonts w:ascii="Arial" w:hAnsi="Arial" w:cs="Arial"/>
        </w:rPr>
        <w:t>(Storey and Strand 2017)</w:t>
      </w:r>
      <w:r w:rsidR="00432243" w:rsidRPr="00432243">
        <w:rPr>
          <w:rFonts w:ascii="Arial" w:hAnsi="Arial" w:cs="Arial"/>
        </w:rPr>
        <w:t>. However, t</w:t>
      </w:r>
      <w:r w:rsidR="00BB1CD3" w:rsidRPr="00432243">
        <w:rPr>
          <w:rFonts w:ascii="Arial" w:hAnsi="Arial" w:cs="Arial"/>
        </w:rPr>
        <w:t>he same results were not found for male victims of IPV, where it appeared that the B-SAFER victim vulnerability factors were less relevant to officers’ decision making. (Storey and Strand 2017)</w:t>
      </w:r>
      <w:r w:rsidR="00432243" w:rsidRPr="00432243">
        <w:rPr>
          <w:rFonts w:ascii="Arial" w:hAnsi="Arial" w:cs="Arial"/>
        </w:rPr>
        <w:t xml:space="preserve">. </w:t>
      </w:r>
      <w:r w:rsidR="00C5790B">
        <w:rPr>
          <w:rFonts w:ascii="Arial" w:hAnsi="Arial" w:cs="Arial"/>
        </w:rPr>
        <w:t>This research may suggest that female victims of this crime may be better managed and safeguarded than that of male victims. However, it also highlights that it is important that both male and female victims of crimes are treated fairly and that risk assessments are tailored to the individual to provide a better risk assessment</w:t>
      </w:r>
      <w:r w:rsidR="005F5C93">
        <w:rPr>
          <w:rFonts w:ascii="Arial" w:hAnsi="Arial" w:cs="Arial"/>
        </w:rPr>
        <w:t xml:space="preserve">. </w:t>
      </w:r>
    </w:p>
    <w:p w14:paraId="4C384468" w14:textId="682D0E8E" w:rsidR="00BB1CD3" w:rsidRDefault="00BB1CD3" w:rsidP="5CE196A1">
      <w:pPr>
        <w:pStyle w:val="paragraph"/>
        <w:spacing w:before="0" w:beforeAutospacing="0" w:after="0" w:afterAutospacing="0"/>
        <w:rPr>
          <w:b/>
          <w:bCs/>
        </w:rPr>
      </w:pPr>
    </w:p>
    <w:p w14:paraId="23944CC8" w14:textId="2F0F84BE" w:rsidR="006075EB" w:rsidRPr="004453CE" w:rsidRDefault="006075EB" w:rsidP="5CE196A1">
      <w:pPr>
        <w:pStyle w:val="paragraph"/>
        <w:spacing w:before="0" w:beforeAutospacing="0" w:after="0" w:afterAutospacing="0"/>
        <w:rPr>
          <w:rFonts w:ascii="Arial" w:hAnsi="Arial" w:cs="Arial"/>
        </w:rPr>
      </w:pPr>
      <w:r w:rsidRPr="004453CE">
        <w:rPr>
          <w:rFonts w:ascii="Arial" w:hAnsi="Arial" w:cs="Arial"/>
        </w:rPr>
        <w:t xml:space="preserve">Conclusions </w:t>
      </w:r>
    </w:p>
    <w:p w14:paraId="5C8A1A4E" w14:textId="77777777" w:rsidR="002E4782" w:rsidRPr="00C60FC1" w:rsidRDefault="002E4782" w:rsidP="5CE196A1">
      <w:pPr>
        <w:pStyle w:val="paragraph"/>
        <w:spacing w:before="0" w:beforeAutospacing="0" w:after="0" w:afterAutospacing="0"/>
        <w:rPr>
          <w:rFonts w:ascii="Arial" w:hAnsi="Arial" w:cs="Arial"/>
        </w:rPr>
      </w:pPr>
    </w:p>
    <w:p w14:paraId="6DEAC7E4" w14:textId="477A000F" w:rsidR="002E4782" w:rsidRPr="00C60FC1" w:rsidRDefault="002E4782" w:rsidP="5CE196A1">
      <w:pPr>
        <w:pStyle w:val="paragraph"/>
        <w:spacing w:before="0" w:beforeAutospacing="0" w:after="0" w:afterAutospacing="0"/>
        <w:rPr>
          <w:rFonts w:ascii="Arial" w:hAnsi="Arial" w:cs="Arial"/>
        </w:rPr>
      </w:pPr>
      <w:r w:rsidRPr="00C60FC1">
        <w:rPr>
          <w:rFonts w:ascii="Arial" w:hAnsi="Arial" w:cs="Arial"/>
        </w:rPr>
        <w:t xml:space="preserve">Evidence based </w:t>
      </w:r>
      <w:r w:rsidR="00432243">
        <w:rPr>
          <w:rFonts w:ascii="Arial" w:hAnsi="Arial" w:cs="Arial"/>
        </w:rPr>
        <w:t>research is something that has been explored in research for a long time, particular in the medical world</w:t>
      </w:r>
      <w:r w:rsidR="00B80752">
        <w:rPr>
          <w:rFonts w:ascii="Arial" w:hAnsi="Arial" w:cs="Arial"/>
        </w:rPr>
        <w:t xml:space="preserve"> (</w:t>
      </w:r>
      <w:r w:rsidR="00B80752" w:rsidRPr="00C60FC1">
        <w:rPr>
          <w:rFonts w:ascii="Arial" w:hAnsi="Arial" w:cs="Arial"/>
        </w:rPr>
        <w:t>Sackett and Rosenberg 1995; Raspberry 1998</w:t>
      </w:r>
      <w:r w:rsidR="00B80752">
        <w:rPr>
          <w:rFonts w:ascii="Arial" w:hAnsi="Arial" w:cs="Arial"/>
        </w:rPr>
        <w:t>)</w:t>
      </w:r>
      <w:r w:rsidR="00432243">
        <w:rPr>
          <w:rFonts w:ascii="Arial" w:hAnsi="Arial" w:cs="Arial"/>
        </w:rPr>
        <w:t xml:space="preserve">. However, in terms of </w:t>
      </w:r>
      <w:r w:rsidR="000277D3" w:rsidRPr="00C60FC1">
        <w:rPr>
          <w:rFonts w:ascii="Arial" w:hAnsi="Arial" w:cs="Arial"/>
        </w:rPr>
        <w:t>policing</w:t>
      </w:r>
      <w:r w:rsidRPr="00C60FC1">
        <w:rPr>
          <w:rFonts w:ascii="Arial" w:hAnsi="Arial" w:cs="Arial"/>
        </w:rPr>
        <w:t xml:space="preserve"> </w:t>
      </w:r>
      <w:r w:rsidR="00432243">
        <w:rPr>
          <w:rFonts w:ascii="Arial" w:hAnsi="Arial" w:cs="Arial"/>
        </w:rPr>
        <w:t xml:space="preserve">it </w:t>
      </w:r>
      <w:r w:rsidRPr="00C60FC1">
        <w:rPr>
          <w:rFonts w:ascii="Arial" w:hAnsi="Arial" w:cs="Arial"/>
        </w:rPr>
        <w:t>is a relatively new</w:t>
      </w:r>
      <w:r w:rsidR="00432243">
        <w:rPr>
          <w:rFonts w:ascii="Arial" w:hAnsi="Arial" w:cs="Arial"/>
        </w:rPr>
        <w:t>er</w:t>
      </w:r>
      <w:r w:rsidRPr="00C60FC1">
        <w:rPr>
          <w:rFonts w:ascii="Arial" w:hAnsi="Arial" w:cs="Arial"/>
        </w:rPr>
        <w:t xml:space="preserve"> term and method of policing</w:t>
      </w:r>
      <w:r w:rsidR="00432243">
        <w:rPr>
          <w:rFonts w:ascii="Arial" w:hAnsi="Arial" w:cs="Arial"/>
        </w:rPr>
        <w:t xml:space="preserve"> in comparison. R</w:t>
      </w:r>
      <w:r w:rsidRPr="00C60FC1">
        <w:rPr>
          <w:rFonts w:ascii="Arial" w:hAnsi="Arial" w:cs="Arial"/>
        </w:rPr>
        <w:t xml:space="preserve">esearch in this area is becoming broader </w:t>
      </w:r>
      <w:r w:rsidR="00432243">
        <w:rPr>
          <w:rFonts w:ascii="Arial" w:hAnsi="Arial" w:cs="Arial"/>
        </w:rPr>
        <w:t>and w</w:t>
      </w:r>
      <w:r w:rsidRPr="00C60FC1">
        <w:rPr>
          <w:rFonts w:ascii="Arial" w:hAnsi="Arial" w:cs="Arial"/>
        </w:rPr>
        <w:t xml:space="preserve">ith the budgets of police forces being cut drastically over the years it is more important than ever for police forces to be able to ensure they are targeting the resources they do have in the most effective and </w:t>
      </w:r>
      <w:r w:rsidR="00432243" w:rsidRPr="00C60FC1">
        <w:rPr>
          <w:rFonts w:ascii="Arial" w:hAnsi="Arial" w:cs="Arial"/>
        </w:rPr>
        <w:t>cost-effective</w:t>
      </w:r>
      <w:r w:rsidRPr="00C60FC1">
        <w:rPr>
          <w:rFonts w:ascii="Arial" w:hAnsi="Arial" w:cs="Arial"/>
        </w:rPr>
        <w:t xml:space="preserve"> ways</w:t>
      </w:r>
      <w:r w:rsidR="00432243">
        <w:rPr>
          <w:rFonts w:ascii="Arial" w:hAnsi="Arial" w:cs="Arial"/>
        </w:rPr>
        <w:t xml:space="preserve"> in order to reduce crime</w:t>
      </w:r>
      <w:r w:rsidR="00C5790B">
        <w:rPr>
          <w:rFonts w:ascii="Arial" w:hAnsi="Arial" w:cs="Arial"/>
        </w:rPr>
        <w:t xml:space="preserve">, offending and tackle repeat victimisation. </w:t>
      </w:r>
    </w:p>
    <w:p w14:paraId="13478B86" w14:textId="1EE0F258" w:rsidR="002E4782" w:rsidRDefault="002E4782" w:rsidP="5CE196A1">
      <w:pPr>
        <w:pStyle w:val="paragraph"/>
        <w:spacing w:before="0" w:beforeAutospacing="0" w:after="0" w:afterAutospacing="0"/>
        <w:rPr>
          <w:rFonts w:ascii="Arial" w:hAnsi="Arial" w:cs="Arial"/>
        </w:rPr>
      </w:pPr>
    </w:p>
    <w:p w14:paraId="7DB6EDFE" w14:textId="20EBD9CD" w:rsidR="005F5C93" w:rsidRDefault="00C5790B" w:rsidP="5CE196A1">
      <w:pPr>
        <w:pStyle w:val="paragraph"/>
        <w:spacing w:before="0" w:beforeAutospacing="0" w:after="0" w:afterAutospacing="0"/>
        <w:rPr>
          <w:rFonts w:ascii="Arial" w:hAnsi="Arial" w:cs="Arial"/>
        </w:rPr>
      </w:pPr>
      <w:r>
        <w:rPr>
          <w:rFonts w:ascii="Arial" w:hAnsi="Arial" w:cs="Arial"/>
        </w:rPr>
        <w:t xml:space="preserve">Research has </w:t>
      </w:r>
      <w:r w:rsidR="005F5C93">
        <w:rPr>
          <w:rFonts w:ascii="Arial" w:hAnsi="Arial" w:cs="Arial"/>
        </w:rPr>
        <w:t xml:space="preserve">looked at tackling repeat victimisation through focus on the victim side and targeting resources in this direction </w:t>
      </w:r>
      <w:r>
        <w:rPr>
          <w:rFonts w:ascii="Arial" w:hAnsi="Arial" w:cs="Arial"/>
        </w:rPr>
        <w:t>(</w:t>
      </w:r>
      <w:r w:rsidR="005F5C93" w:rsidRPr="005F5C93">
        <w:rPr>
          <w:rFonts w:ascii="Arial" w:hAnsi="Arial" w:cs="Arial"/>
        </w:rPr>
        <w:t xml:space="preserve">SooHyun </w:t>
      </w:r>
      <w:r w:rsidR="005F5C93">
        <w:rPr>
          <w:rFonts w:ascii="Arial" w:hAnsi="Arial" w:cs="Arial"/>
        </w:rPr>
        <w:t>et al.</w:t>
      </w:r>
      <w:r w:rsidR="005F5C93" w:rsidRPr="005F5C93">
        <w:rPr>
          <w:rFonts w:ascii="Arial" w:hAnsi="Arial" w:cs="Arial"/>
        </w:rPr>
        <w:t>, 2017</w:t>
      </w:r>
      <w:r w:rsidR="005F5C93">
        <w:rPr>
          <w:rFonts w:ascii="Arial" w:hAnsi="Arial" w:cs="Arial"/>
        </w:rPr>
        <w:t xml:space="preserve">; </w:t>
      </w:r>
      <w:r w:rsidR="005F5C93" w:rsidRPr="005F5C93">
        <w:rPr>
          <w:rFonts w:ascii="Arial" w:hAnsi="Arial" w:cs="Arial"/>
        </w:rPr>
        <w:t>Pease</w:t>
      </w:r>
      <w:r w:rsidR="005F5C93">
        <w:rPr>
          <w:rFonts w:ascii="Arial" w:hAnsi="Arial" w:cs="Arial"/>
        </w:rPr>
        <w:t xml:space="preserve">, </w:t>
      </w:r>
      <w:r w:rsidR="005F5C93" w:rsidRPr="005F5C93">
        <w:rPr>
          <w:rFonts w:ascii="Arial" w:hAnsi="Arial" w:cs="Arial"/>
        </w:rPr>
        <w:t>1998</w:t>
      </w:r>
      <w:r w:rsidR="005F5C93">
        <w:rPr>
          <w:rFonts w:ascii="Arial" w:hAnsi="Arial" w:cs="Arial"/>
        </w:rPr>
        <w:t xml:space="preserve">; Office </w:t>
      </w:r>
      <w:r w:rsidR="005F5C93">
        <w:rPr>
          <w:rFonts w:ascii="Arial" w:hAnsi="Arial" w:cs="Arial"/>
        </w:rPr>
        <w:lastRenderedPageBreak/>
        <w:t xml:space="preserve">for national statistics, 2020; </w:t>
      </w:r>
      <w:r w:rsidR="005F5C93" w:rsidRPr="00C60FC1">
        <w:rPr>
          <w:rFonts w:ascii="Arial" w:hAnsi="Arial" w:cs="Arial"/>
          <w:shd w:val="clear" w:color="auto" w:fill="FFFFFF"/>
        </w:rPr>
        <w:t>Pawson and Tilley</w:t>
      </w:r>
      <w:r w:rsidR="005F5C93">
        <w:rPr>
          <w:rFonts w:ascii="Arial" w:hAnsi="Arial" w:cs="Arial"/>
          <w:shd w:val="clear" w:color="auto" w:fill="FFFFFF"/>
        </w:rPr>
        <w:t>,</w:t>
      </w:r>
      <w:r w:rsidR="005F5C93" w:rsidRPr="00C60FC1">
        <w:rPr>
          <w:rFonts w:ascii="Arial" w:hAnsi="Arial" w:cs="Arial"/>
          <w:shd w:val="clear" w:color="auto" w:fill="FFFFFF"/>
        </w:rPr>
        <w:t>1997</w:t>
      </w:r>
      <w:r w:rsidR="005F5C93">
        <w:rPr>
          <w:rFonts w:ascii="Arial" w:hAnsi="Arial" w:cs="Arial"/>
          <w:shd w:val="clear" w:color="auto" w:fill="FFFFFF"/>
        </w:rPr>
        <w:t xml:space="preserve">; </w:t>
      </w:r>
      <w:r w:rsidR="005F5C93" w:rsidRPr="00C60FC1">
        <w:rPr>
          <w:rFonts w:ascii="Arial" w:hAnsi="Arial" w:cs="Arial"/>
          <w:shd w:val="clear" w:color="auto" w:fill="FFFFFF"/>
        </w:rPr>
        <w:t>Johnson et al.,</w:t>
      </w:r>
      <w:r w:rsidR="005F5C93">
        <w:rPr>
          <w:rFonts w:ascii="Arial" w:hAnsi="Arial" w:cs="Arial"/>
          <w:shd w:val="clear" w:color="auto" w:fill="FFFFFF"/>
        </w:rPr>
        <w:t xml:space="preserve"> </w:t>
      </w:r>
      <w:r w:rsidR="005F5C93" w:rsidRPr="00C60FC1">
        <w:rPr>
          <w:rFonts w:ascii="Arial" w:hAnsi="Arial" w:cs="Arial"/>
          <w:shd w:val="clear" w:color="auto" w:fill="FFFFFF"/>
        </w:rPr>
        <w:t>2015</w:t>
      </w:r>
      <w:r w:rsidR="005F5C93">
        <w:rPr>
          <w:rFonts w:ascii="Arial" w:hAnsi="Arial" w:cs="Arial"/>
        </w:rPr>
        <w:t>). Other research has looked at tackling repeat victimisation through tackling repeat offending (</w:t>
      </w:r>
      <w:r w:rsidR="005F5C93">
        <w:rPr>
          <w:rFonts w:ascii="Arial" w:eastAsia="Arial" w:hAnsi="Arial" w:cs="Arial"/>
          <w:color w:val="000000" w:themeColor="text1"/>
        </w:rPr>
        <w:t>Weisburd et al., 2016</w:t>
      </w:r>
      <w:r w:rsidR="005F5C93">
        <w:rPr>
          <w:rFonts w:ascii="Arial" w:eastAsia="Arial" w:hAnsi="Arial" w:cs="Arial"/>
          <w:color w:val="000000" w:themeColor="text1"/>
        </w:rPr>
        <w:t>; Clarke, 199</w:t>
      </w:r>
      <w:r w:rsidR="00A25894">
        <w:rPr>
          <w:rFonts w:ascii="Arial" w:eastAsia="Arial" w:hAnsi="Arial" w:cs="Arial"/>
          <w:color w:val="000000" w:themeColor="text1"/>
        </w:rPr>
        <w:t>4</w:t>
      </w:r>
      <w:r w:rsidR="005F5C93">
        <w:rPr>
          <w:rFonts w:ascii="Arial" w:eastAsia="Arial" w:hAnsi="Arial" w:cs="Arial"/>
          <w:color w:val="000000" w:themeColor="text1"/>
        </w:rPr>
        <w:t xml:space="preserve">). </w:t>
      </w:r>
      <w:r w:rsidR="00AB005E">
        <w:rPr>
          <w:rFonts w:ascii="Arial" w:eastAsia="Arial" w:hAnsi="Arial" w:cs="Arial"/>
          <w:color w:val="000000" w:themeColor="text1"/>
        </w:rPr>
        <w:t>Both</w:t>
      </w:r>
      <w:r w:rsidR="005F5C93">
        <w:rPr>
          <w:rFonts w:ascii="Arial" w:eastAsia="Arial" w:hAnsi="Arial" w:cs="Arial"/>
          <w:color w:val="000000" w:themeColor="text1"/>
        </w:rPr>
        <w:t xml:space="preserve"> these areas have their merits and limitations but that a whole approach is needed </w:t>
      </w:r>
      <w:r w:rsidR="004453CE">
        <w:rPr>
          <w:rFonts w:ascii="Arial" w:eastAsia="Arial" w:hAnsi="Arial" w:cs="Arial"/>
          <w:color w:val="000000" w:themeColor="text1"/>
        </w:rPr>
        <w:t>to</w:t>
      </w:r>
      <w:r w:rsidR="005F5C93">
        <w:rPr>
          <w:rFonts w:ascii="Arial" w:eastAsia="Arial" w:hAnsi="Arial" w:cs="Arial"/>
          <w:color w:val="000000" w:themeColor="text1"/>
        </w:rPr>
        <w:t xml:space="preserve"> tackle repeat victimisation</w:t>
      </w:r>
      <w:r w:rsidR="00AB005E">
        <w:rPr>
          <w:rFonts w:ascii="Arial" w:eastAsia="Arial" w:hAnsi="Arial" w:cs="Arial"/>
          <w:color w:val="000000" w:themeColor="text1"/>
        </w:rPr>
        <w:t xml:space="preserve"> and repeat offending. Research can help to assist with identify effective strategies for </w:t>
      </w:r>
      <w:r w:rsidR="004453CE">
        <w:rPr>
          <w:rFonts w:ascii="Arial" w:eastAsia="Arial" w:hAnsi="Arial" w:cs="Arial"/>
          <w:color w:val="000000" w:themeColor="text1"/>
        </w:rPr>
        <w:t>implementation,</w:t>
      </w:r>
      <w:r w:rsidR="00AB005E">
        <w:rPr>
          <w:rFonts w:ascii="Arial" w:eastAsia="Arial" w:hAnsi="Arial" w:cs="Arial"/>
          <w:color w:val="000000" w:themeColor="text1"/>
        </w:rPr>
        <w:t xml:space="preserve"> but it is important that practitioners evaluate their interventions, understand how they work and examine whether the intervention is suitable and effective in their policing area or not. </w:t>
      </w:r>
    </w:p>
    <w:p w14:paraId="7EE1528B" w14:textId="2528A4B2" w:rsidR="002E5ACF" w:rsidRDefault="002E5ACF" w:rsidP="002E4782">
      <w:pPr>
        <w:ind w:right="237"/>
        <w:rPr>
          <w:color w:val="auto"/>
          <w:shd w:val="clear" w:color="auto" w:fill="FFFFFF"/>
        </w:rPr>
      </w:pPr>
    </w:p>
    <w:p w14:paraId="2F12FADF" w14:textId="10EA24F5" w:rsidR="003035A9" w:rsidRPr="00C60FC1" w:rsidRDefault="004453CE" w:rsidP="003035A9">
      <w:pPr>
        <w:ind w:right="237"/>
        <w:rPr>
          <w:color w:val="auto"/>
          <w:sz w:val="24"/>
          <w:szCs w:val="24"/>
          <w:shd w:val="clear" w:color="auto" w:fill="FFFFFF"/>
        </w:rPr>
      </w:pPr>
      <w:r>
        <w:rPr>
          <w:color w:val="auto"/>
          <w:sz w:val="24"/>
          <w:szCs w:val="24"/>
          <w:shd w:val="clear" w:color="auto" w:fill="FFFFFF"/>
        </w:rPr>
        <w:t>Furthermore,</w:t>
      </w:r>
      <w:r w:rsidR="0058789E" w:rsidRPr="00AB005E">
        <w:rPr>
          <w:color w:val="auto"/>
          <w:sz w:val="24"/>
          <w:szCs w:val="24"/>
          <w:shd w:val="clear" w:color="auto" w:fill="FFFFFF"/>
        </w:rPr>
        <w:t xml:space="preserve"> </w:t>
      </w:r>
      <w:r>
        <w:rPr>
          <w:color w:val="auto"/>
          <w:sz w:val="24"/>
          <w:szCs w:val="24"/>
          <w:shd w:val="clear" w:color="auto" w:fill="FFFFFF"/>
        </w:rPr>
        <w:t xml:space="preserve">whilst </w:t>
      </w:r>
      <w:r w:rsidR="0058789E" w:rsidRPr="00AB005E">
        <w:rPr>
          <w:color w:val="auto"/>
          <w:sz w:val="24"/>
          <w:szCs w:val="24"/>
          <w:shd w:val="clear" w:color="auto" w:fill="FFFFFF"/>
        </w:rPr>
        <w:t>supporting persons who are victims of crime</w:t>
      </w:r>
      <w:r>
        <w:rPr>
          <w:color w:val="auto"/>
          <w:sz w:val="24"/>
          <w:szCs w:val="24"/>
          <w:shd w:val="clear" w:color="auto" w:fill="FFFFFF"/>
        </w:rPr>
        <w:t>,</w:t>
      </w:r>
      <w:r w:rsidR="0058789E" w:rsidRPr="00AB005E">
        <w:rPr>
          <w:color w:val="auto"/>
          <w:sz w:val="24"/>
          <w:szCs w:val="24"/>
          <w:shd w:val="clear" w:color="auto" w:fill="FFFFFF"/>
        </w:rPr>
        <w:t xml:space="preserve"> it is important for the police to remain impartial whilst a</w:t>
      </w:r>
      <w:r w:rsidR="00B80752">
        <w:rPr>
          <w:color w:val="auto"/>
          <w:sz w:val="24"/>
          <w:szCs w:val="24"/>
          <w:shd w:val="clear" w:color="auto" w:fill="FFFFFF"/>
        </w:rPr>
        <w:t>n</w:t>
      </w:r>
      <w:r w:rsidR="0058789E" w:rsidRPr="00AB005E">
        <w:rPr>
          <w:color w:val="auto"/>
          <w:sz w:val="24"/>
          <w:szCs w:val="24"/>
          <w:shd w:val="clear" w:color="auto" w:fill="FFFFFF"/>
        </w:rPr>
        <w:t xml:space="preserve"> investigation is ongoing. Police need to provide an appropriate level of support in ensuring the victim is appropriately safeguarded and risks are managed. However, it</w:t>
      </w:r>
      <w:r>
        <w:rPr>
          <w:color w:val="auto"/>
          <w:sz w:val="24"/>
          <w:szCs w:val="24"/>
          <w:shd w:val="clear" w:color="auto" w:fill="FFFFFF"/>
        </w:rPr>
        <w:t>’s</w:t>
      </w:r>
      <w:r w:rsidR="0058789E" w:rsidRPr="00AB005E">
        <w:rPr>
          <w:color w:val="auto"/>
          <w:sz w:val="24"/>
          <w:szCs w:val="24"/>
          <w:shd w:val="clear" w:color="auto" w:fill="FFFFFF"/>
        </w:rPr>
        <w:t xml:space="preserve"> important that officers</w:t>
      </w:r>
      <w:r>
        <w:rPr>
          <w:color w:val="auto"/>
          <w:sz w:val="24"/>
          <w:szCs w:val="24"/>
          <w:shd w:val="clear" w:color="auto" w:fill="FFFFFF"/>
        </w:rPr>
        <w:t xml:space="preserve"> </w:t>
      </w:r>
      <w:r w:rsidR="0058789E" w:rsidRPr="00AB005E">
        <w:rPr>
          <w:color w:val="auto"/>
          <w:sz w:val="24"/>
          <w:szCs w:val="24"/>
          <w:shd w:val="clear" w:color="auto" w:fill="FFFFFF"/>
        </w:rPr>
        <w:t xml:space="preserve">work effectively </w:t>
      </w:r>
      <w:r>
        <w:rPr>
          <w:color w:val="auto"/>
          <w:sz w:val="24"/>
          <w:szCs w:val="24"/>
          <w:shd w:val="clear" w:color="auto" w:fill="FFFFFF"/>
        </w:rPr>
        <w:t xml:space="preserve">also </w:t>
      </w:r>
      <w:r w:rsidR="0058789E" w:rsidRPr="00AB005E">
        <w:rPr>
          <w:color w:val="auto"/>
          <w:sz w:val="24"/>
          <w:szCs w:val="24"/>
          <w:shd w:val="clear" w:color="auto" w:fill="FFFFFF"/>
        </w:rPr>
        <w:t xml:space="preserve">with our partnership agencies in order that they can assist when providing support to victims of crime as well as provide support and expertise that the police </w:t>
      </w:r>
      <w:r w:rsidR="00B80752" w:rsidRPr="00AB005E">
        <w:rPr>
          <w:color w:val="auto"/>
          <w:sz w:val="24"/>
          <w:szCs w:val="24"/>
          <w:shd w:val="clear" w:color="auto" w:fill="FFFFFF"/>
        </w:rPr>
        <w:t>cannot</w:t>
      </w:r>
      <w:r w:rsidR="0058789E" w:rsidRPr="00AB005E">
        <w:rPr>
          <w:color w:val="auto"/>
          <w:sz w:val="24"/>
          <w:szCs w:val="24"/>
          <w:shd w:val="clear" w:color="auto" w:fill="FFFFFF"/>
        </w:rPr>
        <w:t>. With public sector budgets shrinking it is even more important there is effective in departmental and support agency working in order that the level of support and service offered to victims of crime is still maintained.</w:t>
      </w:r>
      <w:r w:rsidR="00B80752">
        <w:rPr>
          <w:color w:val="auto"/>
          <w:sz w:val="24"/>
          <w:szCs w:val="24"/>
          <w:shd w:val="clear" w:color="auto" w:fill="FFFFFF"/>
        </w:rPr>
        <w:t xml:space="preserve"> </w:t>
      </w:r>
      <w:r w:rsidR="003035A9">
        <w:rPr>
          <w:color w:val="auto"/>
          <w:sz w:val="24"/>
          <w:szCs w:val="24"/>
          <w:shd w:val="clear" w:color="auto" w:fill="FFFFFF"/>
        </w:rPr>
        <w:t>Meeting</w:t>
      </w:r>
      <w:r w:rsidR="00B80752">
        <w:rPr>
          <w:color w:val="auto"/>
          <w:sz w:val="24"/>
          <w:szCs w:val="24"/>
          <w:shd w:val="clear" w:color="auto" w:fill="FFFFFF"/>
        </w:rPr>
        <w:t>s</w:t>
      </w:r>
      <w:r w:rsidR="003035A9">
        <w:rPr>
          <w:color w:val="auto"/>
          <w:sz w:val="24"/>
          <w:szCs w:val="24"/>
          <w:shd w:val="clear" w:color="auto" w:fill="FFFFFF"/>
        </w:rPr>
        <w:t xml:space="preserve"> with other agencies from health, schools, social services are also beneficial when dealing with vulnerable people. These meetings allow the partner agencies involved to share information and decide how they can best support thee individual as well as which agency can provide what support.</w:t>
      </w:r>
      <w:r w:rsidR="00B80752">
        <w:rPr>
          <w:color w:val="auto"/>
          <w:sz w:val="24"/>
          <w:szCs w:val="24"/>
          <w:shd w:val="clear" w:color="auto" w:fill="FFFFFF"/>
        </w:rPr>
        <w:t xml:space="preserve"> </w:t>
      </w:r>
    </w:p>
    <w:p w14:paraId="062F0998" w14:textId="77777777" w:rsidR="003035A9" w:rsidRPr="00C60FC1" w:rsidRDefault="003035A9" w:rsidP="003035A9">
      <w:pPr>
        <w:ind w:right="237"/>
        <w:rPr>
          <w:sz w:val="24"/>
          <w:szCs w:val="24"/>
        </w:rPr>
      </w:pPr>
    </w:p>
    <w:p w14:paraId="7DDE2BDC" w14:textId="1053AEC2" w:rsidR="00AB005E" w:rsidRDefault="004453CE" w:rsidP="5CE196A1">
      <w:pPr>
        <w:pStyle w:val="paragraph"/>
        <w:spacing w:before="0" w:beforeAutospacing="0" w:after="0" w:afterAutospacing="0"/>
        <w:rPr>
          <w:rFonts w:ascii="Arial" w:hAnsi="Arial" w:cs="Arial"/>
          <w:b/>
          <w:bCs/>
          <w:sz w:val="20"/>
          <w:szCs w:val="20"/>
        </w:rPr>
      </w:pPr>
      <w:r>
        <w:rPr>
          <w:rFonts w:ascii="Arial" w:hAnsi="Arial" w:cs="Arial"/>
          <w:b/>
          <w:bCs/>
          <w:sz w:val="20"/>
          <w:szCs w:val="20"/>
        </w:rPr>
        <w:t>WORD COUNT: 2197</w:t>
      </w:r>
    </w:p>
    <w:p w14:paraId="43290129" w14:textId="77777777" w:rsidR="00B80752" w:rsidRDefault="00B80752" w:rsidP="5CE196A1">
      <w:pPr>
        <w:pStyle w:val="paragraph"/>
        <w:spacing w:before="0" w:beforeAutospacing="0" w:after="0" w:afterAutospacing="0"/>
        <w:rPr>
          <w:rFonts w:ascii="Arial" w:hAnsi="Arial" w:cs="Arial"/>
          <w:b/>
          <w:bCs/>
          <w:sz w:val="20"/>
          <w:szCs w:val="20"/>
        </w:rPr>
      </w:pPr>
    </w:p>
    <w:p w14:paraId="6E2AD69A" w14:textId="521EACF6" w:rsidR="00D8309A" w:rsidRPr="00C60FC1" w:rsidRDefault="00D8309A" w:rsidP="5CE196A1">
      <w:pPr>
        <w:pStyle w:val="paragraph"/>
        <w:spacing w:before="0" w:beforeAutospacing="0" w:after="0" w:afterAutospacing="0"/>
        <w:rPr>
          <w:rFonts w:ascii="Arial" w:hAnsi="Arial" w:cs="Arial"/>
          <w:b/>
          <w:bCs/>
          <w:sz w:val="20"/>
          <w:szCs w:val="20"/>
        </w:rPr>
      </w:pPr>
      <w:r w:rsidRPr="00C60FC1">
        <w:rPr>
          <w:rFonts w:ascii="Arial" w:hAnsi="Arial" w:cs="Arial"/>
          <w:b/>
          <w:bCs/>
          <w:sz w:val="20"/>
          <w:szCs w:val="20"/>
        </w:rPr>
        <w:t>References</w:t>
      </w:r>
    </w:p>
    <w:p w14:paraId="1A4D3E6C" w14:textId="77777777" w:rsidR="00D8309A" w:rsidRPr="00C60FC1" w:rsidRDefault="00D8309A" w:rsidP="5CE196A1">
      <w:pPr>
        <w:pStyle w:val="paragraph"/>
        <w:spacing w:before="0" w:beforeAutospacing="0" w:after="0" w:afterAutospacing="0"/>
        <w:rPr>
          <w:rFonts w:ascii="Arial" w:hAnsi="Arial" w:cs="Arial"/>
          <w:b/>
          <w:bCs/>
          <w:sz w:val="20"/>
          <w:szCs w:val="20"/>
        </w:rPr>
      </w:pPr>
    </w:p>
    <w:p w14:paraId="09697DA6" w14:textId="7BB219D9" w:rsidR="00D8309A" w:rsidRDefault="00D8309A" w:rsidP="00D8309A">
      <w:pPr>
        <w:pStyle w:val="paragraph"/>
        <w:spacing w:before="0" w:beforeAutospacing="0" w:after="0" w:afterAutospacing="0"/>
        <w:textAlignment w:val="baseline"/>
        <w:rPr>
          <w:rFonts w:ascii="Arial" w:hAnsi="Arial" w:cs="Arial"/>
          <w:color w:val="555555"/>
          <w:sz w:val="20"/>
          <w:szCs w:val="20"/>
          <w:shd w:val="clear" w:color="auto" w:fill="FFFFFF"/>
        </w:rPr>
      </w:pPr>
    </w:p>
    <w:p w14:paraId="4F3C27C6" w14:textId="01EA4109" w:rsidR="00851D53" w:rsidRDefault="00851D53" w:rsidP="000277D3">
      <w:pPr>
        <w:pStyle w:val="paragraph"/>
        <w:rPr>
          <w:rFonts w:ascii="Arial" w:hAnsi="Arial" w:cs="Arial"/>
          <w:sz w:val="20"/>
          <w:szCs w:val="20"/>
          <w:shd w:val="clear" w:color="auto" w:fill="FFFFFF"/>
        </w:rPr>
      </w:pPr>
      <w:r w:rsidRPr="00851D53">
        <w:rPr>
          <w:rFonts w:ascii="Arial" w:hAnsi="Arial" w:cs="Arial"/>
          <w:sz w:val="20"/>
          <w:szCs w:val="20"/>
          <w:shd w:val="clear" w:color="auto" w:fill="FFFFFF"/>
        </w:rPr>
        <w:t>Black, P</w:t>
      </w:r>
      <w:r>
        <w:rPr>
          <w:rFonts w:ascii="Arial" w:hAnsi="Arial" w:cs="Arial"/>
          <w:sz w:val="20"/>
          <w:szCs w:val="20"/>
          <w:shd w:val="clear" w:color="auto" w:fill="FFFFFF"/>
        </w:rPr>
        <w:t>.</w:t>
      </w:r>
      <w:r w:rsidRPr="00851D53">
        <w:rPr>
          <w:rFonts w:ascii="Arial" w:hAnsi="Arial" w:cs="Arial"/>
          <w:sz w:val="20"/>
          <w:szCs w:val="20"/>
          <w:shd w:val="clear" w:color="auto" w:fill="FFFFFF"/>
        </w:rPr>
        <w:t xml:space="preserve"> and Wiliam, D</w:t>
      </w:r>
      <w:r>
        <w:rPr>
          <w:rFonts w:ascii="Arial" w:hAnsi="Arial" w:cs="Arial"/>
          <w:sz w:val="20"/>
          <w:szCs w:val="20"/>
          <w:shd w:val="clear" w:color="auto" w:fill="FFFFFF"/>
        </w:rPr>
        <w:t>.</w:t>
      </w:r>
      <w:r w:rsidRPr="00851D53">
        <w:rPr>
          <w:rFonts w:ascii="Arial" w:hAnsi="Arial" w:cs="Arial"/>
          <w:sz w:val="20"/>
          <w:szCs w:val="20"/>
          <w:shd w:val="clear" w:color="auto" w:fill="FFFFFF"/>
        </w:rPr>
        <w:t xml:space="preserve"> (1998) 'Assessment and</w:t>
      </w:r>
      <w:r>
        <w:rPr>
          <w:rFonts w:ascii="Arial" w:hAnsi="Arial" w:cs="Arial"/>
          <w:sz w:val="20"/>
          <w:szCs w:val="20"/>
          <w:shd w:val="clear" w:color="auto" w:fill="FFFFFF"/>
        </w:rPr>
        <w:t xml:space="preserve"> </w:t>
      </w:r>
      <w:r w:rsidRPr="00851D53">
        <w:rPr>
          <w:rFonts w:ascii="Arial" w:hAnsi="Arial" w:cs="Arial"/>
          <w:sz w:val="20"/>
          <w:szCs w:val="20"/>
          <w:shd w:val="clear" w:color="auto" w:fill="FFFFFF"/>
        </w:rPr>
        <w:t>Classroom Learning', Assessment in Education: Principles, Policy &amp; Practice</w:t>
      </w:r>
      <w:r>
        <w:rPr>
          <w:rFonts w:ascii="Arial" w:hAnsi="Arial" w:cs="Arial"/>
          <w:sz w:val="20"/>
          <w:szCs w:val="20"/>
          <w:shd w:val="clear" w:color="auto" w:fill="FFFFFF"/>
        </w:rPr>
        <w:t xml:space="preserve">. </w:t>
      </w:r>
      <w:r w:rsidRPr="00851D53">
        <w:rPr>
          <w:rFonts w:ascii="Arial" w:hAnsi="Arial" w:cs="Arial"/>
          <w:sz w:val="20"/>
          <w:szCs w:val="20"/>
          <w:shd w:val="clear" w:color="auto" w:fill="FFFFFF"/>
        </w:rPr>
        <w:t>5</w:t>
      </w:r>
      <w:r>
        <w:rPr>
          <w:rFonts w:ascii="Arial" w:hAnsi="Arial" w:cs="Arial"/>
          <w:sz w:val="20"/>
          <w:szCs w:val="20"/>
          <w:shd w:val="clear" w:color="auto" w:fill="FFFFFF"/>
        </w:rPr>
        <w:t>(</w:t>
      </w:r>
      <w:r w:rsidRPr="00851D53">
        <w:rPr>
          <w:rFonts w:ascii="Arial" w:hAnsi="Arial" w:cs="Arial"/>
          <w:sz w:val="20"/>
          <w:szCs w:val="20"/>
          <w:shd w:val="clear" w:color="auto" w:fill="FFFFFF"/>
        </w:rPr>
        <w:t>1</w:t>
      </w:r>
      <w:r>
        <w:rPr>
          <w:rFonts w:ascii="Arial" w:hAnsi="Arial" w:cs="Arial"/>
          <w:sz w:val="20"/>
          <w:szCs w:val="20"/>
          <w:shd w:val="clear" w:color="auto" w:fill="FFFFFF"/>
        </w:rPr>
        <w:t>), pp.</w:t>
      </w:r>
      <w:r w:rsidRPr="00851D53">
        <w:rPr>
          <w:rFonts w:ascii="Arial" w:hAnsi="Arial" w:cs="Arial"/>
          <w:sz w:val="20"/>
          <w:szCs w:val="20"/>
          <w:shd w:val="clear" w:color="auto" w:fill="FFFFFF"/>
        </w:rPr>
        <w:t>7</w:t>
      </w:r>
      <w:r>
        <w:rPr>
          <w:rFonts w:ascii="Arial" w:hAnsi="Arial" w:cs="Arial"/>
          <w:sz w:val="20"/>
          <w:szCs w:val="20"/>
          <w:shd w:val="clear" w:color="auto" w:fill="FFFFFF"/>
        </w:rPr>
        <w:t>-</w:t>
      </w:r>
      <w:r w:rsidRPr="00851D53">
        <w:rPr>
          <w:rFonts w:ascii="Arial" w:hAnsi="Arial" w:cs="Arial"/>
          <w:sz w:val="20"/>
          <w:szCs w:val="20"/>
          <w:shd w:val="clear" w:color="auto" w:fill="FFFFFF"/>
        </w:rPr>
        <w:t>74</w:t>
      </w:r>
      <w:r>
        <w:rPr>
          <w:rFonts w:ascii="Arial" w:hAnsi="Arial" w:cs="Arial"/>
          <w:sz w:val="20"/>
          <w:szCs w:val="20"/>
          <w:shd w:val="clear" w:color="auto" w:fill="FFFFFF"/>
        </w:rPr>
        <w:t>. Doi.org/</w:t>
      </w:r>
      <w:r w:rsidRPr="00851D53">
        <w:rPr>
          <w:rFonts w:ascii="Arial" w:hAnsi="Arial" w:cs="Arial"/>
          <w:sz w:val="20"/>
          <w:szCs w:val="20"/>
          <w:shd w:val="clear" w:color="auto" w:fill="FFFFFF"/>
        </w:rPr>
        <w:t>10.1080/0969595980050102</w:t>
      </w:r>
    </w:p>
    <w:p w14:paraId="30DC6F4C" w14:textId="130F5B2D" w:rsidR="00663C92" w:rsidRDefault="00663C92" w:rsidP="00D8309A">
      <w:pPr>
        <w:pStyle w:val="paragraph"/>
        <w:spacing w:before="0" w:beforeAutospacing="0" w:after="0" w:afterAutospacing="0"/>
        <w:textAlignment w:val="baseline"/>
        <w:rPr>
          <w:rFonts w:ascii="Arial" w:hAnsi="Arial" w:cs="Arial"/>
          <w:sz w:val="20"/>
          <w:szCs w:val="20"/>
          <w:shd w:val="clear" w:color="auto" w:fill="FFFFFF"/>
        </w:rPr>
      </w:pPr>
    </w:p>
    <w:p w14:paraId="4F298EAF" w14:textId="2DD0EE8B" w:rsidR="00A25894" w:rsidRDefault="00A25894" w:rsidP="00D8309A">
      <w:pPr>
        <w:pStyle w:val="paragraph"/>
        <w:spacing w:before="0" w:beforeAutospacing="0" w:after="0" w:afterAutospacing="0"/>
        <w:textAlignment w:val="baseline"/>
        <w:rPr>
          <w:rFonts w:ascii="Arial" w:hAnsi="Arial" w:cs="Arial"/>
          <w:sz w:val="20"/>
          <w:szCs w:val="20"/>
          <w:shd w:val="clear" w:color="auto" w:fill="FFFFFF"/>
        </w:rPr>
      </w:pPr>
      <w:r w:rsidRPr="00A25894">
        <w:rPr>
          <w:rFonts w:ascii="Arial" w:hAnsi="Arial" w:cs="Arial"/>
          <w:sz w:val="20"/>
          <w:szCs w:val="20"/>
          <w:shd w:val="clear" w:color="auto" w:fill="FFFFFF"/>
        </w:rPr>
        <w:t>Clarke, R. V., &amp; Weisburd, D. (1994). Diffusion of crime control benefits: observations on the reverse of displacement. In R. V. Clarke (Ed.), Crime prevention studies (Vol. 2, pp. 165–182). Monsey, NY: Criminal Justice Press</w:t>
      </w:r>
      <w:r>
        <w:rPr>
          <w:rFonts w:ascii="Arial" w:hAnsi="Arial" w:cs="Arial"/>
          <w:sz w:val="20"/>
          <w:szCs w:val="20"/>
          <w:shd w:val="clear" w:color="auto" w:fill="FFFFFF"/>
        </w:rPr>
        <w:t>.</w:t>
      </w:r>
    </w:p>
    <w:p w14:paraId="6054BC84" w14:textId="77777777" w:rsidR="00A25894" w:rsidRPr="00C60FC1" w:rsidRDefault="00A25894" w:rsidP="00D8309A">
      <w:pPr>
        <w:pStyle w:val="paragraph"/>
        <w:spacing w:before="0" w:beforeAutospacing="0" w:after="0" w:afterAutospacing="0"/>
        <w:textAlignment w:val="baseline"/>
        <w:rPr>
          <w:rFonts w:ascii="Arial" w:hAnsi="Arial" w:cs="Arial"/>
          <w:sz w:val="20"/>
          <w:szCs w:val="20"/>
          <w:shd w:val="clear" w:color="auto" w:fill="FFFFFF"/>
        </w:rPr>
      </w:pPr>
    </w:p>
    <w:p w14:paraId="70235163" w14:textId="46870253" w:rsidR="00817CD4" w:rsidRDefault="00663C92" w:rsidP="00663C92">
      <w:pPr>
        <w:ind w:right="237"/>
        <w:rPr>
          <w:color w:val="auto"/>
          <w:shd w:val="clear" w:color="auto" w:fill="FFFFFF"/>
        </w:rPr>
      </w:pPr>
      <w:r w:rsidRPr="00C60FC1">
        <w:rPr>
          <w:color w:val="auto"/>
          <w:shd w:val="clear" w:color="auto" w:fill="FFFFFF"/>
        </w:rPr>
        <w:t>Johnson</w:t>
      </w:r>
      <w:r w:rsidR="002E125E">
        <w:rPr>
          <w:color w:val="auto"/>
          <w:shd w:val="clear" w:color="auto" w:fill="FFFFFF"/>
        </w:rPr>
        <w:t>, S. D.</w:t>
      </w:r>
      <w:r w:rsidRPr="00C60FC1">
        <w:rPr>
          <w:color w:val="auto"/>
          <w:shd w:val="clear" w:color="auto" w:fill="FFFFFF"/>
        </w:rPr>
        <w:t>,</w:t>
      </w:r>
      <w:r w:rsidR="002E125E">
        <w:rPr>
          <w:color w:val="auto"/>
          <w:shd w:val="clear" w:color="auto" w:fill="FFFFFF"/>
        </w:rPr>
        <w:t xml:space="preserve"> Bowers, K., Tompson, L., Sidebottom, A., and Bullock, K. (</w:t>
      </w:r>
      <w:r w:rsidRPr="00C60FC1">
        <w:rPr>
          <w:color w:val="auto"/>
          <w:shd w:val="clear" w:color="auto" w:fill="FFFFFF"/>
        </w:rPr>
        <w:t>2015</w:t>
      </w:r>
      <w:r w:rsidR="002E125E">
        <w:rPr>
          <w:color w:val="auto"/>
          <w:shd w:val="clear" w:color="auto" w:fill="FFFFFF"/>
        </w:rPr>
        <w:t>). In</w:t>
      </w:r>
      <w:r w:rsidRPr="00C60FC1">
        <w:rPr>
          <w:color w:val="auto"/>
          <w:shd w:val="clear" w:color="auto" w:fill="FFFFFF"/>
        </w:rPr>
        <w:t xml:space="preserve"> </w:t>
      </w:r>
      <w:r w:rsidRPr="00C60FC1">
        <w:rPr>
          <w:i/>
          <w:iCs/>
          <w:color w:val="auto"/>
        </w:rPr>
        <w:t>Advances in Evidence-Based Policing</w:t>
      </w:r>
      <w:r w:rsidRPr="00C60FC1">
        <w:rPr>
          <w:color w:val="auto"/>
          <w:shd w:val="clear" w:color="auto" w:fill="FFFFFF"/>
        </w:rPr>
        <w:t>, edited by Johannes Knutsson, and Lisa Tompson</w:t>
      </w:r>
      <w:r w:rsidR="002E125E">
        <w:rPr>
          <w:color w:val="auto"/>
          <w:shd w:val="clear" w:color="auto" w:fill="FFFFFF"/>
        </w:rPr>
        <w:t xml:space="preserve">. (2017). Chapter 7 pp1-19. </w:t>
      </w:r>
      <w:r w:rsidRPr="00C60FC1">
        <w:rPr>
          <w:color w:val="auto"/>
          <w:shd w:val="clear" w:color="auto" w:fill="FFFFFF"/>
        </w:rPr>
        <w:t>Taylor &amp; Francis Group</w:t>
      </w:r>
      <w:r w:rsidR="002E125E">
        <w:rPr>
          <w:color w:val="auto"/>
          <w:shd w:val="clear" w:color="auto" w:fill="FFFFFF"/>
        </w:rPr>
        <w:t>.</w:t>
      </w:r>
      <w:r w:rsidRPr="00C60FC1">
        <w:rPr>
          <w:i/>
          <w:iCs/>
          <w:color w:val="auto"/>
        </w:rPr>
        <w:t> ProQuest Ebook Central</w:t>
      </w:r>
      <w:r w:rsidR="002E125E">
        <w:rPr>
          <w:color w:val="auto"/>
          <w:shd w:val="clear" w:color="auto" w:fill="FFFFFF"/>
        </w:rPr>
        <w:t xml:space="preserve">. </w:t>
      </w:r>
      <w:r w:rsidR="002E125E" w:rsidRPr="002E125E">
        <w:rPr>
          <w:color w:val="auto"/>
          <w:shd w:val="clear" w:color="auto" w:fill="FFFFFF"/>
        </w:rPr>
        <w:t>doi.org/10.4324/9781315518299</w:t>
      </w:r>
      <w:r w:rsidR="002E125E">
        <w:rPr>
          <w:color w:val="auto"/>
          <w:shd w:val="clear" w:color="auto" w:fill="FFFFFF"/>
        </w:rPr>
        <w:t>.</w:t>
      </w:r>
    </w:p>
    <w:p w14:paraId="72ABE511" w14:textId="5AE00D42" w:rsidR="004F7CAC" w:rsidRDefault="00663C92" w:rsidP="00D8309A">
      <w:pPr>
        <w:pStyle w:val="paragraph"/>
        <w:spacing w:before="0" w:beforeAutospacing="0" w:after="0" w:afterAutospacing="0"/>
        <w:textAlignment w:val="baseline"/>
        <w:rPr>
          <w:rFonts w:ascii="Arial" w:hAnsi="Arial" w:cs="Arial"/>
          <w:sz w:val="20"/>
          <w:szCs w:val="20"/>
          <w:shd w:val="clear" w:color="auto" w:fill="FFFFFF"/>
        </w:rPr>
      </w:pPr>
      <w:r w:rsidRPr="00C60FC1">
        <w:rPr>
          <w:rFonts w:ascii="Arial" w:hAnsi="Arial" w:cs="Arial"/>
          <w:sz w:val="20"/>
          <w:szCs w:val="20"/>
        </w:rPr>
        <w:br/>
      </w:r>
      <w:r w:rsidR="00817CD4" w:rsidRPr="00817CD4">
        <w:rPr>
          <w:rFonts w:ascii="Arial" w:hAnsi="Arial" w:cs="Arial"/>
          <w:sz w:val="20"/>
          <w:szCs w:val="20"/>
          <w:shd w:val="clear" w:color="auto" w:fill="FFFFFF"/>
        </w:rPr>
        <w:t xml:space="preserve">Office for National Statistics (2020) 'The nature of violent crime in England and Wales: Year ending March </w:t>
      </w:r>
      <w:r w:rsidR="00817CD4" w:rsidRPr="00817CD4">
        <w:rPr>
          <w:rFonts w:ascii="Arial" w:hAnsi="Arial" w:cs="Arial"/>
          <w:sz w:val="20"/>
          <w:szCs w:val="20"/>
          <w:shd w:val="clear" w:color="auto" w:fill="FFFFFF"/>
        </w:rPr>
        <w:t>2020’.</w:t>
      </w:r>
      <w:r w:rsidR="00A25894">
        <w:rPr>
          <w:rFonts w:ascii="Arial" w:hAnsi="Arial" w:cs="Arial"/>
          <w:sz w:val="20"/>
          <w:szCs w:val="20"/>
          <w:shd w:val="clear" w:color="auto" w:fill="FFFFFF"/>
        </w:rPr>
        <w:t xml:space="preserve"> Available at: </w:t>
      </w:r>
      <w:r w:rsidR="00A25894" w:rsidRPr="00A25894">
        <w:rPr>
          <w:rFonts w:ascii="Arial" w:hAnsi="Arial" w:cs="Arial"/>
          <w:sz w:val="20"/>
          <w:szCs w:val="20"/>
          <w:shd w:val="clear" w:color="auto" w:fill="FFFFFF"/>
        </w:rPr>
        <w:t>https://www.ons.gov.uk/peoplepopulationandcommunity/crimeandjustice/articles/thenatureofviolentcrimeinenglandandwales/yearendingmarch2020</w:t>
      </w:r>
      <w:r w:rsidR="00A25894">
        <w:rPr>
          <w:rFonts w:ascii="Arial" w:hAnsi="Arial" w:cs="Arial"/>
          <w:sz w:val="20"/>
          <w:szCs w:val="20"/>
          <w:shd w:val="clear" w:color="auto" w:fill="FFFFFF"/>
        </w:rPr>
        <w:t>. (Accessed: 08 May 2023).</w:t>
      </w:r>
    </w:p>
    <w:p w14:paraId="1357A197" w14:textId="75E0D53B" w:rsidR="00817CD4" w:rsidRDefault="00817CD4" w:rsidP="00D8309A">
      <w:pPr>
        <w:pStyle w:val="paragraph"/>
        <w:spacing w:before="0" w:beforeAutospacing="0" w:after="0" w:afterAutospacing="0"/>
        <w:textAlignment w:val="baseline"/>
        <w:rPr>
          <w:rFonts w:ascii="Arial" w:hAnsi="Arial" w:cs="Arial"/>
          <w:sz w:val="20"/>
          <w:szCs w:val="20"/>
          <w:shd w:val="clear" w:color="auto" w:fill="FFFFFF"/>
        </w:rPr>
      </w:pPr>
    </w:p>
    <w:p w14:paraId="6DADE3B5" w14:textId="6CE4C629" w:rsidR="002E125E" w:rsidRPr="00C60FC1" w:rsidRDefault="002E125E" w:rsidP="002E125E">
      <w:pPr>
        <w:ind w:right="237"/>
        <w:rPr>
          <w:color w:val="auto"/>
          <w:shd w:val="clear" w:color="auto" w:fill="FFFFFF"/>
        </w:rPr>
      </w:pPr>
      <w:r w:rsidRPr="00C60FC1">
        <w:rPr>
          <w:color w:val="auto"/>
          <w:shd w:val="clear" w:color="auto" w:fill="FFFFFF"/>
        </w:rPr>
        <w:t>Pawson and Tilley (1997)</w:t>
      </w:r>
      <w:r>
        <w:rPr>
          <w:color w:val="auto"/>
          <w:shd w:val="clear" w:color="auto" w:fill="FFFFFF"/>
        </w:rPr>
        <w:t xml:space="preserve"> in </w:t>
      </w:r>
      <w:r w:rsidRPr="00C60FC1">
        <w:rPr>
          <w:i/>
          <w:iCs/>
          <w:color w:val="auto"/>
        </w:rPr>
        <w:t>Advances in Evidence-Based Policing</w:t>
      </w:r>
      <w:r w:rsidRPr="00C60FC1">
        <w:rPr>
          <w:color w:val="auto"/>
          <w:shd w:val="clear" w:color="auto" w:fill="FFFFFF"/>
        </w:rPr>
        <w:t>, edited by Johannes Knutsson, and Lisa Tompson</w:t>
      </w:r>
      <w:r>
        <w:rPr>
          <w:color w:val="auto"/>
          <w:shd w:val="clear" w:color="auto" w:fill="FFFFFF"/>
        </w:rPr>
        <w:t xml:space="preserve">. (2017). </w:t>
      </w:r>
      <w:r w:rsidRPr="00C60FC1">
        <w:rPr>
          <w:color w:val="auto"/>
          <w:shd w:val="clear" w:color="auto" w:fill="FFFFFF"/>
        </w:rPr>
        <w:t>Taylor &amp; Francis Group.</w:t>
      </w:r>
      <w:r w:rsidRPr="00C60FC1">
        <w:rPr>
          <w:i/>
          <w:iCs/>
          <w:color w:val="auto"/>
        </w:rPr>
        <w:t> ProQuest Ebook Central</w:t>
      </w:r>
      <w:r>
        <w:rPr>
          <w:color w:val="auto"/>
          <w:shd w:val="clear" w:color="auto" w:fill="FFFFFF"/>
        </w:rPr>
        <w:t>.</w:t>
      </w:r>
      <w:r>
        <w:rPr>
          <w:color w:val="auto"/>
          <w:shd w:val="clear" w:color="auto" w:fill="FFFFFF"/>
        </w:rPr>
        <w:t xml:space="preserve"> </w:t>
      </w:r>
      <w:r w:rsidRPr="002E125E">
        <w:rPr>
          <w:color w:val="auto"/>
          <w:shd w:val="clear" w:color="auto" w:fill="FFFFFF"/>
        </w:rPr>
        <w:t>doi.org/10.4324/9781315518299</w:t>
      </w:r>
      <w:r>
        <w:rPr>
          <w:color w:val="auto"/>
          <w:shd w:val="clear" w:color="auto" w:fill="FFFFFF"/>
        </w:rPr>
        <w:t>.</w:t>
      </w:r>
    </w:p>
    <w:p w14:paraId="4601C368" w14:textId="77777777" w:rsidR="002E125E" w:rsidRPr="00C60FC1" w:rsidRDefault="002E125E" w:rsidP="00D8309A">
      <w:pPr>
        <w:pStyle w:val="paragraph"/>
        <w:spacing w:before="0" w:beforeAutospacing="0" w:after="0" w:afterAutospacing="0"/>
        <w:textAlignment w:val="baseline"/>
        <w:rPr>
          <w:rFonts w:ascii="Arial" w:hAnsi="Arial" w:cs="Arial"/>
          <w:sz w:val="20"/>
          <w:szCs w:val="20"/>
          <w:shd w:val="clear" w:color="auto" w:fill="FFFFFF"/>
        </w:rPr>
      </w:pPr>
    </w:p>
    <w:p w14:paraId="01AEC6AE" w14:textId="1EAC30DE" w:rsidR="00851D53" w:rsidRDefault="00A913A5" w:rsidP="00D8309A">
      <w:pPr>
        <w:pStyle w:val="paragraph"/>
        <w:spacing w:before="0" w:beforeAutospacing="0" w:after="0" w:afterAutospacing="0"/>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Pease, K., 1998. </w:t>
      </w:r>
      <w:r>
        <w:rPr>
          <w:rFonts w:ascii="Arial" w:hAnsi="Arial" w:cs="Arial"/>
          <w:i/>
          <w:iCs/>
          <w:color w:val="222222"/>
          <w:sz w:val="20"/>
          <w:szCs w:val="20"/>
          <w:shd w:val="clear" w:color="auto" w:fill="FFFFFF"/>
        </w:rPr>
        <w:t>Repeat victimisation: Taking stock</w:t>
      </w:r>
      <w:r>
        <w:rPr>
          <w:rFonts w:ascii="Arial" w:hAnsi="Arial" w:cs="Arial"/>
          <w:color w:val="222222"/>
          <w:sz w:val="20"/>
          <w:szCs w:val="20"/>
          <w:shd w:val="clear" w:color="auto" w:fill="FFFFFF"/>
        </w:rPr>
        <w:t> (Vol. 90). London: Home Office Police Research Group.</w:t>
      </w:r>
    </w:p>
    <w:p w14:paraId="4EDB7131" w14:textId="77777777" w:rsidR="00A913A5" w:rsidRPr="00851D53" w:rsidRDefault="00A913A5" w:rsidP="00D8309A">
      <w:pPr>
        <w:pStyle w:val="paragraph"/>
        <w:spacing w:before="0" w:beforeAutospacing="0" w:after="0" w:afterAutospacing="0"/>
        <w:textAlignment w:val="baseline"/>
        <w:rPr>
          <w:rFonts w:ascii="Arial" w:hAnsi="Arial" w:cs="Arial"/>
          <w:sz w:val="20"/>
          <w:szCs w:val="20"/>
          <w:shd w:val="clear" w:color="auto" w:fill="FFFFFF"/>
        </w:rPr>
      </w:pPr>
    </w:p>
    <w:p w14:paraId="2249747D" w14:textId="51D4CE67" w:rsidR="00DF141C" w:rsidRPr="00DF141C" w:rsidRDefault="00DF141C" w:rsidP="00DF141C">
      <w:pPr>
        <w:pStyle w:val="paragraph"/>
        <w:rPr>
          <w:rFonts w:ascii="Arial" w:hAnsi="Arial" w:cs="Arial"/>
          <w:sz w:val="20"/>
          <w:szCs w:val="20"/>
        </w:rPr>
      </w:pPr>
      <w:r w:rsidRPr="00DF141C">
        <w:rPr>
          <w:rFonts w:ascii="Arial" w:hAnsi="Arial" w:cs="Arial"/>
          <w:sz w:val="20"/>
          <w:szCs w:val="20"/>
        </w:rPr>
        <w:t>Sackett, D. L., &amp; Rosenberg, W. M. (1995). The need for evidence-based medicine. Journal of the Royal Society of Medicine, 88(11), 620–624. doi.org/10.1177/014107689508801105</w:t>
      </w:r>
    </w:p>
    <w:p w14:paraId="76AC3EC3" w14:textId="42C5CDBB" w:rsidR="00DF141C" w:rsidRPr="00C60FC1" w:rsidRDefault="00DF141C" w:rsidP="00DF141C">
      <w:pPr>
        <w:pStyle w:val="paragraph"/>
        <w:spacing w:before="0" w:beforeAutospacing="0" w:after="0" w:afterAutospacing="0"/>
        <w:textAlignment w:val="baseline"/>
        <w:rPr>
          <w:rFonts w:ascii="Arial" w:hAnsi="Arial" w:cs="Arial"/>
          <w:sz w:val="20"/>
          <w:szCs w:val="20"/>
        </w:rPr>
      </w:pPr>
    </w:p>
    <w:p w14:paraId="292672D8" w14:textId="1577D033" w:rsidR="00A25894" w:rsidRDefault="00A25894" w:rsidP="5CE196A1">
      <w:pPr>
        <w:pStyle w:val="paragraph"/>
        <w:spacing w:before="0" w:beforeAutospacing="0" w:after="0" w:afterAutospacing="0"/>
        <w:rPr>
          <w:rFonts w:ascii="Arial" w:hAnsi="Arial" w:cs="Arial"/>
          <w:sz w:val="20"/>
          <w:szCs w:val="20"/>
        </w:rPr>
      </w:pPr>
      <w:r w:rsidRPr="00A25894">
        <w:rPr>
          <w:rFonts w:ascii="Arial" w:hAnsi="Arial" w:cs="Arial"/>
          <w:sz w:val="20"/>
          <w:szCs w:val="20"/>
        </w:rPr>
        <w:lastRenderedPageBreak/>
        <w:t xml:space="preserve">Sanders, T., Maggie, O. and Pitcher, J., </w:t>
      </w:r>
      <w:r>
        <w:rPr>
          <w:rFonts w:ascii="Arial" w:hAnsi="Arial" w:cs="Arial"/>
          <w:sz w:val="20"/>
          <w:szCs w:val="20"/>
        </w:rPr>
        <w:t>(</w:t>
      </w:r>
      <w:r w:rsidRPr="00A25894">
        <w:rPr>
          <w:rFonts w:ascii="Arial" w:hAnsi="Arial" w:cs="Arial"/>
          <w:sz w:val="20"/>
          <w:szCs w:val="20"/>
        </w:rPr>
        <w:t>2017</w:t>
      </w:r>
      <w:r>
        <w:rPr>
          <w:rFonts w:ascii="Arial" w:hAnsi="Arial" w:cs="Arial"/>
          <w:sz w:val="20"/>
          <w:szCs w:val="20"/>
        </w:rPr>
        <w:t>)</w:t>
      </w:r>
      <w:r w:rsidRPr="00A25894">
        <w:rPr>
          <w:rFonts w:ascii="Arial" w:hAnsi="Arial" w:cs="Arial"/>
          <w:sz w:val="20"/>
          <w:szCs w:val="20"/>
        </w:rPr>
        <w:t>. Prostitution: Sex work, policy &amp; politics. Sage.</w:t>
      </w:r>
    </w:p>
    <w:p w14:paraId="3246B171" w14:textId="77777777" w:rsidR="00A25894" w:rsidRDefault="00A25894" w:rsidP="5CE196A1">
      <w:pPr>
        <w:pStyle w:val="paragraph"/>
        <w:spacing w:before="0" w:beforeAutospacing="0" w:after="0" w:afterAutospacing="0"/>
        <w:rPr>
          <w:rFonts w:ascii="Arial" w:hAnsi="Arial" w:cs="Arial"/>
          <w:sz w:val="20"/>
          <w:szCs w:val="20"/>
        </w:rPr>
      </w:pPr>
    </w:p>
    <w:p w14:paraId="663BC09F" w14:textId="18705981" w:rsidR="00B80343" w:rsidRDefault="001E61CF" w:rsidP="5CE196A1">
      <w:pPr>
        <w:pStyle w:val="paragraph"/>
        <w:spacing w:before="0" w:beforeAutospacing="0" w:after="0" w:afterAutospacing="0"/>
        <w:rPr>
          <w:b/>
          <w:bCs/>
        </w:rPr>
      </w:pPr>
      <w:r w:rsidRPr="001E61CF">
        <w:rPr>
          <w:rFonts w:ascii="Arial" w:hAnsi="Arial" w:cs="Arial"/>
          <w:sz w:val="20"/>
          <w:szCs w:val="20"/>
        </w:rPr>
        <w:t xml:space="preserve">Sherman, L.W., </w:t>
      </w:r>
      <w:r>
        <w:rPr>
          <w:rFonts w:ascii="Arial" w:hAnsi="Arial" w:cs="Arial"/>
          <w:sz w:val="20"/>
          <w:szCs w:val="20"/>
        </w:rPr>
        <w:t>(</w:t>
      </w:r>
      <w:r w:rsidRPr="001E61CF">
        <w:rPr>
          <w:rFonts w:ascii="Arial" w:hAnsi="Arial" w:cs="Arial"/>
          <w:sz w:val="20"/>
          <w:szCs w:val="20"/>
        </w:rPr>
        <w:t>1998</w:t>
      </w:r>
      <w:r>
        <w:rPr>
          <w:rFonts w:ascii="Arial" w:hAnsi="Arial" w:cs="Arial"/>
          <w:sz w:val="20"/>
          <w:szCs w:val="20"/>
        </w:rPr>
        <w:t>)</w:t>
      </w:r>
      <w:r w:rsidRPr="001E61CF">
        <w:rPr>
          <w:rFonts w:ascii="Arial" w:hAnsi="Arial" w:cs="Arial"/>
          <w:sz w:val="20"/>
          <w:szCs w:val="20"/>
        </w:rPr>
        <w:t>. Evidence-based policing (p. 15). Washington, DC: Police Foundation.</w:t>
      </w:r>
    </w:p>
    <w:p w14:paraId="6BB722D5" w14:textId="494BA189" w:rsidR="002E125E" w:rsidRDefault="002E125E" w:rsidP="002E125E">
      <w:pPr>
        <w:ind w:right="237"/>
      </w:pPr>
      <w:r w:rsidRPr="002E125E">
        <w:t>SooHyun O and others. (2017). 'How concentrated is crime among victims? A systematic review from 1977 to 2014'. Crime Science, 6(1), 9.</w:t>
      </w:r>
    </w:p>
    <w:p w14:paraId="7580DB02" w14:textId="6B5EDE8D" w:rsidR="002E125E" w:rsidRDefault="002E125E" w:rsidP="002E125E">
      <w:pPr>
        <w:ind w:right="237"/>
      </w:pPr>
    </w:p>
    <w:p w14:paraId="318CA6C2" w14:textId="480221FF" w:rsidR="002E125E" w:rsidRPr="002E125E" w:rsidRDefault="002E125E" w:rsidP="002E125E">
      <w:pPr>
        <w:pStyle w:val="paragraph"/>
        <w:spacing w:before="0" w:beforeAutospacing="0" w:after="0" w:afterAutospacing="0"/>
        <w:rPr>
          <w:rFonts w:ascii="Arial" w:hAnsi="Arial" w:cs="Arial"/>
          <w:sz w:val="20"/>
          <w:szCs w:val="20"/>
          <w:shd w:val="clear" w:color="auto" w:fill="FFFFFF"/>
        </w:rPr>
      </w:pPr>
      <w:r w:rsidRPr="002E125E">
        <w:rPr>
          <w:rFonts w:ascii="Arial" w:hAnsi="Arial" w:cs="Arial"/>
          <w:sz w:val="20"/>
          <w:szCs w:val="20"/>
          <w:shd w:val="clear" w:color="auto" w:fill="FFFFFF"/>
        </w:rPr>
        <w:t>Storey, J.E. and Strand, S. (2017). The influence of victim vulnerability and gender on police officers' assessment of intimate partner violence risk. </w:t>
      </w:r>
      <w:r w:rsidRPr="002E125E">
        <w:rPr>
          <w:rFonts w:ascii="Arial" w:hAnsi="Arial" w:cs="Arial"/>
          <w:i/>
          <w:iCs/>
          <w:sz w:val="20"/>
          <w:szCs w:val="20"/>
          <w:shd w:val="clear" w:color="auto" w:fill="FFFFFF"/>
        </w:rPr>
        <w:t>Journal of family violence, </w:t>
      </w:r>
      <w:r w:rsidRPr="002E125E">
        <w:rPr>
          <w:rFonts w:ascii="Arial" w:hAnsi="Arial" w:cs="Arial"/>
          <w:sz w:val="20"/>
          <w:szCs w:val="20"/>
          <w:shd w:val="clear" w:color="auto" w:fill="FFFFFF"/>
        </w:rPr>
        <w:t>32(1), pp. 125-134.</w:t>
      </w:r>
    </w:p>
    <w:p w14:paraId="1B5D7751" w14:textId="77777777" w:rsidR="002E125E" w:rsidRDefault="002E125E" w:rsidP="5CE196A1">
      <w:pPr>
        <w:pStyle w:val="paragraph"/>
        <w:spacing w:before="0" w:beforeAutospacing="0" w:after="0" w:afterAutospacing="0"/>
        <w:rPr>
          <w:b/>
          <w:bCs/>
        </w:rPr>
      </w:pPr>
    </w:p>
    <w:p w14:paraId="5086A779" w14:textId="63437569" w:rsidR="00BF6B4B" w:rsidRDefault="00BE1771" w:rsidP="00BF6B4B">
      <w:pPr>
        <w:pStyle w:val="paragraph"/>
        <w:spacing w:before="0" w:beforeAutospacing="0" w:after="0" w:afterAutospacing="0"/>
        <w:rPr>
          <w:rFonts w:ascii="Arial" w:hAnsi="Arial" w:cs="Arial"/>
          <w:sz w:val="20"/>
          <w:szCs w:val="20"/>
          <w:shd w:val="clear" w:color="auto" w:fill="FFFFFF"/>
        </w:rPr>
      </w:pPr>
      <w:r w:rsidRPr="002E125E">
        <w:rPr>
          <w:rFonts w:ascii="Arial" w:hAnsi="Arial" w:cs="Arial"/>
          <w:sz w:val="20"/>
          <w:szCs w:val="20"/>
          <w:shd w:val="clear" w:color="auto" w:fill="FFFFFF"/>
        </w:rPr>
        <w:t>Struyf P. (2022). To Report or Not to Report? A Systematic Review of Sex Workers' Willingness to Report Violence and Victimization to Police. </w:t>
      </w:r>
      <w:r w:rsidRPr="002E125E">
        <w:rPr>
          <w:rFonts w:ascii="Arial" w:hAnsi="Arial" w:cs="Arial"/>
          <w:i/>
          <w:iCs/>
          <w:sz w:val="20"/>
          <w:szCs w:val="20"/>
          <w:shd w:val="clear" w:color="auto" w:fill="FFFFFF"/>
        </w:rPr>
        <w:t>Trauma, violence &amp; abuse</w:t>
      </w:r>
      <w:r w:rsidRPr="002E125E">
        <w:rPr>
          <w:rFonts w:ascii="Arial" w:hAnsi="Arial" w:cs="Arial"/>
          <w:sz w:val="20"/>
          <w:szCs w:val="20"/>
          <w:shd w:val="clear" w:color="auto" w:fill="FFFFFF"/>
        </w:rPr>
        <w:t>, Advance online publication.</w:t>
      </w:r>
      <w:r w:rsidR="002E125E" w:rsidRPr="002E125E">
        <w:rPr>
          <w:rFonts w:ascii="Arial" w:hAnsi="Arial" w:cs="Arial"/>
          <w:sz w:val="20"/>
          <w:szCs w:val="20"/>
          <w:shd w:val="clear" w:color="auto" w:fill="FFFFFF"/>
        </w:rPr>
        <w:t xml:space="preserve"> </w:t>
      </w:r>
      <w:r w:rsidRPr="002E125E">
        <w:rPr>
          <w:rFonts w:ascii="Arial" w:hAnsi="Arial" w:cs="Arial"/>
          <w:sz w:val="20"/>
          <w:szCs w:val="20"/>
          <w:shd w:val="clear" w:color="auto" w:fill="FFFFFF"/>
        </w:rPr>
        <w:t>doi.org/10.1177/15248380221122819</w:t>
      </w:r>
      <w:r w:rsidR="002E125E">
        <w:rPr>
          <w:rFonts w:ascii="Arial" w:hAnsi="Arial" w:cs="Arial"/>
          <w:sz w:val="20"/>
          <w:szCs w:val="20"/>
          <w:shd w:val="clear" w:color="auto" w:fill="FFFFFF"/>
        </w:rPr>
        <w:t>.</w:t>
      </w:r>
    </w:p>
    <w:p w14:paraId="2DFC1FAD" w14:textId="3C580438" w:rsidR="00BF6B4B" w:rsidRDefault="00BF6B4B" w:rsidP="00BF6B4B">
      <w:pPr>
        <w:pStyle w:val="paragraph"/>
        <w:spacing w:before="0" w:beforeAutospacing="0" w:after="0" w:afterAutospacing="0"/>
        <w:rPr>
          <w:rFonts w:ascii="Arial" w:hAnsi="Arial" w:cs="Arial"/>
          <w:sz w:val="20"/>
          <w:szCs w:val="20"/>
          <w:shd w:val="clear" w:color="auto" w:fill="FFFFFF"/>
        </w:rPr>
      </w:pPr>
    </w:p>
    <w:p w14:paraId="17A6A00E" w14:textId="73887AFF" w:rsidR="00BF6B4B" w:rsidRPr="00BF6B4B" w:rsidRDefault="00BF6B4B" w:rsidP="00BF6B4B">
      <w:pPr>
        <w:pStyle w:val="paragraph"/>
        <w:spacing w:before="0" w:beforeAutospacing="0" w:after="0" w:afterAutospacing="0"/>
        <w:rPr>
          <w:rFonts w:ascii="Arial" w:hAnsi="Arial" w:cs="Arial"/>
          <w:sz w:val="20"/>
          <w:szCs w:val="20"/>
        </w:rPr>
      </w:pPr>
      <w:r w:rsidRPr="00BF6B4B">
        <w:rPr>
          <w:rFonts w:ascii="Arial" w:hAnsi="Arial" w:cs="Arial"/>
          <w:sz w:val="20"/>
          <w:szCs w:val="20"/>
        </w:rPr>
        <w:t>Weisburd, D., Farrington, D.P., &amp; Gill, C. (2016). What Works in Crime Prevention and Rehabilitation: An Assessment of Systematic Reviews. Criminology and public policy</w:t>
      </w:r>
      <w:r w:rsidR="00A913A5">
        <w:rPr>
          <w:rFonts w:ascii="Arial" w:hAnsi="Arial" w:cs="Arial"/>
          <w:sz w:val="20"/>
          <w:szCs w:val="20"/>
        </w:rPr>
        <w:t xml:space="preserve">. </w:t>
      </w:r>
      <w:r w:rsidRPr="00BF6B4B">
        <w:rPr>
          <w:rFonts w:ascii="Arial" w:hAnsi="Arial" w:cs="Arial"/>
          <w:sz w:val="20"/>
          <w:szCs w:val="20"/>
        </w:rPr>
        <w:t>16, 415-449.</w:t>
      </w:r>
      <w:r w:rsidR="00A913A5">
        <w:rPr>
          <w:rFonts w:ascii="Arial" w:hAnsi="Arial" w:cs="Arial"/>
          <w:sz w:val="20"/>
          <w:szCs w:val="20"/>
        </w:rPr>
        <w:t xml:space="preserve"> doi</w:t>
      </w:r>
      <w:r w:rsidR="00A913A5" w:rsidRPr="00A913A5">
        <w:rPr>
          <w:rFonts w:ascii="Arial" w:hAnsi="Arial" w:cs="Arial"/>
          <w:sz w:val="20"/>
          <w:szCs w:val="20"/>
        </w:rPr>
        <w:t>:10.1111/1745-9133.12298</w:t>
      </w: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lastRenderedPageBreak/>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71325F57" w:rsidR="0FF883D4" w:rsidRDefault="0FF883D4" w:rsidP="0FF883D4">
      <w:pPr>
        <w:ind w:right="237"/>
        <w:jc w:val="both"/>
        <w:rPr>
          <w:color w:val="000000" w:themeColor="text1"/>
          <w:sz w:val="24"/>
          <w:szCs w:val="24"/>
        </w:rPr>
      </w:pPr>
    </w:p>
    <w:p w14:paraId="68085F9A" w14:textId="4EBFCFB4" w:rsidR="0FF883D4" w:rsidRDefault="007F6135" w:rsidP="0FF883D4">
      <w:pPr>
        <w:ind w:right="237"/>
        <w:jc w:val="both"/>
        <w:rPr>
          <w:color w:val="000000" w:themeColor="text1"/>
          <w:sz w:val="24"/>
          <w:szCs w:val="24"/>
        </w:rPr>
      </w:pPr>
      <w:r>
        <w:rPr>
          <w:color w:val="000000" w:themeColor="text1"/>
          <w:sz w:val="24"/>
          <w:szCs w:val="24"/>
        </w:rPr>
        <w:t xml:space="preserve">Introduction </w:t>
      </w:r>
    </w:p>
    <w:p w14:paraId="2F901BCF" w14:textId="77777777" w:rsidR="007F6135" w:rsidRDefault="007F6135" w:rsidP="0FF883D4">
      <w:pPr>
        <w:ind w:right="237"/>
        <w:jc w:val="both"/>
        <w:rPr>
          <w:color w:val="000000" w:themeColor="text1"/>
          <w:sz w:val="24"/>
          <w:szCs w:val="24"/>
        </w:rPr>
      </w:pPr>
    </w:p>
    <w:p w14:paraId="3BA42B3F" w14:textId="61E7C757" w:rsidR="00D33CED" w:rsidRDefault="00D33CED" w:rsidP="0FF883D4">
      <w:pPr>
        <w:ind w:right="237"/>
        <w:jc w:val="both"/>
        <w:rPr>
          <w:color w:val="000000" w:themeColor="text1"/>
          <w:sz w:val="24"/>
          <w:szCs w:val="24"/>
        </w:rPr>
      </w:pPr>
      <w:r>
        <w:rPr>
          <w:color w:val="000000" w:themeColor="text1"/>
          <w:sz w:val="24"/>
          <w:szCs w:val="24"/>
        </w:rPr>
        <w:t xml:space="preserve">In this essay I will explore and critically evaluate the processes I have employed in complex investigations I have been involved in. I will also evaluate </w:t>
      </w:r>
      <w:r w:rsidR="002F44E3">
        <w:rPr>
          <w:color w:val="000000" w:themeColor="text1"/>
          <w:sz w:val="24"/>
          <w:szCs w:val="24"/>
        </w:rPr>
        <w:t>support provided to victims, witnesses and offenders during the investigation</w:t>
      </w:r>
      <w:r w:rsidR="00C25352">
        <w:rPr>
          <w:color w:val="000000" w:themeColor="text1"/>
          <w:sz w:val="24"/>
          <w:szCs w:val="24"/>
        </w:rPr>
        <w:t xml:space="preserve"> before concluding the essay. </w:t>
      </w:r>
    </w:p>
    <w:p w14:paraId="3D76FCC0" w14:textId="18CB14E3" w:rsidR="00C25352" w:rsidRDefault="00C25352" w:rsidP="0FF883D4">
      <w:pPr>
        <w:ind w:right="237"/>
        <w:jc w:val="both"/>
        <w:rPr>
          <w:color w:val="000000" w:themeColor="text1"/>
          <w:sz w:val="24"/>
          <w:szCs w:val="24"/>
        </w:rPr>
      </w:pPr>
    </w:p>
    <w:p w14:paraId="41ED18B7" w14:textId="3D8091CD" w:rsidR="00C25352" w:rsidRDefault="00C25352" w:rsidP="0FF883D4">
      <w:pPr>
        <w:ind w:right="237"/>
        <w:jc w:val="both"/>
        <w:rPr>
          <w:color w:val="000000" w:themeColor="text1"/>
          <w:sz w:val="24"/>
          <w:szCs w:val="24"/>
        </w:rPr>
      </w:pPr>
      <w:r>
        <w:rPr>
          <w:color w:val="000000" w:themeColor="text1"/>
          <w:sz w:val="24"/>
          <w:szCs w:val="24"/>
        </w:rPr>
        <w:t>Main Body</w:t>
      </w:r>
    </w:p>
    <w:p w14:paraId="0166B205" w14:textId="77777777" w:rsidR="00D33CED" w:rsidRDefault="00D33CED" w:rsidP="0FF883D4">
      <w:pPr>
        <w:ind w:right="237"/>
        <w:jc w:val="both"/>
        <w:rPr>
          <w:color w:val="000000" w:themeColor="text1"/>
          <w:sz w:val="24"/>
          <w:szCs w:val="24"/>
        </w:rPr>
      </w:pPr>
    </w:p>
    <w:p w14:paraId="1D50DE7A" w14:textId="363A7044" w:rsidR="009B0D26" w:rsidRDefault="006B6556" w:rsidP="0FF883D4">
      <w:pPr>
        <w:ind w:right="237"/>
        <w:jc w:val="both"/>
        <w:rPr>
          <w:color w:val="000000" w:themeColor="text1"/>
          <w:sz w:val="24"/>
          <w:szCs w:val="24"/>
        </w:rPr>
      </w:pPr>
      <w:r>
        <w:rPr>
          <w:color w:val="000000" w:themeColor="text1"/>
          <w:sz w:val="24"/>
          <w:szCs w:val="24"/>
        </w:rPr>
        <w:t>In</w:t>
      </w:r>
      <w:r w:rsidR="00745A6C" w:rsidRPr="00745A6C">
        <w:rPr>
          <w:color w:val="000000" w:themeColor="text1"/>
          <w:sz w:val="24"/>
          <w:szCs w:val="24"/>
        </w:rPr>
        <w:t xml:space="preserve"> police investigations, the aim is to answer two primary questions: ‘what happened?’ and ‘who did it?’ (Milne and Bull, 2006).</w:t>
      </w:r>
      <w:r w:rsidR="002F44E3">
        <w:rPr>
          <w:color w:val="000000" w:themeColor="text1"/>
          <w:sz w:val="24"/>
          <w:szCs w:val="24"/>
        </w:rPr>
        <w:t xml:space="preserve"> </w:t>
      </w:r>
      <w:r>
        <w:rPr>
          <w:color w:val="000000" w:themeColor="text1"/>
          <w:sz w:val="24"/>
          <w:szCs w:val="24"/>
        </w:rPr>
        <w:t xml:space="preserve">In answering these two very important questions investigators can identify what has exactly happened which will assist investigators identifying what offences have been committed, identifying enquires to be completed as well as the perpetrator of the offences alleged in order that they can be spoken with and arrested if necessary. Once an offence has been committed there are a number of enquires which need to be considered and completed which are known by the term ‘Golden hour </w:t>
      </w:r>
      <w:r w:rsidR="009B0D26">
        <w:rPr>
          <w:color w:val="000000" w:themeColor="text1"/>
          <w:sz w:val="24"/>
          <w:szCs w:val="24"/>
        </w:rPr>
        <w:t>opportunities</w:t>
      </w:r>
      <w:r>
        <w:rPr>
          <w:color w:val="000000" w:themeColor="text1"/>
          <w:sz w:val="24"/>
          <w:szCs w:val="24"/>
        </w:rPr>
        <w:t xml:space="preserve">’ (College of Policing, 2023). These considerations are at the heart of every police investigation and by following these </w:t>
      </w:r>
      <w:r w:rsidR="009B0D26">
        <w:rPr>
          <w:color w:val="000000" w:themeColor="text1"/>
          <w:sz w:val="24"/>
          <w:szCs w:val="24"/>
        </w:rPr>
        <w:t>opportunities</w:t>
      </w:r>
      <w:r>
        <w:rPr>
          <w:color w:val="000000" w:themeColor="text1"/>
          <w:sz w:val="24"/>
          <w:szCs w:val="24"/>
        </w:rPr>
        <w:t xml:space="preserve"> as soon as the report is made can help to minimise </w:t>
      </w:r>
      <w:r w:rsidR="00D37EEF">
        <w:rPr>
          <w:color w:val="000000" w:themeColor="text1"/>
          <w:sz w:val="24"/>
          <w:szCs w:val="24"/>
        </w:rPr>
        <w:t xml:space="preserve">evidence being lost and maximise the amount of evidence being secured and preserved. The golden hour </w:t>
      </w:r>
      <w:r w:rsidR="009B0D26">
        <w:rPr>
          <w:color w:val="000000" w:themeColor="text1"/>
          <w:sz w:val="24"/>
          <w:szCs w:val="24"/>
        </w:rPr>
        <w:t>opportunities</w:t>
      </w:r>
      <w:r w:rsidR="00D37EEF">
        <w:rPr>
          <w:color w:val="000000" w:themeColor="text1"/>
          <w:sz w:val="24"/>
          <w:szCs w:val="24"/>
        </w:rPr>
        <w:t xml:space="preserve"> of investigations include enquires such as identifying and supporting victims, identifying and preserves scenes, identifying, </w:t>
      </w:r>
      <w:r w:rsidR="009B0D26">
        <w:rPr>
          <w:color w:val="000000" w:themeColor="text1"/>
          <w:sz w:val="24"/>
          <w:szCs w:val="24"/>
        </w:rPr>
        <w:t>arresting,</w:t>
      </w:r>
      <w:r w:rsidR="00D37EEF">
        <w:rPr>
          <w:color w:val="000000" w:themeColor="text1"/>
          <w:sz w:val="24"/>
          <w:szCs w:val="24"/>
        </w:rPr>
        <w:t xml:space="preserve"> and preserving evidence in relation to the suspect, identifying witnesses, </w:t>
      </w:r>
      <w:r w:rsidR="009B0D26">
        <w:rPr>
          <w:color w:val="000000" w:themeColor="text1"/>
          <w:sz w:val="24"/>
          <w:szCs w:val="24"/>
        </w:rPr>
        <w:t xml:space="preserve">preserving and obtaining any physical evidence from passive data generators such as CCTV. </w:t>
      </w:r>
    </w:p>
    <w:p w14:paraId="7AF1A795" w14:textId="77777777" w:rsidR="00C25352" w:rsidRDefault="00C25352" w:rsidP="0FF883D4">
      <w:pPr>
        <w:ind w:right="237"/>
        <w:jc w:val="both"/>
        <w:rPr>
          <w:color w:val="000000" w:themeColor="text1"/>
          <w:sz w:val="24"/>
          <w:szCs w:val="24"/>
        </w:rPr>
      </w:pPr>
    </w:p>
    <w:p w14:paraId="7CCC989E" w14:textId="5B3146C8" w:rsidR="0FF883D4" w:rsidRDefault="009B0D26" w:rsidP="0FF883D4">
      <w:pPr>
        <w:ind w:right="237"/>
        <w:jc w:val="both"/>
        <w:rPr>
          <w:color w:val="000000" w:themeColor="text1"/>
          <w:sz w:val="24"/>
          <w:szCs w:val="24"/>
        </w:rPr>
      </w:pPr>
      <w:r>
        <w:rPr>
          <w:color w:val="000000" w:themeColor="text1"/>
          <w:sz w:val="24"/>
          <w:szCs w:val="24"/>
        </w:rPr>
        <w:t xml:space="preserve">The golden hour opportunities can be particularly important with regard to investigations into sexual offences such as rape. Although some of these enquires may not be as relevant for offences of rape designated non-acute (Out of forensic </w:t>
      </w:r>
      <w:r>
        <w:rPr>
          <w:color w:val="000000" w:themeColor="text1"/>
          <w:sz w:val="24"/>
          <w:szCs w:val="24"/>
        </w:rPr>
        <w:lastRenderedPageBreak/>
        <w:t>window)</w:t>
      </w:r>
      <w:r w:rsidR="00F23366">
        <w:rPr>
          <w:color w:val="000000" w:themeColor="text1"/>
          <w:sz w:val="24"/>
          <w:szCs w:val="24"/>
        </w:rPr>
        <w:t xml:space="preserve"> or historic offences, incidents of acute rapes (within the forensic window) are extremely important. It is important to secure forensic evidence from the victim as early as possible in order to preserve any DNA or presence of seamen which could help to prove the offence and assist with identifying the suspect. It is also important to then preserve forensics at the scene for the same reasons as well as arresting the suspect as soon as possible in order to also seize and preserve any evidence from the suspect which would include medical examinations, seizure of clothing and of any digital devices in possession of the suspect. </w:t>
      </w:r>
    </w:p>
    <w:p w14:paraId="4FA270D4" w14:textId="25CF6110" w:rsidR="00745A6C" w:rsidRDefault="00745A6C" w:rsidP="0FF883D4">
      <w:pPr>
        <w:ind w:right="237"/>
        <w:jc w:val="both"/>
        <w:rPr>
          <w:color w:val="000000" w:themeColor="text1"/>
          <w:sz w:val="24"/>
          <w:szCs w:val="24"/>
        </w:rPr>
      </w:pPr>
    </w:p>
    <w:p w14:paraId="185FAE75" w14:textId="026AC5B6" w:rsidR="00BC344C" w:rsidRDefault="002F44E3" w:rsidP="002F44E3">
      <w:pPr>
        <w:ind w:right="237"/>
        <w:jc w:val="both"/>
        <w:rPr>
          <w:color w:val="000000" w:themeColor="text1"/>
          <w:sz w:val="24"/>
          <w:szCs w:val="24"/>
        </w:rPr>
      </w:pPr>
      <w:r>
        <w:rPr>
          <w:color w:val="000000" w:themeColor="text1"/>
          <w:sz w:val="24"/>
          <w:szCs w:val="24"/>
        </w:rPr>
        <w:t>Investigations into serious sexual offences such as rape can be some of the most complex investigations in criminal investigations due to the serious nature of the investigation. Some of these investigations involve numerous disclosures made to various different professions. These investigations can also involve a significant amount of forensic evidence. In instances of stranger rapes this can be particularly important in identifying the suspect involved. On one particular case we needed to quickly identify the suspect in the case as the incident involved a stranger rape. Forensic evidence was obtained from the victim following a physical examination by the force medical examiner. However, forensic submissions and results can take a considerable time to be completed, and in this instance, it was important for it to be completed as soon as possible due to the unknown suspect still outstanding</w:t>
      </w:r>
      <w:r w:rsidR="00BC344C">
        <w:rPr>
          <w:color w:val="000000" w:themeColor="text1"/>
          <w:sz w:val="24"/>
          <w:szCs w:val="24"/>
        </w:rPr>
        <w:t xml:space="preserve">, and the potential that while the suspect is outstanding members of the public may be in danger, and the suspect may go on to continue committing offences. </w:t>
      </w:r>
    </w:p>
    <w:p w14:paraId="0C45E7AF" w14:textId="77777777" w:rsidR="00BC344C" w:rsidRDefault="00BC344C" w:rsidP="002F44E3">
      <w:pPr>
        <w:ind w:right="237"/>
        <w:jc w:val="both"/>
        <w:rPr>
          <w:color w:val="000000" w:themeColor="text1"/>
          <w:sz w:val="24"/>
          <w:szCs w:val="24"/>
        </w:rPr>
      </w:pPr>
    </w:p>
    <w:p w14:paraId="3281A798" w14:textId="7BD48300" w:rsidR="00F637B2" w:rsidRPr="00C25352" w:rsidRDefault="002F44E3" w:rsidP="0FF883D4">
      <w:pPr>
        <w:ind w:right="237"/>
        <w:jc w:val="both"/>
        <w:rPr>
          <w:color w:val="000000" w:themeColor="text1"/>
          <w:sz w:val="24"/>
          <w:szCs w:val="24"/>
        </w:rPr>
      </w:pPr>
      <w:r>
        <w:rPr>
          <w:color w:val="000000" w:themeColor="text1"/>
          <w:sz w:val="24"/>
          <w:szCs w:val="24"/>
        </w:rPr>
        <w:t>Having obtained this evidence along with other forensic evidence, discussions with in-force forensic investigators and supervisor staff, we were able to fast-track the forensics for examination. This resulted in the evidence being examined quicker and the results from the evidence provided a match and an arrest was able to be made.</w:t>
      </w:r>
      <w:r w:rsidR="00BC344C">
        <w:rPr>
          <w:color w:val="000000" w:themeColor="text1"/>
          <w:sz w:val="24"/>
          <w:szCs w:val="24"/>
        </w:rPr>
        <w:t xml:space="preserve"> As such, evidence in relation to the suspect could then also be obtained o maximise the amount of evidence that could be admissible in court. </w:t>
      </w:r>
      <w:r>
        <w:rPr>
          <w:color w:val="000000" w:themeColor="text1"/>
          <w:sz w:val="24"/>
          <w:szCs w:val="24"/>
        </w:rPr>
        <w:t xml:space="preserve"> </w:t>
      </w:r>
    </w:p>
    <w:p w14:paraId="37FB2445" w14:textId="77777777" w:rsidR="00F637B2" w:rsidRDefault="00F637B2" w:rsidP="0FF883D4">
      <w:pPr>
        <w:ind w:right="237"/>
        <w:jc w:val="both"/>
        <w:rPr>
          <w:i/>
          <w:iCs/>
          <w:color w:val="000000" w:themeColor="text1"/>
          <w:sz w:val="24"/>
          <w:szCs w:val="24"/>
        </w:rPr>
      </w:pPr>
    </w:p>
    <w:p w14:paraId="617C3D14" w14:textId="22B288E5" w:rsidR="002F44E3" w:rsidRPr="002F44E3" w:rsidRDefault="002F44E3" w:rsidP="0FF883D4">
      <w:pPr>
        <w:ind w:right="237"/>
        <w:jc w:val="both"/>
        <w:rPr>
          <w:i/>
          <w:iCs/>
          <w:color w:val="000000" w:themeColor="text1"/>
          <w:sz w:val="24"/>
          <w:szCs w:val="24"/>
        </w:rPr>
      </w:pPr>
      <w:r w:rsidRPr="002F44E3">
        <w:rPr>
          <w:i/>
          <w:iCs/>
          <w:color w:val="000000" w:themeColor="text1"/>
          <w:sz w:val="24"/>
          <w:szCs w:val="24"/>
        </w:rPr>
        <w:t>Evaluation of support provided</w:t>
      </w:r>
      <w:r>
        <w:rPr>
          <w:i/>
          <w:iCs/>
          <w:color w:val="000000" w:themeColor="text1"/>
          <w:sz w:val="24"/>
          <w:szCs w:val="24"/>
        </w:rPr>
        <w:t>.</w:t>
      </w:r>
    </w:p>
    <w:p w14:paraId="5E7A74FF" w14:textId="77777777" w:rsidR="00BC344C" w:rsidRDefault="00BC344C" w:rsidP="0FF883D4">
      <w:pPr>
        <w:ind w:right="237"/>
        <w:jc w:val="both"/>
        <w:rPr>
          <w:color w:val="000000" w:themeColor="text1"/>
          <w:sz w:val="24"/>
          <w:szCs w:val="24"/>
        </w:rPr>
      </w:pPr>
    </w:p>
    <w:p w14:paraId="5D09625E" w14:textId="757D2ED4" w:rsidR="00926636" w:rsidRDefault="00745A6C" w:rsidP="0FF883D4">
      <w:pPr>
        <w:ind w:right="237"/>
        <w:jc w:val="both"/>
        <w:rPr>
          <w:color w:val="000000" w:themeColor="text1"/>
          <w:sz w:val="24"/>
          <w:szCs w:val="24"/>
        </w:rPr>
      </w:pPr>
      <w:r>
        <w:rPr>
          <w:color w:val="000000" w:themeColor="text1"/>
          <w:sz w:val="24"/>
          <w:szCs w:val="24"/>
        </w:rPr>
        <w:t>A study conducted by Risan et al. (2018),</w:t>
      </w:r>
      <w:r w:rsidRPr="00745A6C">
        <w:rPr>
          <w:color w:val="000000" w:themeColor="text1"/>
          <w:sz w:val="24"/>
          <w:szCs w:val="24"/>
        </w:rPr>
        <w:t xml:space="preserve"> was to explore the factors considered important and useful in facilitating safety and building rapport in police investigative interviews with traumatized interviewees.</w:t>
      </w:r>
      <w:r>
        <w:rPr>
          <w:color w:val="000000" w:themeColor="text1"/>
          <w:sz w:val="24"/>
          <w:szCs w:val="24"/>
        </w:rPr>
        <w:t xml:space="preserve"> </w:t>
      </w:r>
      <w:r w:rsidR="006528E1">
        <w:rPr>
          <w:color w:val="000000" w:themeColor="text1"/>
          <w:sz w:val="24"/>
          <w:szCs w:val="24"/>
        </w:rPr>
        <w:t>The incident in this essay is one of a serious sexual assault. These incidents can be particularly traumatic to the victims, especially when having to recall these interviews in detail</w:t>
      </w:r>
      <w:r w:rsidR="00867109">
        <w:rPr>
          <w:color w:val="000000" w:themeColor="text1"/>
          <w:sz w:val="24"/>
          <w:szCs w:val="24"/>
        </w:rPr>
        <w:t xml:space="preserve">. </w:t>
      </w:r>
      <w:r w:rsidR="00926636" w:rsidRPr="00926636">
        <w:rPr>
          <w:color w:val="000000" w:themeColor="text1"/>
          <w:sz w:val="24"/>
          <w:szCs w:val="24"/>
        </w:rPr>
        <w:t>Post-traumatic reactions often include experiences of anxiety that influence cognitive processes such as attention and working memory (Derakshan and Eysenck, 2009). Anxiety serves as a competing task to the recall of accurate details from the incident, reducing the interviewees’ ability to do a thorough search of memory of what happened (Kieckhaefer et al., 2014). This creates a challenging situation for the police interviewer who must accommodate and adapt to the state of the interviewee to facilitate rapport and achieve investigative aims.</w:t>
      </w:r>
    </w:p>
    <w:p w14:paraId="5F4E9B58" w14:textId="77777777" w:rsidR="005D2393" w:rsidRDefault="005D2393" w:rsidP="0FF883D4">
      <w:pPr>
        <w:ind w:right="237"/>
        <w:jc w:val="both"/>
        <w:rPr>
          <w:color w:val="000000" w:themeColor="text1"/>
          <w:sz w:val="24"/>
          <w:szCs w:val="24"/>
        </w:rPr>
      </w:pPr>
    </w:p>
    <w:p w14:paraId="71CBE632" w14:textId="364AFD15" w:rsidR="00E627C9" w:rsidRDefault="00E627C9" w:rsidP="0FF883D4">
      <w:pPr>
        <w:ind w:right="237"/>
        <w:jc w:val="both"/>
        <w:rPr>
          <w:color w:val="000000" w:themeColor="text1"/>
          <w:sz w:val="24"/>
          <w:szCs w:val="24"/>
        </w:rPr>
      </w:pPr>
    </w:p>
    <w:p w14:paraId="3BEE9F08" w14:textId="60EF6DD8" w:rsidR="00E9133C" w:rsidRDefault="00A3710E" w:rsidP="0FF883D4">
      <w:pPr>
        <w:ind w:right="237"/>
        <w:jc w:val="both"/>
        <w:rPr>
          <w:color w:val="000000" w:themeColor="text1"/>
          <w:sz w:val="24"/>
          <w:szCs w:val="24"/>
        </w:rPr>
      </w:pPr>
      <w:r>
        <w:rPr>
          <w:color w:val="000000" w:themeColor="text1"/>
          <w:sz w:val="24"/>
          <w:szCs w:val="24"/>
        </w:rPr>
        <w:t>Risian et al., (2018)</w:t>
      </w:r>
      <w:r w:rsidRPr="00E9133C">
        <w:t xml:space="preserve"> </w:t>
      </w:r>
      <w:r w:rsidRPr="00E9133C">
        <w:rPr>
          <w:color w:val="000000" w:themeColor="text1"/>
          <w:sz w:val="24"/>
          <w:szCs w:val="24"/>
        </w:rPr>
        <w:t>define rapport as a goal-oriented working relationship based on a shared social and emotional understanding between interviewer and interviewee.</w:t>
      </w:r>
      <w:r>
        <w:rPr>
          <w:color w:val="000000" w:themeColor="text1"/>
          <w:sz w:val="24"/>
          <w:szCs w:val="24"/>
        </w:rPr>
        <w:t xml:space="preserve"> </w:t>
      </w:r>
      <w:r w:rsidR="00867109">
        <w:rPr>
          <w:color w:val="000000" w:themeColor="text1"/>
          <w:sz w:val="24"/>
          <w:szCs w:val="24"/>
        </w:rPr>
        <w:t>The study by Risan et al., (2018) was to explore factors important and useful in building rapport in police investigative interviews with traumatised interviewees. T</w:t>
      </w:r>
      <w:r w:rsidR="00E627C9" w:rsidRPr="00E627C9">
        <w:rPr>
          <w:color w:val="000000" w:themeColor="text1"/>
          <w:sz w:val="24"/>
          <w:szCs w:val="24"/>
        </w:rPr>
        <w:t xml:space="preserve">he </w:t>
      </w:r>
      <w:r w:rsidR="00E627C9" w:rsidRPr="00E627C9">
        <w:rPr>
          <w:color w:val="000000" w:themeColor="text1"/>
          <w:sz w:val="24"/>
          <w:szCs w:val="24"/>
        </w:rPr>
        <w:lastRenderedPageBreak/>
        <w:t>findings</w:t>
      </w:r>
      <w:r w:rsidR="00867109">
        <w:rPr>
          <w:color w:val="000000" w:themeColor="text1"/>
          <w:sz w:val="24"/>
          <w:szCs w:val="24"/>
        </w:rPr>
        <w:t xml:space="preserve"> of this study</w:t>
      </w:r>
      <w:r w:rsidR="00E627C9" w:rsidRPr="00E627C9">
        <w:rPr>
          <w:color w:val="000000" w:themeColor="text1"/>
          <w:sz w:val="24"/>
          <w:szCs w:val="24"/>
        </w:rPr>
        <w:t xml:space="preserve"> show</w:t>
      </w:r>
      <w:r w:rsidR="00867109">
        <w:rPr>
          <w:color w:val="000000" w:themeColor="text1"/>
          <w:sz w:val="24"/>
          <w:szCs w:val="24"/>
        </w:rPr>
        <w:t>ed</w:t>
      </w:r>
      <w:r w:rsidR="00E627C9" w:rsidRPr="00E627C9">
        <w:rPr>
          <w:color w:val="000000" w:themeColor="text1"/>
          <w:sz w:val="24"/>
          <w:szCs w:val="24"/>
        </w:rPr>
        <w:t xml:space="preserve"> that the police interviewers regard being well prepared as an important premise for the interview process. The participants</w:t>
      </w:r>
      <w:r>
        <w:rPr>
          <w:color w:val="000000" w:themeColor="text1"/>
          <w:sz w:val="24"/>
          <w:szCs w:val="24"/>
        </w:rPr>
        <w:t xml:space="preserve"> on the other hand</w:t>
      </w:r>
      <w:r w:rsidR="00E627C9" w:rsidRPr="00E627C9">
        <w:rPr>
          <w:color w:val="000000" w:themeColor="text1"/>
          <w:sz w:val="24"/>
          <w:szCs w:val="24"/>
        </w:rPr>
        <w:t xml:space="preserve"> highlight</w:t>
      </w:r>
      <w:r>
        <w:rPr>
          <w:color w:val="000000" w:themeColor="text1"/>
          <w:sz w:val="24"/>
          <w:szCs w:val="24"/>
        </w:rPr>
        <w:t>ed</w:t>
      </w:r>
      <w:r w:rsidR="00E627C9" w:rsidRPr="00E627C9">
        <w:rPr>
          <w:color w:val="000000" w:themeColor="text1"/>
          <w:sz w:val="24"/>
          <w:szCs w:val="24"/>
        </w:rPr>
        <w:t xml:space="preserve"> the importance of being flexible and adaptive to the state and expressions of the interviewee. </w:t>
      </w:r>
      <w:r>
        <w:rPr>
          <w:color w:val="000000" w:themeColor="text1"/>
          <w:sz w:val="24"/>
          <w:szCs w:val="24"/>
        </w:rPr>
        <w:t>The</w:t>
      </w:r>
      <w:r w:rsidR="00E627C9" w:rsidRPr="00E627C9">
        <w:rPr>
          <w:color w:val="000000" w:themeColor="text1"/>
          <w:sz w:val="24"/>
          <w:szCs w:val="24"/>
        </w:rPr>
        <w:t xml:space="preserve"> findings </w:t>
      </w:r>
      <w:r>
        <w:rPr>
          <w:color w:val="000000" w:themeColor="text1"/>
          <w:sz w:val="24"/>
          <w:szCs w:val="24"/>
        </w:rPr>
        <w:t>of the study highlight</w:t>
      </w:r>
      <w:r w:rsidR="00E627C9" w:rsidRPr="00E627C9">
        <w:rPr>
          <w:color w:val="000000" w:themeColor="text1"/>
          <w:sz w:val="24"/>
          <w:szCs w:val="24"/>
        </w:rPr>
        <w:t xml:space="preserve"> the significance of the police interviewer being able to appraise and manage the emotional reactions of the interviewee to promote feelings of safety and enhance communicatio</w:t>
      </w:r>
      <w:r>
        <w:rPr>
          <w:color w:val="000000" w:themeColor="text1"/>
          <w:sz w:val="24"/>
          <w:szCs w:val="24"/>
        </w:rPr>
        <w:t>n (</w:t>
      </w:r>
      <w:r>
        <w:rPr>
          <w:color w:val="000000" w:themeColor="text1"/>
          <w:sz w:val="24"/>
          <w:szCs w:val="24"/>
        </w:rPr>
        <w:t xml:space="preserve">Risan et al., </w:t>
      </w:r>
      <w:r>
        <w:rPr>
          <w:color w:val="000000" w:themeColor="text1"/>
          <w:sz w:val="24"/>
          <w:szCs w:val="24"/>
        </w:rPr>
        <w:t>2</w:t>
      </w:r>
      <w:r>
        <w:rPr>
          <w:color w:val="000000" w:themeColor="text1"/>
          <w:sz w:val="24"/>
          <w:szCs w:val="24"/>
        </w:rPr>
        <w:t>018)</w:t>
      </w:r>
      <w:r>
        <w:rPr>
          <w:color w:val="000000" w:themeColor="text1"/>
          <w:sz w:val="24"/>
          <w:szCs w:val="24"/>
        </w:rPr>
        <w:t xml:space="preserve">. </w:t>
      </w:r>
    </w:p>
    <w:p w14:paraId="032FC7C9" w14:textId="5B102669" w:rsidR="00F85786" w:rsidRDefault="00F85786" w:rsidP="0FF883D4">
      <w:pPr>
        <w:ind w:right="237"/>
        <w:jc w:val="both"/>
        <w:rPr>
          <w:color w:val="000000" w:themeColor="text1"/>
          <w:sz w:val="24"/>
          <w:szCs w:val="24"/>
        </w:rPr>
      </w:pPr>
    </w:p>
    <w:p w14:paraId="106663F8" w14:textId="525CC777" w:rsidR="00A3710E" w:rsidRDefault="00F85786" w:rsidP="0FF883D4">
      <w:pPr>
        <w:ind w:right="237"/>
        <w:jc w:val="both"/>
        <w:rPr>
          <w:color w:val="000000" w:themeColor="text1"/>
          <w:sz w:val="24"/>
          <w:szCs w:val="24"/>
        </w:rPr>
      </w:pPr>
      <w:r>
        <w:rPr>
          <w:color w:val="000000" w:themeColor="text1"/>
          <w:sz w:val="24"/>
          <w:szCs w:val="24"/>
        </w:rPr>
        <w:t xml:space="preserve">The investigation in this example relates to a one of a serious sexual assault. The nature of these investigations means that </w:t>
      </w:r>
      <w:r w:rsidR="006A10E4">
        <w:rPr>
          <w:color w:val="000000" w:themeColor="text1"/>
          <w:sz w:val="24"/>
          <w:szCs w:val="24"/>
        </w:rPr>
        <w:t xml:space="preserve">investigators </w:t>
      </w:r>
      <w:r w:rsidR="00F637B2">
        <w:rPr>
          <w:color w:val="000000" w:themeColor="text1"/>
          <w:sz w:val="24"/>
          <w:szCs w:val="24"/>
        </w:rPr>
        <w:t>are required to</w:t>
      </w:r>
      <w:r w:rsidR="006A10E4">
        <w:rPr>
          <w:color w:val="000000" w:themeColor="text1"/>
          <w:sz w:val="24"/>
          <w:szCs w:val="24"/>
        </w:rPr>
        <w:t xml:space="preserve"> go in depth into people’s personal lives which can be distressing but </w:t>
      </w:r>
      <w:r w:rsidR="00F637B2">
        <w:rPr>
          <w:color w:val="000000" w:themeColor="text1"/>
          <w:sz w:val="24"/>
          <w:szCs w:val="24"/>
        </w:rPr>
        <w:t xml:space="preserve">it </w:t>
      </w:r>
      <w:r w:rsidR="006A10E4">
        <w:rPr>
          <w:color w:val="000000" w:themeColor="text1"/>
          <w:sz w:val="24"/>
          <w:szCs w:val="24"/>
        </w:rPr>
        <w:t>is necessary in order to</w:t>
      </w:r>
      <w:r w:rsidR="00F637B2">
        <w:rPr>
          <w:color w:val="000000" w:themeColor="text1"/>
          <w:sz w:val="24"/>
          <w:szCs w:val="24"/>
        </w:rPr>
        <w:t xml:space="preserve"> conduct a</w:t>
      </w:r>
      <w:r w:rsidR="006A10E4">
        <w:rPr>
          <w:color w:val="000000" w:themeColor="text1"/>
          <w:sz w:val="24"/>
          <w:szCs w:val="24"/>
        </w:rPr>
        <w:t xml:space="preserve"> thorough and complete investigation. Furthermore, victim’s have to go into great detail when recalling the incident in the form of a video interview which itself can be distressing and traumatic.</w:t>
      </w:r>
      <w:r w:rsidR="00A3710E">
        <w:rPr>
          <w:color w:val="000000" w:themeColor="text1"/>
          <w:sz w:val="24"/>
          <w:szCs w:val="24"/>
        </w:rPr>
        <w:t xml:space="preserve"> In order to do this effectively, the interviewer needs to establish some rapport with the victim prior to interview to enable them to open up more about the incident and feel more comfortable providing the level of detail required. </w:t>
      </w:r>
    </w:p>
    <w:p w14:paraId="35B70BAA" w14:textId="77777777" w:rsidR="00A3710E" w:rsidRDefault="00A3710E" w:rsidP="0FF883D4">
      <w:pPr>
        <w:ind w:right="237"/>
        <w:jc w:val="both"/>
        <w:rPr>
          <w:color w:val="000000" w:themeColor="text1"/>
          <w:sz w:val="24"/>
          <w:szCs w:val="24"/>
        </w:rPr>
      </w:pPr>
    </w:p>
    <w:p w14:paraId="4412E117" w14:textId="253BDCF9" w:rsidR="00CB7825" w:rsidRDefault="006A10E4" w:rsidP="0FF883D4">
      <w:pPr>
        <w:ind w:right="237"/>
        <w:jc w:val="both"/>
        <w:rPr>
          <w:color w:val="000000" w:themeColor="text1"/>
          <w:sz w:val="24"/>
          <w:szCs w:val="24"/>
        </w:rPr>
      </w:pPr>
      <w:r>
        <w:rPr>
          <w:color w:val="000000" w:themeColor="text1"/>
          <w:sz w:val="24"/>
          <w:szCs w:val="24"/>
        </w:rPr>
        <w:t xml:space="preserve">Investigation into serious sexual offences such as rape can take a long time for the investigation to be completed. In that time victims still need help processing </w:t>
      </w:r>
      <w:r w:rsidR="00A3710E">
        <w:rPr>
          <w:color w:val="000000" w:themeColor="text1"/>
          <w:sz w:val="24"/>
          <w:szCs w:val="24"/>
        </w:rPr>
        <w:t>what has</w:t>
      </w:r>
      <w:r>
        <w:rPr>
          <w:color w:val="000000" w:themeColor="text1"/>
          <w:sz w:val="24"/>
          <w:szCs w:val="24"/>
        </w:rPr>
        <w:t xml:space="preserve"> happened and need support. </w:t>
      </w:r>
      <w:r w:rsidR="00BF7371">
        <w:rPr>
          <w:color w:val="000000" w:themeColor="text1"/>
          <w:sz w:val="24"/>
          <w:szCs w:val="24"/>
        </w:rPr>
        <w:t xml:space="preserve">Referrals to support agencies can assist with this. These support agencies can provide victims with someone independent from the investigation to talk about what happened and process it. They can help assist the victims with signposting them to other appropriate support agencies should they require. In relation to victims of sexual assaults, Independent sexual violence advocates (ISVAs) can help assist with the above, along with getting updates from the officer in the case to provide updates to the victim. </w:t>
      </w:r>
    </w:p>
    <w:p w14:paraId="1CC49A03" w14:textId="3D552381" w:rsidR="00CB7825" w:rsidRDefault="00CB7825" w:rsidP="0FF883D4">
      <w:pPr>
        <w:ind w:right="237"/>
        <w:jc w:val="both"/>
        <w:rPr>
          <w:color w:val="000000" w:themeColor="text1"/>
          <w:sz w:val="24"/>
          <w:szCs w:val="24"/>
        </w:rPr>
      </w:pPr>
    </w:p>
    <w:p w14:paraId="7110BC09" w14:textId="4B27A760" w:rsidR="00CB7825" w:rsidRPr="00CB7825" w:rsidRDefault="00CB7825" w:rsidP="0FF883D4">
      <w:pPr>
        <w:ind w:right="237"/>
        <w:jc w:val="both"/>
        <w:rPr>
          <w:i/>
          <w:iCs/>
          <w:color w:val="000000" w:themeColor="text1"/>
          <w:sz w:val="24"/>
          <w:szCs w:val="24"/>
        </w:rPr>
      </w:pPr>
      <w:r w:rsidRPr="00CB7825">
        <w:rPr>
          <w:i/>
          <w:iCs/>
          <w:color w:val="000000" w:themeColor="text1"/>
          <w:sz w:val="24"/>
          <w:szCs w:val="24"/>
        </w:rPr>
        <w:t xml:space="preserve">Personal values and attitudes </w:t>
      </w:r>
    </w:p>
    <w:p w14:paraId="710E57A8" w14:textId="77777777" w:rsidR="00CB7825" w:rsidRDefault="00CB7825" w:rsidP="0FF883D4">
      <w:pPr>
        <w:ind w:right="237"/>
        <w:jc w:val="both"/>
        <w:rPr>
          <w:color w:val="000000" w:themeColor="text1"/>
          <w:sz w:val="24"/>
          <w:szCs w:val="24"/>
        </w:rPr>
      </w:pPr>
    </w:p>
    <w:p w14:paraId="6710941F" w14:textId="5280D5C8" w:rsidR="00F637B2" w:rsidRDefault="005D2393" w:rsidP="0FF883D4">
      <w:pPr>
        <w:ind w:right="237"/>
        <w:jc w:val="both"/>
        <w:rPr>
          <w:color w:val="000000" w:themeColor="text1"/>
          <w:sz w:val="24"/>
          <w:szCs w:val="24"/>
        </w:rPr>
      </w:pPr>
      <w:r>
        <w:rPr>
          <w:color w:val="000000" w:themeColor="text1"/>
          <w:sz w:val="24"/>
          <w:szCs w:val="24"/>
        </w:rPr>
        <w:t xml:space="preserve">Investigations into serious sexual assaults can not only be traumatic for the victims involved in the case, </w:t>
      </w:r>
      <w:r w:rsidR="00A3710E">
        <w:rPr>
          <w:color w:val="000000" w:themeColor="text1"/>
          <w:sz w:val="24"/>
          <w:szCs w:val="24"/>
        </w:rPr>
        <w:t>they</w:t>
      </w:r>
      <w:r>
        <w:rPr>
          <w:color w:val="000000" w:themeColor="text1"/>
          <w:sz w:val="24"/>
          <w:szCs w:val="24"/>
        </w:rPr>
        <w:t xml:space="preserve"> can also be emotionally difficult for those investigating them. It is important as investigators to remain impartial and not let emotions get in the way of remaining impartial and unbiased. If investigators become biased to either the victim or the suspect’s </w:t>
      </w:r>
      <w:r w:rsidR="00A3710E">
        <w:rPr>
          <w:color w:val="000000" w:themeColor="text1"/>
          <w:sz w:val="24"/>
          <w:szCs w:val="24"/>
        </w:rPr>
        <w:t>account,</w:t>
      </w:r>
      <w:r>
        <w:rPr>
          <w:color w:val="000000" w:themeColor="text1"/>
          <w:sz w:val="24"/>
          <w:szCs w:val="24"/>
        </w:rPr>
        <w:t xml:space="preserve"> it could result in the investigation being conducted unfairly and evidence could be missed as a result. This is not to say that investigators shouldn’t provide the appropriate level of support and safeguarding to all parties involved in this investigation, but when investigating, investigators need to be objective in their approach. </w:t>
      </w:r>
    </w:p>
    <w:p w14:paraId="1F1AE7C8" w14:textId="77777777" w:rsidR="00F637B2" w:rsidRDefault="00F637B2" w:rsidP="0FF883D4">
      <w:pPr>
        <w:ind w:right="237"/>
        <w:jc w:val="both"/>
        <w:rPr>
          <w:color w:val="000000" w:themeColor="text1"/>
          <w:sz w:val="24"/>
          <w:szCs w:val="24"/>
        </w:rPr>
      </w:pPr>
    </w:p>
    <w:p w14:paraId="775E1181" w14:textId="4A9BC490" w:rsidR="006339D7" w:rsidRPr="006431B2" w:rsidRDefault="00F637B2" w:rsidP="0FF883D4">
      <w:pPr>
        <w:ind w:right="237"/>
        <w:jc w:val="both"/>
        <w:rPr>
          <w:sz w:val="24"/>
          <w:szCs w:val="24"/>
        </w:rPr>
      </w:pPr>
      <w:r>
        <w:rPr>
          <w:color w:val="000000" w:themeColor="text1"/>
          <w:sz w:val="24"/>
          <w:szCs w:val="24"/>
        </w:rPr>
        <w:t xml:space="preserve">One particular theory being explored in the literature with regard to conducting of investigations and bias is the theory of confirmation bias. Research in this area within </w:t>
      </w:r>
      <w:r w:rsidRPr="006431B2">
        <w:rPr>
          <w:sz w:val="24"/>
          <w:szCs w:val="24"/>
        </w:rPr>
        <w:t>c</w:t>
      </w:r>
      <w:r w:rsidRPr="006431B2">
        <w:rPr>
          <w:sz w:val="24"/>
          <w:szCs w:val="24"/>
        </w:rPr>
        <w:t xml:space="preserve">riminal </w:t>
      </w:r>
      <w:r w:rsidRPr="006431B2">
        <w:rPr>
          <w:sz w:val="24"/>
          <w:szCs w:val="24"/>
        </w:rPr>
        <w:t>in</w:t>
      </w:r>
      <w:r w:rsidRPr="006431B2">
        <w:rPr>
          <w:sz w:val="24"/>
          <w:szCs w:val="24"/>
        </w:rPr>
        <w:t>vestigations</w:t>
      </w:r>
      <w:r w:rsidRPr="006431B2">
        <w:rPr>
          <w:sz w:val="24"/>
          <w:szCs w:val="24"/>
        </w:rPr>
        <w:t xml:space="preserve"> has </w:t>
      </w:r>
      <w:r w:rsidRPr="006431B2">
        <w:rPr>
          <w:sz w:val="24"/>
          <w:szCs w:val="24"/>
        </w:rPr>
        <w:t xml:space="preserve">identified </w:t>
      </w:r>
      <w:r w:rsidRPr="006431B2">
        <w:rPr>
          <w:sz w:val="24"/>
          <w:szCs w:val="24"/>
        </w:rPr>
        <w:t xml:space="preserve">that there are </w:t>
      </w:r>
      <w:r w:rsidRPr="006431B2">
        <w:rPr>
          <w:sz w:val="24"/>
          <w:szCs w:val="24"/>
        </w:rPr>
        <w:t>several different manifestations of confirmation bias</w:t>
      </w:r>
      <w:r w:rsidR="006339D7" w:rsidRPr="006431B2">
        <w:rPr>
          <w:sz w:val="24"/>
          <w:szCs w:val="24"/>
        </w:rPr>
        <w:t xml:space="preserve"> </w:t>
      </w:r>
      <w:r w:rsidR="006339D7" w:rsidRPr="006431B2">
        <w:rPr>
          <w:sz w:val="24"/>
          <w:szCs w:val="24"/>
        </w:rPr>
        <w:t>(Wagenaar, van Koppen, &amp; Crombag, 1993)</w:t>
      </w:r>
      <w:r w:rsidRPr="006431B2">
        <w:rPr>
          <w:sz w:val="24"/>
          <w:szCs w:val="24"/>
        </w:rPr>
        <w:t xml:space="preserve">. One such example as touched on above is that of </w:t>
      </w:r>
      <w:r w:rsidRPr="006431B2">
        <w:rPr>
          <w:sz w:val="24"/>
          <w:szCs w:val="24"/>
        </w:rPr>
        <w:t>suspect-driven investigations</w:t>
      </w:r>
      <w:r w:rsidRPr="006431B2">
        <w:rPr>
          <w:sz w:val="24"/>
          <w:szCs w:val="24"/>
        </w:rPr>
        <w:t>. An example of such an investigation is</w:t>
      </w:r>
      <w:r w:rsidRPr="006431B2">
        <w:rPr>
          <w:sz w:val="24"/>
          <w:szCs w:val="24"/>
        </w:rPr>
        <w:t xml:space="preserve"> where someone becomes a suspect for reasons that are not</w:t>
      </w:r>
      <w:r w:rsidRPr="006431B2">
        <w:rPr>
          <w:sz w:val="24"/>
          <w:szCs w:val="24"/>
        </w:rPr>
        <w:t xml:space="preserve"> objectively</w:t>
      </w:r>
      <w:r w:rsidRPr="006431B2">
        <w:rPr>
          <w:sz w:val="24"/>
          <w:szCs w:val="24"/>
        </w:rPr>
        <w:t xml:space="preserve"> explained by the evidence </w:t>
      </w:r>
      <w:r w:rsidRPr="006431B2">
        <w:rPr>
          <w:sz w:val="24"/>
          <w:szCs w:val="24"/>
        </w:rPr>
        <w:t xml:space="preserve">presented </w:t>
      </w:r>
      <w:r w:rsidRPr="006431B2">
        <w:rPr>
          <w:sz w:val="24"/>
          <w:szCs w:val="24"/>
        </w:rPr>
        <w:t>in the case</w:t>
      </w:r>
      <w:r w:rsidRPr="006431B2">
        <w:rPr>
          <w:sz w:val="24"/>
          <w:szCs w:val="24"/>
        </w:rPr>
        <w:t xml:space="preserve">, as such </w:t>
      </w:r>
      <w:r w:rsidR="006339D7" w:rsidRPr="006431B2">
        <w:rPr>
          <w:sz w:val="24"/>
          <w:szCs w:val="24"/>
        </w:rPr>
        <w:t>t</w:t>
      </w:r>
      <w:r w:rsidRPr="006431B2">
        <w:rPr>
          <w:sz w:val="24"/>
          <w:szCs w:val="24"/>
        </w:rPr>
        <w:t xml:space="preserve">he inquiry is then limited to the evidence that links that suspect to the crime (Wagenaar, van Koppen, &amp; Crombag, 1993). </w:t>
      </w:r>
      <w:r w:rsidR="006339D7" w:rsidRPr="006431B2">
        <w:rPr>
          <w:sz w:val="24"/>
          <w:szCs w:val="24"/>
        </w:rPr>
        <w:t>Criminal investigators are governed by the criminal procedures and investigators act (</w:t>
      </w:r>
      <w:r w:rsidR="00C60FC1">
        <w:rPr>
          <w:sz w:val="24"/>
          <w:szCs w:val="24"/>
        </w:rPr>
        <w:t>Ministry of Justice, 2015</w:t>
      </w:r>
      <w:r w:rsidR="006339D7" w:rsidRPr="006431B2">
        <w:rPr>
          <w:sz w:val="24"/>
          <w:szCs w:val="24"/>
        </w:rPr>
        <w:t xml:space="preserve">). This act </w:t>
      </w:r>
      <w:r w:rsidR="006339D7" w:rsidRPr="006431B2">
        <w:rPr>
          <w:sz w:val="24"/>
          <w:szCs w:val="24"/>
        </w:rPr>
        <w:lastRenderedPageBreak/>
        <w:t>states that investigators have a duty to investigate all reasonable lines of enquiry, whether those enquires point towards or away from the suspect (</w:t>
      </w:r>
      <w:r w:rsidR="00C60FC1">
        <w:rPr>
          <w:sz w:val="24"/>
          <w:szCs w:val="24"/>
        </w:rPr>
        <w:t>College of Policing, 2023)</w:t>
      </w:r>
      <w:r w:rsidR="006339D7" w:rsidRPr="006431B2">
        <w:rPr>
          <w:sz w:val="24"/>
          <w:szCs w:val="24"/>
        </w:rPr>
        <w:t xml:space="preserve"> Furthermore, investigators have a duty to also disclose information that may undermine the prosecution or assist the defence. </w:t>
      </w:r>
    </w:p>
    <w:p w14:paraId="1A0BB7FF" w14:textId="77777777" w:rsidR="006339D7" w:rsidRDefault="006339D7" w:rsidP="0FF883D4">
      <w:pPr>
        <w:ind w:right="237"/>
        <w:jc w:val="both"/>
      </w:pPr>
    </w:p>
    <w:p w14:paraId="5EB324E3" w14:textId="44896EBE" w:rsidR="00D83FEB" w:rsidRPr="00D83FEB" w:rsidRDefault="00D83FEB" w:rsidP="0FF883D4">
      <w:pPr>
        <w:ind w:right="237"/>
        <w:jc w:val="both"/>
        <w:rPr>
          <w:sz w:val="24"/>
          <w:szCs w:val="24"/>
        </w:rPr>
      </w:pPr>
      <w:r w:rsidRPr="00D83FEB">
        <w:rPr>
          <w:sz w:val="24"/>
          <w:szCs w:val="24"/>
        </w:rPr>
        <w:t>Research has also found that</w:t>
      </w:r>
      <w:r w:rsidR="00F637B2" w:rsidRPr="00D83FEB">
        <w:rPr>
          <w:sz w:val="24"/>
          <w:szCs w:val="24"/>
        </w:rPr>
        <w:t xml:space="preserve"> prior information regarding an alleged crime seems to influence the forms of evidence investigators secure during crime scene investigations (van den Eeden, de Poot, &amp; van Koppen, 2016)</w:t>
      </w:r>
      <w:r w:rsidRPr="00D83FEB">
        <w:rPr>
          <w:sz w:val="24"/>
          <w:szCs w:val="24"/>
        </w:rPr>
        <w:t xml:space="preserve">. There is also an increasing amount of research which has looked at </w:t>
      </w:r>
      <w:r w:rsidR="00F637B2" w:rsidRPr="00D83FEB">
        <w:rPr>
          <w:sz w:val="24"/>
          <w:szCs w:val="24"/>
        </w:rPr>
        <w:t xml:space="preserve">the influence of contextual information on forensic experts’ analysis of fingerprints and DNA-mixtures (Dror &amp; Cole, 2010; Kassin, Dror, &amp; Kukucka, 2013). </w:t>
      </w:r>
      <w:r w:rsidRPr="00D83FEB">
        <w:rPr>
          <w:sz w:val="24"/>
          <w:szCs w:val="24"/>
        </w:rPr>
        <w:t>F</w:t>
      </w:r>
      <w:r w:rsidR="00F637B2" w:rsidRPr="00D83FEB">
        <w:rPr>
          <w:sz w:val="24"/>
          <w:szCs w:val="24"/>
        </w:rPr>
        <w:t xml:space="preserve">orensic evidence is considered </w:t>
      </w:r>
      <w:r w:rsidRPr="00D83FEB">
        <w:rPr>
          <w:sz w:val="24"/>
          <w:szCs w:val="24"/>
        </w:rPr>
        <w:t xml:space="preserve">one of </w:t>
      </w:r>
      <w:r w:rsidR="00F637B2" w:rsidRPr="00D83FEB">
        <w:rPr>
          <w:sz w:val="24"/>
          <w:szCs w:val="24"/>
        </w:rPr>
        <w:t>the most reliable type</w:t>
      </w:r>
      <w:r w:rsidRPr="00D83FEB">
        <w:rPr>
          <w:sz w:val="24"/>
          <w:szCs w:val="24"/>
        </w:rPr>
        <w:t>s</w:t>
      </w:r>
      <w:r w:rsidR="00F637B2" w:rsidRPr="00D83FEB">
        <w:rPr>
          <w:sz w:val="24"/>
          <w:szCs w:val="24"/>
        </w:rPr>
        <w:t xml:space="preserve"> of </w:t>
      </w:r>
      <w:r w:rsidR="00713A6E" w:rsidRPr="00D83FEB">
        <w:rPr>
          <w:sz w:val="24"/>
          <w:szCs w:val="24"/>
        </w:rPr>
        <w:t>evidence and</w:t>
      </w:r>
      <w:r w:rsidRPr="00D83FEB">
        <w:rPr>
          <w:sz w:val="24"/>
          <w:szCs w:val="24"/>
        </w:rPr>
        <w:t xml:space="preserve"> can be particularly important in cases of serious sexual assaults in identifying and even convicting suspects based on this evidence. Therefore</w:t>
      </w:r>
      <w:r w:rsidR="00A3710E">
        <w:rPr>
          <w:sz w:val="24"/>
          <w:szCs w:val="24"/>
        </w:rPr>
        <w:t>,</w:t>
      </w:r>
      <w:r w:rsidRPr="00D83FEB">
        <w:rPr>
          <w:sz w:val="24"/>
          <w:szCs w:val="24"/>
        </w:rPr>
        <w:t xml:space="preserve"> a matter such as there being </w:t>
      </w:r>
      <w:r w:rsidR="00F637B2" w:rsidRPr="00D83FEB">
        <w:rPr>
          <w:sz w:val="24"/>
          <w:szCs w:val="24"/>
        </w:rPr>
        <w:t>forensic confirmation bias</w:t>
      </w:r>
      <w:r w:rsidRPr="00D83FEB">
        <w:rPr>
          <w:sz w:val="24"/>
          <w:szCs w:val="24"/>
        </w:rPr>
        <w:t xml:space="preserve"> could have the </w:t>
      </w:r>
      <w:r w:rsidR="00F637B2" w:rsidRPr="00D83FEB">
        <w:rPr>
          <w:sz w:val="24"/>
          <w:szCs w:val="24"/>
        </w:rPr>
        <w:t>potent risk of wrongful convictions</w:t>
      </w:r>
      <w:r w:rsidRPr="00D83FEB">
        <w:rPr>
          <w:sz w:val="24"/>
          <w:szCs w:val="24"/>
        </w:rPr>
        <w:t xml:space="preserve"> being made and decrease the courts reliability on this type of evidence which could have a knock on effect on future investigations. </w:t>
      </w:r>
    </w:p>
    <w:p w14:paraId="404C361E" w14:textId="46C4FC5B" w:rsidR="00553FE3" w:rsidRDefault="00553FE3" w:rsidP="0FF883D4">
      <w:pPr>
        <w:ind w:right="237"/>
        <w:jc w:val="both"/>
        <w:rPr>
          <w:color w:val="000000" w:themeColor="text1"/>
          <w:sz w:val="24"/>
          <w:szCs w:val="24"/>
        </w:rPr>
      </w:pPr>
    </w:p>
    <w:p w14:paraId="6747D611" w14:textId="77777777" w:rsidR="00553FE3" w:rsidRPr="001E61CF" w:rsidRDefault="00553FE3" w:rsidP="00553FE3">
      <w:pPr>
        <w:ind w:right="237"/>
        <w:rPr>
          <w:sz w:val="24"/>
          <w:szCs w:val="24"/>
        </w:rPr>
      </w:pPr>
      <w:r w:rsidRPr="001E61CF">
        <w:rPr>
          <w:sz w:val="24"/>
          <w:szCs w:val="24"/>
        </w:rPr>
        <w:t xml:space="preserve">Crucial to any criminal investigation is the information provided by witnesses and victims of crime (Kebbell &amp; Milne, 1998; Milne &amp; Bull, 2006). </w:t>
      </w:r>
      <w:r>
        <w:rPr>
          <w:sz w:val="24"/>
          <w:szCs w:val="24"/>
        </w:rPr>
        <w:t xml:space="preserve">Police can obtain this information from </w:t>
      </w:r>
      <w:r w:rsidRPr="001E61CF">
        <w:rPr>
          <w:sz w:val="24"/>
          <w:szCs w:val="24"/>
        </w:rPr>
        <w:t>witness</w:t>
      </w:r>
      <w:r>
        <w:rPr>
          <w:sz w:val="24"/>
          <w:szCs w:val="24"/>
        </w:rPr>
        <w:t>es or victims</w:t>
      </w:r>
      <w:r w:rsidRPr="001E61CF">
        <w:rPr>
          <w:sz w:val="24"/>
          <w:szCs w:val="24"/>
        </w:rPr>
        <w:t xml:space="preserve"> </w:t>
      </w:r>
      <w:r>
        <w:rPr>
          <w:sz w:val="24"/>
          <w:szCs w:val="24"/>
        </w:rPr>
        <w:t xml:space="preserve">through taking statements which can be obtained in </w:t>
      </w:r>
      <w:r w:rsidRPr="001E61CF">
        <w:rPr>
          <w:sz w:val="24"/>
          <w:szCs w:val="24"/>
        </w:rPr>
        <w:t>an interview</w:t>
      </w:r>
      <w:r>
        <w:rPr>
          <w:sz w:val="24"/>
          <w:szCs w:val="24"/>
        </w:rPr>
        <w:t xml:space="preserve"> setting or at their address. Therefore, the</w:t>
      </w:r>
      <w:r w:rsidRPr="001E61CF">
        <w:rPr>
          <w:sz w:val="24"/>
          <w:szCs w:val="24"/>
        </w:rPr>
        <w:t xml:space="preserve"> officer's ability to conduct an effective witness interview is </w:t>
      </w:r>
      <w:r>
        <w:rPr>
          <w:sz w:val="24"/>
          <w:szCs w:val="24"/>
        </w:rPr>
        <w:t>often very important</w:t>
      </w:r>
      <w:r w:rsidRPr="001E61CF">
        <w:rPr>
          <w:sz w:val="24"/>
          <w:szCs w:val="24"/>
        </w:rPr>
        <w:t xml:space="preserve"> </w:t>
      </w:r>
      <w:r>
        <w:rPr>
          <w:sz w:val="24"/>
          <w:szCs w:val="24"/>
        </w:rPr>
        <w:t xml:space="preserve">in </w:t>
      </w:r>
      <w:r w:rsidRPr="001E61CF">
        <w:rPr>
          <w:sz w:val="24"/>
          <w:szCs w:val="24"/>
        </w:rPr>
        <w:t xml:space="preserve">any investigation </w:t>
      </w:r>
      <w:r>
        <w:rPr>
          <w:sz w:val="24"/>
          <w:szCs w:val="24"/>
        </w:rPr>
        <w:t xml:space="preserve">and can </w:t>
      </w:r>
      <w:r w:rsidRPr="001E61CF">
        <w:rPr>
          <w:sz w:val="24"/>
          <w:szCs w:val="24"/>
        </w:rPr>
        <w:t>influence both the quality and quantity of information gained</w:t>
      </w:r>
      <w:r>
        <w:rPr>
          <w:sz w:val="24"/>
          <w:szCs w:val="24"/>
        </w:rPr>
        <w:t xml:space="preserve"> (</w:t>
      </w:r>
      <w:r w:rsidRPr="001E61CF">
        <w:rPr>
          <w:sz w:val="24"/>
          <w:szCs w:val="24"/>
        </w:rPr>
        <w:t>Milne &amp; Bull, 2006</w:t>
      </w:r>
      <w:r>
        <w:rPr>
          <w:sz w:val="24"/>
          <w:szCs w:val="24"/>
        </w:rPr>
        <w:t>).</w:t>
      </w:r>
      <w:r w:rsidRPr="001E61CF">
        <w:rPr>
          <w:sz w:val="24"/>
          <w:szCs w:val="24"/>
        </w:rPr>
        <w:t xml:space="preserve"> </w:t>
      </w:r>
      <w:r>
        <w:rPr>
          <w:sz w:val="24"/>
          <w:szCs w:val="24"/>
        </w:rPr>
        <w:t>A</w:t>
      </w:r>
      <w:r w:rsidRPr="001E61CF">
        <w:rPr>
          <w:sz w:val="24"/>
          <w:szCs w:val="24"/>
        </w:rPr>
        <w:t xml:space="preserve"> </w:t>
      </w:r>
      <w:r>
        <w:rPr>
          <w:sz w:val="24"/>
          <w:szCs w:val="24"/>
        </w:rPr>
        <w:t>study conducted by</w:t>
      </w:r>
      <w:r w:rsidRPr="00713A6E">
        <w:rPr>
          <w:sz w:val="24"/>
          <w:szCs w:val="24"/>
        </w:rPr>
        <w:t xml:space="preserve"> </w:t>
      </w:r>
      <w:r w:rsidRPr="001E61CF">
        <w:rPr>
          <w:sz w:val="24"/>
          <w:szCs w:val="24"/>
        </w:rPr>
        <w:t xml:space="preserve">Dando, et al., </w:t>
      </w:r>
      <w:r>
        <w:rPr>
          <w:sz w:val="24"/>
          <w:szCs w:val="24"/>
        </w:rPr>
        <w:t>(</w:t>
      </w:r>
      <w:r w:rsidRPr="001E61CF">
        <w:rPr>
          <w:sz w:val="24"/>
          <w:szCs w:val="24"/>
        </w:rPr>
        <w:t>2009</w:t>
      </w:r>
      <w:r>
        <w:rPr>
          <w:sz w:val="24"/>
          <w:szCs w:val="24"/>
        </w:rPr>
        <w:t>),</w:t>
      </w:r>
      <w:r w:rsidRPr="001E61CF">
        <w:rPr>
          <w:sz w:val="24"/>
          <w:szCs w:val="24"/>
        </w:rPr>
        <w:t xml:space="preserve"> investigate</w:t>
      </w:r>
      <w:r>
        <w:rPr>
          <w:sz w:val="24"/>
          <w:szCs w:val="24"/>
        </w:rPr>
        <w:t>d</w:t>
      </w:r>
      <w:r w:rsidRPr="001E61CF">
        <w:rPr>
          <w:sz w:val="24"/>
          <w:szCs w:val="24"/>
        </w:rPr>
        <w:t xml:space="preserve"> novice police officers’ witness interview practices immediately post investigative interview training (known as PEACE) with reference to the eight Cognitive Interview (CI) components taught. </w:t>
      </w:r>
      <w:r>
        <w:rPr>
          <w:sz w:val="24"/>
          <w:szCs w:val="24"/>
        </w:rPr>
        <w:t xml:space="preserve">The research </w:t>
      </w:r>
      <w:r w:rsidRPr="001E61CF">
        <w:rPr>
          <w:sz w:val="24"/>
          <w:szCs w:val="24"/>
        </w:rPr>
        <w:t>suggest</w:t>
      </w:r>
      <w:r>
        <w:rPr>
          <w:sz w:val="24"/>
          <w:szCs w:val="24"/>
        </w:rPr>
        <w:t>ed</w:t>
      </w:r>
      <w:r w:rsidRPr="001E61CF">
        <w:rPr>
          <w:sz w:val="24"/>
          <w:szCs w:val="24"/>
        </w:rPr>
        <w:t xml:space="preserve"> that either the CI procedure currently taught to novice police officers is too complex at </w:t>
      </w:r>
      <w:r>
        <w:rPr>
          <w:sz w:val="24"/>
          <w:szCs w:val="24"/>
        </w:rPr>
        <w:t xml:space="preserve">this </w:t>
      </w:r>
      <w:r w:rsidRPr="001E61CF">
        <w:rPr>
          <w:sz w:val="24"/>
          <w:szCs w:val="24"/>
        </w:rPr>
        <w:t xml:space="preserve">early stage in their police career or that the current training may be insufficient to equip </w:t>
      </w:r>
      <w:r>
        <w:rPr>
          <w:sz w:val="24"/>
          <w:szCs w:val="24"/>
        </w:rPr>
        <w:t>these officers</w:t>
      </w:r>
      <w:r w:rsidRPr="001E61CF">
        <w:rPr>
          <w:sz w:val="24"/>
          <w:szCs w:val="24"/>
        </w:rPr>
        <w:t xml:space="preserve"> with the skills necessary to effectively apply the procedure (Dando, et al., 2009).</w:t>
      </w:r>
    </w:p>
    <w:p w14:paraId="0E1218A3" w14:textId="77777777" w:rsidR="00553FE3" w:rsidRDefault="00553FE3" w:rsidP="0FF883D4">
      <w:pPr>
        <w:ind w:right="237"/>
        <w:jc w:val="both"/>
        <w:rPr>
          <w:color w:val="000000" w:themeColor="text1"/>
          <w:sz w:val="24"/>
          <w:szCs w:val="24"/>
        </w:rPr>
      </w:pPr>
    </w:p>
    <w:p w14:paraId="474097FA" w14:textId="77777777" w:rsidR="00CB7825" w:rsidRPr="00E676F7" w:rsidRDefault="00CB7825" w:rsidP="00340E9A">
      <w:pPr>
        <w:ind w:right="237"/>
        <w:jc w:val="both"/>
        <w:rPr>
          <w:b/>
          <w:sz w:val="24"/>
          <w:szCs w:val="24"/>
        </w:rPr>
      </w:pPr>
    </w:p>
    <w:p w14:paraId="2A6E1BFC" w14:textId="53F4758D" w:rsidR="007F6135" w:rsidRPr="001E61CF" w:rsidRDefault="00046B52" w:rsidP="003C25BA">
      <w:pPr>
        <w:ind w:right="237"/>
        <w:rPr>
          <w:sz w:val="24"/>
          <w:szCs w:val="24"/>
        </w:rPr>
      </w:pPr>
      <w:r w:rsidRPr="00607260">
        <w:rPr>
          <w:sz w:val="24"/>
          <w:szCs w:val="24"/>
        </w:rPr>
        <w:t xml:space="preserve">A study conducted by Linden et al., </w:t>
      </w:r>
      <w:r w:rsidR="007F6135" w:rsidRPr="00607260">
        <w:rPr>
          <w:sz w:val="24"/>
          <w:szCs w:val="24"/>
        </w:rPr>
        <w:t xml:space="preserve">(2018) </w:t>
      </w:r>
      <w:r w:rsidR="003C25BA" w:rsidRPr="00607260">
        <w:rPr>
          <w:sz w:val="24"/>
          <w:szCs w:val="24"/>
        </w:rPr>
        <w:t>indicates that even if apprehended suspects are supposed to be presumed innocent until they</w:t>
      </w:r>
      <w:r w:rsidR="00F637B2" w:rsidRPr="00607260">
        <w:rPr>
          <w:sz w:val="24"/>
          <w:szCs w:val="24"/>
        </w:rPr>
        <w:t xml:space="preserve"> </w:t>
      </w:r>
      <w:r w:rsidR="003C25BA" w:rsidRPr="00607260">
        <w:rPr>
          <w:sz w:val="24"/>
          <w:szCs w:val="24"/>
        </w:rPr>
        <w:t xml:space="preserve">have been convicted, </w:t>
      </w:r>
      <w:r w:rsidR="00C25352">
        <w:rPr>
          <w:sz w:val="24"/>
          <w:szCs w:val="24"/>
        </w:rPr>
        <w:t xml:space="preserve">but states </w:t>
      </w:r>
      <w:r w:rsidR="003C25BA" w:rsidRPr="00607260">
        <w:rPr>
          <w:sz w:val="24"/>
          <w:szCs w:val="24"/>
        </w:rPr>
        <w:t xml:space="preserve">they are not. </w:t>
      </w:r>
      <w:r w:rsidR="007F6135" w:rsidRPr="00607260">
        <w:rPr>
          <w:sz w:val="24"/>
          <w:szCs w:val="24"/>
        </w:rPr>
        <w:t xml:space="preserve">The study </w:t>
      </w:r>
      <w:r w:rsidR="00C25352">
        <w:rPr>
          <w:sz w:val="24"/>
          <w:szCs w:val="24"/>
        </w:rPr>
        <w:t>indicates</w:t>
      </w:r>
      <w:r w:rsidR="003C25BA" w:rsidRPr="00607260">
        <w:rPr>
          <w:sz w:val="24"/>
          <w:szCs w:val="24"/>
        </w:rPr>
        <w:t xml:space="preserve"> </w:t>
      </w:r>
      <w:r w:rsidR="00C25352">
        <w:rPr>
          <w:sz w:val="24"/>
          <w:szCs w:val="24"/>
        </w:rPr>
        <w:t>that these</w:t>
      </w:r>
      <w:r w:rsidR="00F637B2" w:rsidRPr="00607260">
        <w:rPr>
          <w:sz w:val="24"/>
          <w:szCs w:val="24"/>
        </w:rPr>
        <w:t xml:space="preserve"> </w:t>
      </w:r>
      <w:r w:rsidR="003C25BA" w:rsidRPr="00607260">
        <w:rPr>
          <w:sz w:val="24"/>
          <w:szCs w:val="24"/>
        </w:rPr>
        <w:t>apprehensions</w:t>
      </w:r>
      <w:r w:rsidR="00C25352">
        <w:rPr>
          <w:sz w:val="24"/>
          <w:szCs w:val="24"/>
        </w:rPr>
        <w:t xml:space="preserve"> of guilt are common</w:t>
      </w:r>
      <w:r w:rsidR="003C25BA" w:rsidRPr="00607260">
        <w:rPr>
          <w:sz w:val="24"/>
          <w:szCs w:val="24"/>
        </w:rPr>
        <w:t xml:space="preserve">, </w:t>
      </w:r>
      <w:r w:rsidR="007F6135" w:rsidRPr="00607260">
        <w:rPr>
          <w:sz w:val="24"/>
          <w:szCs w:val="24"/>
        </w:rPr>
        <w:t>with the</w:t>
      </w:r>
      <w:r w:rsidR="003C25BA" w:rsidRPr="00607260">
        <w:rPr>
          <w:sz w:val="24"/>
          <w:szCs w:val="24"/>
        </w:rPr>
        <w:t xml:space="preserve"> results suggest</w:t>
      </w:r>
      <w:r w:rsidR="007F6135" w:rsidRPr="00607260">
        <w:rPr>
          <w:sz w:val="24"/>
          <w:szCs w:val="24"/>
        </w:rPr>
        <w:t>ing</w:t>
      </w:r>
      <w:r w:rsidR="003C25BA" w:rsidRPr="00607260">
        <w:rPr>
          <w:sz w:val="24"/>
          <w:szCs w:val="24"/>
        </w:rPr>
        <w:t xml:space="preserve"> that confirmation</w:t>
      </w:r>
      <w:r w:rsidR="00F637B2" w:rsidRPr="00607260">
        <w:rPr>
          <w:sz w:val="24"/>
          <w:szCs w:val="24"/>
        </w:rPr>
        <w:t xml:space="preserve"> </w:t>
      </w:r>
      <w:r w:rsidR="003C25BA" w:rsidRPr="00607260">
        <w:rPr>
          <w:sz w:val="24"/>
          <w:szCs w:val="24"/>
        </w:rPr>
        <w:t>bias is not necessarily the consequence of some specific and</w:t>
      </w:r>
      <w:r w:rsidR="00F637B2" w:rsidRPr="00607260">
        <w:rPr>
          <w:sz w:val="24"/>
          <w:szCs w:val="24"/>
        </w:rPr>
        <w:t xml:space="preserve"> </w:t>
      </w:r>
      <w:r w:rsidR="003C25BA" w:rsidRPr="00607260">
        <w:rPr>
          <w:sz w:val="24"/>
          <w:szCs w:val="24"/>
        </w:rPr>
        <w:t>relatively unusual circumstance such as a false confession</w:t>
      </w:r>
      <w:r w:rsidR="00C25352">
        <w:rPr>
          <w:sz w:val="24"/>
          <w:szCs w:val="24"/>
        </w:rPr>
        <w:t xml:space="preserve">, </w:t>
      </w:r>
      <w:r w:rsidR="003C25BA" w:rsidRPr="00607260">
        <w:rPr>
          <w:sz w:val="24"/>
          <w:szCs w:val="24"/>
        </w:rPr>
        <w:t>but far more common</w:t>
      </w:r>
      <w:r w:rsidR="007F6135" w:rsidRPr="00607260">
        <w:rPr>
          <w:sz w:val="24"/>
          <w:szCs w:val="24"/>
        </w:rPr>
        <w:t xml:space="preserve"> (Linden et al., 2018)</w:t>
      </w:r>
      <w:r w:rsidR="003C25BA" w:rsidRPr="00607260">
        <w:rPr>
          <w:sz w:val="24"/>
          <w:szCs w:val="24"/>
        </w:rPr>
        <w:t>. It is</w:t>
      </w:r>
      <w:r w:rsidR="00CB7825" w:rsidRPr="00607260">
        <w:rPr>
          <w:sz w:val="24"/>
          <w:szCs w:val="24"/>
        </w:rPr>
        <w:t xml:space="preserve"> </w:t>
      </w:r>
      <w:r w:rsidR="003C25BA" w:rsidRPr="00607260">
        <w:rPr>
          <w:sz w:val="24"/>
          <w:szCs w:val="24"/>
        </w:rPr>
        <w:t>therefore crucial that techniques for mitigating confirmation bias</w:t>
      </w:r>
      <w:r w:rsidR="00F637B2" w:rsidRPr="00607260">
        <w:rPr>
          <w:sz w:val="24"/>
          <w:szCs w:val="24"/>
        </w:rPr>
        <w:t xml:space="preserve"> </w:t>
      </w:r>
      <w:r w:rsidR="003C25BA" w:rsidRPr="00607260">
        <w:rPr>
          <w:sz w:val="24"/>
          <w:szCs w:val="24"/>
        </w:rPr>
        <w:t>after an apprehension, for example changing decision maker and</w:t>
      </w:r>
      <w:r w:rsidR="007F6135" w:rsidRPr="00607260">
        <w:rPr>
          <w:sz w:val="24"/>
          <w:szCs w:val="24"/>
        </w:rPr>
        <w:t xml:space="preserve"> </w:t>
      </w:r>
      <w:r w:rsidR="003C25BA" w:rsidRPr="00607260">
        <w:rPr>
          <w:sz w:val="24"/>
          <w:szCs w:val="24"/>
        </w:rPr>
        <w:t>reducing cognitive load, are further examined and adjusted to the</w:t>
      </w:r>
      <w:r w:rsidR="00607260">
        <w:rPr>
          <w:sz w:val="24"/>
          <w:szCs w:val="24"/>
        </w:rPr>
        <w:t xml:space="preserve"> </w:t>
      </w:r>
      <w:r w:rsidR="003C25BA" w:rsidRPr="00607260">
        <w:rPr>
          <w:sz w:val="24"/>
          <w:szCs w:val="24"/>
        </w:rPr>
        <w:t>conditions in real life criminal cases (Liden et al., 2018)</w:t>
      </w:r>
      <w:r w:rsidR="007F6135" w:rsidRPr="00607260">
        <w:rPr>
          <w:sz w:val="24"/>
          <w:szCs w:val="24"/>
        </w:rPr>
        <w:t xml:space="preserve">. </w:t>
      </w:r>
      <w:r w:rsidR="00713A6E" w:rsidRPr="001E61CF">
        <w:rPr>
          <w:sz w:val="24"/>
          <w:szCs w:val="24"/>
        </w:rPr>
        <w:t>With re</w:t>
      </w:r>
      <w:r w:rsidR="00713A6E">
        <w:rPr>
          <w:sz w:val="24"/>
          <w:szCs w:val="24"/>
        </w:rPr>
        <w:t>gard to the above, the introduction of the Police and Criminal Evidential Act 1983</w:t>
      </w:r>
      <w:r w:rsidR="00553FE3">
        <w:rPr>
          <w:sz w:val="24"/>
          <w:szCs w:val="24"/>
        </w:rPr>
        <w:t xml:space="preserve"> sought to improve the treatment of defendants and persons brought into police custody after the events of the Birmingham 6 and other miscarriages of justice (BBC, 2011). </w:t>
      </w:r>
      <w:r w:rsidR="00713A6E" w:rsidRPr="001E61CF">
        <w:rPr>
          <w:sz w:val="24"/>
          <w:szCs w:val="24"/>
        </w:rPr>
        <w:t>Suspects</w:t>
      </w:r>
      <w:r w:rsidR="00553FE3">
        <w:rPr>
          <w:sz w:val="24"/>
          <w:szCs w:val="24"/>
        </w:rPr>
        <w:t xml:space="preserve"> in</w:t>
      </w:r>
      <w:r w:rsidR="00713A6E" w:rsidRPr="001E61CF">
        <w:rPr>
          <w:sz w:val="24"/>
          <w:szCs w:val="24"/>
        </w:rPr>
        <w:t xml:space="preserve"> investigations also need to be provided with some level of support and should be treated fairly</w:t>
      </w:r>
      <w:r w:rsidR="00553FE3">
        <w:rPr>
          <w:sz w:val="24"/>
          <w:szCs w:val="24"/>
        </w:rPr>
        <w:t xml:space="preserve"> throughout. </w:t>
      </w:r>
    </w:p>
    <w:p w14:paraId="3CC1FF92" w14:textId="77777777" w:rsidR="007F6135" w:rsidRPr="001E61CF" w:rsidRDefault="007F6135" w:rsidP="003C25BA">
      <w:pPr>
        <w:ind w:right="237"/>
        <w:rPr>
          <w:sz w:val="24"/>
          <w:szCs w:val="24"/>
        </w:rPr>
      </w:pPr>
    </w:p>
    <w:p w14:paraId="4E1605BC" w14:textId="7531CAC6" w:rsidR="007F6135" w:rsidRPr="001E61CF" w:rsidRDefault="006075EB" w:rsidP="003C25BA">
      <w:pPr>
        <w:ind w:right="237"/>
        <w:rPr>
          <w:sz w:val="24"/>
          <w:szCs w:val="24"/>
        </w:rPr>
      </w:pPr>
      <w:r w:rsidRPr="001E61CF">
        <w:rPr>
          <w:sz w:val="24"/>
          <w:szCs w:val="24"/>
        </w:rPr>
        <w:t>Conclusions</w:t>
      </w:r>
    </w:p>
    <w:p w14:paraId="123D0B23" w14:textId="4AE10545" w:rsidR="00513697" w:rsidRPr="001E61CF" w:rsidRDefault="00513697" w:rsidP="003C25BA">
      <w:pPr>
        <w:ind w:right="237"/>
        <w:rPr>
          <w:sz w:val="24"/>
          <w:szCs w:val="24"/>
        </w:rPr>
      </w:pPr>
    </w:p>
    <w:p w14:paraId="359413D0" w14:textId="4AF7035A" w:rsidR="00513697" w:rsidRPr="001E61CF" w:rsidRDefault="00513697" w:rsidP="003C25BA">
      <w:pPr>
        <w:ind w:right="237"/>
        <w:rPr>
          <w:sz w:val="24"/>
          <w:szCs w:val="24"/>
        </w:rPr>
      </w:pPr>
      <w:r w:rsidRPr="001E61CF">
        <w:rPr>
          <w:sz w:val="24"/>
          <w:szCs w:val="24"/>
        </w:rPr>
        <w:lastRenderedPageBreak/>
        <w:t>Incidents of serious sexual assaults provide can prove to be complex and challenging for investigators to investigate. These complex investigations can take time to complete as it is important that investigators are thorough in order that all reasonable lines of enquiry are completed and enquires that</w:t>
      </w:r>
      <w:r w:rsidR="006377A6" w:rsidRPr="001E61CF">
        <w:rPr>
          <w:sz w:val="24"/>
          <w:szCs w:val="24"/>
        </w:rPr>
        <w:t xml:space="preserve"> point toward and away from the suspect are investigated.</w:t>
      </w:r>
      <w:r w:rsidR="00486FD7" w:rsidRPr="001E61CF">
        <w:rPr>
          <w:sz w:val="24"/>
          <w:szCs w:val="24"/>
        </w:rPr>
        <w:t xml:space="preserve"> It is also important that the actions in the initial stages of the investigation are completed and if required expedited where appropriate in order to progress the investigation and safeguard people and the community. </w:t>
      </w:r>
    </w:p>
    <w:p w14:paraId="01486C44" w14:textId="526E14A4" w:rsidR="00486FD7" w:rsidRPr="001E61CF" w:rsidRDefault="00486FD7" w:rsidP="003C25BA">
      <w:pPr>
        <w:ind w:right="237"/>
        <w:rPr>
          <w:sz w:val="24"/>
          <w:szCs w:val="24"/>
        </w:rPr>
      </w:pPr>
    </w:p>
    <w:p w14:paraId="641AAA4C" w14:textId="461AC484" w:rsidR="00486FD7" w:rsidRPr="001E61CF" w:rsidRDefault="00486FD7" w:rsidP="003C25BA">
      <w:pPr>
        <w:ind w:right="237"/>
        <w:rPr>
          <w:sz w:val="24"/>
          <w:szCs w:val="24"/>
        </w:rPr>
      </w:pPr>
      <w:r w:rsidRPr="001E61CF">
        <w:rPr>
          <w:sz w:val="24"/>
          <w:szCs w:val="24"/>
        </w:rPr>
        <w:t>Whilst conducting investigations</w:t>
      </w:r>
      <w:r w:rsidR="00424E1A" w:rsidRPr="001E61CF">
        <w:rPr>
          <w:sz w:val="24"/>
          <w:szCs w:val="24"/>
        </w:rPr>
        <w:t xml:space="preserve"> it is important for investigators to remain impartial and unbiased. There is research to suggest that there is a confirmation bias when criminal cases are being investigated which can lead to evidence being missed and even convictions being unsafe. This can lead to cases being dismissed at court, victims let </w:t>
      </w:r>
      <w:r w:rsidR="003743F9" w:rsidRPr="001E61CF">
        <w:rPr>
          <w:sz w:val="24"/>
          <w:szCs w:val="24"/>
        </w:rPr>
        <w:t>down, and perhaps even innocent people being convicted.</w:t>
      </w:r>
      <w:r w:rsidR="00424E1A" w:rsidRPr="001E61CF">
        <w:rPr>
          <w:sz w:val="24"/>
          <w:szCs w:val="24"/>
        </w:rPr>
        <w:t xml:space="preserve"> </w:t>
      </w:r>
      <w:r w:rsidR="003743F9" w:rsidRPr="001E61CF">
        <w:rPr>
          <w:sz w:val="24"/>
          <w:szCs w:val="24"/>
        </w:rPr>
        <w:t>I</w:t>
      </w:r>
      <w:r w:rsidR="00424E1A" w:rsidRPr="001E61CF">
        <w:rPr>
          <w:sz w:val="24"/>
          <w:szCs w:val="24"/>
        </w:rPr>
        <w:t xml:space="preserve">t is important to remember </w:t>
      </w:r>
      <w:r w:rsidR="003743F9" w:rsidRPr="001E61CF">
        <w:rPr>
          <w:sz w:val="24"/>
          <w:szCs w:val="24"/>
        </w:rPr>
        <w:t xml:space="preserve">however </w:t>
      </w:r>
      <w:r w:rsidR="00424E1A" w:rsidRPr="001E61CF">
        <w:rPr>
          <w:sz w:val="24"/>
          <w:szCs w:val="24"/>
        </w:rPr>
        <w:t xml:space="preserve">that </w:t>
      </w:r>
      <w:r w:rsidR="003743F9" w:rsidRPr="001E61CF">
        <w:rPr>
          <w:sz w:val="24"/>
          <w:szCs w:val="24"/>
        </w:rPr>
        <w:t xml:space="preserve">their remains </w:t>
      </w:r>
      <w:r w:rsidR="00424E1A" w:rsidRPr="001E61CF">
        <w:rPr>
          <w:sz w:val="24"/>
          <w:szCs w:val="24"/>
        </w:rPr>
        <w:t xml:space="preserve">legislation </w:t>
      </w:r>
      <w:r w:rsidR="003743F9" w:rsidRPr="001E61CF">
        <w:rPr>
          <w:sz w:val="24"/>
          <w:szCs w:val="24"/>
        </w:rPr>
        <w:t xml:space="preserve">in place </w:t>
      </w:r>
      <w:r w:rsidR="00424E1A" w:rsidRPr="001E61CF">
        <w:rPr>
          <w:sz w:val="24"/>
          <w:szCs w:val="24"/>
        </w:rPr>
        <w:t xml:space="preserve">that provides the legal framework </w:t>
      </w:r>
      <w:r w:rsidR="003743F9" w:rsidRPr="001E61CF">
        <w:rPr>
          <w:sz w:val="24"/>
          <w:szCs w:val="24"/>
        </w:rPr>
        <w:t xml:space="preserve">by which criminal investigators to abide by when conducting investigations, to ensure that all reasonable lines of enquiry are followed which point towards and away from the suspect. </w:t>
      </w:r>
    </w:p>
    <w:p w14:paraId="2B6DE7E8" w14:textId="32667ABC" w:rsidR="003743F9" w:rsidRPr="001E61CF" w:rsidRDefault="003743F9" w:rsidP="003C25BA">
      <w:pPr>
        <w:ind w:right="237"/>
        <w:rPr>
          <w:sz w:val="24"/>
          <w:szCs w:val="24"/>
        </w:rPr>
      </w:pPr>
    </w:p>
    <w:p w14:paraId="207F54C4" w14:textId="30D24FAE" w:rsidR="003743F9" w:rsidRPr="001E61CF" w:rsidRDefault="003743F9" w:rsidP="003C25BA">
      <w:pPr>
        <w:ind w:right="237"/>
        <w:rPr>
          <w:sz w:val="24"/>
          <w:szCs w:val="24"/>
        </w:rPr>
      </w:pPr>
      <w:r w:rsidRPr="001E61CF">
        <w:rPr>
          <w:sz w:val="24"/>
          <w:szCs w:val="24"/>
        </w:rPr>
        <w:t>Furthermore, in regard to providing support to victims, witnesses and suspects. Victims require support throughout the investigation process and in cases of serious sexual assaults may require numerous support agencies involvement to manage this. In providing support it can help to ensure victim remain on board with investigations which can help to secure convictions</w:t>
      </w:r>
      <w:r w:rsidR="002E4782" w:rsidRPr="001E61CF">
        <w:rPr>
          <w:sz w:val="24"/>
          <w:szCs w:val="24"/>
        </w:rPr>
        <w:t xml:space="preserve"> where cases would otherwise fail without the support of the victim. </w:t>
      </w:r>
    </w:p>
    <w:p w14:paraId="71FDE7A7" w14:textId="77777777" w:rsidR="006377A6" w:rsidRDefault="006377A6" w:rsidP="003C25BA">
      <w:pPr>
        <w:ind w:right="237"/>
      </w:pPr>
    </w:p>
    <w:p w14:paraId="6F9D384C" w14:textId="5BCF7E63" w:rsidR="006075EB" w:rsidRDefault="00FA01AF" w:rsidP="003C25BA">
      <w:pPr>
        <w:ind w:right="237"/>
      </w:pPr>
      <w:r>
        <w:t>WORD COUNT - 2130</w:t>
      </w:r>
    </w:p>
    <w:p w14:paraId="64FBA6D3" w14:textId="77777777" w:rsidR="00C25352" w:rsidRDefault="00C25352" w:rsidP="003C25BA">
      <w:pPr>
        <w:ind w:right="237"/>
      </w:pPr>
    </w:p>
    <w:p w14:paraId="592109FB" w14:textId="77777777" w:rsidR="007F6135" w:rsidRDefault="007F6135" w:rsidP="003C25BA">
      <w:pPr>
        <w:ind w:right="237"/>
      </w:pPr>
      <w:r>
        <w:t xml:space="preserve">References </w:t>
      </w:r>
    </w:p>
    <w:p w14:paraId="0F99643E" w14:textId="40696AC2" w:rsidR="007F6135" w:rsidRDefault="007F6135" w:rsidP="003C25BA">
      <w:pPr>
        <w:ind w:right="237"/>
      </w:pPr>
    </w:p>
    <w:p w14:paraId="75E579DE" w14:textId="72E2A5E0" w:rsidR="00AB16E7" w:rsidRPr="007F70CD" w:rsidRDefault="00AB16E7" w:rsidP="003C25BA">
      <w:pPr>
        <w:ind w:right="237"/>
        <w:rPr>
          <w:color w:val="auto"/>
        </w:rPr>
      </w:pPr>
      <w:r w:rsidRPr="007F70CD">
        <w:rPr>
          <w:color w:val="auto"/>
        </w:rPr>
        <w:t>BBC, by Lissaman</w:t>
      </w:r>
      <w:r w:rsidR="007F70CD" w:rsidRPr="007F70CD">
        <w:rPr>
          <w:color w:val="auto"/>
        </w:rPr>
        <w:t xml:space="preserve">, C. (2011). </w:t>
      </w:r>
      <w:r w:rsidR="007F70CD" w:rsidRPr="007F70CD">
        <w:rPr>
          <w:color w:val="auto"/>
        </w:rPr>
        <w:t>Birmingham Six 'were in the wrong place at the wrong time'</w:t>
      </w:r>
      <w:r w:rsidR="007F70CD" w:rsidRPr="007F70CD">
        <w:rPr>
          <w:color w:val="auto"/>
        </w:rPr>
        <w:t xml:space="preserve">. Available at: </w:t>
      </w:r>
      <w:r w:rsidR="007F70CD" w:rsidRPr="007F70CD">
        <w:rPr>
          <w:color w:val="auto"/>
        </w:rPr>
        <w:t>https://www.bbc.co.uk/news/uk-england-12664938</w:t>
      </w:r>
      <w:r w:rsidR="007F70CD" w:rsidRPr="007F70CD">
        <w:rPr>
          <w:color w:val="auto"/>
        </w:rPr>
        <w:t xml:space="preserve">. (Accessed: 08 May 2023). </w:t>
      </w:r>
    </w:p>
    <w:p w14:paraId="59C299F5" w14:textId="77777777" w:rsidR="007F70CD" w:rsidRPr="007F70CD" w:rsidRDefault="007F70CD" w:rsidP="003C25BA">
      <w:pPr>
        <w:ind w:right="237"/>
        <w:rPr>
          <w:color w:val="auto"/>
        </w:rPr>
      </w:pPr>
    </w:p>
    <w:p w14:paraId="27317669" w14:textId="0DAE8002" w:rsidR="00C60FC1" w:rsidRPr="007F70CD" w:rsidRDefault="00C60FC1" w:rsidP="003C25BA">
      <w:pPr>
        <w:ind w:right="237"/>
        <w:rPr>
          <w:color w:val="auto"/>
        </w:rPr>
      </w:pPr>
      <w:r w:rsidRPr="007F70CD">
        <w:rPr>
          <w:color w:val="auto"/>
        </w:rPr>
        <w:t>College of policing</w:t>
      </w:r>
      <w:r w:rsidR="00AB16E7" w:rsidRPr="007F70CD">
        <w:rPr>
          <w:color w:val="auto"/>
        </w:rPr>
        <w:t>. (</w:t>
      </w:r>
      <w:r w:rsidRPr="007F70CD">
        <w:rPr>
          <w:color w:val="auto"/>
        </w:rPr>
        <w:t>2023</w:t>
      </w:r>
      <w:r w:rsidR="00AB16E7" w:rsidRPr="007F70CD">
        <w:rPr>
          <w:color w:val="auto"/>
        </w:rPr>
        <w:t xml:space="preserve">). Investigation - Authorised Professional Practice. Available at:  </w:t>
      </w:r>
      <w:r w:rsidR="00AB16E7" w:rsidRPr="007F70CD">
        <w:rPr>
          <w:color w:val="auto"/>
        </w:rPr>
        <w:t>https://www.college.police.uk/app/investigation</w:t>
      </w:r>
      <w:r w:rsidR="00AB16E7" w:rsidRPr="007F70CD">
        <w:rPr>
          <w:color w:val="auto"/>
        </w:rPr>
        <w:t xml:space="preserve"> (Accessed: 28 April 2023)</w:t>
      </w:r>
    </w:p>
    <w:p w14:paraId="7A717868" w14:textId="6E252A03" w:rsidR="007F70CD" w:rsidRPr="007F70CD" w:rsidRDefault="007F70CD" w:rsidP="003C25BA">
      <w:pPr>
        <w:ind w:right="237"/>
        <w:rPr>
          <w:color w:val="auto"/>
        </w:rPr>
      </w:pPr>
    </w:p>
    <w:p w14:paraId="2A6E8759" w14:textId="7541B12B" w:rsidR="007F70CD" w:rsidRPr="007F70CD" w:rsidRDefault="007F70CD" w:rsidP="007F70CD">
      <w:pPr>
        <w:ind w:right="237"/>
        <w:rPr>
          <w:color w:val="auto"/>
          <w:shd w:val="clear" w:color="auto" w:fill="FFFFFF"/>
        </w:rPr>
      </w:pPr>
      <w:r w:rsidRPr="007F70CD">
        <w:rPr>
          <w:color w:val="auto"/>
          <w:shd w:val="clear" w:color="auto" w:fill="FFFFFF"/>
        </w:rPr>
        <w:t>Dando, C., Wilcock, R. &amp; Milne, R. (2009) The Cognitive Interview: novice police officers’ witness/victim interviewing practices. </w:t>
      </w:r>
      <w:r w:rsidRPr="007F70CD">
        <w:rPr>
          <w:i/>
          <w:iCs/>
          <w:color w:val="auto"/>
          <w:shd w:val="clear" w:color="auto" w:fill="FFFFFF"/>
        </w:rPr>
        <w:t>Psychology, crime &amp; law</w:t>
      </w:r>
      <w:r w:rsidRPr="007F70CD">
        <w:rPr>
          <w:color w:val="auto"/>
          <w:shd w:val="clear" w:color="auto" w:fill="FFFFFF"/>
        </w:rPr>
        <w:t>. 15 (8), 679–696. doi:10.1080/10683160802203963.</w:t>
      </w:r>
    </w:p>
    <w:p w14:paraId="22C9953A" w14:textId="007C099D" w:rsidR="007F70CD" w:rsidRDefault="007F70CD" w:rsidP="003C25BA">
      <w:pPr>
        <w:ind w:right="237"/>
        <w:rPr>
          <w:color w:val="auto"/>
          <w:shd w:val="clear" w:color="auto" w:fill="FFFFFF"/>
        </w:rPr>
      </w:pPr>
    </w:p>
    <w:p w14:paraId="2213885E" w14:textId="4F8ED53C" w:rsidR="00EB1579" w:rsidRDefault="00EB1579" w:rsidP="003C25BA">
      <w:pPr>
        <w:ind w:right="237"/>
        <w:rPr>
          <w:color w:val="auto"/>
          <w:shd w:val="clear" w:color="auto" w:fill="FFFFFF"/>
        </w:rPr>
      </w:pPr>
      <w:r w:rsidRPr="00EB1579">
        <w:rPr>
          <w:color w:val="auto"/>
          <w:shd w:val="clear" w:color="auto" w:fill="FFFFFF"/>
        </w:rPr>
        <w:t>Derakshan, N., &amp; Eysenck, M. W. (2009). Anxiety, processing efficiency, and cognitive performance: New developments from attentional control theory. European Psychologist, 14(2), 168–176. doi.org/10.1027/1016-9040.14.2.168</w:t>
      </w:r>
    </w:p>
    <w:p w14:paraId="5D7113B3" w14:textId="77777777" w:rsidR="00EB1579" w:rsidRPr="007F70CD" w:rsidRDefault="00EB1579" w:rsidP="00EB1579">
      <w:pPr>
        <w:ind w:right="237"/>
        <w:rPr>
          <w:color w:val="auto"/>
        </w:rPr>
      </w:pPr>
      <w:r w:rsidRPr="007F70CD">
        <w:rPr>
          <w:color w:val="auto"/>
        </w:rPr>
        <w:t xml:space="preserve">Dror, I. E., &amp; Cole, S. A. (2010). The vision in “blind” justice: Expert perception, judgment, and visual cognition in forensic pattern recognition. Psychonomic Bulletin &amp; Review, 17, 161–167. doi.org/10 .3758/PBR.17.2.161 </w:t>
      </w:r>
    </w:p>
    <w:p w14:paraId="35973B7C" w14:textId="77777777" w:rsidR="00EB1579" w:rsidRPr="007F70CD" w:rsidRDefault="00EB1579" w:rsidP="003C25BA">
      <w:pPr>
        <w:ind w:right="237"/>
        <w:rPr>
          <w:color w:val="auto"/>
          <w:shd w:val="clear" w:color="auto" w:fill="FFFFFF"/>
        </w:rPr>
      </w:pPr>
    </w:p>
    <w:p w14:paraId="6C09F9FB" w14:textId="77777777" w:rsidR="007F70CD" w:rsidRPr="007F70CD" w:rsidRDefault="007F70CD" w:rsidP="007F70CD">
      <w:pPr>
        <w:ind w:right="237"/>
        <w:rPr>
          <w:color w:val="auto"/>
        </w:rPr>
      </w:pPr>
      <w:r w:rsidRPr="007F70CD">
        <w:rPr>
          <w:color w:val="auto"/>
        </w:rPr>
        <w:t>Kassin, S., Dror, I., &amp; Kukucka, J. (2013). The forensic confirmation bias:</w:t>
      </w:r>
    </w:p>
    <w:p w14:paraId="4DD7D4C2" w14:textId="1BF8AA26" w:rsidR="007F70CD" w:rsidRDefault="007F70CD" w:rsidP="003C25BA">
      <w:pPr>
        <w:ind w:right="237"/>
        <w:rPr>
          <w:color w:val="auto"/>
        </w:rPr>
      </w:pPr>
      <w:r w:rsidRPr="007F70CD">
        <w:rPr>
          <w:color w:val="auto"/>
        </w:rPr>
        <w:t>Problems, perspectives, and proposed solution. Journal of Applied Research in Memory &amp; Cognition, 2, 42–52. doi.org/10.1016/j.jarmac.2013.01.001</w:t>
      </w:r>
    </w:p>
    <w:p w14:paraId="2DA43811" w14:textId="1007A9DD" w:rsidR="00EB1579" w:rsidRDefault="00EB1579" w:rsidP="003C25BA">
      <w:pPr>
        <w:ind w:right="237"/>
        <w:rPr>
          <w:color w:val="auto"/>
        </w:rPr>
      </w:pPr>
    </w:p>
    <w:p w14:paraId="110C33EB" w14:textId="08E2CB23" w:rsidR="00EB1579" w:rsidRPr="007F70CD" w:rsidRDefault="00EB1579" w:rsidP="003C25BA">
      <w:pPr>
        <w:ind w:right="237"/>
        <w:rPr>
          <w:color w:val="auto"/>
        </w:rPr>
      </w:pPr>
      <w:r w:rsidRPr="007F70CD">
        <w:rPr>
          <w:color w:val="auto"/>
        </w:rPr>
        <w:t>Kebbell, M. R., &amp; Milne, R. (1998). Police officers' perceptions of eyewitness performance in forensic investigations. The Journal of Social Psychology, 138(3), 323–330. doi.org/10.1080/00224549809600384</w:t>
      </w:r>
    </w:p>
    <w:p w14:paraId="2B51AC20" w14:textId="77777777" w:rsidR="00EB1579" w:rsidRDefault="00EB1579" w:rsidP="003C25BA">
      <w:pPr>
        <w:ind w:right="237"/>
        <w:rPr>
          <w:color w:val="auto"/>
        </w:rPr>
      </w:pPr>
    </w:p>
    <w:p w14:paraId="15F2B2DF" w14:textId="110E5233" w:rsidR="007F70CD" w:rsidRPr="007F70CD" w:rsidRDefault="00EB1579" w:rsidP="003C25BA">
      <w:pPr>
        <w:ind w:right="237"/>
        <w:rPr>
          <w:color w:val="auto"/>
        </w:rPr>
      </w:pPr>
      <w:r w:rsidRPr="00EB1579">
        <w:rPr>
          <w:color w:val="auto"/>
        </w:rPr>
        <w:lastRenderedPageBreak/>
        <w:t>Kieckhaefer,</w:t>
      </w:r>
      <w:r>
        <w:rPr>
          <w:color w:val="auto"/>
        </w:rPr>
        <w:t xml:space="preserve"> J. M.,</w:t>
      </w:r>
      <w:r w:rsidRPr="00EB1579">
        <w:rPr>
          <w:color w:val="auto"/>
        </w:rPr>
        <w:t xml:space="preserve"> Vallano</w:t>
      </w:r>
      <w:r>
        <w:rPr>
          <w:color w:val="auto"/>
        </w:rPr>
        <w:t>, J. P.,</w:t>
      </w:r>
      <w:r w:rsidRPr="00EB1579">
        <w:rPr>
          <w:color w:val="auto"/>
        </w:rPr>
        <w:t xml:space="preserve"> &amp; Compo</w:t>
      </w:r>
      <w:r>
        <w:rPr>
          <w:color w:val="auto"/>
        </w:rPr>
        <w:t>, N. S.</w:t>
      </w:r>
      <w:r w:rsidRPr="00EB1579">
        <w:rPr>
          <w:color w:val="auto"/>
        </w:rPr>
        <w:t xml:space="preserve"> (2014) Examining the positive effects of rapport building: When and why does rapport building benefit adult eyewitness memory?</w:t>
      </w:r>
      <w:r>
        <w:rPr>
          <w:color w:val="auto"/>
        </w:rPr>
        <w:t xml:space="preserve"> </w:t>
      </w:r>
      <w:r w:rsidRPr="00EB1579">
        <w:rPr>
          <w:color w:val="auto"/>
        </w:rPr>
        <w:t>Memory, 22:8, 1010-1023, DOI: 10.1080/09658211.2013.864313</w:t>
      </w:r>
    </w:p>
    <w:p w14:paraId="51CAA71C" w14:textId="77777777" w:rsidR="007F6135" w:rsidRPr="007F70CD" w:rsidRDefault="007F6135" w:rsidP="003C25BA">
      <w:pPr>
        <w:ind w:right="237"/>
        <w:rPr>
          <w:color w:val="auto"/>
        </w:rPr>
      </w:pPr>
    </w:p>
    <w:p w14:paraId="34AD62CF" w14:textId="34FB1950" w:rsidR="007F6135" w:rsidRPr="007F70CD" w:rsidRDefault="00EF0C3C" w:rsidP="003C25BA">
      <w:pPr>
        <w:ind w:right="237"/>
        <w:rPr>
          <w:color w:val="auto"/>
        </w:rPr>
      </w:pPr>
      <w:r w:rsidRPr="007F70CD">
        <w:rPr>
          <w:color w:val="auto"/>
          <w:shd w:val="clear" w:color="auto" w:fill="FFFFFF"/>
        </w:rPr>
        <w:t>Lidén, M., Gräns, M. &amp; Juslin, P. (2018) The Presumption of Guilt in Suspect Interrogations: Apprehension as a Trigger of Confirmation Bias and Debiasing Techniques B.D. McAuliff &amp; M.B. Kovera (eds.). </w:t>
      </w:r>
      <w:r w:rsidRPr="007F70CD">
        <w:rPr>
          <w:i/>
          <w:iCs/>
          <w:color w:val="auto"/>
          <w:shd w:val="clear" w:color="auto" w:fill="FFFFFF"/>
        </w:rPr>
        <w:t>Law and human behavior</w:t>
      </w:r>
      <w:r w:rsidRPr="007F70CD">
        <w:rPr>
          <w:color w:val="auto"/>
          <w:shd w:val="clear" w:color="auto" w:fill="FFFFFF"/>
        </w:rPr>
        <w:t>. 42 (4), 336–354. doi:10.1037/lhb0000287.</w:t>
      </w:r>
    </w:p>
    <w:p w14:paraId="04BEE0CA" w14:textId="77777777" w:rsidR="007F70CD" w:rsidRPr="007F70CD" w:rsidRDefault="007F70CD" w:rsidP="007F6135">
      <w:pPr>
        <w:ind w:right="237"/>
        <w:rPr>
          <w:color w:val="auto"/>
        </w:rPr>
      </w:pPr>
    </w:p>
    <w:p w14:paraId="7ECBD344" w14:textId="738EB525" w:rsidR="004F1A9A" w:rsidRPr="007F70CD" w:rsidRDefault="004F1A9A" w:rsidP="007F6135">
      <w:pPr>
        <w:ind w:right="237"/>
        <w:rPr>
          <w:color w:val="auto"/>
        </w:rPr>
      </w:pPr>
      <w:r w:rsidRPr="007F70CD">
        <w:rPr>
          <w:color w:val="auto"/>
        </w:rPr>
        <w:t>Milne R., Bull R. (2006). ‘Interviewing Victims of Crime, including Children and People with Intellectual Difficulties.’ In: Kebbel M. R., Davies G. M. (eds), Practical Psychology for Forensic Investigations. Chichester: Wiley.</w:t>
      </w:r>
    </w:p>
    <w:p w14:paraId="44C843E1" w14:textId="51E0D6E5" w:rsidR="007F70CD" w:rsidRPr="007F70CD" w:rsidRDefault="007F70CD" w:rsidP="007F6135">
      <w:pPr>
        <w:ind w:right="237"/>
        <w:rPr>
          <w:color w:val="auto"/>
        </w:rPr>
      </w:pPr>
    </w:p>
    <w:p w14:paraId="3584DA3F" w14:textId="0BCB8D65" w:rsidR="007F70CD" w:rsidRPr="007F70CD" w:rsidRDefault="007F70CD" w:rsidP="007F70CD">
      <w:pPr>
        <w:ind w:right="237"/>
        <w:rPr>
          <w:color w:val="auto"/>
        </w:rPr>
      </w:pPr>
      <w:r w:rsidRPr="007F70CD">
        <w:rPr>
          <w:color w:val="auto"/>
        </w:rPr>
        <w:t>Ministry of Justice</w:t>
      </w:r>
      <w:r w:rsidRPr="007F70CD">
        <w:rPr>
          <w:color w:val="auto"/>
        </w:rPr>
        <w:t xml:space="preserve"> (</w:t>
      </w:r>
      <w:r w:rsidRPr="007F70CD">
        <w:rPr>
          <w:color w:val="auto"/>
        </w:rPr>
        <w:t>2015</w:t>
      </w:r>
      <w:r w:rsidRPr="007F70CD">
        <w:rPr>
          <w:color w:val="auto"/>
        </w:rPr>
        <w:t xml:space="preserve">). </w:t>
      </w:r>
      <w:r w:rsidRPr="007F70CD">
        <w:rPr>
          <w:color w:val="auto"/>
        </w:rPr>
        <w:t>Criminal Procedure and Investigations Act 1996 (section 23(1))</w:t>
      </w:r>
      <w:r w:rsidRPr="007F70CD">
        <w:rPr>
          <w:color w:val="auto"/>
        </w:rPr>
        <w:t xml:space="preserve"> </w:t>
      </w:r>
      <w:r w:rsidRPr="007F70CD">
        <w:rPr>
          <w:color w:val="auto"/>
        </w:rPr>
        <w:t>Code of Practice</w:t>
      </w:r>
      <w:r w:rsidRPr="007F70CD">
        <w:rPr>
          <w:color w:val="auto"/>
        </w:rPr>
        <w:t xml:space="preserve">. </w:t>
      </w:r>
      <w:r w:rsidRPr="007F70CD">
        <w:rPr>
          <w:color w:val="auto"/>
        </w:rPr>
        <w:t>Revised in accordance with section 25(4) of the Criminal Procedure and Investigations Act 1996</w:t>
      </w:r>
      <w:r w:rsidRPr="007F70CD">
        <w:rPr>
          <w:color w:val="auto"/>
        </w:rPr>
        <w:t xml:space="preserve">. Available at: </w:t>
      </w:r>
      <w:r w:rsidRPr="007F70CD">
        <w:rPr>
          <w:color w:val="auto"/>
        </w:rPr>
        <w:t>https://www.gov.uk/government/publications/criminal-procedure-and-investigations-act-code-of-practice</w:t>
      </w:r>
      <w:r w:rsidRPr="007F70CD">
        <w:rPr>
          <w:color w:val="auto"/>
        </w:rPr>
        <w:t>. (Accessed 28 April 2023).</w:t>
      </w:r>
    </w:p>
    <w:p w14:paraId="1AFC055B" w14:textId="77777777" w:rsidR="007F70CD" w:rsidRPr="007F70CD" w:rsidRDefault="007F70CD" w:rsidP="007F70CD">
      <w:pPr>
        <w:ind w:right="237"/>
        <w:rPr>
          <w:color w:val="auto"/>
        </w:rPr>
      </w:pPr>
    </w:p>
    <w:p w14:paraId="028A1138" w14:textId="2F311E18" w:rsidR="007F70CD" w:rsidRPr="007F70CD" w:rsidRDefault="007F70CD" w:rsidP="007F6135">
      <w:pPr>
        <w:ind w:right="237"/>
        <w:rPr>
          <w:color w:val="auto"/>
          <w:shd w:val="clear" w:color="auto" w:fill="FFFFFF"/>
        </w:rPr>
      </w:pPr>
      <w:r w:rsidRPr="007F70CD">
        <w:rPr>
          <w:color w:val="auto"/>
          <w:shd w:val="clear" w:color="auto" w:fill="FFFFFF"/>
        </w:rPr>
        <w:t>Risan, P., Binder, P.-E. &amp; Milne, R.J. (2018) Establishing and Maintaining Rapport in Investigative Interviews of Traumatized Victims: A Qualitative Study. </w:t>
      </w:r>
      <w:r w:rsidRPr="007F70CD">
        <w:rPr>
          <w:i/>
          <w:iCs/>
          <w:color w:val="auto"/>
          <w:shd w:val="clear" w:color="auto" w:fill="FFFFFF"/>
        </w:rPr>
        <w:t>Policing: a journal of policy and practice</w:t>
      </w:r>
      <w:r w:rsidRPr="007F70CD">
        <w:rPr>
          <w:color w:val="auto"/>
          <w:shd w:val="clear" w:color="auto" w:fill="FFFFFF"/>
        </w:rPr>
        <w:t>. 12 (4), 372–387. doi:10.1093/police/pax031.</w:t>
      </w:r>
    </w:p>
    <w:p w14:paraId="0937A345" w14:textId="5A09E914" w:rsidR="004F1A9A" w:rsidRPr="007F70CD" w:rsidRDefault="004F1A9A" w:rsidP="007F6135">
      <w:pPr>
        <w:ind w:right="237"/>
        <w:rPr>
          <w:color w:val="auto"/>
        </w:rPr>
      </w:pPr>
    </w:p>
    <w:p w14:paraId="0407D30E" w14:textId="2743CA0C" w:rsidR="004F1A9A" w:rsidRPr="007F70CD" w:rsidRDefault="00553FE3" w:rsidP="004F1A9A">
      <w:pPr>
        <w:ind w:right="237"/>
        <w:rPr>
          <w:color w:val="auto"/>
        </w:rPr>
      </w:pPr>
      <w:r w:rsidRPr="007F70CD">
        <w:rPr>
          <w:color w:val="auto"/>
        </w:rPr>
        <w:t>V</w:t>
      </w:r>
      <w:r w:rsidR="004F1A9A" w:rsidRPr="007F70CD">
        <w:rPr>
          <w:color w:val="auto"/>
        </w:rPr>
        <w:t>an den Eeden, C. A. J., de Poot, C. J., &amp; van Koppen, P. J. (2016).</w:t>
      </w:r>
    </w:p>
    <w:p w14:paraId="493F835A" w14:textId="6AEAE907" w:rsidR="004F1A9A" w:rsidRPr="007F70CD" w:rsidRDefault="004F1A9A" w:rsidP="004F1A9A">
      <w:pPr>
        <w:ind w:right="237"/>
        <w:rPr>
          <w:color w:val="auto"/>
        </w:rPr>
      </w:pPr>
      <w:r w:rsidRPr="007F70CD">
        <w:rPr>
          <w:color w:val="auto"/>
        </w:rPr>
        <w:t>Forensic expectations: Investigating a crime scene with prior informa</w:t>
      </w:r>
      <w:r w:rsidRPr="007F70CD">
        <w:rPr>
          <w:color w:val="auto"/>
        </w:rPr>
        <w:t>tion. Science &amp; Justice, 56, 475– 481. doi.org/10.1016/j.scijus.2016.08.003</w:t>
      </w:r>
    </w:p>
    <w:p w14:paraId="2DEA865B" w14:textId="77777777" w:rsidR="004F1A9A" w:rsidRPr="007F70CD" w:rsidRDefault="004F1A9A" w:rsidP="004F1A9A">
      <w:pPr>
        <w:ind w:right="237"/>
        <w:rPr>
          <w:color w:val="auto"/>
        </w:rPr>
      </w:pPr>
    </w:p>
    <w:p w14:paraId="1C6E93E6" w14:textId="69AA5510" w:rsidR="00025650" w:rsidRPr="00E676F7" w:rsidRDefault="004F1A9A" w:rsidP="003C25BA">
      <w:pPr>
        <w:ind w:right="237"/>
      </w:pPr>
      <w:r w:rsidRPr="007F70CD">
        <w:rPr>
          <w:color w:val="auto"/>
        </w:rPr>
        <w:t>Wagenaar, W. A., van Koppen, P. J., &amp; Crombag, H. F. M. (1993). Anchored narratives: The psychology of criminal evidence. New York, NY: St. Martin’s Press.</w:t>
      </w:r>
      <w:r w:rsidR="00025650">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37BBD45" w:rsidR="0FF883D4" w:rsidRDefault="5CE196A1" w:rsidP="5CE196A1">
      <w:r w:rsidRPr="5CE196A1">
        <w:rPr>
          <w:rFonts w:eastAsia="Arial"/>
          <w:b/>
          <w:bCs/>
          <w:color w:val="000000" w:themeColor="text1"/>
          <w:sz w:val="24"/>
          <w:szCs w:val="24"/>
        </w:rPr>
        <w:t xml:space="preserve">Signed: </w:t>
      </w:r>
      <w:r w:rsidR="00CE0B04">
        <w:rPr>
          <w:rFonts w:eastAsia="Arial"/>
          <w:b/>
          <w:bCs/>
          <w:color w:val="000000" w:themeColor="text1"/>
          <w:sz w:val="24"/>
          <w:szCs w:val="24"/>
        </w:rPr>
        <w:t>Andrew Leonard</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BA6F1F3" w:rsidR="0FF883D4" w:rsidRPr="00CE0B04" w:rsidRDefault="5CE196A1" w:rsidP="00CE0B04">
      <w:pPr>
        <w:sectPr w:rsidR="0FF883D4" w:rsidRPr="00CE0B0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CE0B04">
        <w:t xml:space="preserve"> </w:t>
      </w:r>
      <w:r w:rsidR="00CE0B04">
        <w:rPr>
          <w:b/>
          <w:bCs/>
          <w:sz w:val="24"/>
          <w:szCs w:val="24"/>
          <w:lang w:eastAsia="zh-TW"/>
        </w:rPr>
        <w:t>25/01/2023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B3606" w14:textId="77777777" w:rsidR="003F2AAA" w:rsidRDefault="003F2A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80781" w14:textId="77777777" w:rsidR="003F2AAA" w:rsidRDefault="003F2A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4B088" w14:textId="77777777" w:rsidR="003F2AAA" w:rsidRDefault="003F2A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1DC72" w14:textId="77777777" w:rsidR="003F2AAA" w:rsidRDefault="003F2A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4479" w14:textId="77777777" w:rsidR="003F2AAA" w:rsidRDefault="003F2AAA">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EA26420A"/>
    <w:lvl w:ilvl="0" w:tplc="0854CB0A">
      <w:start w:val="1"/>
      <w:numFmt w:val="decimal"/>
      <w:lvlText w:val="%1."/>
      <w:lvlJc w:val="left"/>
      <w:pPr>
        <w:ind w:left="720" w:hanging="360"/>
      </w:pPr>
    </w:lvl>
    <w:lvl w:ilvl="1" w:tplc="B3C28650">
      <w:start w:val="1"/>
      <w:numFmt w:val="lowerLetter"/>
      <w:lvlText w:val="%2."/>
      <w:lvlJc w:val="left"/>
      <w:pPr>
        <w:ind w:left="1440" w:hanging="360"/>
      </w:pPr>
    </w:lvl>
    <w:lvl w:ilvl="2" w:tplc="2FFADDF8">
      <w:start w:val="1"/>
      <w:numFmt w:val="lowerRoman"/>
      <w:lvlText w:val="%3."/>
      <w:lvlJc w:val="right"/>
      <w:pPr>
        <w:ind w:left="2160" w:hanging="180"/>
      </w:pPr>
    </w:lvl>
    <w:lvl w:ilvl="3" w:tplc="FD4842E2">
      <w:start w:val="1"/>
      <w:numFmt w:val="decimal"/>
      <w:lvlText w:val="%4."/>
      <w:lvlJc w:val="left"/>
      <w:pPr>
        <w:ind w:left="2880" w:hanging="360"/>
      </w:pPr>
    </w:lvl>
    <w:lvl w:ilvl="4" w:tplc="31723B32">
      <w:start w:val="1"/>
      <w:numFmt w:val="lowerLetter"/>
      <w:lvlText w:val="%5."/>
      <w:lvlJc w:val="left"/>
      <w:pPr>
        <w:ind w:left="3600" w:hanging="360"/>
      </w:pPr>
    </w:lvl>
    <w:lvl w:ilvl="5" w:tplc="52A88B60">
      <w:start w:val="1"/>
      <w:numFmt w:val="lowerRoman"/>
      <w:lvlText w:val="%6."/>
      <w:lvlJc w:val="right"/>
      <w:pPr>
        <w:ind w:left="4320" w:hanging="180"/>
      </w:pPr>
    </w:lvl>
    <w:lvl w:ilvl="6" w:tplc="6CC2DCBA">
      <w:start w:val="1"/>
      <w:numFmt w:val="decimal"/>
      <w:lvlText w:val="%7."/>
      <w:lvlJc w:val="left"/>
      <w:pPr>
        <w:ind w:left="5040" w:hanging="360"/>
      </w:pPr>
    </w:lvl>
    <w:lvl w:ilvl="7" w:tplc="6B7013C0">
      <w:start w:val="1"/>
      <w:numFmt w:val="lowerLetter"/>
      <w:lvlText w:val="%8."/>
      <w:lvlJc w:val="left"/>
      <w:pPr>
        <w:ind w:left="5760" w:hanging="360"/>
      </w:pPr>
    </w:lvl>
    <w:lvl w:ilvl="8" w:tplc="25F4438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3C52F19"/>
    <w:multiLevelType w:val="hybridMultilevel"/>
    <w:tmpl w:val="0D8E77FE"/>
    <w:lvl w:ilvl="0" w:tplc="87C8A2B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43B04176"/>
    <w:lvl w:ilvl="0" w:tplc="BC9414AC">
      <w:start w:val="1"/>
      <w:numFmt w:val="decimal"/>
      <w:lvlText w:val="%1."/>
      <w:lvlJc w:val="left"/>
      <w:pPr>
        <w:ind w:left="720" w:hanging="360"/>
      </w:pPr>
    </w:lvl>
    <w:lvl w:ilvl="1" w:tplc="4E44EFA0">
      <w:start w:val="1"/>
      <w:numFmt w:val="decimal"/>
      <w:lvlText w:val="%2."/>
      <w:lvlJc w:val="left"/>
      <w:pPr>
        <w:ind w:left="1440" w:hanging="360"/>
      </w:pPr>
    </w:lvl>
    <w:lvl w:ilvl="2" w:tplc="634235C0">
      <w:start w:val="1"/>
      <w:numFmt w:val="lowerRoman"/>
      <w:lvlText w:val="%3."/>
      <w:lvlJc w:val="right"/>
      <w:pPr>
        <w:ind w:left="2160" w:hanging="180"/>
      </w:pPr>
    </w:lvl>
    <w:lvl w:ilvl="3" w:tplc="6B2AACFE">
      <w:start w:val="1"/>
      <w:numFmt w:val="decimal"/>
      <w:lvlText w:val="%4."/>
      <w:lvlJc w:val="left"/>
      <w:pPr>
        <w:ind w:left="2880" w:hanging="360"/>
      </w:pPr>
    </w:lvl>
    <w:lvl w:ilvl="4" w:tplc="13FAB970">
      <w:start w:val="1"/>
      <w:numFmt w:val="lowerLetter"/>
      <w:lvlText w:val="%5."/>
      <w:lvlJc w:val="left"/>
      <w:pPr>
        <w:ind w:left="3600" w:hanging="360"/>
      </w:pPr>
    </w:lvl>
    <w:lvl w:ilvl="5" w:tplc="9D1A5F2C">
      <w:start w:val="1"/>
      <w:numFmt w:val="lowerRoman"/>
      <w:lvlText w:val="%6."/>
      <w:lvlJc w:val="right"/>
      <w:pPr>
        <w:ind w:left="4320" w:hanging="180"/>
      </w:pPr>
    </w:lvl>
    <w:lvl w:ilvl="6" w:tplc="B1243B46">
      <w:start w:val="1"/>
      <w:numFmt w:val="decimal"/>
      <w:lvlText w:val="%7."/>
      <w:lvlJc w:val="left"/>
      <w:pPr>
        <w:ind w:left="5040" w:hanging="360"/>
      </w:pPr>
    </w:lvl>
    <w:lvl w:ilvl="7" w:tplc="5C8A931A">
      <w:start w:val="1"/>
      <w:numFmt w:val="lowerLetter"/>
      <w:lvlText w:val="%8."/>
      <w:lvlJc w:val="left"/>
      <w:pPr>
        <w:ind w:left="5760" w:hanging="360"/>
      </w:pPr>
    </w:lvl>
    <w:lvl w:ilvl="8" w:tplc="F330111E">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4457845">
    <w:abstractNumId w:val="48"/>
  </w:num>
  <w:num w:numId="2" w16cid:durableId="359167509">
    <w:abstractNumId w:val="10"/>
  </w:num>
  <w:num w:numId="3" w16cid:durableId="300810969">
    <w:abstractNumId w:val="1"/>
    <w:lvlOverride w:ilvl="0">
      <w:lvl w:ilvl="0">
        <w:start w:val="1"/>
        <w:numFmt w:val="bullet"/>
        <w:lvlText w:val=""/>
        <w:lvlJc w:val="left"/>
        <w:pPr>
          <w:ind w:left="720" w:hanging="360"/>
        </w:pPr>
        <w:rPr>
          <w:rFonts w:ascii="Symbol" w:hAnsi="Symbol" w:hint="default"/>
        </w:rPr>
      </w:lvl>
    </w:lvlOverride>
  </w:num>
  <w:num w:numId="4" w16cid:durableId="1992440900">
    <w:abstractNumId w:val="22"/>
  </w:num>
  <w:num w:numId="5" w16cid:durableId="1447970509">
    <w:abstractNumId w:val="45"/>
  </w:num>
  <w:num w:numId="6" w16cid:durableId="475142537">
    <w:abstractNumId w:val="47"/>
  </w:num>
  <w:num w:numId="7" w16cid:durableId="562372811">
    <w:abstractNumId w:val="34"/>
  </w:num>
  <w:num w:numId="8" w16cid:durableId="540870923">
    <w:abstractNumId w:val="32"/>
  </w:num>
  <w:num w:numId="9" w16cid:durableId="380789260">
    <w:abstractNumId w:val="29"/>
  </w:num>
  <w:num w:numId="10" w16cid:durableId="1849445109">
    <w:abstractNumId w:val="30"/>
  </w:num>
  <w:num w:numId="11" w16cid:durableId="1351712278">
    <w:abstractNumId w:val="9"/>
  </w:num>
  <w:num w:numId="12" w16cid:durableId="1468888471">
    <w:abstractNumId w:val="33"/>
  </w:num>
  <w:num w:numId="13" w16cid:durableId="1211574409">
    <w:abstractNumId w:val="17"/>
  </w:num>
  <w:num w:numId="14" w16cid:durableId="1945110936">
    <w:abstractNumId w:val="16"/>
  </w:num>
  <w:num w:numId="15" w16cid:durableId="1588952826">
    <w:abstractNumId w:val="26"/>
  </w:num>
  <w:num w:numId="16" w16cid:durableId="1767189905">
    <w:abstractNumId w:val="7"/>
  </w:num>
  <w:num w:numId="17" w16cid:durableId="992102941">
    <w:abstractNumId w:val="25"/>
  </w:num>
  <w:num w:numId="18" w16cid:durableId="1868785801">
    <w:abstractNumId w:val="15"/>
  </w:num>
  <w:num w:numId="19" w16cid:durableId="48774122">
    <w:abstractNumId w:val="13"/>
  </w:num>
  <w:num w:numId="20" w16cid:durableId="8891449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22062">
    <w:abstractNumId w:val="23"/>
  </w:num>
  <w:num w:numId="22" w16cid:durableId="1546061454">
    <w:abstractNumId w:val="18"/>
  </w:num>
  <w:num w:numId="23" w16cid:durableId="1320495857">
    <w:abstractNumId w:val="14"/>
  </w:num>
  <w:num w:numId="24" w16cid:durableId="1485589208">
    <w:abstractNumId w:val="11"/>
  </w:num>
  <w:num w:numId="25" w16cid:durableId="967049729">
    <w:abstractNumId w:val="27"/>
  </w:num>
  <w:num w:numId="26" w16cid:durableId="613245846">
    <w:abstractNumId w:val="19"/>
  </w:num>
  <w:num w:numId="27" w16cid:durableId="871765425">
    <w:abstractNumId w:val="40"/>
  </w:num>
  <w:num w:numId="28" w16cid:durableId="527183214">
    <w:abstractNumId w:val="35"/>
  </w:num>
  <w:num w:numId="29" w16cid:durableId="1399522574">
    <w:abstractNumId w:val="39"/>
  </w:num>
  <w:num w:numId="30" w16cid:durableId="507795034">
    <w:abstractNumId w:val="20"/>
  </w:num>
  <w:num w:numId="31" w16cid:durableId="673459089">
    <w:abstractNumId w:val="42"/>
  </w:num>
  <w:num w:numId="32" w16cid:durableId="1447193832">
    <w:abstractNumId w:val="31"/>
  </w:num>
  <w:num w:numId="33" w16cid:durableId="1178039759">
    <w:abstractNumId w:val="12"/>
  </w:num>
  <w:num w:numId="34" w16cid:durableId="1708217191">
    <w:abstractNumId w:val="44"/>
  </w:num>
  <w:num w:numId="35" w16cid:durableId="1044915176">
    <w:abstractNumId w:val="38"/>
  </w:num>
  <w:num w:numId="36" w16cid:durableId="494419657">
    <w:abstractNumId w:val="4"/>
  </w:num>
  <w:num w:numId="37" w16cid:durableId="875578295">
    <w:abstractNumId w:val="46"/>
  </w:num>
  <w:num w:numId="38" w16cid:durableId="1856000257">
    <w:abstractNumId w:val="41"/>
  </w:num>
  <w:num w:numId="39" w16cid:durableId="1572697407">
    <w:abstractNumId w:val="36"/>
  </w:num>
  <w:num w:numId="40" w16cid:durableId="1512572886">
    <w:abstractNumId w:val="37"/>
  </w:num>
  <w:num w:numId="41" w16cid:durableId="293801359">
    <w:abstractNumId w:val="3"/>
  </w:num>
  <w:num w:numId="42" w16cid:durableId="309747451">
    <w:abstractNumId w:val="5"/>
  </w:num>
  <w:num w:numId="43" w16cid:durableId="1216311940">
    <w:abstractNumId w:val="24"/>
  </w:num>
  <w:num w:numId="44" w16cid:durableId="367099272">
    <w:abstractNumId w:val="6"/>
  </w:num>
  <w:num w:numId="45" w16cid:durableId="1564556784">
    <w:abstractNumId w:val="2"/>
  </w:num>
  <w:num w:numId="46" w16cid:durableId="1314488180">
    <w:abstractNumId w:val="0"/>
  </w:num>
  <w:num w:numId="47" w16cid:durableId="1981962194">
    <w:abstractNumId w:val="21"/>
  </w:num>
  <w:num w:numId="48" w16cid:durableId="955256210">
    <w:abstractNumId w:val="28"/>
  </w:num>
  <w:num w:numId="49" w16cid:durableId="794905817">
    <w:abstractNumId w:val="49"/>
  </w:num>
  <w:num w:numId="50" w16cid:durableId="1533569726">
    <w:abstractNumId w:val="4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77C"/>
    <w:rsid w:val="00020EEC"/>
    <w:rsid w:val="00025650"/>
    <w:rsid w:val="00026FAB"/>
    <w:rsid w:val="000277D3"/>
    <w:rsid w:val="00027B1F"/>
    <w:rsid w:val="0003088B"/>
    <w:rsid w:val="000325D9"/>
    <w:rsid w:val="000330EB"/>
    <w:rsid w:val="000372B2"/>
    <w:rsid w:val="0004079F"/>
    <w:rsid w:val="00045B87"/>
    <w:rsid w:val="00045C07"/>
    <w:rsid w:val="00046B52"/>
    <w:rsid w:val="00055D43"/>
    <w:rsid w:val="00056FAC"/>
    <w:rsid w:val="00057751"/>
    <w:rsid w:val="000613D5"/>
    <w:rsid w:val="00062E39"/>
    <w:rsid w:val="000641F7"/>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58F"/>
    <w:rsid w:val="000C378F"/>
    <w:rsid w:val="000C6892"/>
    <w:rsid w:val="000C6FFE"/>
    <w:rsid w:val="000D0BB6"/>
    <w:rsid w:val="000E26B0"/>
    <w:rsid w:val="000E78AC"/>
    <w:rsid w:val="000F1599"/>
    <w:rsid w:val="000F1769"/>
    <w:rsid w:val="000F5C69"/>
    <w:rsid w:val="000F6196"/>
    <w:rsid w:val="000F7ECD"/>
    <w:rsid w:val="00102E64"/>
    <w:rsid w:val="0010312C"/>
    <w:rsid w:val="001040FA"/>
    <w:rsid w:val="00104AF6"/>
    <w:rsid w:val="00106DC7"/>
    <w:rsid w:val="00112391"/>
    <w:rsid w:val="00114F52"/>
    <w:rsid w:val="00117A14"/>
    <w:rsid w:val="0012135C"/>
    <w:rsid w:val="00130E83"/>
    <w:rsid w:val="001347F8"/>
    <w:rsid w:val="00136B87"/>
    <w:rsid w:val="00137BB5"/>
    <w:rsid w:val="00137E05"/>
    <w:rsid w:val="001447F6"/>
    <w:rsid w:val="001456C6"/>
    <w:rsid w:val="00147DE3"/>
    <w:rsid w:val="00150794"/>
    <w:rsid w:val="001608C4"/>
    <w:rsid w:val="00171418"/>
    <w:rsid w:val="00171CB2"/>
    <w:rsid w:val="00190913"/>
    <w:rsid w:val="001961CF"/>
    <w:rsid w:val="001A59BB"/>
    <w:rsid w:val="001A6A51"/>
    <w:rsid w:val="001A79C4"/>
    <w:rsid w:val="001B331A"/>
    <w:rsid w:val="001C0E74"/>
    <w:rsid w:val="001C6CEC"/>
    <w:rsid w:val="001D229F"/>
    <w:rsid w:val="001D6162"/>
    <w:rsid w:val="001E61CF"/>
    <w:rsid w:val="001E6FAD"/>
    <w:rsid w:val="001E7592"/>
    <w:rsid w:val="001F3878"/>
    <w:rsid w:val="001F4552"/>
    <w:rsid w:val="001F7D0E"/>
    <w:rsid w:val="002019EB"/>
    <w:rsid w:val="002030F2"/>
    <w:rsid w:val="00205051"/>
    <w:rsid w:val="00205B1B"/>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285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768"/>
    <w:rsid w:val="002C256A"/>
    <w:rsid w:val="002C496D"/>
    <w:rsid w:val="002D05EB"/>
    <w:rsid w:val="002D2F29"/>
    <w:rsid w:val="002D2FD3"/>
    <w:rsid w:val="002E125E"/>
    <w:rsid w:val="002E4782"/>
    <w:rsid w:val="002E5ACF"/>
    <w:rsid w:val="002E7017"/>
    <w:rsid w:val="002F44E3"/>
    <w:rsid w:val="002F4F6E"/>
    <w:rsid w:val="002F7CAE"/>
    <w:rsid w:val="003015C3"/>
    <w:rsid w:val="003035A9"/>
    <w:rsid w:val="0030698D"/>
    <w:rsid w:val="0031350A"/>
    <w:rsid w:val="00316815"/>
    <w:rsid w:val="003168CA"/>
    <w:rsid w:val="00321255"/>
    <w:rsid w:val="0032230D"/>
    <w:rsid w:val="00322A0B"/>
    <w:rsid w:val="00331ACD"/>
    <w:rsid w:val="00332F54"/>
    <w:rsid w:val="00335FC5"/>
    <w:rsid w:val="00340E9A"/>
    <w:rsid w:val="00350286"/>
    <w:rsid w:val="003516C0"/>
    <w:rsid w:val="00352E59"/>
    <w:rsid w:val="00354DBE"/>
    <w:rsid w:val="00355210"/>
    <w:rsid w:val="003555D5"/>
    <w:rsid w:val="00365DF9"/>
    <w:rsid w:val="0036668D"/>
    <w:rsid w:val="00372DB4"/>
    <w:rsid w:val="003743F9"/>
    <w:rsid w:val="0037490C"/>
    <w:rsid w:val="00375AF5"/>
    <w:rsid w:val="003761BD"/>
    <w:rsid w:val="003769F6"/>
    <w:rsid w:val="00385414"/>
    <w:rsid w:val="00390074"/>
    <w:rsid w:val="00394EC2"/>
    <w:rsid w:val="0039762B"/>
    <w:rsid w:val="003A0C37"/>
    <w:rsid w:val="003A1B6B"/>
    <w:rsid w:val="003A21B4"/>
    <w:rsid w:val="003A2F82"/>
    <w:rsid w:val="003A46C0"/>
    <w:rsid w:val="003A600E"/>
    <w:rsid w:val="003A6513"/>
    <w:rsid w:val="003B16C7"/>
    <w:rsid w:val="003C19F1"/>
    <w:rsid w:val="003C25BA"/>
    <w:rsid w:val="003C3E5D"/>
    <w:rsid w:val="003C4186"/>
    <w:rsid w:val="003C458C"/>
    <w:rsid w:val="003C5479"/>
    <w:rsid w:val="003C6185"/>
    <w:rsid w:val="003D0D2D"/>
    <w:rsid w:val="003D4710"/>
    <w:rsid w:val="003E16D7"/>
    <w:rsid w:val="003E197E"/>
    <w:rsid w:val="003F2AAA"/>
    <w:rsid w:val="004046F0"/>
    <w:rsid w:val="0040668F"/>
    <w:rsid w:val="00412677"/>
    <w:rsid w:val="00417925"/>
    <w:rsid w:val="00424E1A"/>
    <w:rsid w:val="00432243"/>
    <w:rsid w:val="004348AE"/>
    <w:rsid w:val="00435E9A"/>
    <w:rsid w:val="004376C0"/>
    <w:rsid w:val="0044115F"/>
    <w:rsid w:val="0044223A"/>
    <w:rsid w:val="004453CE"/>
    <w:rsid w:val="00446792"/>
    <w:rsid w:val="00446F80"/>
    <w:rsid w:val="00450C83"/>
    <w:rsid w:val="00451131"/>
    <w:rsid w:val="00451851"/>
    <w:rsid w:val="00453343"/>
    <w:rsid w:val="004608B9"/>
    <w:rsid w:val="00460ADB"/>
    <w:rsid w:val="00465947"/>
    <w:rsid w:val="004672C1"/>
    <w:rsid w:val="00470BB1"/>
    <w:rsid w:val="004718F7"/>
    <w:rsid w:val="00473153"/>
    <w:rsid w:val="004743AF"/>
    <w:rsid w:val="00482C17"/>
    <w:rsid w:val="00486FD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A9A"/>
    <w:rsid w:val="004F1E21"/>
    <w:rsid w:val="004F740D"/>
    <w:rsid w:val="004F7B8F"/>
    <w:rsid w:val="004F7CAC"/>
    <w:rsid w:val="00500748"/>
    <w:rsid w:val="005011D6"/>
    <w:rsid w:val="0050167A"/>
    <w:rsid w:val="005042F1"/>
    <w:rsid w:val="00510D6A"/>
    <w:rsid w:val="00513697"/>
    <w:rsid w:val="00513C7D"/>
    <w:rsid w:val="005169D1"/>
    <w:rsid w:val="00521123"/>
    <w:rsid w:val="00521221"/>
    <w:rsid w:val="00525010"/>
    <w:rsid w:val="00532B36"/>
    <w:rsid w:val="00536FA9"/>
    <w:rsid w:val="005414F4"/>
    <w:rsid w:val="00546187"/>
    <w:rsid w:val="005463F1"/>
    <w:rsid w:val="00553FE3"/>
    <w:rsid w:val="00557D77"/>
    <w:rsid w:val="00562EAA"/>
    <w:rsid w:val="00563B58"/>
    <w:rsid w:val="005640C4"/>
    <w:rsid w:val="00564C53"/>
    <w:rsid w:val="0056684C"/>
    <w:rsid w:val="00574A0C"/>
    <w:rsid w:val="00576E4C"/>
    <w:rsid w:val="0057780F"/>
    <w:rsid w:val="00581E0A"/>
    <w:rsid w:val="00582870"/>
    <w:rsid w:val="00586D89"/>
    <w:rsid w:val="0058789E"/>
    <w:rsid w:val="005916B8"/>
    <w:rsid w:val="00593D00"/>
    <w:rsid w:val="005A1B4C"/>
    <w:rsid w:val="005A1BA3"/>
    <w:rsid w:val="005A545C"/>
    <w:rsid w:val="005C1567"/>
    <w:rsid w:val="005C6CE5"/>
    <w:rsid w:val="005C76DE"/>
    <w:rsid w:val="005D2393"/>
    <w:rsid w:val="005D3F07"/>
    <w:rsid w:val="005D583E"/>
    <w:rsid w:val="005E13EA"/>
    <w:rsid w:val="005E53BD"/>
    <w:rsid w:val="005F5C93"/>
    <w:rsid w:val="00606E27"/>
    <w:rsid w:val="00607260"/>
    <w:rsid w:val="006075EB"/>
    <w:rsid w:val="006108C9"/>
    <w:rsid w:val="006137F8"/>
    <w:rsid w:val="00615C7E"/>
    <w:rsid w:val="0062158D"/>
    <w:rsid w:val="00630F39"/>
    <w:rsid w:val="006326D1"/>
    <w:rsid w:val="00632E0A"/>
    <w:rsid w:val="00633165"/>
    <w:rsid w:val="006339D7"/>
    <w:rsid w:val="00636B6C"/>
    <w:rsid w:val="006377A6"/>
    <w:rsid w:val="006431B2"/>
    <w:rsid w:val="006447DE"/>
    <w:rsid w:val="00647900"/>
    <w:rsid w:val="0065276E"/>
    <w:rsid w:val="006528E1"/>
    <w:rsid w:val="00654329"/>
    <w:rsid w:val="00654CEC"/>
    <w:rsid w:val="00655507"/>
    <w:rsid w:val="00663C92"/>
    <w:rsid w:val="006712A7"/>
    <w:rsid w:val="006733CC"/>
    <w:rsid w:val="00674FC2"/>
    <w:rsid w:val="0067595C"/>
    <w:rsid w:val="00677E42"/>
    <w:rsid w:val="00682334"/>
    <w:rsid w:val="00684B16"/>
    <w:rsid w:val="00694C00"/>
    <w:rsid w:val="00696F65"/>
    <w:rsid w:val="006A10E4"/>
    <w:rsid w:val="006A7A6D"/>
    <w:rsid w:val="006B5E67"/>
    <w:rsid w:val="006B6556"/>
    <w:rsid w:val="006C2EB5"/>
    <w:rsid w:val="006D18A3"/>
    <w:rsid w:val="006D5970"/>
    <w:rsid w:val="006E481E"/>
    <w:rsid w:val="006E795F"/>
    <w:rsid w:val="00700249"/>
    <w:rsid w:val="0070604C"/>
    <w:rsid w:val="007069CD"/>
    <w:rsid w:val="00710D69"/>
    <w:rsid w:val="007110E6"/>
    <w:rsid w:val="00711A70"/>
    <w:rsid w:val="00712E6F"/>
    <w:rsid w:val="00712E90"/>
    <w:rsid w:val="00713A6E"/>
    <w:rsid w:val="00713B7E"/>
    <w:rsid w:val="0071499F"/>
    <w:rsid w:val="00715DCD"/>
    <w:rsid w:val="007203DA"/>
    <w:rsid w:val="007204AE"/>
    <w:rsid w:val="007241B4"/>
    <w:rsid w:val="0072678F"/>
    <w:rsid w:val="00727C4C"/>
    <w:rsid w:val="00734809"/>
    <w:rsid w:val="0073644B"/>
    <w:rsid w:val="007406E1"/>
    <w:rsid w:val="00743E40"/>
    <w:rsid w:val="00745A6C"/>
    <w:rsid w:val="00751263"/>
    <w:rsid w:val="0075704F"/>
    <w:rsid w:val="00763B2D"/>
    <w:rsid w:val="00772924"/>
    <w:rsid w:val="00784EC4"/>
    <w:rsid w:val="007872F2"/>
    <w:rsid w:val="007874BC"/>
    <w:rsid w:val="007908E0"/>
    <w:rsid w:val="00793EB3"/>
    <w:rsid w:val="00794205"/>
    <w:rsid w:val="00797012"/>
    <w:rsid w:val="007A1F6A"/>
    <w:rsid w:val="007A7F71"/>
    <w:rsid w:val="007B0DE3"/>
    <w:rsid w:val="007B491F"/>
    <w:rsid w:val="007B5CB2"/>
    <w:rsid w:val="007B7191"/>
    <w:rsid w:val="007C1634"/>
    <w:rsid w:val="007C1D94"/>
    <w:rsid w:val="007C2879"/>
    <w:rsid w:val="007C6A87"/>
    <w:rsid w:val="007C705D"/>
    <w:rsid w:val="007D0A07"/>
    <w:rsid w:val="007D0C96"/>
    <w:rsid w:val="007D133D"/>
    <w:rsid w:val="007D1C4D"/>
    <w:rsid w:val="007D3EB4"/>
    <w:rsid w:val="007D3F16"/>
    <w:rsid w:val="007D78CC"/>
    <w:rsid w:val="007E5EFE"/>
    <w:rsid w:val="007F3F7E"/>
    <w:rsid w:val="007F5497"/>
    <w:rsid w:val="007F6135"/>
    <w:rsid w:val="007F70CD"/>
    <w:rsid w:val="00812501"/>
    <w:rsid w:val="00813CEC"/>
    <w:rsid w:val="0081534C"/>
    <w:rsid w:val="008171E4"/>
    <w:rsid w:val="00817CD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D53"/>
    <w:rsid w:val="0085230E"/>
    <w:rsid w:val="0085355E"/>
    <w:rsid w:val="008550A1"/>
    <w:rsid w:val="00861035"/>
    <w:rsid w:val="00861038"/>
    <w:rsid w:val="00865008"/>
    <w:rsid w:val="00866B50"/>
    <w:rsid w:val="00867109"/>
    <w:rsid w:val="008708F1"/>
    <w:rsid w:val="00880539"/>
    <w:rsid w:val="008859E8"/>
    <w:rsid w:val="0088737B"/>
    <w:rsid w:val="00892716"/>
    <w:rsid w:val="00893067"/>
    <w:rsid w:val="008933DE"/>
    <w:rsid w:val="00895FCE"/>
    <w:rsid w:val="00897F3E"/>
    <w:rsid w:val="008A1BA8"/>
    <w:rsid w:val="008A21B4"/>
    <w:rsid w:val="008A4576"/>
    <w:rsid w:val="008B0578"/>
    <w:rsid w:val="008B07DE"/>
    <w:rsid w:val="008B28E7"/>
    <w:rsid w:val="008C14C7"/>
    <w:rsid w:val="008C2FFB"/>
    <w:rsid w:val="008C6EEA"/>
    <w:rsid w:val="008D5813"/>
    <w:rsid w:val="008D634E"/>
    <w:rsid w:val="008D778A"/>
    <w:rsid w:val="008F22BD"/>
    <w:rsid w:val="009008BB"/>
    <w:rsid w:val="0090487C"/>
    <w:rsid w:val="009079BD"/>
    <w:rsid w:val="00912BD9"/>
    <w:rsid w:val="00916CFB"/>
    <w:rsid w:val="00920E5B"/>
    <w:rsid w:val="009249F8"/>
    <w:rsid w:val="00925098"/>
    <w:rsid w:val="00926436"/>
    <w:rsid w:val="00926636"/>
    <w:rsid w:val="0093018C"/>
    <w:rsid w:val="00932CCA"/>
    <w:rsid w:val="009544C0"/>
    <w:rsid w:val="00954FA4"/>
    <w:rsid w:val="00956AE9"/>
    <w:rsid w:val="00964CC6"/>
    <w:rsid w:val="00982059"/>
    <w:rsid w:val="00986E05"/>
    <w:rsid w:val="00991FDA"/>
    <w:rsid w:val="009927A1"/>
    <w:rsid w:val="0099774D"/>
    <w:rsid w:val="009A310E"/>
    <w:rsid w:val="009A5F3B"/>
    <w:rsid w:val="009B0B61"/>
    <w:rsid w:val="009B0D26"/>
    <w:rsid w:val="009B28C0"/>
    <w:rsid w:val="009B395A"/>
    <w:rsid w:val="009B7136"/>
    <w:rsid w:val="009B7806"/>
    <w:rsid w:val="009C3AC2"/>
    <w:rsid w:val="009D4365"/>
    <w:rsid w:val="009D4E3B"/>
    <w:rsid w:val="009D7BC9"/>
    <w:rsid w:val="009E0C5A"/>
    <w:rsid w:val="009E1982"/>
    <w:rsid w:val="009E4619"/>
    <w:rsid w:val="009E4D2C"/>
    <w:rsid w:val="009F0978"/>
    <w:rsid w:val="009F3AEC"/>
    <w:rsid w:val="00A00081"/>
    <w:rsid w:val="00A015F7"/>
    <w:rsid w:val="00A10D56"/>
    <w:rsid w:val="00A12AAE"/>
    <w:rsid w:val="00A16DD1"/>
    <w:rsid w:val="00A221AB"/>
    <w:rsid w:val="00A22441"/>
    <w:rsid w:val="00A23F3B"/>
    <w:rsid w:val="00A24406"/>
    <w:rsid w:val="00A25894"/>
    <w:rsid w:val="00A25F64"/>
    <w:rsid w:val="00A27CC2"/>
    <w:rsid w:val="00A3273B"/>
    <w:rsid w:val="00A3710E"/>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3A5"/>
    <w:rsid w:val="00A94C5E"/>
    <w:rsid w:val="00AA241A"/>
    <w:rsid w:val="00AA252C"/>
    <w:rsid w:val="00AA666E"/>
    <w:rsid w:val="00AB005E"/>
    <w:rsid w:val="00AB16E7"/>
    <w:rsid w:val="00AB5518"/>
    <w:rsid w:val="00AC01D4"/>
    <w:rsid w:val="00AC4A04"/>
    <w:rsid w:val="00AD336F"/>
    <w:rsid w:val="00AD3550"/>
    <w:rsid w:val="00AD3F92"/>
    <w:rsid w:val="00AE2564"/>
    <w:rsid w:val="00AE301F"/>
    <w:rsid w:val="00AE3302"/>
    <w:rsid w:val="00AE7077"/>
    <w:rsid w:val="00AF61C2"/>
    <w:rsid w:val="00AF6CC6"/>
    <w:rsid w:val="00B00184"/>
    <w:rsid w:val="00B011CD"/>
    <w:rsid w:val="00B0296A"/>
    <w:rsid w:val="00B12295"/>
    <w:rsid w:val="00B137BE"/>
    <w:rsid w:val="00B17FA0"/>
    <w:rsid w:val="00B24344"/>
    <w:rsid w:val="00B26769"/>
    <w:rsid w:val="00B31C91"/>
    <w:rsid w:val="00B34C13"/>
    <w:rsid w:val="00B3747F"/>
    <w:rsid w:val="00B43194"/>
    <w:rsid w:val="00B47734"/>
    <w:rsid w:val="00B50FBA"/>
    <w:rsid w:val="00B558EB"/>
    <w:rsid w:val="00B577D3"/>
    <w:rsid w:val="00B60466"/>
    <w:rsid w:val="00B6548F"/>
    <w:rsid w:val="00B7502A"/>
    <w:rsid w:val="00B77305"/>
    <w:rsid w:val="00B80343"/>
    <w:rsid w:val="00B80752"/>
    <w:rsid w:val="00B82CC2"/>
    <w:rsid w:val="00B84A89"/>
    <w:rsid w:val="00B92BEF"/>
    <w:rsid w:val="00B9689A"/>
    <w:rsid w:val="00BA074B"/>
    <w:rsid w:val="00BA1FFA"/>
    <w:rsid w:val="00BA2666"/>
    <w:rsid w:val="00BA2BD3"/>
    <w:rsid w:val="00BA7FF1"/>
    <w:rsid w:val="00BB06CB"/>
    <w:rsid w:val="00BB1CD3"/>
    <w:rsid w:val="00BB261F"/>
    <w:rsid w:val="00BB2887"/>
    <w:rsid w:val="00BB5EAA"/>
    <w:rsid w:val="00BB5F11"/>
    <w:rsid w:val="00BC0401"/>
    <w:rsid w:val="00BC04FA"/>
    <w:rsid w:val="00BC1C22"/>
    <w:rsid w:val="00BC344C"/>
    <w:rsid w:val="00BC460B"/>
    <w:rsid w:val="00BC5725"/>
    <w:rsid w:val="00BD30B1"/>
    <w:rsid w:val="00BE0F7B"/>
    <w:rsid w:val="00BE10C2"/>
    <w:rsid w:val="00BE1771"/>
    <w:rsid w:val="00BF1798"/>
    <w:rsid w:val="00BF6B4B"/>
    <w:rsid w:val="00BF7371"/>
    <w:rsid w:val="00C01D14"/>
    <w:rsid w:val="00C025B4"/>
    <w:rsid w:val="00C0275F"/>
    <w:rsid w:val="00C11F61"/>
    <w:rsid w:val="00C161FD"/>
    <w:rsid w:val="00C23F17"/>
    <w:rsid w:val="00C25352"/>
    <w:rsid w:val="00C26A95"/>
    <w:rsid w:val="00C26D0D"/>
    <w:rsid w:val="00C27C95"/>
    <w:rsid w:val="00C300D2"/>
    <w:rsid w:val="00C3270F"/>
    <w:rsid w:val="00C3278B"/>
    <w:rsid w:val="00C33375"/>
    <w:rsid w:val="00C34C23"/>
    <w:rsid w:val="00C35DC7"/>
    <w:rsid w:val="00C42005"/>
    <w:rsid w:val="00C44446"/>
    <w:rsid w:val="00C4664D"/>
    <w:rsid w:val="00C472AA"/>
    <w:rsid w:val="00C50A05"/>
    <w:rsid w:val="00C54AED"/>
    <w:rsid w:val="00C55B2F"/>
    <w:rsid w:val="00C5790B"/>
    <w:rsid w:val="00C60FC1"/>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B7825"/>
    <w:rsid w:val="00CC02F1"/>
    <w:rsid w:val="00CC11A6"/>
    <w:rsid w:val="00CC135E"/>
    <w:rsid w:val="00CD5D3F"/>
    <w:rsid w:val="00CE0B04"/>
    <w:rsid w:val="00CF1E90"/>
    <w:rsid w:val="00CF3DB3"/>
    <w:rsid w:val="00D052BC"/>
    <w:rsid w:val="00D07026"/>
    <w:rsid w:val="00D07BAB"/>
    <w:rsid w:val="00D11C62"/>
    <w:rsid w:val="00D14B45"/>
    <w:rsid w:val="00D22C8F"/>
    <w:rsid w:val="00D33491"/>
    <w:rsid w:val="00D33CED"/>
    <w:rsid w:val="00D37EEF"/>
    <w:rsid w:val="00D44F8E"/>
    <w:rsid w:val="00D44FD0"/>
    <w:rsid w:val="00D5733C"/>
    <w:rsid w:val="00D607EF"/>
    <w:rsid w:val="00D60F88"/>
    <w:rsid w:val="00D625E7"/>
    <w:rsid w:val="00D646BD"/>
    <w:rsid w:val="00D70239"/>
    <w:rsid w:val="00D71201"/>
    <w:rsid w:val="00D720C7"/>
    <w:rsid w:val="00D77A04"/>
    <w:rsid w:val="00D81D06"/>
    <w:rsid w:val="00D8309A"/>
    <w:rsid w:val="00D83FEB"/>
    <w:rsid w:val="00D8652C"/>
    <w:rsid w:val="00D86D4B"/>
    <w:rsid w:val="00D876E6"/>
    <w:rsid w:val="00DA1025"/>
    <w:rsid w:val="00DA22EC"/>
    <w:rsid w:val="00DA5860"/>
    <w:rsid w:val="00DB2767"/>
    <w:rsid w:val="00DC4729"/>
    <w:rsid w:val="00DE556F"/>
    <w:rsid w:val="00DF141C"/>
    <w:rsid w:val="00DF7E2A"/>
    <w:rsid w:val="00E03B6D"/>
    <w:rsid w:val="00E0649E"/>
    <w:rsid w:val="00E17160"/>
    <w:rsid w:val="00E35BEC"/>
    <w:rsid w:val="00E50821"/>
    <w:rsid w:val="00E50EF8"/>
    <w:rsid w:val="00E51F91"/>
    <w:rsid w:val="00E627C9"/>
    <w:rsid w:val="00E676F7"/>
    <w:rsid w:val="00E7086E"/>
    <w:rsid w:val="00E7374A"/>
    <w:rsid w:val="00E73C41"/>
    <w:rsid w:val="00E7598F"/>
    <w:rsid w:val="00E76F60"/>
    <w:rsid w:val="00E83D90"/>
    <w:rsid w:val="00E83F28"/>
    <w:rsid w:val="00E83F91"/>
    <w:rsid w:val="00E9107A"/>
    <w:rsid w:val="00E9133C"/>
    <w:rsid w:val="00E91F62"/>
    <w:rsid w:val="00E929FD"/>
    <w:rsid w:val="00E93240"/>
    <w:rsid w:val="00E9479B"/>
    <w:rsid w:val="00EA28F1"/>
    <w:rsid w:val="00EA4D48"/>
    <w:rsid w:val="00EB1579"/>
    <w:rsid w:val="00EB2173"/>
    <w:rsid w:val="00EB62E6"/>
    <w:rsid w:val="00ED1B30"/>
    <w:rsid w:val="00ED250E"/>
    <w:rsid w:val="00ED6535"/>
    <w:rsid w:val="00EE1AC1"/>
    <w:rsid w:val="00EE39D6"/>
    <w:rsid w:val="00EE413C"/>
    <w:rsid w:val="00EE52AD"/>
    <w:rsid w:val="00EF0C3C"/>
    <w:rsid w:val="00F01F92"/>
    <w:rsid w:val="00F029F2"/>
    <w:rsid w:val="00F10A08"/>
    <w:rsid w:val="00F139CF"/>
    <w:rsid w:val="00F15762"/>
    <w:rsid w:val="00F22AC5"/>
    <w:rsid w:val="00F23366"/>
    <w:rsid w:val="00F254D1"/>
    <w:rsid w:val="00F32B82"/>
    <w:rsid w:val="00F4043E"/>
    <w:rsid w:val="00F40CB5"/>
    <w:rsid w:val="00F41BBC"/>
    <w:rsid w:val="00F43B9D"/>
    <w:rsid w:val="00F444F0"/>
    <w:rsid w:val="00F50847"/>
    <w:rsid w:val="00F53F27"/>
    <w:rsid w:val="00F546D1"/>
    <w:rsid w:val="00F637B2"/>
    <w:rsid w:val="00F6513F"/>
    <w:rsid w:val="00F66272"/>
    <w:rsid w:val="00F6ACA0"/>
    <w:rsid w:val="00F709C0"/>
    <w:rsid w:val="00F709FF"/>
    <w:rsid w:val="00F77658"/>
    <w:rsid w:val="00F85786"/>
    <w:rsid w:val="00F8610A"/>
    <w:rsid w:val="00F927A1"/>
    <w:rsid w:val="00F92E4D"/>
    <w:rsid w:val="00F94392"/>
    <w:rsid w:val="00FA01AF"/>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24E"/>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it">
    <w:name w:val="hit"/>
    <w:basedOn w:val="DefaultParagraphFont"/>
    <w:rsid w:val="006137F8"/>
  </w:style>
  <w:style w:type="character" w:styleId="UnresolvedMention">
    <w:name w:val="Unresolved Mention"/>
    <w:basedOn w:val="DefaultParagraphFont"/>
    <w:uiPriority w:val="99"/>
    <w:semiHidden/>
    <w:unhideWhenUsed/>
    <w:rsid w:val="004F1A9A"/>
    <w:rPr>
      <w:color w:val="605E5C"/>
      <w:shd w:val="clear" w:color="auto" w:fill="E1DFDD"/>
    </w:rPr>
  </w:style>
  <w:style w:type="character" w:styleId="FollowedHyperlink">
    <w:name w:val="FollowedHyperlink"/>
    <w:basedOn w:val="DefaultParagraphFont"/>
    <w:uiPriority w:val="99"/>
    <w:semiHidden/>
    <w:unhideWhenUsed/>
    <w:rsid w:val="00553FE3"/>
    <w:rPr>
      <w:color w:val="954F72" w:themeColor="followedHyperlink"/>
      <w:u w:val="single"/>
    </w:rPr>
  </w:style>
  <w:style w:type="character" w:styleId="Emphasis">
    <w:name w:val="Emphasis"/>
    <w:basedOn w:val="DefaultParagraphFont"/>
    <w:uiPriority w:val="20"/>
    <w:qFormat/>
    <w:rsid w:val="007F70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7265137">
      <w:bodyDiv w:val="1"/>
      <w:marLeft w:val="0"/>
      <w:marRight w:val="0"/>
      <w:marTop w:val="0"/>
      <w:marBottom w:val="0"/>
      <w:divBdr>
        <w:top w:val="none" w:sz="0" w:space="0" w:color="auto"/>
        <w:left w:val="none" w:sz="0" w:space="0" w:color="auto"/>
        <w:bottom w:val="none" w:sz="0" w:space="0" w:color="auto"/>
        <w:right w:val="none" w:sz="0" w:space="0" w:color="auto"/>
      </w:divBdr>
      <w:divsChild>
        <w:div w:id="1074888434">
          <w:marLeft w:val="0"/>
          <w:marRight w:val="0"/>
          <w:marTop w:val="0"/>
          <w:marBottom w:val="0"/>
          <w:divBdr>
            <w:top w:val="none" w:sz="0" w:space="0" w:color="auto"/>
            <w:left w:val="none" w:sz="0" w:space="0" w:color="auto"/>
            <w:bottom w:val="none" w:sz="0" w:space="0" w:color="auto"/>
            <w:right w:val="none" w:sz="0" w:space="0" w:color="auto"/>
          </w:divBdr>
          <w:divsChild>
            <w:div w:id="589001494">
              <w:marLeft w:val="0"/>
              <w:marRight w:val="0"/>
              <w:marTop w:val="0"/>
              <w:marBottom w:val="0"/>
              <w:divBdr>
                <w:top w:val="none" w:sz="0" w:space="0" w:color="auto"/>
                <w:left w:val="none" w:sz="0" w:space="0" w:color="auto"/>
                <w:bottom w:val="none" w:sz="0" w:space="0" w:color="auto"/>
                <w:right w:val="none" w:sz="0" w:space="0" w:color="auto"/>
              </w:divBdr>
              <w:divsChild>
                <w:div w:id="145824824">
                  <w:marLeft w:val="0"/>
                  <w:marRight w:val="0"/>
                  <w:marTop w:val="0"/>
                  <w:marBottom w:val="0"/>
                  <w:divBdr>
                    <w:top w:val="none" w:sz="0" w:space="0" w:color="auto"/>
                    <w:left w:val="none" w:sz="0" w:space="0" w:color="auto"/>
                    <w:bottom w:val="none" w:sz="0" w:space="0" w:color="auto"/>
                    <w:right w:val="none" w:sz="0" w:space="0" w:color="auto"/>
                  </w:divBdr>
                  <w:divsChild>
                    <w:div w:id="140557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6693</TotalTime>
  <Pages>24</Pages>
  <Words>6758</Words>
  <Characters>38454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Leonard,Andrew swp8084</cp:lastModifiedBy>
  <cp:revision>22</cp:revision>
  <cp:lastPrinted>2014-08-26T08:55:00Z</cp:lastPrinted>
  <dcterms:created xsi:type="dcterms:W3CDTF">2023-01-25T14:49:00Z</dcterms:created>
  <dcterms:modified xsi:type="dcterms:W3CDTF">2023-05-08T16:57:00Z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