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3B46A4" w14:textId="77777777" w:rsidR="00C6554A" w:rsidRPr="008B5277" w:rsidRDefault="00DF4FF9" w:rsidP="008F564B">
      <w:pPr>
        <w:pStyle w:val="Photo"/>
        <w:jc w:val="left"/>
      </w:pPr>
      <w:bookmarkStart w:id="0" w:name="_Toc321147149"/>
      <w:bookmarkStart w:id="1" w:name="_Toc318188227"/>
      <w:bookmarkStart w:id="2" w:name="_Toc318188327"/>
      <w:bookmarkStart w:id="3" w:name="_Toc318189312"/>
      <w:bookmarkStart w:id="4" w:name="_Toc321147011"/>
      <w:r>
        <w:rPr>
          <w:noProof/>
        </w:rPr>
        <w:drawing>
          <wp:anchor distT="0" distB="0" distL="114300" distR="114300" simplePos="0" relativeHeight="251658240" behindDoc="1" locked="0" layoutInCell="1" allowOverlap="1" wp14:anchorId="3A0E4ECF" wp14:editId="0D4C0F76">
            <wp:simplePos x="0" y="0"/>
            <wp:positionH relativeFrom="margin">
              <wp:align>left</wp:align>
            </wp:positionH>
            <wp:positionV relativeFrom="paragraph">
              <wp:posOffset>0</wp:posOffset>
            </wp:positionV>
            <wp:extent cx="5422265" cy="3714750"/>
            <wp:effectExtent l="0" t="0" r="6985" b="0"/>
            <wp:wrapTight wrapText="bothSides">
              <wp:wrapPolygon edited="0">
                <wp:start x="0" y="0"/>
                <wp:lineTo x="0" y="21489"/>
                <wp:lineTo x="21552" y="21489"/>
                <wp:lineTo x="21552"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2265" cy="3714750"/>
                    </a:xfrm>
                    <a:prstGeom prst="rect">
                      <a:avLst/>
                    </a:prstGeom>
                    <a:noFill/>
                    <a:ln>
                      <a:noFill/>
                    </a:ln>
                  </pic:spPr>
                </pic:pic>
              </a:graphicData>
            </a:graphic>
            <wp14:sizeRelV relativeFrom="margin">
              <wp14:pctHeight>0</wp14:pctHeight>
            </wp14:sizeRelV>
          </wp:anchor>
        </w:drawing>
      </w:r>
    </w:p>
    <w:bookmarkEnd w:id="0"/>
    <w:bookmarkEnd w:id="1"/>
    <w:bookmarkEnd w:id="2"/>
    <w:bookmarkEnd w:id="3"/>
    <w:bookmarkEnd w:id="4"/>
    <w:p w14:paraId="7811E2E8" w14:textId="77777777" w:rsidR="00DF4FF9" w:rsidRDefault="00DF4FF9" w:rsidP="00DF4FF9">
      <w:pPr>
        <w:pStyle w:val="Title"/>
        <w:rPr>
          <w:color w:val="auto"/>
        </w:rPr>
      </w:pPr>
    </w:p>
    <w:p w14:paraId="613ADC9C" w14:textId="77777777" w:rsidR="00C6554A" w:rsidRPr="00D946AD" w:rsidRDefault="00DF4FF9" w:rsidP="00DF4FF9">
      <w:pPr>
        <w:pStyle w:val="Title"/>
        <w:rPr>
          <w:rFonts w:ascii="Arial" w:hAnsi="Arial" w:cs="Arial"/>
          <w:color w:val="auto"/>
        </w:rPr>
      </w:pPr>
      <w:r w:rsidRPr="00D946AD">
        <w:rPr>
          <w:rFonts w:ascii="Arial" w:hAnsi="Arial" w:cs="Arial"/>
          <w:color w:val="auto"/>
        </w:rPr>
        <w:t>Accounting for Leases</w:t>
      </w:r>
    </w:p>
    <w:p w14:paraId="2A2E301A" w14:textId="77777777" w:rsidR="00DF4FF9" w:rsidRPr="00D946AD" w:rsidRDefault="00DF4FF9" w:rsidP="00DF4FF9">
      <w:pPr>
        <w:pStyle w:val="Title"/>
        <w:rPr>
          <w:rFonts w:ascii="Arial" w:hAnsi="Arial" w:cs="Arial"/>
          <w:color w:val="auto"/>
        </w:rPr>
      </w:pPr>
    </w:p>
    <w:p w14:paraId="48F830B5" w14:textId="169A9950" w:rsidR="00C6554A" w:rsidRDefault="00DF4FF9" w:rsidP="00DF4FF9">
      <w:pPr>
        <w:pStyle w:val="ContactInfo"/>
      </w:pPr>
      <w:r w:rsidRPr="00D946AD">
        <w:rPr>
          <w:rFonts w:ascii="Arial" w:hAnsi="Arial" w:cs="Arial"/>
          <w:color w:val="auto"/>
        </w:rPr>
        <w:t>Ryan Price</w:t>
      </w:r>
      <w:r w:rsidR="00C6554A">
        <w:br w:type="page"/>
      </w:r>
    </w:p>
    <w:p w14:paraId="560D24F9" w14:textId="29841553" w:rsidR="00F776EA" w:rsidRDefault="007A5B82" w:rsidP="000C502E">
      <w:pPr>
        <w:pStyle w:val="Heading1"/>
        <w:rPr>
          <w:rFonts w:ascii="Arial" w:hAnsi="Arial" w:cs="Arial"/>
          <w:color w:val="auto"/>
          <w:u w:val="single"/>
        </w:rPr>
      </w:pPr>
      <w:r w:rsidRPr="007A5B82">
        <w:rPr>
          <w:rFonts w:ascii="Arial" w:hAnsi="Arial" w:cs="Arial"/>
          <w:color w:val="auto"/>
          <w:u w:val="single"/>
        </w:rPr>
        <w:lastRenderedPageBreak/>
        <w:t>Executive Summary</w:t>
      </w:r>
    </w:p>
    <w:p w14:paraId="12890C36" w14:textId="3F9374A0" w:rsidR="00F776EA" w:rsidRDefault="008E4A56" w:rsidP="008E4A56">
      <w:pPr>
        <w:pStyle w:val="ContactInfo"/>
        <w:jc w:val="left"/>
        <w:rPr>
          <w:rFonts w:ascii="Arial" w:hAnsi="Arial" w:cs="Arial"/>
          <w:color w:val="auto"/>
        </w:rPr>
      </w:pPr>
      <w:r w:rsidRPr="000C502E">
        <w:rPr>
          <w:rFonts w:ascii="Arial" w:hAnsi="Arial" w:cs="Arial"/>
          <w:color w:val="auto"/>
        </w:rPr>
        <w:t xml:space="preserve">This report </w:t>
      </w:r>
      <w:r w:rsidR="002376BC" w:rsidRPr="000C502E">
        <w:rPr>
          <w:rFonts w:ascii="Arial" w:hAnsi="Arial" w:cs="Arial"/>
          <w:color w:val="auto"/>
        </w:rPr>
        <w:t xml:space="preserve">starts by </w:t>
      </w:r>
      <w:r w:rsidRPr="000C502E">
        <w:rPr>
          <w:rFonts w:ascii="Arial" w:hAnsi="Arial" w:cs="Arial"/>
          <w:color w:val="auto"/>
        </w:rPr>
        <w:t>discuss</w:t>
      </w:r>
      <w:r w:rsidR="002376BC" w:rsidRPr="000C502E">
        <w:rPr>
          <w:rFonts w:ascii="Arial" w:hAnsi="Arial" w:cs="Arial"/>
          <w:color w:val="auto"/>
        </w:rPr>
        <w:t>ing</w:t>
      </w:r>
      <w:r w:rsidRPr="000C502E">
        <w:rPr>
          <w:rFonts w:ascii="Arial" w:hAnsi="Arial" w:cs="Arial"/>
          <w:color w:val="auto"/>
        </w:rPr>
        <w:t xml:space="preserve"> how leases </w:t>
      </w:r>
      <w:r w:rsidR="008768E9" w:rsidRPr="000C502E">
        <w:rPr>
          <w:rFonts w:ascii="Arial" w:hAnsi="Arial" w:cs="Arial"/>
          <w:color w:val="auto"/>
        </w:rPr>
        <w:t>currently differentiate into finance leases and operating leases.</w:t>
      </w:r>
      <w:r w:rsidR="00BC5CB1" w:rsidRPr="000C502E">
        <w:rPr>
          <w:rFonts w:ascii="Arial" w:hAnsi="Arial" w:cs="Arial"/>
          <w:color w:val="auto"/>
        </w:rPr>
        <w:t xml:space="preserve"> It then goes onto discuss how both are accounted for whilst using sub</w:t>
      </w:r>
      <w:r w:rsidR="00ED720C" w:rsidRPr="000C502E">
        <w:rPr>
          <w:rFonts w:ascii="Arial" w:hAnsi="Arial" w:cs="Arial"/>
          <w:color w:val="auto"/>
        </w:rPr>
        <w:t>stance over form</w:t>
      </w:r>
      <w:r w:rsidR="00BC5CB1" w:rsidRPr="000C502E">
        <w:rPr>
          <w:rFonts w:ascii="Arial" w:hAnsi="Arial" w:cs="Arial"/>
          <w:color w:val="auto"/>
        </w:rPr>
        <w:t xml:space="preserve"> and then summarizes the current criticisms of IAS 17</w:t>
      </w:r>
      <w:r w:rsidR="00ED720C" w:rsidRPr="000C502E">
        <w:rPr>
          <w:rFonts w:ascii="Arial" w:hAnsi="Arial" w:cs="Arial"/>
          <w:color w:val="auto"/>
        </w:rPr>
        <w:t xml:space="preserve"> which are;</w:t>
      </w:r>
    </w:p>
    <w:p w14:paraId="16EE0574" w14:textId="77777777" w:rsidR="00426D48" w:rsidRPr="000C502E" w:rsidRDefault="00426D48" w:rsidP="008E4A56">
      <w:pPr>
        <w:pStyle w:val="ContactInfo"/>
        <w:jc w:val="left"/>
        <w:rPr>
          <w:rFonts w:ascii="Arial" w:hAnsi="Arial" w:cs="Arial"/>
          <w:color w:val="auto"/>
        </w:rPr>
      </w:pPr>
    </w:p>
    <w:p w14:paraId="1C51F663" w14:textId="21DB69FE" w:rsidR="00ED720C" w:rsidRPr="000C502E" w:rsidRDefault="00ED720C" w:rsidP="00ED720C">
      <w:pPr>
        <w:pStyle w:val="ContactInfo"/>
        <w:numPr>
          <w:ilvl w:val="0"/>
          <w:numId w:val="19"/>
        </w:numPr>
        <w:jc w:val="left"/>
        <w:rPr>
          <w:rFonts w:ascii="Arial" w:hAnsi="Arial" w:cs="Arial"/>
          <w:color w:val="auto"/>
        </w:rPr>
      </w:pPr>
      <w:r w:rsidRPr="000C502E">
        <w:rPr>
          <w:rFonts w:ascii="Arial" w:hAnsi="Arial" w:cs="Arial"/>
          <w:color w:val="auto"/>
        </w:rPr>
        <w:t>The significant difference in accounting between finance</w:t>
      </w:r>
      <w:r w:rsidR="00A67385" w:rsidRPr="000C502E">
        <w:rPr>
          <w:rFonts w:ascii="Arial" w:hAnsi="Arial" w:cs="Arial"/>
          <w:color w:val="auto"/>
        </w:rPr>
        <w:t xml:space="preserve"> and operating lease.</w:t>
      </w:r>
    </w:p>
    <w:p w14:paraId="797DFC3A" w14:textId="120A1DD5" w:rsidR="00A67385" w:rsidRPr="000C502E" w:rsidRDefault="00A67385" w:rsidP="00ED720C">
      <w:pPr>
        <w:pStyle w:val="ContactInfo"/>
        <w:numPr>
          <w:ilvl w:val="0"/>
          <w:numId w:val="19"/>
        </w:numPr>
        <w:jc w:val="left"/>
        <w:rPr>
          <w:rFonts w:ascii="Arial" w:hAnsi="Arial" w:cs="Arial"/>
          <w:color w:val="auto"/>
        </w:rPr>
      </w:pPr>
      <w:r w:rsidRPr="000C502E">
        <w:rPr>
          <w:rFonts w:ascii="Arial" w:hAnsi="Arial" w:cs="Arial"/>
          <w:color w:val="auto"/>
        </w:rPr>
        <w:t>The flexibility of recognition of an operating lease leading to misclassification</w:t>
      </w:r>
    </w:p>
    <w:p w14:paraId="2927351E" w14:textId="12E0E070" w:rsidR="00A67385" w:rsidRPr="000C502E" w:rsidRDefault="00101DAA" w:rsidP="00ED720C">
      <w:pPr>
        <w:pStyle w:val="ContactInfo"/>
        <w:numPr>
          <w:ilvl w:val="0"/>
          <w:numId w:val="19"/>
        </w:numPr>
        <w:jc w:val="left"/>
        <w:rPr>
          <w:rFonts w:ascii="Arial" w:hAnsi="Arial" w:cs="Arial"/>
          <w:color w:val="auto"/>
        </w:rPr>
      </w:pPr>
      <w:r w:rsidRPr="000C502E">
        <w:rPr>
          <w:rFonts w:ascii="Arial" w:hAnsi="Arial" w:cs="Arial"/>
          <w:color w:val="auto"/>
        </w:rPr>
        <w:t>Too complex and not transparent</w:t>
      </w:r>
    </w:p>
    <w:p w14:paraId="580EED05" w14:textId="5B2F925F" w:rsidR="00101DAA" w:rsidRPr="000C502E" w:rsidRDefault="00101DAA" w:rsidP="00ED720C">
      <w:pPr>
        <w:pStyle w:val="ContactInfo"/>
        <w:numPr>
          <w:ilvl w:val="0"/>
          <w:numId w:val="19"/>
        </w:numPr>
        <w:jc w:val="left"/>
        <w:rPr>
          <w:rFonts w:ascii="Arial" w:hAnsi="Arial" w:cs="Arial"/>
          <w:color w:val="auto"/>
        </w:rPr>
      </w:pPr>
      <w:r w:rsidRPr="000C502E">
        <w:rPr>
          <w:rFonts w:ascii="Arial" w:hAnsi="Arial" w:cs="Arial"/>
          <w:color w:val="auto"/>
        </w:rPr>
        <w:t>Does not comply with conceptual framework definitions.</w:t>
      </w:r>
    </w:p>
    <w:p w14:paraId="4B0F3BA0" w14:textId="226F3F4B" w:rsidR="00101DAA" w:rsidRPr="000C502E" w:rsidRDefault="00101DAA" w:rsidP="00101DAA">
      <w:pPr>
        <w:pStyle w:val="ContactInfo"/>
        <w:jc w:val="left"/>
        <w:rPr>
          <w:rFonts w:ascii="Arial" w:hAnsi="Arial" w:cs="Arial"/>
          <w:color w:val="auto"/>
        </w:rPr>
      </w:pPr>
    </w:p>
    <w:p w14:paraId="20DBF5BE" w14:textId="63F1629E" w:rsidR="00101DAA" w:rsidRPr="000C502E" w:rsidRDefault="00F02358" w:rsidP="00101DAA">
      <w:pPr>
        <w:pStyle w:val="ContactInfo"/>
        <w:jc w:val="left"/>
        <w:rPr>
          <w:rFonts w:ascii="Arial" w:hAnsi="Arial" w:cs="Arial"/>
          <w:color w:val="auto"/>
        </w:rPr>
      </w:pPr>
      <w:r w:rsidRPr="000C502E">
        <w:rPr>
          <w:rFonts w:ascii="Arial" w:hAnsi="Arial" w:cs="Arial"/>
          <w:color w:val="auto"/>
        </w:rPr>
        <w:t xml:space="preserve">The report then moves onto the replacement of IAS 17 which is IFRS 16, the report discusses how IFRS 16 </w:t>
      </w:r>
      <w:r w:rsidR="00783A02" w:rsidRPr="000C502E">
        <w:rPr>
          <w:rFonts w:ascii="Arial" w:hAnsi="Arial" w:cs="Arial"/>
          <w:color w:val="auto"/>
        </w:rPr>
        <w:t>will be accounted for and clearly identifies the impact the change of standard will have on the balance sheet and profit and loss account. Lastly, it discusses the</w:t>
      </w:r>
      <w:r w:rsidR="000C502E" w:rsidRPr="000C502E">
        <w:rPr>
          <w:rFonts w:ascii="Arial" w:hAnsi="Arial" w:cs="Arial"/>
          <w:color w:val="auto"/>
        </w:rPr>
        <w:t xml:space="preserve"> effects these changes will have on specific industries. </w:t>
      </w:r>
    </w:p>
    <w:p w14:paraId="368FDCE4" w14:textId="4819F90F" w:rsidR="00F776EA" w:rsidRDefault="00F776EA" w:rsidP="00DF4FF9">
      <w:pPr>
        <w:pStyle w:val="ContactInfo"/>
      </w:pPr>
    </w:p>
    <w:p w14:paraId="2774934F" w14:textId="3E4415E4" w:rsidR="00F776EA" w:rsidRDefault="00F776EA" w:rsidP="00DF4FF9">
      <w:pPr>
        <w:pStyle w:val="ContactInfo"/>
      </w:pPr>
    </w:p>
    <w:p w14:paraId="55089DA6" w14:textId="4694D0A1" w:rsidR="00F776EA" w:rsidRDefault="00F776EA" w:rsidP="00DF4FF9">
      <w:pPr>
        <w:pStyle w:val="ContactInfo"/>
      </w:pPr>
    </w:p>
    <w:p w14:paraId="56149CD5" w14:textId="6FD18A3E" w:rsidR="00F776EA" w:rsidRDefault="00F776EA" w:rsidP="00DF4FF9">
      <w:pPr>
        <w:pStyle w:val="ContactInfo"/>
      </w:pPr>
    </w:p>
    <w:p w14:paraId="54B157D2" w14:textId="3282F153" w:rsidR="00F776EA" w:rsidRDefault="00F776EA" w:rsidP="00DF4FF9">
      <w:pPr>
        <w:pStyle w:val="ContactInfo"/>
      </w:pPr>
    </w:p>
    <w:p w14:paraId="6470D56A" w14:textId="57B842A9" w:rsidR="00F776EA" w:rsidRDefault="00F776EA" w:rsidP="00DF4FF9">
      <w:pPr>
        <w:pStyle w:val="ContactInfo"/>
      </w:pPr>
    </w:p>
    <w:p w14:paraId="52E23099" w14:textId="4A6F4A4D" w:rsidR="00F776EA" w:rsidRDefault="00F776EA" w:rsidP="00DF4FF9">
      <w:pPr>
        <w:pStyle w:val="ContactInfo"/>
      </w:pPr>
    </w:p>
    <w:p w14:paraId="2A825B51" w14:textId="65F6091E" w:rsidR="00F776EA" w:rsidRDefault="00F776EA" w:rsidP="00DF4FF9">
      <w:pPr>
        <w:pStyle w:val="ContactInfo"/>
      </w:pPr>
    </w:p>
    <w:p w14:paraId="2AC8A3CF" w14:textId="6E4102DB" w:rsidR="00F776EA" w:rsidRDefault="00F776EA" w:rsidP="00DF4FF9">
      <w:pPr>
        <w:pStyle w:val="ContactInfo"/>
      </w:pPr>
    </w:p>
    <w:p w14:paraId="4F177069" w14:textId="514058DD" w:rsidR="00F776EA" w:rsidRDefault="00F776EA" w:rsidP="00DF4FF9">
      <w:pPr>
        <w:pStyle w:val="ContactInfo"/>
      </w:pPr>
    </w:p>
    <w:p w14:paraId="2C9E05A1" w14:textId="454AC82E" w:rsidR="00F776EA" w:rsidRDefault="00F776EA" w:rsidP="00DF4FF9">
      <w:pPr>
        <w:pStyle w:val="ContactInfo"/>
      </w:pPr>
    </w:p>
    <w:p w14:paraId="60EE6C9E" w14:textId="35C9D66C" w:rsidR="00F776EA" w:rsidRDefault="00F776EA" w:rsidP="00DF4FF9">
      <w:pPr>
        <w:pStyle w:val="ContactInfo"/>
      </w:pPr>
    </w:p>
    <w:p w14:paraId="1B33ABBA" w14:textId="284FC4C8" w:rsidR="00F776EA" w:rsidRDefault="00F776EA" w:rsidP="00DF4FF9">
      <w:pPr>
        <w:pStyle w:val="ContactInfo"/>
      </w:pPr>
    </w:p>
    <w:p w14:paraId="173CE7B4" w14:textId="16919CF7" w:rsidR="00F776EA" w:rsidRDefault="00F776EA" w:rsidP="00DF4FF9">
      <w:pPr>
        <w:pStyle w:val="ContactInfo"/>
      </w:pPr>
    </w:p>
    <w:p w14:paraId="6B3F6886" w14:textId="7A99D0BE" w:rsidR="00F776EA" w:rsidRDefault="00F776EA" w:rsidP="00DF4FF9">
      <w:pPr>
        <w:pStyle w:val="ContactInfo"/>
      </w:pPr>
    </w:p>
    <w:p w14:paraId="79E9F0CC" w14:textId="1EC7B1FB" w:rsidR="00F776EA" w:rsidRDefault="00F776EA" w:rsidP="00DF4FF9">
      <w:pPr>
        <w:pStyle w:val="ContactInfo"/>
      </w:pPr>
    </w:p>
    <w:p w14:paraId="6E03A500" w14:textId="1CDDE165" w:rsidR="00F776EA" w:rsidRDefault="00F776EA" w:rsidP="00DF4FF9">
      <w:pPr>
        <w:pStyle w:val="ContactInfo"/>
      </w:pPr>
    </w:p>
    <w:p w14:paraId="071CA4DB" w14:textId="70ED0BC5" w:rsidR="00F776EA" w:rsidRDefault="00F776EA" w:rsidP="00DF4FF9">
      <w:pPr>
        <w:pStyle w:val="ContactInfo"/>
      </w:pPr>
    </w:p>
    <w:p w14:paraId="50E976D5" w14:textId="2780A35F" w:rsidR="00F776EA" w:rsidRDefault="00F776EA" w:rsidP="00DF4FF9">
      <w:pPr>
        <w:pStyle w:val="ContactInfo"/>
      </w:pPr>
    </w:p>
    <w:p w14:paraId="0D082CC3" w14:textId="0DA9DFA1" w:rsidR="00F776EA" w:rsidRDefault="00F776EA" w:rsidP="00DF4FF9">
      <w:pPr>
        <w:pStyle w:val="ContactInfo"/>
      </w:pPr>
    </w:p>
    <w:p w14:paraId="48F4CC19" w14:textId="7246C627" w:rsidR="00F776EA" w:rsidRDefault="00F776EA" w:rsidP="00DF4FF9">
      <w:pPr>
        <w:pStyle w:val="ContactInfo"/>
      </w:pPr>
    </w:p>
    <w:p w14:paraId="202CB5AA" w14:textId="3A0774A1" w:rsidR="00F776EA" w:rsidRDefault="00F776EA" w:rsidP="00DF4FF9">
      <w:pPr>
        <w:pStyle w:val="ContactInfo"/>
      </w:pPr>
    </w:p>
    <w:p w14:paraId="4B121EB4" w14:textId="77777777" w:rsidR="00866052" w:rsidRDefault="00866052" w:rsidP="00DF4FF9">
      <w:pPr>
        <w:pStyle w:val="ContactInfo"/>
      </w:pPr>
    </w:p>
    <w:p w14:paraId="1C6B62A2" w14:textId="6E295A3B" w:rsidR="00F776EA" w:rsidRDefault="00F776EA" w:rsidP="00DF4FF9">
      <w:pPr>
        <w:pStyle w:val="ContactInfo"/>
      </w:pPr>
    </w:p>
    <w:p w14:paraId="43777E2C" w14:textId="77777777" w:rsidR="000C502E" w:rsidRDefault="000C502E" w:rsidP="00DF4FF9">
      <w:pPr>
        <w:pStyle w:val="ContactInfo"/>
      </w:pPr>
    </w:p>
    <w:p w14:paraId="4C199920" w14:textId="79C2F59C" w:rsidR="00F776EA" w:rsidRPr="00D946AD" w:rsidRDefault="008F564B" w:rsidP="00F776EA">
      <w:pPr>
        <w:pStyle w:val="Heading1"/>
        <w:rPr>
          <w:rFonts w:ascii="Arial" w:hAnsi="Arial" w:cs="Arial"/>
          <w:color w:val="auto"/>
          <w:u w:val="single"/>
        </w:rPr>
      </w:pPr>
      <w:r w:rsidRPr="00D946AD">
        <w:rPr>
          <w:rFonts w:ascii="Arial" w:hAnsi="Arial" w:cs="Arial"/>
          <w:color w:val="auto"/>
          <w:u w:val="single"/>
        </w:rPr>
        <w:lastRenderedPageBreak/>
        <w:t>How leases differentiate</w:t>
      </w:r>
    </w:p>
    <w:p w14:paraId="0CB1A884" w14:textId="77777777" w:rsidR="00F776EA" w:rsidRPr="00D946AD" w:rsidRDefault="00F776EA" w:rsidP="005E30DE">
      <w:pPr>
        <w:pStyle w:val="NormalWeb"/>
        <w:spacing w:before="0" w:beforeAutospacing="0" w:after="0" w:afterAutospacing="0"/>
        <w:rPr>
          <w:rFonts w:ascii="Arial" w:eastAsiaTheme="minorHAnsi" w:hAnsi="Arial" w:cs="Arial"/>
          <w:sz w:val="22"/>
          <w:szCs w:val="22"/>
          <w:lang w:val="en-US" w:eastAsia="en-US"/>
        </w:rPr>
      </w:pPr>
    </w:p>
    <w:p w14:paraId="35B31926" w14:textId="4FE1C981" w:rsidR="005E30DE" w:rsidRPr="00D946AD" w:rsidRDefault="005E30DE" w:rsidP="005E30DE">
      <w:pPr>
        <w:pStyle w:val="NormalWeb"/>
        <w:spacing w:before="0" w:beforeAutospacing="0"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The current standard that covers leasing is IAS 17</w:t>
      </w:r>
      <w:r w:rsidR="00602EC6">
        <w:rPr>
          <w:rFonts w:ascii="Arial" w:eastAsiaTheme="minorHAnsi" w:hAnsi="Arial" w:cs="Arial"/>
          <w:sz w:val="22"/>
          <w:szCs w:val="22"/>
          <w:lang w:val="en-US" w:eastAsia="en-US"/>
        </w:rPr>
        <w:t>.</w:t>
      </w:r>
      <w:r w:rsidRPr="00D946AD">
        <w:rPr>
          <w:rFonts w:ascii="Arial" w:eastAsiaTheme="minorHAnsi" w:hAnsi="Arial" w:cs="Arial"/>
          <w:sz w:val="22"/>
          <w:szCs w:val="22"/>
          <w:lang w:val="en-US" w:eastAsia="en-US"/>
        </w:rPr>
        <w:t xml:space="preserve"> </w:t>
      </w:r>
      <w:r w:rsidR="00602EC6">
        <w:rPr>
          <w:rFonts w:ascii="Arial" w:eastAsiaTheme="minorHAnsi" w:hAnsi="Arial" w:cs="Arial"/>
          <w:sz w:val="22"/>
          <w:szCs w:val="22"/>
          <w:lang w:val="en-US" w:eastAsia="en-US"/>
        </w:rPr>
        <w:t>IAS 17</w:t>
      </w:r>
      <w:r w:rsidR="00C85EDE" w:rsidRPr="00D946AD">
        <w:rPr>
          <w:rFonts w:ascii="Arial" w:eastAsiaTheme="minorHAnsi" w:hAnsi="Arial" w:cs="Arial"/>
          <w:sz w:val="22"/>
          <w:szCs w:val="22"/>
          <w:lang w:val="en-US" w:eastAsia="en-US"/>
        </w:rPr>
        <w:t xml:space="preserve"> </w:t>
      </w:r>
      <w:r w:rsidR="00602EC6">
        <w:rPr>
          <w:rFonts w:ascii="Arial" w:eastAsiaTheme="minorHAnsi" w:hAnsi="Arial" w:cs="Arial"/>
          <w:sz w:val="22"/>
          <w:szCs w:val="22"/>
          <w:lang w:val="en-US" w:eastAsia="en-US"/>
        </w:rPr>
        <w:t>divides</w:t>
      </w:r>
      <w:r w:rsidR="000A7A13" w:rsidRPr="00D946AD">
        <w:rPr>
          <w:rFonts w:ascii="Arial" w:eastAsiaTheme="minorHAnsi" w:hAnsi="Arial" w:cs="Arial"/>
          <w:sz w:val="22"/>
          <w:szCs w:val="22"/>
          <w:lang w:val="en-US" w:eastAsia="en-US"/>
        </w:rPr>
        <w:t xml:space="preserve"> leasing up into two types of leasing, finance leasing and operating lease</w:t>
      </w:r>
      <w:r w:rsidR="000A7A13">
        <w:rPr>
          <w:rFonts w:ascii="Arial" w:eastAsiaTheme="minorHAnsi" w:hAnsi="Arial" w:cs="Arial"/>
          <w:sz w:val="22"/>
          <w:szCs w:val="22"/>
          <w:lang w:val="en-US" w:eastAsia="en-US"/>
        </w:rPr>
        <w:t xml:space="preserve">. </w:t>
      </w:r>
    </w:p>
    <w:p w14:paraId="4A3A996C" w14:textId="5EB06771" w:rsidR="001C3B45" w:rsidRPr="00D946AD" w:rsidRDefault="005E30DE" w:rsidP="001C3B45">
      <w:pPr>
        <w:pStyle w:val="NormalWeb"/>
        <w:spacing w:before="0" w:beforeAutospacing="0" w:after="0" w:afterAutospacing="0"/>
        <w:ind w:firstLine="72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A finance lease is a lease that transfers substantially all the risks and rewards incidental to ownership of an asset to the lessee’ whereas ‘An operating lease is defined as being any lease other than a finance lease.’</w:t>
      </w:r>
      <w:sdt>
        <w:sdtPr>
          <w:rPr>
            <w:rFonts w:ascii="Arial" w:eastAsiaTheme="minorHAnsi" w:hAnsi="Arial" w:cs="Arial"/>
            <w:sz w:val="22"/>
            <w:szCs w:val="22"/>
            <w:lang w:val="en-US" w:eastAsia="en-US"/>
          </w:rPr>
          <w:id w:val="162901126"/>
          <w:citation/>
        </w:sdtPr>
        <w:sdtEndPr/>
        <w:sdtContent>
          <w:r w:rsidRPr="00D946AD">
            <w:rPr>
              <w:rFonts w:ascii="Arial" w:eastAsiaTheme="minorHAnsi" w:hAnsi="Arial" w:cs="Arial"/>
              <w:sz w:val="22"/>
              <w:szCs w:val="22"/>
              <w:lang w:val="en-US" w:eastAsia="en-US"/>
            </w:rPr>
            <w:fldChar w:fldCharType="begin"/>
          </w:r>
          <w:r w:rsidR="00AB6ADE">
            <w:rPr>
              <w:rFonts w:ascii="Arial" w:eastAsiaTheme="minorHAnsi" w:hAnsi="Arial" w:cs="Arial"/>
              <w:sz w:val="22"/>
              <w:szCs w:val="22"/>
              <w:lang w:val="en-US" w:eastAsia="en-US"/>
            </w:rPr>
            <w:instrText xml:space="preserve">CITATION Acc09 \l 2057 </w:instrText>
          </w:r>
          <w:r w:rsidRPr="00D946AD">
            <w:rPr>
              <w:rFonts w:ascii="Arial" w:eastAsiaTheme="minorHAnsi" w:hAnsi="Arial" w:cs="Arial"/>
              <w:sz w:val="22"/>
              <w:szCs w:val="22"/>
              <w:lang w:val="en-US" w:eastAsia="en-US"/>
            </w:rPr>
            <w:fldChar w:fldCharType="separate"/>
          </w:r>
          <w:r w:rsidR="005C372C">
            <w:rPr>
              <w:rFonts w:ascii="Arial" w:eastAsiaTheme="minorHAnsi" w:hAnsi="Arial" w:cs="Arial"/>
              <w:noProof/>
              <w:sz w:val="22"/>
              <w:szCs w:val="22"/>
              <w:lang w:val="en-US" w:eastAsia="en-US"/>
            </w:rPr>
            <w:t xml:space="preserve"> </w:t>
          </w:r>
          <w:r w:rsidR="005C372C" w:rsidRPr="005C372C">
            <w:rPr>
              <w:rFonts w:ascii="Arial" w:eastAsiaTheme="minorHAnsi" w:hAnsi="Arial" w:cs="Arial"/>
              <w:noProof/>
              <w:sz w:val="22"/>
              <w:szCs w:val="22"/>
              <w:lang w:val="en-US" w:eastAsia="en-US"/>
            </w:rPr>
            <w:t>(Retallack, 09)</w:t>
          </w:r>
          <w:r w:rsidRPr="00D946AD">
            <w:rPr>
              <w:rFonts w:ascii="Arial" w:eastAsiaTheme="minorHAnsi" w:hAnsi="Arial" w:cs="Arial"/>
              <w:sz w:val="22"/>
              <w:szCs w:val="22"/>
              <w:lang w:val="en-US" w:eastAsia="en-US"/>
            </w:rPr>
            <w:fldChar w:fldCharType="end"/>
          </w:r>
        </w:sdtContent>
      </w:sdt>
      <w:r w:rsidRPr="00D946AD">
        <w:rPr>
          <w:rFonts w:ascii="Arial" w:eastAsiaTheme="minorHAnsi" w:hAnsi="Arial" w:cs="Arial"/>
          <w:sz w:val="22"/>
          <w:szCs w:val="22"/>
          <w:lang w:val="en-US" w:eastAsia="en-US"/>
        </w:rPr>
        <w:t>.</w:t>
      </w:r>
    </w:p>
    <w:p w14:paraId="39F6DE5E" w14:textId="61B29DB0" w:rsidR="005E30DE" w:rsidRDefault="00315639" w:rsidP="005E30DE">
      <w:pPr>
        <w:pStyle w:val="NormalWeb"/>
        <w:spacing w:before="0" w:beforeAutospacing="0" w:after="0" w:afterAutospacing="0"/>
        <w:ind w:firstLine="720"/>
        <w:rPr>
          <w:rFonts w:ascii="Arial" w:eastAsiaTheme="minorHAnsi" w:hAnsi="Arial" w:cs="Arial"/>
          <w:sz w:val="22"/>
          <w:szCs w:val="22"/>
          <w:lang w:val="en-US" w:eastAsia="en-US"/>
        </w:rPr>
      </w:pPr>
      <w:r>
        <w:rPr>
          <w:rFonts w:ascii="Arial" w:eastAsiaTheme="minorHAnsi" w:hAnsi="Arial" w:cs="Arial"/>
          <w:sz w:val="22"/>
          <w:szCs w:val="22"/>
          <w:lang w:val="en-US" w:eastAsia="en-US"/>
        </w:rPr>
        <w:t>T</w:t>
      </w:r>
      <w:r w:rsidR="005E30DE" w:rsidRPr="00D946AD">
        <w:rPr>
          <w:rFonts w:ascii="Arial" w:eastAsiaTheme="minorHAnsi" w:hAnsi="Arial" w:cs="Arial"/>
          <w:sz w:val="22"/>
          <w:szCs w:val="22"/>
          <w:lang w:val="en-US" w:eastAsia="en-US"/>
        </w:rPr>
        <w:t xml:space="preserve">o classify the </w:t>
      </w:r>
      <w:r w:rsidR="00D03FA9" w:rsidRPr="00D946AD">
        <w:rPr>
          <w:rFonts w:ascii="Arial" w:eastAsiaTheme="minorHAnsi" w:hAnsi="Arial" w:cs="Arial"/>
          <w:sz w:val="22"/>
          <w:szCs w:val="22"/>
          <w:lang w:val="en-US" w:eastAsia="en-US"/>
        </w:rPr>
        <w:t>lease,</w:t>
      </w:r>
      <w:r w:rsidR="005E30DE" w:rsidRPr="00D946AD">
        <w:rPr>
          <w:rFonts w:ascii="Arial" w:eastAsiaTheme="minorHAnsi" w:hAnsi="Arial" w:cs="Arial"/>
          <w:sz w:val="22"/>
          <w:szCs w:val="22"/>
          <w:lang w:val="en-US" w:eastAsia="en-US"/>
        </w:rPr>
        <w:t xml:space="preserve"> you must look at the information provided</w:t>
      </w:r>
      <w:r w:rsidR="00D03FA9">
        <w:rPr>
          <w:rFonts w:ascii="Arial" w:eastAsiaTheme="minorHAnsi" w:hAnsi="Arial" w:cs="Arial"/>
          <w:sz w:val="22"/>
          <w:szCs w:val="22"/>
          <w:lang w:val="en-US" w:eastAsia="en-US"/>
        </w:rPr>
        <w:t xml:space="preserve"> </w:t>
      </w:r>
      <w:r w:rsidR="005E30DE" w:rsidRPr="00D946AD">
        <w:rPr>
          <w:rFonts w:ascii="Arial" w:eastAsiaTheme="minorHAnsi" w:hAnsi="Arial" w:cs="Arial"/>
          <w:sz w:val="22"/>
          <w:szCs w:val="22"/>
          <w:lang w:val="en-US" w:eastAsia="en-US"/>
        </w:rPr>
        <w:t>and decide if the risk and rewards are with the lessee or the lessor, if the risks and rewards lie with the lessee then it is</w:t>
      </w:r>
      <w:r w:rsidR="00FD5F74">
        <w:rPr>
          <w:rFonts w:ascii="Arial" w:eastAsiaTheme="minorHAnsi" w:hAnsi="Arial" w:cs="Arial"/>
          <w:sz w:val="22"/>
          <w:szCs w:val="22"/>
          <w:lang w:val="en-US" w:eastAsia="en-US"/>
        </w:rPr>
        <w:t xml:space="preserve"> </w:t>
      </w:r>
      <w:r w:rsidR="005E30DE" w:rsidRPr="00D946AD">
        <w:rPr>
          <w:rFonts w:ascii="Arial" w:eastAsiaTheme="minorHAnsi" w:hAnsi="Arial" w:cs="Arial"/>
          <w:sz w:val="22"/>
          <w:szCs w:val="22"/>
          <w:lang w:val="en-US" w:eastAsia="en-US"/>
        </w:rPr>
        <w:t>a finance lease, if the lessee does not take on the risks and rewards, then the lease is an operating lease. Just for context, a traditional finance lease example would be a vehicle lease. An operating lease example would be a landlord leasing a property to a tenant.</w:t>
      </w:r>
    </w:p>
    <w:p w14:paraId="346F4370" w14:textId="2B7AE778" w:rsidR="00857D70" w:rsidRPr="00D946AD" w:rsidRDefault="00857D70" w:rsidP="005E30DE">
      <w:pPr>
        <w:pStyle w:val="NormalWeb"/>
        <w:spacing w:before="0" w:beforeAutospacing="0" w:after="0" w:afterAutospacing="0"/>
        <w:ind w:firstLine="720"/>
        <w:rPr>
          <w:rFonts w:ascii="Arial" w:eastAsiaTheme="minorHAnsi" w:hAnsi="Arial" w:cs="Arial"/>
          <w:sz w:val="22"/>
          <w:szCs w:val="22"/>
          <w:lang w:val="en-US" w:eastAsia="en-US"/>
        </w:rPr>
      </w:pPr>
      <w:r>
        <w:rPr>
          <w:rFonts w:ascii="Arial" w:eastAsiaTheme="minorHAnsi" w:hAnsi="Arial" w:cs="Arial"/>
          <w:sz w:val="22"/>
          <w:szCs w:val="22"/>
          <w:lang w:val="en-US" w:eastAsia="en-US"/>
        </w:rPr>
        <w:t>W</w:t>
      </w:r>
      <w:r w:rsidRPr="00D946AD">
        <w:rPr>
          <w:rFonts w:ascii="Arial" w:eastAsiaTheme="minorHAnsi" w:hAnsi="Arial" w:cs="Arial"/>
          <w:sz w:val="22"/>
          <w:szCs w:val="22"/>
          <w:lang w:val="en-US" w:eastAsia="en-US"/>
        </w:rPr>
        <w:t>hen accounting for leases we must apply substance over form, this is because it is argued that by applying substance, the financial statements become more reliable and ensure that the lease is faithfully represented.</w:t>
      </w:r>
    </w:p>
    <w:p w14:paraId="368A5162" w14:textId="34525005" w:rsidR="00563096" w:rsidRPr="00D946AD" w:rsidRDefault="00563096" w:rsidP="00563096">
      <w:pPr>
        <w:pStyle w:val="NormalWeb"/>
        <w:spacing w:before="0" w:beforeAutospacing="0" w:after="0" w:afterAutospacing="0"/>
        <w:rPr>
          <w:rFonts w:ascii="Arial" w:eastAsiaTheme="minorHAnsi" w:hAnsi="Arial" w:cs="Arial"/>
          <w:sz w:val="22"/>
          <w:szCs w:val="22"/>
          <w:lang w:val="en-US" w:eastAsia="en-US"/>
        </w:rPr>
      </w:pPr>
    </w:p>
    <w:p w14:paraId="54D4A5D5" w14:textId="7922BAEB" w:rsidR="00563096" w:rsidRPr="00D946AD" w:rsidRDefault="00563096" w:rsidP="00563096">
      <w:pPr>
        <w:pStyle w:val="NormalWeb"/>
        <w:spacing w:before="0" w:beforeAutospacing="0" w:after="0" w:afterAutospacing="0"/>
        <w:rPr>
          <w:rFonts w:ascii="Arial" w:eastAsiaTheme="minorHAnsi" w:hAnsi="Arial" w:cs="Arial"/>
          <w:szCs w:val="22"/>
          <w:u w:val="single"/>
          <w:lang w:val="en-US" w:eastAsia="en-US"/>
        </w:rPr>
      </w:pPr>
      <w:r w:rsidRPr="00D946AD">
        <w:rPr>
          <w:rFonts w:ascii="Arial" w:eastAsiaTheme="minorHAnsi" w:hAnsi="Arial" w:cs="Arial"/>
          <w:szCs w:val="22"/>
          <w:u w:val="single"/>
          <w:lang w:val="en-US" w:eastAsia="en-US"/>
        </w:rPr>
        <w:t>Accounting for</w:t>
      </w:r>
      <w:r w:rsidR="00DB67E5" w:rsidRPr="00D946AD">
        <w:rPr>
          <w:rFonts w:ascii="Arial" w:eastAsiaTheme="minorHAnsi" w:hAnsi="Arial" w:cs="Arial"/>
          <w:szCs w:val="22"/>
          <w:u w:val="single"/>
          <w:lang w:val="en-US" w:eastAsia="en-US"/>
        </w:rPr>
        <w:t xml:space="preserve"> Financial and Operating</w:t>
      </w:r>
      <w:r w:rsidRPr="00D946AD">
        <w:rPr>
          <w:rFonts w:ascii="Arial" w:eastAsiaTheme="minorHAnsi" w:hAnsi="Arial" w:cs="Arial"/>
          <w:szCs w:val="22"/>
          <w:u w:val="single"/>
          <w:lang w:val="en-US" w:eastAsia="en-US"/>
        </w:rPr>
        <w:t xml:space="preserve"> </w:t>
      </w:r>
      <w:r w:rsidR="00DB67E5" w:rsidRPr="00D946AD">
        <w:rPr>
          <w:rFonts w:ascii="Arial" w:eastAsiaTheme="minorHAnsi" w:hAnsi="Arial" w:cs="Arial"/>
          <w:szCs w:val="22"/>
          <w:u w:val="single"/>
          <w:lang w:val="en-US" w:eastAsia="en-US"/>
        </w:rPr>
        <w:t>Leases</w:t>
      </w:r>
    </w:p>
    <w:p w14:paraId="1983D11F" w14:textId="77777777" w:rsidR="00DB67E5" w:rsidRPr="00D946AD" w:rsidRDefault="00DB67E5" w:rsidP="00563096">
      <w:pPr>
        <w:pStyle w:val="NormalWeb"/>
        <w:spacing w:before="0" w:beforeAutospacing="0" w:after="0" w:afterAutospacing="0"/>
        <w:rPr>
          <w:rFonts w:ascii="Arial" w:eastAsiaTheme="minorHAnsi" w:hAnsi="Arial" w:cs="Arial"/>
          <w:sz w:val="22"/>
          <w:szCs w:val="22"/>
          <w:lang w:val="en-US" w:eastAsia="en-US"/>
        </w:rPr>
      </w:pPr>
    </w:p>
    <w:p w14:paraId="4EBD8547" w14:textId="5E46CBF2" w:rsidR="005E30DE" w:rsidRPr="00D946AD" w:rsidRDefault="005E30DE" w:rsidP="005E30DE">
      <w:pPr>
        <w:pStyle w:val="NormalWeb"/>
        <w:spacing w:before="0" w:beforeAutospacing="0" w:after="0" w:afterAutospacing="0"/>
        <w:ind w:firstLine="36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 xml:space="preserve">The initial accounting for finance leasing should </w:t>
      </w:r>
      <w:r w:rsidR="0076247D">
        <w:rPr>
          <w:rFonts w:ascii="Arial" w:eastAsiaTheme="minorHAnsi" w:hAnsi="Arial" w:cs="Arial"/>
          <w:sz w:val="22"/>
          <w:szCs w:val="22"/>
          <w:lang w:val="en-US" w:eastAsia="en-US"/>
        </w:rPr>
        <w:t>recognize</w:t>
      </w:r>
      <w:r w:rsidRPr="00D946AD">
        <w:rPr>
          <w:rFonts w:ascii="Arial" w:eastAsiaTheme="minorHAnsi" w:hAnsi="Arial" w:cs="Arial"/>
          <w:sz w:val="22"/>
          <w:szCs w:val="22"/>
          <w:lang w:val="en-US" w:eastAsia="en-US"/>
        </w:rPr>
        <w:t xml:space="preserve"> the finance lease asset and set up a lease liability for the value of the asset recognized. The accounting for this should look like;</w:t>
      </w:r>
    </w:p>
    <w:p w14:paraId="57AED96C" w14:textId="77777777" w:rsidR="005E30DE" w:rsidRPr="00D946AD" w:rsidRDefault="005E30DE" w:rsidP="005E30DE">
      <w:pPr>
        <w:pStyle w:val="NormalWeb"/>
        <w:numPr>
          <w:ilvl w:val="0"/>
          <w:numId w:val="16"/>
        </w:numPr>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 xml:space="preserve">Dr Non-Current Assets </w:t>
      </w:r>
    </w:p>
    <w:p w14:paraId="69D7DBE6" w14:textId="77777777" w:rsidR="005E30DE" w:rsidRPr="00D946AD" w:rsidRDefault="005E30DE" w:rsidP="005E30DE">
      <w:pPr>
        <w:pStyle w:val="NormalWeb"/>
        <w:numPr>
          <w:ilvl w:val="0"/>
          <w:numId w:val="16"/>
        </w:numPr>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Cr Finance lease liability</w:t>
      </w:r>
    </w:p>
    <w:p w14:paraId="191BF454" w14:textId="77777777" w:rsidR="005E30DE" w:rsidRPr="00D946AD" w:rsidRDefault="005E30DE" w:rsidP="005E30DE">
      <w:pPr>
        <w:pStyle w:val="NormalWeb"/>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When accounting for the depreciation of a finance lease the depreciation should be calculated over the economic life of the asset. The accounting for this will be;</w:t>
      </w:r>
    </w:p>
    <w:p w14:paraId="6078F1F6" w14:textId="77777777" w:rsidR="005E30DE" w:rsidRPr="00D946AD" w:rsidRDefault="005E30DE" w:rsidP="005E30DE">
      <w:pPr>
        <w:pStyle w:val="NormalWeb"/>
        <w:numPr>
          <w:ilvl w:val="0"/>
          <w:numId w:val="17"/>
        </w:numPr>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Dr Depreciation expense</w:t>
      </w:r>
    </w:p>
    <w:p w14:paraId="1AE75418" w14:textId="77777777" w:rsidR="005E30DE" w:rsidRPr="00D946AD" w:rsidRDefault="005E30DE" w:rsidP="005E30DE">
      <w:pPr>
        <w:pStyle w:val="NormalWeb"/>
        <w:numPr>
          <w:ilvl w:val="0"/>
          <w:numId w:val="17"/>
        </w:numPr>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 xml:space="preserve">Cr Accumulated depreciation </w:t>
      </w:r>
    </w:p>
    <w:p w14:paraId="3791DB82" w14:textId="7A57AD24" w:rsidR="005E30DE" w:rsidRPr="00D946AD" w:rsidRDefault="005E30DE" w:rsidP="005E30DE">
      <w:pPr>
        <w:pStyle w:val="NormalWeb"/>
        <w:spacing w:after="0" w:afterAutospacing="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 xml:space="preserve">When initiating a leasing agreement, it is easy to see that there is a cost tied up within the transaction. For example, </w:t>
      </w:r>
      <w:r w:rsidR="009C3CA3">
        <w:rPr>
          <w:rFonts w:ascii="Arial" w:eastAsiaTheme="minorHAnsi" w:hAnsi="Arial" w:cs="Arial"/>
          <w:sz w:val="22"/>
          <w:szCs w:val="22"/>
          <w:lang w:val="en-US" w:eastAsia="en-US"/>
        </w:rPr>
        <w:t>company X</w:t>
      </w:r>
      <w:r w:rsidRPr="00D946AD">
        <w:rPr>
          <w:rFonts w:ascii="Arial" w:eastAsiaTheme="minorHAnsi" w:hAnsi="Arial" w:cs="Arial"/>
          <w:sz w:val="22"/>
          <w:szCs w:val="22"/>
          <w:lang w:val="en-US" w:eastAsia="en-US"/>
        </w:rPr>
        <w:t xml:space="preserve"> could buy an asset with a useful economic life of four years for £</w:t>
      </w:r>
      <w:r w:rsidR="00460679">
        <w:rPr>
          <w:rFonts w:ascii="Arial" w:eastAsiaTheme="minorHAnsi" w:hAnsi="Arial" w:cs="Arial"/>
          <w:sz w:val="22"/>
          <w:szCs w:val="22"/>
          <w:lang w:val="en-US" w:eastAsia="en-US"/>
        </w:rPr>
        <w:t>2</w:t>
      </w:r>
      <w:r w:rsidRPr="00D946AD">
        <w:rPr>
          <w:rFonts w:ascii="Arial" w:eastAsiaTheme="minorHAnsi" w:hAnsi="Arial" w:cs="Arial"/>
          <w:sz w:val="22"/>
          <w:szCs w:val="22"/>
          <w:lang w:val="en-US" w:eastAsia="en-US"/>
        </w:rPr>
        <w:t>0,000 or lease it for four years paying a rental of £</w:t>
      </w:r>
      <w:r w:rsidR="00460679">
        <w:rPr>
          <w:rFonts w:ascii="Arial" w:eastAsiaTheme="minorHAnsi" w:hAnsi="Arial" w:cs="Arial"/>
          <w:sz w:val="22"/>
          <w:szCs w:val="22"/>
          <w:lang w:val="en-US" w:eastAsia="en-US"/>
        </w:rPr>
        <w:t>6</w:t>
      </w:r>
      <w:r w:rsidRPr="00D946AD">
        <w:rPr>
          <w:rFonts w:ascii="Arial" w:eastAsiaTheme="minorHAnsi" w:hAnsi="Arial" w:cs="Arial"/>
          <w:sz w:val="22"/>
          <w:szCs w:val="22"/>
          <w:lang w:val="en-US" w:eastAsia="en-US"/>
        </w:rPr>
        <w:t>,000 per annum. If the leasing option is chosen, over a four-year period the company will have paid £</w:t>
      </w:r>
      <w:r w:rsidR="00460679">
        <w:rPr>
          <w:rFonts w:ascii="Arial" w:eastAsiaTheme="minorHAnsi" w:hAnsi="Arial" w:cs="Arial"/>
          <w:sz w:val="22"/>
          <w:szCs w:val="22"/>
          <w:lang w:val="en-US" w:eastAsia="en-US"/>
        </w:rPr>
        <w:t>24</w:t>
      </w:r>
      <w:r w:rsidRPr="00D946AD">
        <w:rPr>
          <w:rFonts w:ascii="Arial" w:eastAsiaTheme="minorHAnsi" w:hAnsi="Arial" w:cs="Arial"/>
          <w:sz w:val="22"/>
          <w:szCs w:val="22"/>
          <w:lang w:val="en-US" w:eastAsia="en-US"/>
        </w:rPr>
        <w:t>,000 in total for use of the asset</w:t>
      </w:r>
      <w:r w:rsidR="00460679">
        <w:rPr>
          <w:rFonts w:ascii="Arial" w:eastAsiaTheme="minorHAnsi" w:hAnsi="Arial" w:cs="Arial"/>
          <w:sz w:val="22"/>
          <w:szCs w:val="22"/>
          <w:lang w:val="en-US" w:eastAsia="en-US"/>
        </w:rPr>
        <w:t>.</w:t>
      </w:r>
      <w:r w:rsidRPr="00D946AD">
        <w:rPr>
          <w:rFonts w:ascii="Arial" w:eastAsiaTheme="minorHAnsi" w:hAnsi="Arial" w:cs="Arial"/>
          <w:sz w:val="22"/>
          <w:szCs w:val="22"/>
          <w:lang w:val="en-US" w:eastAsia="en-US"/>
        </w:rPr>
        <w:t xml:space="preserve"> </w:t>
      </w:r>
      <w:r w:rsidR="001B5430">
        <w:rPr>
          <w:rFonts w:ascii="Arial" w:eastAsiaTheme="minorHAnsi" w:hAnsi="Arial" w:cs="Arial"/>
          <w:sz w:val="22"/>
          <w:szCs w:val="22"/>
          <w:lang w:val="en-US" w:eastAsia="en-US"/>
        </w:rPr>
        <w:t>T</w:t>
      </w:r>
      <w:r w:rsidRPr="00D946AD">
        <w:rPr>
          <w:rFonts w:ascii="Arial" w:eastAsiaTheme="minorHAnsi" w:hAnsi="Arial" w:cs="Arial"/>
          <w:sz w:val="22"/>
          <w:szCs w:val="22"/>
          <w:lang w:val="en-US" w:eastAsia="en-US"/>
        </w:rPr>
        <w:t>he finance charge in this example totals £</w:t>
      </w:r>
      <w:r w:rsidR="001B5430">
        <w:rPr>
          <w:rFonts w:ascii="Arial" w:eastAsiaTheme="minorHAnsi" w:hAnsi="Arial" w:cs="Arial"/>
          <w:sz w:val="22"/>
          <w:szCs w:val="22"/>
          <w:lang w:val="en-US" w:eastAsia="en-US"/>
        </w:rPr>
        <w:t>4</w:t>
      </w:r>
      <w:r w:rsidRPr="00D946AD">
        <w:rPr>
          <w:rFonts w:ascii="Arial" w:eastAsiaTheme="minorHAnsi" w:hAnsi="Arial" w:cs="Arial"/>
          <w:sz w:val="22"/>
          <w:szCs w:val="22"/>
          <w:lang w:val="en-US" w:eastAsia="en-US"/>
        </w:rPr>
        <w:t>,000. This finance charge is the interest added onto the capital repayment and this will need to be shown within the financial statements in the form of a finance cost in the statement of profit or loss and a reduction of the outstanding liability in the balance sheet.</w:t>
      </w:r>
    </w:p>
    <w:p w14:paraId="7A40CC3D" w14:textId="77777777" w:rsidR="009D680E" w:rsidRDefault="005E30DE" w:rsidP="009D680E">
      <w:pPr>
        <w:pStyle w:val="NormalWeb"/>
        <w:spacing w:before="0" w:beforeAutospacing="0" w:after="0" w:afterAutospacing="0"/>
        <w:ind w:firstLine="720"/>
        <w:rPr>
          <w:rFonts w:ascii="Arial" w:eastAsiaTheme="minorHAnsi" w:hAnsi="Arial" w:cs="Arial"/>
          <w:sz w:val="22"/>
          <w:szCs w:val="22"/>
          <w:lang w:val="en-US" w:eastAsia="en-US"/>
        </w:rPr>
      </w:pPr>
      <w:r w:rsidRPr="00D946AD">
        <w:rPr>
          <w:rFonts w:ascii="Arial" w:eastAsiaTheme="minorHAnsi" w:hAnsi="Arial" w:cs="Arial"/>
          <w:sz w:val="22"/>
          <w:szCs w:val="22"/>
          <w:lang w:val="en-US" w:eastAsia="en-US"/>
        </w:rPr>
        <w:t xml:space="preserve">Operating leases are accounted for differently to the finance leases and this is because the risks and rewards of ownership of an asset are not transferred. This means that operating leases are not recognized on the balance sheet and is however charged on to the profit and loss account on a straight-line basis over the term of the lease, if the amount charged/paid vary it will be accounted for in the prepayments or accruals. </w:t>
      </w:r>
    </w:p>
    <w:p w14:paraId="424C96A0" w14:textId="4166D86D" w:rsidR="00862519" w:rsidRDefault="00B62693" w:rsidP="009D680E">
      <w:pPr>
        <w:pStyle w:val="NormalWeb"/>
        <w:spacing w:before="0" w:beforeAutospacing="0" w:after="0" w:afterAutospacing="0"/>
        <w:ind w:firstLine="720"/>
        <w:rPr>
          <w:rFonts w:ascii="Arial" w:eastAsiaTheme="minorHAnsi" w:hAnsi="Arial" w:cs="Arial"/>
          <w:sz w:val="22"/>
          <w:szCs w:val="22"/>
          <w:lang w:val="en-US" w:eastAsia="en-US"/>
        </w:rPr>
      </w:pPr>
      <w:r>
        <w:rPr>
          <w:rFonts w:ascii="Arial" w:eastAsiaTheme="minorHAnsi" w:hAnsi="Arial" w:cs="Arial"/>
          <w:sz w:val="22"/>
          <w:szCs w:val="22"/>
          <w:lang w:val="en-US" w:eastAsia="en-US"/>
        </w:rPr>
        <w:t>Substance over form is an accounting concept tha</w:t>
      </w:r>
      <w:r w:rsidR="00782495">
        <w:rPr>
          <w:rFonts w:ascii="Arial" w:eastAsiaTheme="minorHAnsi" w:hAnsi="Arial" w:cs="Arial"/>
          <w:sz w:val="22"/>
          <w:szCs w:val="22"/>
          <w:lang w:val="en-US" w:eastAsia="en-US"/>
        </w:rPr>
        <w:t>t translates to ‘the economic substance of the transaction will be preferred over the legal form of the transaction’</w:t>
      </w:r>
      <w:r w:rsidR="007C68B0">
        <w:rPr>
          <w:rFonts w:ascii="Arial" w:eastAsiaTheme="minorHAnsi" w:hAnsi="Arial" w:cs="Arial"/>
          <w:sz w:val="22"/>
          <w:szCs w:val="22"/>
          <w:lang w:val="en-US" w:eastAsia="en-US"/>
        </w:rPr>
        <w:t xml:space="preserve"> </w:t>
      </w:r>
      <w:sdt>
        <w:sdtPr>
          <w:rPr>
            <w:rFonts w:ascii="Arial" w:eastAsiaTheme="minorHAnsi" w:hAnsi="Arial" w:cs="Arial"/>
            <w:sz w:val="22"/>
            <w:szCs w:val="22"/>
            <w:lang w:val="en-US" w:eastAsia="en-US"/>
          </w:rPr>
          <w:id w:val="818314119"/>
          <w:citation/>
        </w:sdtPr>
        <w:sdtEndPr/>
        <w:sdtContent>
          <w:r w:rsidR="007F75DF">
            <w:rPr>
              <w:rFonts w:ascii="Arial" w:eastAsiaTheme="minorHAnsi" w:hAnsi="Arial" w:cs="Arial"/>
              <w:sz w:val="22"/>
              <w:szCs w:val="22"/>
              <w:lang w:val="en-US" w:eastAsia="en-US"/>
            </w:rPr>
            <w:fldChar w:fldCharType="begin"/>
          </w:r>
          <w:r w:rsidR="007F75DF">
            <w:rPr>
              <w:rFonts w:ascii="Arial" w:hAnsi="Arial" w:cs="Arial"/>
            </w:rPr>
            <w:instrText xml:space="preserve"> CITATION IAS15 \l 2057 </w:instrText>
          </w:r>
          <w:r w:rsidR="007F75DF">
            <w:rPr>
              <w:rFonts w:ascii="Arial" w:eastAsiaTheme="minorHAnsi" w:hAnsi="Arial" w:cs="Arial"/>
              <w:sz w:val="22"/>
              <w:szCs w:val="22"/>
              <w:lang w:val="en-US" w:eastAsia="en-US"/>
            </w:rPr>
            <w:fldChar w:fldCharType="separate"/>
          </w:r>
          <w:r w:rsidR="005C372C" w:rsidRPr="005C372C">
            <w:rPr>
              <w:rFonts w:ascii="Arial" w:hAnsi="Arial" w:cs="Arial"/>
              <w:noProof/>
            </w:rPr>
            <w:t>(IASB, 2015)</w:t>
          </w:r>
          <w:r w:rsidR="007F75DF">
            <w:rPr>
              <w:rFonts w:ascii="Arial" w:eastAsiaTheme="minorHAnsi" w:hAnsi="Arial" w:cs="Arial"/>
              <w:sz w:val="22"/>
              <w:szCs w:val="22"/>
              <w:lang w:val="en-US" w:eastAsia="en-US"/>
            </w:rPr>
            <w:fldChar w:fldCharType="end"/>
          </w:r>
        </w:sdtContent>
      </w:sdt>
      <w:r w:rsidR="007C68B0">
        <w:rPr>
          <w:rFonts w:ascii="Arial" w:hAnsi="Arial" w:cs="Arial"/>
        </w:rPr>
        <w:t xml:space="preserve">. </w:t>
      </w:r>
      <w:r w:rsidR="00CB6C27">
        <w:rPr>
          <w:rFonts w:ascii="Arial" w:eastAsiaTheme="minorHAnsi" w:hAnsi="Arial" w:cs="Arial"/>
          <w:sz w:val="22"/>
          <w:szCs w:val="22"/>
          <w:lang w:val="en-US" w:eastAsia="en-US"/>
        </w:rPr>
        <w:t>Economic substance refers to the economic</w:t>
      </w:r>
      <w:r w:rsidR="00862519">
        <w:rPr>
          <w:rFonts w:ascii="Arial" w:eastAsiaTheme="minorHAnsi" w:hAnsi="Arial" w:cs="Arial"/>
          <w:sz w:val="22"/>
          <w:szCs w:val="22"/>
          <w:lang w:val="en-US" w:eastAsia="en-US"/>
        </w:rPr>
        <w:t xml:space="preserve"> rewards</w:t>
      </w:r>
      <w:r w:rsidR="00CB6C27">
        <w:rPr>
          <w:rFonts w:ascii="Arial" w:eastAsiaTheme="minorHAnsi" w:hAnsi="Arial" w:cs="Arial"/>
          <w:sz w:val="22"/>
          <w:szCs w:val="22"/>
          <w:lang w:val="en-US" w:eastAsia="en-US"/>
        </w:rPr>
        <w:t xml:space="preserve"> and </w:t>
      </w:r>
      <w:r w:rsidR="00862519">
        <w:rPr>
          <w:rFonts w:ascii="Arial" w:eastAsiaTheme="minorHAnsi" w:hAnsi="Arial" w:cs="Arial"/>
          <w:sz w:val="22"/>
          <w:szCs w:val="22"/>
          <w:lang w:val="en-US" w:eastAsia="en-US"/>
        </w:rPr>
        <w:t>risks</w:t>
      </w:r>
      <w:r w:rsidR="00CB6C27">
        <w:rPr>
          <w:rFonts w:ascii="Arial" w:eastAsiaTheme="minorHAnsi" w:hAnsi="Arial" w:cs="Arial"/>
          <w:sz w:val="22"/>
          <w:szCs w:val="22"/>
          <w:lang w:val="en-US" w:eastAsia="en-US"/>
        </w:rPr>
        <w:t xml:space="preserve"> of </w:t>
      </w:r>
      <w:r w:rsidR="00FF72A0">
        <w:rPr>
          <w:rFonts w:ascii="Arial" w:eastAsiaTheme="minorHAnsi" w:hAnsi="Arial" w:cs="Arial"/>
          <w:sz w:val="22"/>
          <w:szCs w:val="22"/>
          <w:lang w:val="en-US" w:eastAsia="en-US"/>
        </w:rPr>
        <w:t xml:space="preserve">any </w:t>
      </w:r>
      <w:r w:rsidR="00FF72A0">
        <w:rPr>
          <w:rFonts w:ascii="Arial" w:eastAsiaTheme="minorHAnsi" w:hAnsi="Arial" w:cs="Arial"/>
          <w:sz w:val="22"/>
          <w:szCs w:val="22"/>
          <w:lang w:val="en-US" w:eastAsia="en-US"/>
        </w:rPr>
        <w:lastRenderedPageBreak/>
        <w:t xml:space="preserve">kind of economic implications related to the transaction. </w:t>
      </w:r>
      <w:r w:rsidR="0037299E">
        <w:rPr>
          <w:rFonts w:ascii="Arial" w:eastAsiaTheme="minorHAnsi" w:hAnsi="Arial" w:cs="Arial"/>
          <w:sz w:val="22"/>
          <w:szCs w:val="22"/>
          <w:lang w:val="en-US" w:eastAsia="en-US"/>
        </w:rPr>
        <w:t>Whereas, the legal form refers to the legal status of the transaction.</w:t>
      </w:r>
      <w:r w:rsidR="00862519">
        <w:rPr>
          <w:rFonts w:ascii="Arial" w:eastAsiaTheme="minorHAnsi" w:hAnsi="Arial" w:cs="Arial"/>
          <w:sz w:val="22"/>
          <w:szCs w:val="22"/>
          <w:lang w:val="en-US" w:eastAsia="en-US"/>
        </w:rPr>
        <w:t xml:space="preserve"> </w:t>
      </w:r>
    </w:p>
    <w:p w14:paraId="4B3F6589" w14:textId="7E73BD29" w:rsidR="00A1472C" w:rsidRPr="00D946AD" w:rsidRDefault="00190B23" w:rsidP="00465557">
      <w:pPr>
        <w:pStyle w:val="NormalWeb"/>
        <w:spacing w:before="0" w:beforeAutospacing="0" w:after="0" w:afterAutospacing="0"/>
        <w:ind w:firstLine="720"/>
        <w:rPr>
          <w:rFonts w:ascii="Arial" w:eastAsiaTheme="minorHAnsi" w:hAnsi="Arial" w:cs="Arial"/>
          <w:sz w:val="22"/>
          <w:szCs w:val="22"/>
          <w:lang w:val="en-US" w:eastAsia="en-US"/>
        </w:rPr>
      </w:pPr>
      <w:r>
        <w:rPr>
          <w:rFonts w:ascii="Arial" w:eastAsiaTheme="minorHAnsi" w:hAnsi="Arial" w:cs="Arial"/>
          <w:sz w:val="22"/>
          <w:szCs w:val="22"/>
          <w:lang w:val="en-US" w:eastAsia="en-US"/>
        </w:rPr>
        <w:t>‘</w:t>
      </w:r>
      <w:r w:rsidR="00636B41">
        <w:rPr>
          <w:rFonts w:ascii="Arial" w:eastAsiaTheme="minorHAnsi" w:hAnsi="Arial" w:cs="Arial"/>
          <w:sz w:val="22"/>
          <w:szCs w:val="22"/>
          <w:lang w:val="en-US" w:eastAsia="en-US"/>
        </w:rPr>
        <w:t>For example,</w:t>
      </w:r>
      <w:r w:rsidR="00EA2630">
        <w:rPr>
          <w:rFonts w:ascii="Arial" w:eastAsiaTheme="minorHAnsi" w:hAnsi="Arial" w:cs="Arial"/>
          <w:sz w:val="22"/>
          <w:szCs w:val="22"/>
          <w:lang w:val="en-US" w:eastAsia="en-US"/>
        </w:rPr>
        <w:t xml:space="preserve"> </w:t>
      </w:r>
      <w:r w:rsidR="00EA2630" w:rsidRPr="00EA2630">
        <w:rPr>
          <w:rFonts w:ascii="Arial" w:eastAsiaTheme="minorHAnsi" w:hAnsi="Arial" w:cs="Arial"/>
          <w:sz w:val="22"/>
          <w:szCs w:val="22"/>
          <w:lang w:val="en-US" w:eastAsia="en-US"/>
        </w:rPr>
        <w:t>an asset may be leased to a lessee without the transfer of legal title at the end of the lease term. Such a lease may, in substance, be considered as a finance lease if for instance the lease term is substantially for entire useful life of the asset or the lease agreement entitles the lessee to purchase the asset at the end of the lease term at a very nominal price and it is very likely that such option will be exercised by the lessee in the given circumstances.</w:t>
      </w:r>
      <w:r>
        <w:rPr>
          <w:rFonts w:ascii="Arial" w:eastAsiaTheme="minorHAnsi" w:hAnsi="Arial" w:cs="Arial"/>
          <w:sz w:val="22"/>
          <w:szCs w:val="22"/>
          <w:lang w:val="en-US" w:eastAsia="en-US"/>
        </w:rPr>
        <w:t>’</w:t>
      </w:r>
      <w:r w:rsidR="004E6B8E">
        <w:rPr>
          <w:rFonts w:ascii="Arial" w:eastAsiaTheme="minorHAnsi" w:hAnsi="Arial" w:cs="Arial"/>
          <w:sz w:val="22"/>
          <w:szCs w:val="22"/>
          <w:lang w:val="en-US" w:eastAsia="en-US"/>
        </w:rPr>
        <w:t xml:space="preserve"> </w:t>
      </w:r>
      <w:sdt>
        <w:sdtPr>
          <w:rPr>
            <w:rFonts w:ascii="Arial" w:eastAsiaTheme="minorHAnsi" w:hAnsi="Arial" w:cs="Arial"/>
            <w:sz w:val="22"/>
            <w:szCs w:val="22"/>
            <w:lang w:val="en-US" w:eastAsia="en-US"/>
          </w:rPr>
          <w:id w:val="2025209943"/>
          <w:citation/>
        </w:sdtPr>
        <w:sdtEndPr/>
        <w:sdtContent>
          <w:r w:rsidR="00700A23">
            <w:rPr>
              <w:rFonts w:ascii="Arial" w:eastAsiaTheme="minorHAnsi" w:hAnsi="Arial" w:cs="Arial"/>
              <w:sz w:val="22"/>
              <w:szCs w:val="22"/>
              <w:lang w:val="en-US" w:eastAsia="en-US"/>
            </w:rPr>
            <w:fldChar w:fldCharType="begin"/>
          </w:r>
          <w:r w:rsidR="00700A23">
            <w:rPr>
              <w:rFonts w:ascii="Arial" w:eastAsiaTheme="minorHAnsi" w:hAnsi="Arial" w:cs="Arial"/>
              <w:sz w:val="22"/>
              <w:szCs w:val="22"/>
              <w:lang w:eastAsia="en-US"/>
            </w:rPr>
            <w:instrText xml:space="preserve"> CITATION Mel17 \l 2057 </w:instrText>
          </w:r>
          <w:r w:rsidR="00700A23">
            <w:rPr>
              <w:rFonts w:ascii="Arial" w:eastAsiaTheme="minorHAnsi" w:hAnsi="Arial" w:cs="Arial"/>
              <w:sz w:val="22"/>
              <w:szCs w:val="22"/>
              <w:lang w:val="en-US" w:eastAsia="en-US"/>
            </w:rPr>
            <w:fldChar w:fldCharType="separate"/>
          </w:r>
          <w:r w:rsidR="005C372C" w:rsidRPr="005C372C">
            <w:rPr>
              <w:rFonts w:ascii="Arial" w:eastAsiaTheme="minorHAnsi" w:hAnsi="Arial" w:cs="Arial"/>
              <w:noProof/>
              <w:sz w:val="22"/>
              <w:szCs w:val="22"/>
              <w:lang w:eastAsia="en-US"/>
            </w:rPr>
            <w:t>(Mellwig, 2017)</w:t>
          </w:r>
          <w:r w:rsidR="00700A23">
            <w:rPr>
              <w:rFonts w:ascii="Arial" w:eastAsiaTheme="minorHAnsi" w:hAnsi="Arial" w:cs="Arial"/>
              <w:sz w:val="22"/>
              <w:szCs w:val="22"/>
              <w:lang w:val="en-US" w:eastAsia="en-US"/>
            </w:rPr>
            <w:fldChar w:fldCharType="end"/>
          </w:r>
        </w:sdtContent>
      </w:sdt>
      <w:r w:rsidR="00465557">
        <w:rPr>
          <w:rFonts w:ascii="Arial" w:hAnsi="Arial" w:cs="Arial"/>
          <w:color w:val="FFFFFF"/>
        </w:rPr>
        <w:t>.</w:t>
      </w:r>
    </w:p>
    <w:p w14:paraId="3E223BA6" w14:textId="280E5B5F" w:rsidR="00D946AD" w:rsidRDefault="005E30DE" w:rsidP="00D946AD">
      <w:pPr>
        <w:pStyle w:val="Heading1"/>
        <w:rPr>
          <w:rFonts w:ascii="Arial" w:hAnsi="Arial" w:cs="Arial"/>
          <w:color w:val="auto"/>
          <w:u w:val="single"/>
        </w:rPr>
      </w:pPr>
      <w:r w:rsidRPr="00D946AD">
        <w:rPr>
          <w:rFonts w:ascii="Arial" w:hAnsi="Arial" w:cs="Arial"/>
          <w:color w:val="auto"/>
          <w:u w:val="single"/>
        </w:rPr>
        <w:t>C</w:t>
      </w:r>
      <w:r w:rsidR="0094094C" w:rsidRPr="00D946AD">
        <w:rPr>
          <w:rFonts w:ascii="Arial" w:hAnsi="Arial" w:cs="Arial"/>
          <w:color w:val="auto"/>
          <w:u w:val="single"/>
        </w:rPr>
        <w:t xml:space="preserve">riticism of </w:t>
      </w:r>
      <w:r w:rsidR="007B41B5" w:rsidRPr="00D946AD">
        <w:rPr>
          <w:rFonts w:ascii="Arial" w:hAnsi="Arial" w:cs="Arial"/>
          <w:color w:val="auto"/>
          <w:u w:val="single"/>
        </w:rPr>
        <w:t>Leasing – IAS 17</w:t>
      </w:r>
    </w:p>
    <w:p w14:paraId="0FC32456" w14:textId="77777777" w:rsidR="00D946AD" w:rsidRDefault="00D946AD" w:rsidP="000E0DF0">
      <w:pPr>
        <w:spacing w:before="0" w:after="0"/>
        <w:rPr>
          <w:sz w:val="16"/>
          <w:szCs w:val="16"/>
        </w:rPr>
      </w:pPr>
    </w:p>
    <w:p w14:paraId="671B0A78" w14:textId="14F85D3F" w:rsidR="000E0DF0" w:rsidRPr="00D946AD" w:rsidRDefault="000E0DF0" w:rsidP="000E0DF0">
      <w:pPr>
        <w:spacing w:before="0" w:after="0"/>
        <w:rPr>
          <w:rFonts w:ascii="Arial" w:hAnsi="Arial" w:cs="Arial"/>
          <w:color w:val="auto"/>
        </w:rPr>
      </w:pPr>
      <w:r w:rsidRPr="00D946AD">
        <w:rPr>
          <w:rFonts w:ascii="Arial" w:hAnsi="Arial" w:cs="Arial"/>
          <w:color w:val="auto"/>
        </w:rPr>
        <w:t>One of the biggest crit</w:t>
      </w:r>
      <w:r w:rsidR="0012009F">
        <w:rPr>
          <w:rFonts w:ascii="Arial" w:hAnsi="Arial" w:cs="Arial"/>
          <w:color w:val="auto"/>
        </w:rPr>
        <w:t>icisms</w:t>
      </w:r>
      <w:r w:rsidRPr="00D946AD">
        <w:rPr>
          <w:rFonts w:ascii="Arial" w:hAnsi="Arial" w:cs="Arial"/>
          <w:color w:val="auto"/>
        </w:rPr>
        <w:t xml:space="preserve"> o</w:t>
      </w:r>
      <w:r w:rsidR="0012009F">
        <w:rPr>
          <w:rFonts w:ascii="Arial" w:hAnsi="Arial" w:cs="Arial"/>
          <w:color w:val="auto"/>
        </w:rPr>
        <w:t>f</w:t>
      </w:r>
      <w:r w:rsidRPr="00D946AD">
        <w:rPr>
          <w:rFonts w:ascii="Arial" w:hAnsi="Arial" w:cs="Arial"/>
          <w:color w:val="auto"/>
        </w:rPr>
        <w:t xml:space="preserve"> IAS 17 is the difference in the accounting treatment of operating leases and finance leases. IASB </w:t>
      </w:r>
      <w:r w:rsidR="00BA0748" w:rsidRPr="00D946AD">
        <w:rPr>
          <w:rFonts w:ascii="Arial" w:hAnsi="Arial" w:cs="Arial"/>
          <w:color w:val="auto"/>
        </w:rPr>
        <w:t>protested</w:t>
      </w:r>
      <w:r w:rsidRPr="00D946AD">
        <w:rPr>
          <w:rFonts w:ascii="Arial" w:hAnsi="Arial" w:cs="Arial"/>
          <w:color w:val="auto"/>
        </w:rPr>
        <w:t xml:space="preserve"> that two similar transactions from an economic </w:t>
      </w:r>
      <w:r w:rsidR="00441835" w:rsidRPr="00D946AD">
        <w:rPr>
          <w:rFonts w:ascii="Arial" w:hAnsi="Arial" w:cs="Arial"/>
          <w:color w:val="auto"/>
        </w:rPr>
        <w:t>viewpoint</w:t>
      </w:r>
      <w:r w:rsidRPr="00D946AD">
        <w:rPr>
          <w:rFonts w:ascii="Arial" w:hAnsi="Arial" w:cs="Arial"/>
          <w:color w:val="auto"/>
        </w:rPr>
        <w:t xml:space="preserve"> could be reported differently, ultimately reducing the comparability between </w:t>
      </w:r>
      <w:r w:rsidR="00973746">
        <w:rPr>
          <w:rFonts w:ascii="Arial" w:hAnsi="Arial" w:cs="Arial"/>
          <w:color w:val="auto"/>
        </w:rPr>
        <w:t>companies</w:t>
      </w:r>
      <w:r w:rsidRPr="00D946AD">
        <w:rPr>
          <w:rFonts w:ascii="Arial" w:hAnsi="Arial" w:cs="Arial"/>
          <w:color w:val="auto"/>
        </w:rPr>
        <w:t xml:space="preserve">. Some </w:t>
      </w:r>
      <w:r w:rsidR="00765DEC" w:rsidRPr="00D946AD">
        <w:rPr>
          <w:rFonts w:ascii="Arial" w:hAnsi="Arial" w:cs="Arial"/>
          <w:color w:val="auto"/>
        </w:rPr>
        <w:t>well-known</w:t>
      </w:r>
      <w:r w:rsidRPr="00D946AD">
        <w:rPr>
          <w:rFonts w:ascii="Arial" w:hAnsi="Arial" w:cs="Arial"/>
          <w:color w:val="auto"/>
        </w:rPr>
        <w:t xml:space="preserve"> examples include fleets of aircraft or rolling stocks that apparently do not meet the criteria for recognition as assets and liabilities. Sir David Tweedie, the previous Chairman of the IASB, acknowledged during a speech in 2008 to the Empire Club of Canada that almost no one in the room has ever flown in a plane that was </w:t>
      </w:r>
      <w:r w:rsidR="00765DEC" w:rsidRPr="00D946AD">
        <w:rPr>
          <w:rFonts w:ascii="Arial" w:hAnsi="Arial" w:cs="Arial"/>
          <w:color w:val="auto"/>
        </w:rPr>
        <w:t>o</w:t>
      </w:r>
      <w:r w:rsidR="00DE3347" w:rsidRPr="00D946AD">
        <w:rPr>
          <w:rFonts w:ascii="Arial" w:hAnsi="Arial" w:cs="Arial"/>
          <w:color w:val="auto"/>
        </w:rPr>
        <w:t>n</w:t>
      </w:r>
      <w:r w:rsidRPr="00D946AD">
        <w:rPr>
          <w:rFonts w:ascii="Arial" w:hAnsi="Arial" w:cs="Arial"/>
          <w:color w:val="auto"/>
        </w:rPr>
        <w:t xml:space="preserve"> the balance sheet of the airline. </w:t>
      </w:r>
      <w:sdt>
        <w:sdtPr>
          <w:rPr>
            <w:rFonts w:ascii="Arial" w:hAnsi="Arial" w:cs="Arial"/>
            <w:color w:val="auto"/>
          </w:rPr>
          <w:id w:val="-317347479"/>
          <w:citation/>
        </w:sdtPr>
        <w:sdtEndPr/>
        <w:sdtContent>
          <w:r w:rsidR="00FE5465">
            <w:rPr>
              <w:rFonts w:ascii="Arial" w:hAnsi="Arial" w:cs="Arial"/>
              <w:color w:val="auto"/>
            </w:rPr>
            <w:fldChar w:fldCharType="begin"/>
          </w:r>
          <w:r w:rsidR="00FE5465">
            <w:rPr>
              <w:rFonts w:ascii="Arial" w:hAnsi="Arial" w:cs="Arial"/>
              <w:color w:val="auto"/>
              <w:lang w:val="en-GB"/>
            </w:rPr>
            <w:instrText xml:space="preserve"> CITATION Rul17 \l 2057 </w:instrText>
          </w:r>
          <w:r w:rsidR="00FE5465">
            <w:rPr>
              <w:rFonts w:ascii="Arial" w:hAnsi="Arial" w:cs="Arial"/>
              <w:color w:val="auto"/>
            </w:rPr>
            <w:fldChar w:fldCharType="separate"/>
          </w:r>
          <w:r w:rsidR="005C372C" w:rsidRPr="005C372C">
            <w:rPr>
              <w:rFonts w:ascii="Arial" w:hAnsi="Arial" w:cs="Arial"/>
              <w:noProof/>
              <w:color w:val="auto"/>
              <w:lang w:val="en-GB"/>
            </w:rPr>
            <w:t>(Rulmont, 2017)</w:t>
          </w:r>
          <w:r w:rsidR="00FE5465">
            <w:rPr>
              <w:rFonts w:ascii="Arial" w:hAnsi="Arial" w:cs="Arial"/>
              <w:color w:val="auto"/>
            </w:rPr>
            <w:fldChar w:fldCharType="end"/>
          </w:r>
        </w:sdtContent>
      </w:sdt>
    </w:p>
    <w:p w14:paraId="6BDEB439" w14:textId="717ED94E" w:rsidR="000E0DF0" w:rsidRPr="00D946AD" w:rsidRDefault="000E0DF0" w:rsidP="00725980">
      <w:pPr>
        <w:spacing w:before="0" w:after="0"/>
        <w:ind w:firstLine="720"/>
        <w:rPr>
          <w:rFonts w:ascii="Arial" w:hAnsi="Arial" w:cs="Arial"/>
          <w:color w:val="auto"/>
        </w:rPr>
      </w:pPr>
      <w:r w:rsidRPr="00D946AD">
        <w:rPr>
          <w:rFonts w:ascii="Arial" w:hAnsi="Arial" w:cs="Arial"/>
          <w:color w:val="auto"/>
        </w:rPr>
        <w:t>The flexibility in the recognition of leases as an operating lease under IAS 17 led to misclassification on a large scale. Small contractual adjustments can change the classification of a lease. Which results in a</w:t>
      </w:r>
      <w:r w:rsidR="00D86234">
        <w:rPr>
          <w:rFonts w:ascii="Arial" w:hAnsi="Arial" w:cs="Arial"/>
          <w:color w:val="auto"/>
        </w:rPr>
        <w:t>n</w:t>
      </w:r>
      <w:r w:rsidRPr="00D946AD">
        <w:rPr>
          <w:rFonts w:ascii="Arial" w:hAnsi="Arial" w:cs="Arial"/>
          <w:color w:val="auto"/>
        </w:rPr>
        <w:t xml:space="preserve"> understatement of the company’s liabilities an</w:t>
      </w:r>
      <w:r w:rsidR="00471EA8">
        <w:rPr>
          <w:rFonts w:ascii="Arial" w:hAnsi="Arial" w:cs="Arial"/>
          <w:color w:val="auto"/>
        </w:rPr>
        <w:t>d</w:t>
      </w:r>
      <w:r w:rsidRPr="00D946AD">
        <w:rPr>
          <w:rFonts w:ascii="Arial" w:hAnsi="Arial" w:cs="Arial"/>
          <w:color w:val="auto"/>
        </w:rPr>
        <w:t xml:space="preserve">, the manipulation of key ratios. </w:t>
      </w:r>
    </w:p>
    <w:p w14:paraId="72914980" w14:textId="77777777" w:rsidR="00C71403" w:rsidRDefault="0044026E" w:rsidP="00C71403">
      <w:pPr>
        <w:spacing w:before="0" w:after="0"/>
        <w:ind w:firstLine="720"/>
        <w:rPr>
          <w:rFonts w:ascii="Arial" w:hAnsi="Arial" w:cs="Arial"/>
          <w:color w:val="auto"/>
        </w:rPr>
      </w:pPr>
      <w:r w:rsidRPr="00D946AD">
        <w:rPr>
          <w:rFonts w:ascii="Arial" w:hAnsi="Arial" w:cs="Arial"/>
          <w:color w:val="auto"/>
        </w:rPr>
        <w:tab/>
      </w:r>
      <w:r w:rsidR="008E32B2">
        <w:rPr>
          <w:rFonts w:ascii="Arial" w:hAnsi="Arial" w:cs="Arial"/>
          <w:color w:val="auto"/>
        </w:rPr>
        <w:t>Secondly</w:t>
      </w:r>
      <w:r w:rsidR="000E0DF0" w:rsidRPr="00D946AD">
        <w:rPr>
          <w:rFonts w:ascii="Arial" w:hAnsi="Arial" w:cs="Arial"/>
          <w:color w:val="auto"/>
        </w:rPr>
        <w:t xml:space="preserve">, IAS 17 </w:t>
      </w:r>
      <w:r w:rsidR="008E32B2">
        <w:rPr>
          <w:rFonts w:ascii="Arial" w:hAnsi="Arial" w:cs="Arial"/>
          <w:color w:val="auto"/>
        </w:rPr>
        <w:t>conflicts</w:t>
      </w:r>
      <w:r w:rsidR="000E0DF0" w:rsidRPr="00D946AD">
        <w:rPr>
          <w:rFonts w:ascii="Arial" w:hAnsi="Arial" w:cs="Arial"/>
          <w:color w:val="auto"/>
        </w:rPr>
        <w:t xml:space="preserve"> with IASB’s conceptual framework. The reporting as either an operating or finance lease under IAS 17 conflicts with the conceptual framework: “Permitting alternative accounting methods for the same economic phenomenon diminishes comparability.” And 2.29: “Verifiability helps assure users that information faithfully represents the economic phenomena it purports to represent.” </w:t>
      </w:r>
      <w:sdt>
        <w:sdtPr>
          <w:rPr>
            <w:rFonts w:ascii="Arial" w:hAnsi="Arial" w:cs="Arial"/>
            <w:color w:val="auto"/>
          </w:rPr>
          <w:id w:val="-745645279"/>
          <w:citation/>
        </w:sdtPr>
        <w:sdtEndPr/>
        <w:sdtContent>
          <w:r w:rsidR="001B772C">
            <w:rPr>
              <w:rFonts w:ascii="Arial" w:hAnsi="Arial" w:cs="Arial"/>
              <w:color w:val="auto"/>
            </w:rPr>
            <w:fldChar w:fldCharType="begin"/>
          </w:r>
          <w:r w:rsidR="001B772C">
            <w:rPr>
              <w:rFonts w:ascii="Arial" w:hAnsi="Arial" w:cs="Arial"/>
              <w:color w:val="auto"/>
              <w:lang w:val="en-GB"/>
            </w:rPr>
            <w:instrText xml:space="preserve"> CITATION IAS15 \l 2057 </w:instrText>
          </w:r>
          <w:r w:rsidR="001B772C">
            <w:rPr>
              <w:rFonts w:ascii="Arial" w:hAnsi="Arial" w:cs="Arial"/>
              <w:color w:val="auto"/>
            </w:rPr>
            <w:fldChar w:fldCharType="separate"/>
          </w:r>
          <w:r w:rsidR="005C372C" w:rsidRPr="005C372C">
            <w:rPr>
              <w:rFonts w:ascii="Arial" w:hAnsi="Arial" w:cs="Arial"/>
              <w:noProof/>
              <w:color w:val="auto"/>
              <w:lang w:val="en-GB"/>
            </w:rPr>
            <w:t>(IASB, 2015)</w:t>
          </w:r>
          <w:r w:rsidR="001B772C">
            <w:rPr>
              <w:rFonts w:ascii="Arial" w:hAnsi="Arial" w:cs="Arial"/>
              <w:color w:val="auto"/>
            </w:rPr>
            <w:fldChar w:fldCharType="end"/>
          </w:r>
        </w:sdtContent>
      </w:sdt>
      <w:r w:rsidR="006A0DFB">
        <w:rPr>
          <w:rFonts w:ascii="Arial" w:hAnsi="Arial" w:cs="Arial"/>
          <w:color w:val="auto"/>
        </w:rPr>
        <w:t xml:space="preserve">. </w:t>
      </w:r>
      <w:r w:rsidR="008D0AB8">
        <w:rPr>
          <w:rFonts w:ascii="Arial" w:hAnsi="Arial" w:cs="Arial"/>
          <w:color w:val="auto"/>
        </w:rPr>
        <w:t>According to the</w:t>
      </w:r>
      <w:r w:rsidR="00171761" w:rsidRPr="00171761">
        <w:rPr>
          <w:rFonts w:ascii="Arial" w:hAnsi="Arial" w:cs="Arial"/>
          <w:color w:val="auto"/>
        </w:rPr>
        <w:t xml:space="preserve"> </w:t>
      </w:r>
      <w:bookmarkStart w:id="5" w:name="_Hlk531808499"/>
      <w:sdt>
        <w:sdtPr>
          <w:rPr>
            <w:rFonts w:ascii="Arial" w:hAnsi="Arial" w:cs="Arial"/>
            <w:color w:val="auto"/>
          </w:rPr>
          <w:id w:val="-2029778523"/>
          <w:citation/>
        </w:sdtPr>
        <w:sdtEndPr/>
        <w:sdtContent>
          <w:r w:rsidR="001B772C">
            <w:rPr>
              <w:rFonts w:ascii="Arial" w:hAnsi="Arial" w:cs="Arial"/>
              <w:color w:val="auto"/>
            </w:rPr>
            <w:fldChar w:fldCharType="begin"/>
          </w:r>
          <w:r w:rsidR="001B772C">
            <w:rPr>
              <w:rFonts w:ascii="Arial" w:hAnsi="Arial" w:cs="Arial"/>
              <w:color w:val="auto"/>
              <w:lang w:val="en-GB"/>
            </w:rPr>
            <w:instrText xml:space="preserve"> CITATION IAS15 \l 2057 </w:instrText>
          </w:r>
          <w:r w:rsidR="001B772C">
            <w:rPr>
              <w:rFonts w:ascii="Arial" w:hAnsi="Arial" w:cs="Arial"/>
              <w:color w:val="auto"/>
            </w:rPr>
            <w:fldChar w:fldCharType="separate"/>
          </w:r>
          <w:r w:rsidR="005C372C" w:rsidRPr="005C372C">
            <w:rPr>
              <w:rFonts w:ascii="Arial" w:hAnsi="Arial" w:cs="Arial"/>
              <w:noProof/>
              <w:color w:val="auto"/>
              <w:lang w:val="en-GB"/>
            </w:rPr>
            <w:t>(IASB, 2015)</w:t>
          </w:r>
          <w:r w:rsidR="001B772C">
            <w:rPr>
              <w:rFonts w:ascii="Arial" w:hAnsi="Arial" w:cs="Arial"/>
              <w:color w:val="auto"/>
            </w:rPr>
            <w:fldChar w:fldCharType="end"/>
          </w:r>
        </w:sdtContent>
      </w:sdt>
      <w:r w:rsidR="008D0AB8">
        <w:rPr>
          <w:rFonts w:ascii="Arial" w:hAnsi="Arial" w:cs="Arial"/>
          <w:color w:val="auto"/>
        </w:rPr>
        <w:t xml:space="preserve"> </w:t>
      </w:r>
      <w:bookmarkEnd w:id="5"/>
      <w:r w:rsidR="008D0AB8">
        <w:rPr>
          <w:rFonts w:ascii="Arial" w:hAnsi="Arial" w:cs="Arial"/>
          <w:color w:val="auto"/>
        </w:rPr>
        <w:t>a liability is ‘</w:t>
      </w:r>
      <w:r w:rsidR="008D0AB8" w:rsidRPr="00171761">
        <w:rPr>
          <w:rFonts w:ascii="Arial" w:hAnsi="Arial" w:cs="Arial"/>
          <w:color w:val="auto"/>
        </w:rPr>
        <w:t xml:space="preserve">a present obligation of the entity arising from past events, the settlement of which is expected to result in an outflow from the entity of resources embodying economic </w:t>
      </w:r>
      <w:r w:rsidR="00E115FA" w:rsidRPr="00171761">
        <w:rPr>
          <w:rFonts w:ascii="Arial" w:hAnsi="Arial" w:cs="Arial"/>
          <w:color w:val="auto"/>
        </w:rPr>
        <w:t>benefits</w:t>
      </w:r>
      <w:r w:rsidR="00E115FA">
        <w:rPr>
          <w:rFonts w:ascii="Arial" w:hAnsi="Arial" w:cs="Arial"/>
          <w:color w:val="auto"/>
        </w:rPr>
        <w:t>.</w:t>
      </w:r>
      <w:r w:rsidR="00DE7E7D">
        <w:rPr>
          <w:rFonts w:ascii="Arial" w:hAnsi="Arial" w:cs="Arial"/>
          <w:color w:val="auto"/>
        </w:rPr>
        <w:t>’</w:t>
      </w:r>
      <w:r w:rsidR="00857E88">
        <w:rPr>
          <w:rFonts w:ascii="Arial" w:hAnsi="Arial" w:cs="Arial"/>
          <w:color w:val="auto"/>
        </w:rPr>
        <w:t xml:space="preserve"> </w:t>
      </w:r>
      <w:r w:rsidR="00DE7E7D">
        <w:rPr>
          <w:rFonts w:ascii="Arial" w:hAnsi="Arial" w:cs="Arial"/>
          <w:color w:val="auto"/>
        </w:rPr>
        <w:t>H</w:t>
      </w:r>
      <w:r w:rsidR="00E115FA">
        <w:rPr>
          <w:rFonts w:ascii="Arial" w:hAnsi="Arial" w:cs="Arial"/>
          <w:color w:val="auto"/>
        </w:rPr>
        <w:t>owever,</w:t>
      </w:r>
      <w:r w:rsidR="00857E88">
        <w:rPr>
          <w:rFonts w:ascii="Arial" w:hAnsi="Arial" w:cs="Arial"/>
          <w:color w:val="auto"/>
        </w:rPr>
        <w:t xml:space="preserve"> the current treatment conflicts with this definition. </w:t>
      </w:r>
      <w:r w:rsidR="000D1BB3">
        <w:rPr>
          <w:rFonts w:ascii="Arial" w:hAnsi="Arial" w:cs="Arial"/>
          <w:color w:val="auto"/>
        </w:rPr>
        <w:t xml:space="preserve">For example, </w:t>
      </w:r>
      <w:r w:rsidR="00F12776">
        <w:rPr>
          <w:rFonts w:ascii="Arial" w:hAnsi="Arial" w:cs="Arial"/>
          <w:color w:val="auto"/>
        </w:rPr>
        <w:t xml:space="preserve">when a company </w:t>
      </w:r>
      <w:r w:rsidR="009D29C7">
        <w:rPr>
          <w:rFonts w:ascii="Arial" w:hAnsi="Arial" w:cs="Arial"/>
          <w:color w:val="auto"/>
        </w:rPr>
        <w:t>enters</w:t>
      </w:r>
      <w:r w:rsidR="00F12776">
        <w:rPr>
          <w:rFonts w:ascii="Arial" w:hAnsi="Arial" w:cs="Arial"/>
          <w:color w:val="auto"/>
        </w:rPr>
        <w:t xml:space="preserve"> a </w:t>
      </w:r>
      <w:r w:rsidR="002F0BA3">
        <w:rPr>
          <w:rFonts w:ascii="Arial" w:hAnsi="Arial" w:cs="Arial"/>
          <w:color w:val="auto"/>
        </w:rPr>
        <w:t>three-year</w:t>
      </w:r>
      <w:r w:rsidR="005B19EE">
        <w:rPr>
          <w:rFonts w:ascii="Arial" w:hAnsi="Arial" w:cs="Arial"/>
          <w:color w:val="auto"/>
        </w:rPr>
        <w:t xml:space="preserve"> lease to rent a building. In accordance with IAS 17 that</w:t>
      </w:r>
      <w:r w:rsidR="002F0BA3">
        <w:rPr>
          <w:rFonts w:ascii="Arial" w:hAnsi="Arial" w:cs="Arial"/>
          <w:color w:val="auto"/>
        </w:rPr>
        <w:t xml:space="preserve"> the lease is classified as an operating lease and that accordingly the correct accounting treatment is to expense the income statement with the rentals payable.</w:t>
      </w:r>
      <w:r w:rsidR="00040038">
        <w:rPr>
          <w:rFonts w:ascii="Arial" w:hAnsi="Arial" w:cs="Arial"/>
          <w:color w:val="auto"/>
        </w:rPr>
        <w:t xml:space="preserve"> </w:t>
      </w:r>
      <w:r w:rsidR="00CC58A7">
        <w:rPr>
          <w:rFonts w:ascii="Arial" w:hAnsi="Arial" w:cs="Arial"/>
          <w:color w:val="auto"/>
        </w:rPr>
        <w:t xml:space="preserve">No asset or liability is </w:t>
      </w:r>
      <w:r w:rsidR="00730FED">
        <w:rPr>
          <w:rFonts w:ascii="Arial" w:hAnsi="Arial" w:cs="Arial"/>
          <w:color w:val="auto"/>
        </w:rPr>
        <w:t>recognized</w:t>
      </w:r>
      <w:r w:rsidR="00CC58A7">
        <w:rPr>
          <w:rFonts w:ascii="Arial" w:hAnsi="Arial" w:cs="Arial"/>
          <w:color w:val="auto"/>
        </w:rPr>
        <w:t xml:space="preserve"> due to the classification of the lease.</w:t>
      </w:r>
      <w:r w:rsidR="00442F85">
        <w:rPr>
          <w:rFonts w:ascii="Arial" w:hAnsi="Arial" w:cs="Arial"/>
          <w:color w:val="auto"/>
        </w:rPr>
        <w:t xml:space="preserve"> </w:t>
      </w:r>
      <w:r w:rsidR="004172C3">
        <w:rPr>
          <w:rFonts w:ascii="Arial" w:hAnsi="Arial" w:cs="Arial"/>
          <w:color w:val="auto"/>
        </w:rPr>
        <w:t>W</w:t>
      </w:r>
      <w:r w:rsidR="00DA5DC1" w:rsidRPr="00DA5DC1">
        <w:rPr>
          <w:rFonts w:ascii="Arial" w:hAnsi="Arial" w:cs="Arial"/>
          <w:color w:val="auto"/>
        </w:rPr>
        <w:t xml:space="preserve">hen considering the Framework, a </w:t>
      </w:r>
      <w:r w:rsidR="00CE594B">
        <w:rPr>
          <w:rFonts w:ascii="Arial" w:hAnsi="Arial" w:cs="Arial"/>
          <w:color w:val="auto"/>
        </w:rPr>
        <w:t>totally</w:t>
      </w:r>
      <w:r w:rsidR="00DA5DC1" w:rsidRPr="00DA5DC1">
        <w:rPr>
          <w:rFonts w:ascii="Arial" w:hAnsi="Arial" w:cs="Arial"/>
          <w:color w:val="auto"/>
        </w:rPr>
        <w:t xml:space="preserve"> different potential treatment arises for this lease. </w:t>
      </w:r>
      <w:r w:rsidR="000371F8">
        <w:rPr>
          <w:rFonts w:ascii="Arial" w:hAnsi="Arial" w:cs="Arial"/>
          <w:color w:val="auto"/>
        </w:rPr>
        <w:t>‘</w:t>
      </w:r>
      <w:r w:rsidR="00DA5DC1" w:rsidRPr="00DA5DC1">
        <w:rPr>
          <w:rFonts w:ascii="Arial" w:hAnsi="Arial" w:cs="Arial"/>
          <w:color w:val="auto"/>
        </w:rPr>
        <w:t>On entering the lease, a liability is recognized, measured at the present value of the future cash flow obligations to reflect the time value of money. In turn an asset would also be accounted for. After the initial recognition of the liability, a finance cost is charged against profit in respect of unwinding the discount on the liability. The annual cash rental payments are accounted for as a reduction in the liability. The asset is systematically written off against profit over the three years of the agreement (depreciation).</w:t>
      </w:r>
      <w:r w:rsidR="000371F8">
        <w:rPr>
          <w:rFonts w:ascii="Arial" w:hAnsi="Arial" w:cs="Arial"/>
          <w:color w:val="auto"/>
        </w:rPr>
        <w:t>’</w:t>
      </w:r>
      <w:r w:rsidR="002426C9" w:rsidRPr="002426C9">
        <w:rPr>
          <w:rFonts w:ascii="Arial" w:hAnsi="Arial" w:cs="Arial"/>
          <w:color w:val="auto"/>
        </w:rPr>
        <w:t xml:space="preserve"> </w:t>
      </w:r>
      <w:sdt>
        <w:sdtPr>
          <w:rPr>
            <w:rFonts w:ascii="Arial" w:hAnsi="Arial" w:cs="Arial"/>
            <w:color w:val="auto"/>
          </w:rPr>
          <w:id w:val="622193358"/>
          <w:citation/>
        </w:sdtPr>
        <w:sdtEndPr/>
        <w:sdtContent>
          <w:r w:rsidR="002426C9">
            <w:rPr>
              <w:rFonts w:ascii="Arial" w:hAnsi="Arial" w:cs="Arial"/>
              <w:color w:val="auto"/>
            </w:rPr>
            <w:fldChar w:fldCharType="begin"/>
          </w:r>
          <w:r w:rsidR="002426C9">
            <w:rPr>
              <w:rFonts w:ascii="Arial" w:hAnsi="Arial" w:cs="Arial"/>
              <w:color w:val="auto"/>
              <w:lang w:val="en-GB"/>
            </w:rPr>
            <w:instrText xml:space="preserve"> CITATION FCC11 \l 2057 </w:instrText>
          </w:r>
          <w:r w:rsidR="002426C9">
            <w:rPr>
              <w:rFonts w:ascii="Arial" w:hAnsi="Arial" w:cs="Arial"/>
              <w:color w:val="auto"/>
            </w:rPr>
            <w:fldChar w:fldCharType="separate"/>
          </w:r>
          <w:r w:rsidR="005C372C" w:rsidRPr="005C372C">
            <w:rPr>
              <w:rFonts w:ascii="Arial" w:hAnsi="Arial" w:cs="Arial"/>
              <w:noProof/>
              <w:color w:val="auto"/>
              <w:lang w:val="en-GB"/>
            </w:rPr>
            <w:t>(FCCA, 2011)</w:t>
          </w:r>
          <w:r w:rsidR="002426C9">
            <w:rPr>
              <w:rFonts w:ascii="Arial" w:hAnsi="Arial" w:cs="Arial"/>
              <w:color w:val="auto"/>
            </w:rPr>
            <w:fldChar w:fldCharType="end"/>
          </w:r>
        </w:sdtContent>
      </w:sdt>
      <w:r w:rsidR="00DA5DC1" w:rsidRPr="00DA5DC1">
        <w:rPr>
          <w:rFonts w:ascii="Arial" w:hAnsi="Arial" w:cs="Arial"/>
          <w:color w:val="auto"/>
        </w:rPr>
        <w:t xml:space="preserve"> </w:t>
      </w:r>
      <w:r w:rsidR="000E0DF0" w:rsidRPr="00D946AD">
        <w:rPr>
          <w:rFonts w:ascii="Arial" w:hAnsi="Arial" w:cs="Arial"/>
          <w:color w:val="auto"/>
        </w:rPr>
        <w:t xml:space="preserve">Companies who desperately try to classify their contracts </w:t>
      </w:r>
      <w:r w:rsidR="000E0DF0" w:rsidRPr="00D946AD">
        <w:rPr>
          <w:rFonts w:ascii="Arial" w:hAnsi="Arial" w:cs="Arial"/>
          <w:color w:val="auto"/>
        </w:rPr>
        <w:lastRenderedPageBreak/>
        <w:t xml:space="preserve">as operating leases </w:t>
      </w:r>
      <w:r w:rsidR="007B41B5" w:rsidRPr="00D946AD">
        <w:rPr>
          <w:rFonts w:ascii="Arial" w:hAnsi="Arial" w:cs="Arial"/>
          <w:color w:val="auto"/>
        </w:rPr>
        <w:t>to</w:t>
      </w:r>
      <w:r w:rsidR="000E0DF0" w:rsidRPr="00D946AD">
        <w:rPr>
          <w:rFonts w:ascii="Arial" w:hAnsi="Arial" w:cs="Arial"/>
          <w:color w:val="auto"/>
        </w:rPr>
        <w:t xml:space="preserve"> create an accountancy fiction, understand improving the financial position, do not respect these definitions</w:t>
      </w:r>
      <w:r w:rsidRPr="00D946AD">
        <w:rPr>
          <w:rFonts w:ascii="Arial" w:hAnsi="Arial" w:cs="Arial"/>
          <w:color w:val="auto"/>
        </w:rPr>
        <w:t>.</w:t>
      </w:r>
      <w:r w:rsidR="00C71403">
        <w:rPr>
          <w:rFonts w:ascii="Arial" w:hAnsi="Arial" w:cs="Arial"/>
          <w:color w:val="auto"/>
        </w:rPr>
        <w:t xml:space="preserve"> </w:t>
      </w:r>
    </w:p>
    <w:p w14:paraId="0F458E77" w14:textId="415C1B1B" w:rsidR="008E32B2" w:rsidRPr="00D946AD" w:rsidRDefault="008E32B2" w:rsidP="00C71403">
      <w:pPr>
        <w:spacing w:before="0" w:after="0"/>
        <w:ind w:firstLine="720"/>
        <w:rPr>
          <w:rFonts w:ascii="Arial" w:hAnsi="Arial" w:cs="Arial"/>
          <w:color w:val="auto"/>
        </w:rPr>
      </w:pPr>
      <w:r>
        <w:rPr>
          <w:rFonts w:ascii="Arial" w:hAnsi="Arial" w:cs="Arial"/>
          <w:color w:val="auto"/>
        </w:rPr>
        <w:t>Third</w:t>
      </w:r>
      <w:r w:rsidRPr="00D946AD">
        <w:rPr>
          <w:rFonts w:ascii="Arial" w:hAnsi="Arial" w:cs="Arial"/>
          <w:color w:val="auto"/>
        </w:rPr>
        <w:t>, t</w:t>
      </w:r>
      <w:r>
        <w:rPr>
          <w:rFonts w:ascii="Arial" w:hAnsi="Arial" w:cs="Arial"/>
          <w:color w:val="auto"/>
        </w:rPr>
        <w:t>he current</w:t>
      </w:r>
      <w:r w:rsidRPr="00D946AD">
        <w:rPr>
          <w:rFonts w:ascii="Arial" w:hAnsi="Arial" w:cs="Arial"/>
          <w:color w:val="auto"/>
        </w:rPr>
        <w:t xml:space="preserve"> model is too complex and not transparent </w:t>
      </w:r>
      <w:r w:rsidR="004A1D1E" w:rsidRPr="00D946AD">
        <w:rPr>
          <w:rFonts w:ascii="Arial" w:hAnsi="Arial" w:cs="Arial"/>
          <w:color w:val="auto"/>
        </w:rPr>
        <w:t>enough</w:t>
      </w:r>
      <w:r w:rsidR="004A1D1E">
        <w:rPr>
          <w:rFonts w:ascii="Arial" w:hAnsi="Arial" w:cs="Arial"/>
          <w:color w:val="auto"/>
        </w:rPr>
        <w:t>.</w:t>
      </w:r>
      <w:r w:rsidR="004A1D1E" w:rsidRPr="00D946AD">
        <w:rPr>
          <w:rFonts w:ascii="Arial" w:hAnsi="Arial" w:cs="Arial"/>
          <w:color w:val="auto"/>
        </w:rPr>
        <w:t xml:space="preserve"> The</w:t>
      </w:r>
      <w:r w:rsidRPr="00D946AD">
        <w:rPr>
          <w:rFonts w:ascii="Arial" w:hAnsi="Arial" w:cs="Arial"/>
          <w:color w:val="auto"/>
        </w:rPr>
        <w:t xml:space="preserve"> absence of detailed requirements makes it hard for investors, bankers and analysts to assess the company’s financial situation correctly. </w:t>
      </w:r>
      <w:proofErr w:type="spellStart"/>
      <w:r w:rsidRPr="00D946AD">
        <w:rPr>
          <w:rFonts w:ascii="Arial" w:hAnsi="Arial" w:cs="Arial"/>
          <w:color w:val="auto"/>
        </w:rPr>
        <w:t>Marton</w:t>
      </w:r>
      <w:proofErr w:type="spellEnd"/>
      <w:r w:rsidRPr="00D946AD">
        <w:rPr>
          <w:rFonts w:ascii="Arial" w:hAnsi="Arial" w:cs="Arial"/>
          <w:color w:val="auto"/>
        </w:rPr>
        <w:t xml:space="preserve"> et al. (2012) suggest that companies reporting their leases as operating leases have better financial ratios than their competitors reporting finance leases. Which provides a strong </w:t>
      </w:r>
      <w:r w:rsidR="00455BE7">
        <w:rPr>
          <w:rFonts w:ascii="Arial" w:hAnsi="Arial" w:cs="Arial"/>
          <w:color w:val="auto"/>
        </w:rPr>
        <w:t>incentive</w:t>
      </w:r>
      <w:r w:rsidRPr="00D946AD">
        <w:rPr>
          <w:rFonts w:ascii="Arial" w:hAnsi="Arial" w:cs="Arial"/>
          <w:color w:val="auto"/>
        </w:rPr>
        <w:t xml:space="preserve"> </w:t>
      </w:r>
      <w:r w:rsidR="00455BE7">
        <w:rPr>
          <w:rFonts w:ascii="Arial" w:hAnsi="Arial" w:cs="Arial"/>
          <w:color w:val="auto"/>
        </w:rPr>
        <w:t>for</w:t>
      </w:r>
      <w:r w:rsidRPr="00D946AD">
        <w:rPr>
          <w:rFonts w:ascii="Arial" w:hAnsi="Arial" w:cs="Arial"/>
          <w:color w:val="auto"/>
        </w:rPr>
        <w:t xml:space="preserve"> companies to misclassify their lease contracts as operating leases. </w:t>
      </w:r>
    </w:p>
    <w:p w14:paraId="4C630F0F" w14:textId="2D09D49B" w:rsidR="008E32B2" w:rsidRDefault="008E32B2" w:rsidP="00927C27">
      <w:pPr>
        <w:rPr>
          <w:rFonts w:ascii="Arial" w:hAnsi="Arial" w:cs="Arial"/>
          <w:color w:val="auto"/>
        </w:rPr>
      </w:pPr>
    </w:p>
    <w:p w14:paraId="6D2E1B38" w14:textId="1CD7162D" w:rsidR="00DE1D4E" w:rsidRDefault="00DE1D4E" w:rsidP="00927C27">
      <w:pPr>
        <w:rPr>
          <w:rFonts w:ascii="Arial" w:hAnsi="Arial" w:cs="Arial"/>
          <w:color w:val="auto"/>
        </w:rPr>
      </w:pPr>
    </w:p>
    <w:p w14:paraId="027A864E" w14:textId="317F1C87" w:rsidR="00DE1D4E" w:rsidRDefault="00DE1D4E" w:rsidP="00927C27">
      <w:pPr>
        <w:rPr>
          <w:rFonts w:ascii="Arial" w:hAnsi="Arial" w:cs="Arial"/>
          <w:color w:val="auto"/>
        </w:rPr>
      </w:pPr>
    </w:p>
    <w:p w14:paraId="747637BD" w14:textId="7645568D" w:rsidR="00DE1D4E" w:rsidRDefault="00DE1D4E" w:rsidP="00927C27">
      <w:pPr>
        <w:rPr>
          <w:rFonts w:ascii="Arial" w:hAnsi="Arial" w:cs="Arial"/>
          <w:color w:val="auto"/>
        </w:rPr>
      </w:pPr>
    </w:p>
    <w:p w14:paraId="5D165A07" w14:textId="3D88B3A8" w:rsidR="00DE1D4E" w:rsidRDefault="00DE1D4E" w:rsidP="00927C27">
      <w:pPr>
        <w:rPr>
          <w:rFonts w:ascii="Arial" w:hAnsi="Arial" w:cs="Arial"/>
          <w:color w:val="auto"/>
        </w:rPr>
      </w:pPr>
    </w:p>
    <w:p w14:paraId="40610A33" w14:textId="65D11C05" w:rsidR="00DE1D4E" w:rsidRDefault="00DE1D4E" w:rsidP="00927C27">
      <w:pPr>
        <w:rPr>
          <w:rFonts w:ascii="Arial" w:hAnsi="Arial" w:cs="Arial"/>
          <w:color w:val="auto"/>
        </w:rPr>
      </w:pPr>
    </w:p>
    <w:p w14:paraId="222CCF53" w14:textId="2C1A5F06" w:rsidR="00DE1D4E" w:rsidRDefault="00DE1D4E" w:rsidP="00927C27">
      <w:pPr>
        <w:rPr>
          <w:rFonts w:ascii="Arial" w:hAnsi="Arial" w:cs="Arial"/>
          <w:color w:val="auto"/>
        </w:rPr>
      </w:pPr>
    </w:p>
    <w:p w14:paraId="0ABC21AE" w14:textId="6E64C209" w:rsidR="00DE1D4E" w:rsidRDefault="00DE1D4E" w:rsidP="00927C27">
      <w:pPr>
        <w:rPr>
          <w:rFonts w:ascii="Arial" w:hAnsi="Arial" w:cs="Arial"/>
          <w:color w:val="auto"/>
        </w:rPr>
      </w:pPr>
    </w:p>
    <w:p w14:paraId="2A74CB75" w14:textId="5DAE0877" w:rsidR="00DE1D4E" w:rsidRDefault="00DE1D4E" w:rsidP="00927C27">
      <w:pPr>
        <w:rPr>
          <w:rFonts w:ascii="Arial" w:hAnsi="Arial" w:cs="Arial"/>
          <w:color w:val="auto"/>
        </w:rPr>
      </w:pPr>
    </w:p>
    <w:p w14:paraId="7887A993" w14:textId="07815F45" w:rsidR="00DE1D4E" w:rsidRDefault="00DE1D4E" w:rsidP="00927C27">
      <w:pPr>
        <w:rPr>
          <w:rFonts w:ascii="Arial" w:hAnsi="Arial" w:cs="Arial"/>
          <w:color w:val="auto"/>
        </w:rPr>
      </w:pPr>
    </w:p>
    <w:p w14:paraId="09309F14" w14:textId="295380E8" w:rsidR="00DE1D4E" w:rsidRDefault="00DE1D4E" w:rsidP="00927C27">
      <w:pPr>
        <w:rPr>
          <w:rFonts w:ascii="Arial" w:hAnsi="Arial" w:cs="Arial"/>
          <w:color w:val="auto"/>
        </w:rPr>
      </w:pPr>
    </w:p>
    <w:p w14:paraId="0385186E" w14:textId="2406E6C4" w:rsidR="00DE1D4E" w:rsidRDefault="00DE1D4E" w:rsidP="00927C27">
      <w:pPr>
        <w:rPr>
          <w:rFonts w:ascii="Arial" w:hAnsi="Arial" w:cs="Arial"/>
          <w:color w:val="auto"/>
        </w:rPr>
      </w:pPr>
    </w:p>
    <w:p w14:paraId="37CFA686" w14:textId="132C45FC" w:rsidR="00DE1D4E" w:rsidRDefault="00DE1D4E" w:rsidP="00927C27">
      <w:pPr>
        <w:rPr>
          <w:rFonts w:ascii="Arial" w:hAnsi="Arial" w:cs="Arial"/>
          <w:color w:val="auto"/>
        </w:rPr>
      </w:pPr>
    </w:p>
    <w:p w14:paraId="248583D4" w14:textId="311F2718" w:rsidR="00F47295" w:rsidRDefault="00F47295" w:rsidP="00927C27">
      <w:pPr>
        <w:rPr>
          <w:rFonts w:ascii="Arial" w:hAnsi="Arial" w:cs="Arial"/>
          <w:color w:val="auto"/>
        </w:rPr>
      </w:pPr>
    </w:p>
    <w:p w14:paraId="132B9DB6" w14:textId="77777777" w:rsidR="00F47295" w:rsidRDefault="00F47295" w:rsidP="00927C27">
      <w:pPr>
        <w:rPr>
          <w:rFonts w:ascii="Arial" w:hAnsi="Arial" w:cs="Arial"/>
          <w:color w:val="auto"/>
        </w:rPr>
      </w:pPr>
    </w:p>
    <w:p w14:paraId="52C06EF6" w14:textId="3B6DBED1" w:rsidR="00DE1D4E" w:rsidRDefault="00DE1D4E" w:rsidP="00927C27">
      <w:pPr>
        <w:rPr>
          <w:rFonts w:ascii="Arial" w:hAnsi="Arial" w:cs="Arial"/>
          <w:color w:val="auto"/>
        </w:rPr>
      </w:pPr>
    </w:p>
    <w:p w14:paraId="7C3E1D88" w14:textId="75FFE0CA" w:rsidR="00DE1D4E" w:rsidRDefault="00DE1D4E" w:rsidP="00927C27">
      <w:pPr>
        <w:rPr>
          <w:rFonts w:ascii="Arial" w:hAnsi="Arial" w:cs="Arial"/>
          <w:color w:val="auto"/>
        </w:rPr>
      </w:pPr>
    </w:p>
    <w:p w14:paraId="745FA548" w14:textId="1454BDC2" w:rsidR="00DE1D4E" w:rsidRDefault="00DE1D4E" w:rsidP="00927C27">
      <w:pPr>
        <w:rPr>
          <w:rFonts w:ascii="Arial" w:hAnsi="Arial" w:cs="Arial"/>
          <w:color w:val="auto"/>
        </w:rPr>
      </w:pPr>
    </w:p>
    <w:p w14:paraId="02D934C8" w14:textId="74F30440" w:rsidR="00DE1D4E" w:rsidRDefault="00DE1D4E" w:rsidP="00927C27">
      <w:pPr>
        <w:rPr>
          <w:rFonts w:ascii="Arial" w:hAnsi="Arial" w:cs="Arial"/>
          <w:color w:val="auto"/>
        </w:rPr>
      </w:pPr>
    </w:p>
    <w:p w14:paraId="29F7121F" w14:textId="77777777" w:rsidR="00866052" w:rsidRPr="00D946AD" w:rsidRDefault="00866052" w:rsidP="00927C27">
      <w:pPr>
        <w:rPr>
          <w:rFonts w:ascii="Arial" w:hAnsi="Arial" w:cs="Arial"/>
          <w:color w:val="auto"/>
        </w:rPr>
      </w:pPr>
    </w:p>
    <w:p w14:paraId="1C8B4B5A" w14:textId="0277AA3D" w:rsidR="00ED724D" w:rsidRDefault="0019401B" w:rsidP="007C2AB4">
      <w:pPr>
        <w:pStyle w:val="Heading1"/>
        <w:rPr>
          <w:rFonts w:ascii="Arial" w:hAnsi="Arial" w:cs="Arial"/>
          <w:color w:val="auto"/>
          <w:u w:val="single"/>
        </w:rPr>
      </w:pPr>
      <w:r w:rsidRPr="00C30D07">
        <w:rPr>
          <w:rFonts w:ascii="Arial" w:hAnsi="Arial" w:cs="Arial"/>
          <w:color w:val="auto"/>
          <w:u w:val="single"/>
        </w:rPr>
        <w:lastRenderedPageBreak/>
        <w:t>IFRS 16</w:t>
      </w:r>
    </w:p>
    <w:p w14:paraId="57C0EEF7" w14:textId="77777777" w:rsidR="009D680E" w:rsidRDefault="009D680E" w:rsidP="00084729">
      <w:pPr>
        <w:spacing w:before="0" w:after="0"/>
        <w:rPr>
          <w:rFonts w:ascii="Arial" w:hAnsi="Arial" w:cs="Arial"/>
          <w:color w:val="auto"/>
        </w:rPr>
      </w:pPr>
    </w:p>
    <w:p w14:paraId="200C6907" w14:textId="4CA41725" w:rsidR="003C3489" w:rsidRPr="00581A4B" w:rsidRDefault="002E06C1" w:rsidP="00084729">
      <w:pPr>
        <w:spacing w:before="0" w:after="0"/>
        <w:rPr>
          <w:rFonts w:ascii="Arial" w:hAnsi="Arial" w:cs="Arial"/>
          <w:color w:val="auto"/>
        </w:rPr>
      </w:pPr>
      <w:r w:rsidRPr="00581A4B">
        <w:rPr>
          <w:rFonts w:ascii="Arial" w:hAnsi="Arial" w:cs="Arial"/>
          <w:color w:val="auto"/>
        </w:rPr>
        <w:t>‘</w:t>
      </w:r>
      <w:r w:rsidR="00C91440" w:rsidRPr="00581A4B">
        <w:rPr>
          <w:rFonts w:ascii="Arial" w:hAnsi="Arial" w:cs="Arial"/>
          <w:color w:val="auto"/>
        </w:rPr>
        <w:t xml:space="preserve">The objective of IFRS 16 is to report information that (a) faithfully represents lease transactions and (b) provides a basis for users of financial statements to assess the amount, timing and uncertainty of cash flows arising from </w:t>
      </w:r>
      <w:r w:rsidRPr="00581A4B">
        <w:rPr>
          <w:rFonts w:ascii="Arial" w:hAnsi="Arial" w:cs="Arial"/>
          <w:color w:val="auto"/>
        </w:rPr>
        <w:t>leases’</w:t>
      </w:r>
      <w:r w:rsidR="00C91440" w:rsidRPr="00581A4B">
        <w:rPr>
          <w:rFonts w:ascii="Arial" w:hAnsi="Arial" w:cs="Arial"/>
          <w:color w:val="auto"/>
        </w:rPr>
        <w:t xml:space="preserve"> </w:t>
      </w:r>
      <w:sdt>
        <w:sdtPr>
          <w:rPr>
            <w:rFonts w:ascii="Arial" w:hAnsi="Arial" w:cs="Arial"/>
            <w:color w:val="auto"/>
          </w:rPr>
          <w:id w:val="-174195925"/>
          <w:citation/>
        </w:sdtPr>
        <w:sdtEndPr/>
        <w:sdtContent>
          <w:r w:rsidR="00C91440" w:rsidRPr="00581A4B">
            <w:rPr>
              <w:rFonts w:ascii="Arial" w:hAnsi="Arial" w:cs="Arial"/>
              <w:color w:val="auto"/>
            </w:rPr>
            <w:fldChar w:fldCharType="begin"/>
          </w:r>
          <w:r w:rsidR="00C91440" w:rsidRPr="00581A4B">
            <w:rPr>
              <w:rFonts w:ascii="Arial" w:hAnsi="Arial" w:cs="Arial"/>
              <w:color w:val="auto"/>
            </w:rPr>
            <w:instrText xml:space="preserve"> CITATION IFR18 \l 2057 </w:instrText>
          </w:r>
          <w:r w:rsidR="00C91440" w:rsidRPr="00581A4B">
            <w:rPr>
              <w:rFonts w:ascii="Arial" w:hAnsi="Arial" w:cs="Arial"/>
              <w:color w:val="auto"/>
            </w:rPr>
            <w:fldChar w:fldCharType="separate"/>
          </w:r>
          <w:r w:rsidR="005C372C" w:rsidRPr="005C372C">
            <w:rPr>
              <w:rFonts w:ascii="Arial" w:hAnsi="Arial" w:cs="Arial"/>
              <w:noProof/>
              <w:color w:val="auto"/>
            </w:rPr>
            <w:t>(IFRS, 2018)</w:t>
          </w:r>
          <w:r w:rsidR="00C91440" w:rsidRPr="00581A4B">
            <w:rPr>
              <w:rFonts w:ascii="Arial" w:hAnsi="Arial" w:cs="Arial"/>
              <w:color w:val="auto"/>
            </w:rPr>
            <w:fldChar w:fldCharType="end"/>
          </w:r>
        </w:sdtContent>
      </w:sdt>
      <w:r w:rsidRPr="00581A4B">
        <w:rPr>
          <w:rFonts w:ascii="Arial" w:hAnsi="Arial" w:cs="Arial"/>
          <w:color w:val="auto"/>
        </w:rPr>
        <w:t>.</w:t>
      </w:r>
    </w:p>
    <w:p w14:paraId="1D3A7F75" w14:textId="2B43C605" w:rsidR="005B3C7E" w:rsidRDefault="00D565B5" w:rsidP="00084729">
      <w:pPr>
        <w:spacing w:before="0" w:after="0"/>
        <w:ind w:firstLine="720"/>
        <w:rPr>
          <w:rFonts w:ascii="Arial" w:hAnsi="Arial" w:cs="Arial"/>
          <w:color w:val="auto"/>
        </w:rPr>
      </w:pPr>
      <w:r w:rsidRPr="00581A4B">
        <w:rPr>
          <w:rFonts w:ascii="Arial" w:hAnsi="Arial" w:cs="Arial"/>
          <w:color w:val="auto"/>
        </w:rPr>
        <w:t xml:space="preserve">IFRS 16 introduces a new single lessee accounting model </w:t>
      </w:r>
      <w:r w:rsidR="003C29A8" w:rsidRPr="00581A4B">
        <w:rPr>
          <w:rFonts w:ascii="Arial" w:hAnsi="Arial" w:cs="Arial"/>
          <w:color w:val="auto"/>
        </w:rPr>
        <w:t>that requires the lessee to recognize assets and liabilities for all leases with a term of more than 12 months, this</w:t>
      </w:r>
      <w:r w:rsidR="00BB609E">
        <w:rPr>
          <w:rFonts w:ascii="Arial" w:hAnsi="Arial" w:cs="Arial"/>
          <w:color w:val="auto"/>
        </w:rPr>
        <w:t xml:space="preserve"> excludes</w:t>
      </w:r>
      <w:r w:rsidR="005B3C7E" w:rsidRPr="00581A4B">
        <w:rPr>
          <w:rFonts w:ascii="Arial" w:hAnsi="Arial" w:cs="Arial"/>
          <w:color w:val="auto"/>
        </w:rPr>
        <w:t xml:space="preserve"> assets or liabilities that are of low value.</w:t>
      </w:r>
      <w:r w:rsidR="004E0B09" w:rsidRPr="00581A4B">
        <w:rPr>
          <w:rFonts w:ascii="Arial" w:hAnsi="Arial" w:cs="Arial"/>
          <w:color w:val="auto"/>
        </w:rPr>
        <w:t xml:space="preserve"> The lessee is required to identify a right-of-use asset representing its right to use the </w:t>
      </w:r>
      <w:r w:rsidR="00291F41" w:rsidRPr="00581A4B">
        <w:rPr>
          <w:rFonts w:ascii="Arial" w:hAnsi="Arial" w:cs="Arial"/>
          <w:color w:val="auto"/>
        </w:rPr>
        <w:t>original</w:t>
      </w:r>
      <w:r w:rsidR="004E0B09" w:rsidRPr="00581A4B">
        <w:rPr>
          <w:rFonts w:ascii="Arial" w:hAnsi="Arial" w:cs="Arial"/>
          <w:color w:val="auto"/>
        </w:rPr>
        <w:t xml:space="preserve"> leased asset and a lease liability representing its obligation to make lease payments.</w:t>
      </w:r>
    </w:p>
    <w:p w14:paraId="412E1F89" w14:textId="390DFD73" w:rsidR="00CF3D49" w:rsidRDefault="00083EB5" w:rsidP="00E2175A">
      <w:pPr>
        <w:spacing w:before="0" w:after="0"/>
        <w:ind w:firstLine="720"/>
        <w:rPr>
          <w:rFonts w:ascii="Arial" w:hAnsi="Arial" w:cs="Arial"/>
          <w:color w:val="auto"/>
        </w:rPr>
      </w:pPr>
      <w:r>
        <w:rPr>
          <w:rFonts w:ascii="Arial" w:hAnsi="Arial" w:cs="Arial"/>
          <w:color w:val="auto"/>
        </w:rPr>
        <w:t xml:space="preserve">A lessee measures right-of-use assets </w:t>
      </w:r>
      <w:r w:rsidR="006D0176">
        <w:rPr>
          <w:rFonts w:ascii="Arial" w:hAnsi="Arial" w:cs="Arial"/>
          <w:color w:val="auto"/>
        </w:rPr>
        <w:t>like</w:t>
      </w:r>
      <w:r>
        <w:rPr>
          <w:rFonts w:ascii="Arial" w:hAnsi="Arial" w:cs="Arial"/>
          <w:color w:val="auto"/>
        </w:rPr>
        <w:t xml:space="preserve"> the other non-financial assets</w:t>
      </w:r>
      <w:r w:rsidR="005C1E79">
        <w:rPr>
          <w:rFonts w:ascii="Arial" w:hAnsi="Arial" w:cs="Arial"/>
          <w:color w:val="auto"/>
        </w:rPr>
        <w:t xml:space="preserve"> such as property, plant and equipment and the same for lease liabilities. </w:t>
      </w:r>
      <w:r w:rsidR="00F729B9">
        <w:rPr>
          <w:rFonts w:ascii="Arial" w:hAnsi="Arial" w:cs="Arial"/>
          <w:color w:val="auto"/>
        </w:rPr>
        <w:t>Therefore</w:t>
      </w:r>
      <w:r w:rsidR="006D0176" w:rsidRPr="0023368B">
        <w:rPr>
          <w:rFonts w:ascii="Arial" w:hAnsi="Arial" w:cs="Arial"/>
          <w:color w:val="auto"/>
        </w:rPr>
        <w:t xml:space="preserve">, a lessee </w:t>
      </w:r>
      <w:r w:rsidR="0023368B" w:rsidRPr="0023368B">
        <w:rPr>
          <w:rFonts w:ascii="Arial" w:hAnsi="Arial" w:cs="Arial"/>
          <w:color w:val="auto"/>
        </w:rPr>
        <w:t>identifies</w:t>
      </w:r>
      <w:r w:rsidR="006D0176" w:rsidRPr="0023368B">
        <w:rPr>
          <w:rFonts w:ascii="Arial" w:hAnsi="Arial" w:cs="Arial"/>
          <w:color w:val="auto"/>
        </w:rPr>
        <w:t xml:space="preserve"> depreciation of the right-of-use asset and interest on the lease liability. The depreciation would usually be on a straight-line basis</w:t>
      </w:r>
      <w:r w:rsidR="0048292E" w:rsidRPr="0023368B">
        <w:rPr>
          <w:rFonts w:ascii="Arial" w:hAnsi="Arial" w:cs="Arial"/>
          <w:color w:val="auto"/>
        </w:rPr>
        <w:t>.</w:t>
      </w:r>
    </w:p>
    <w:p w14:paraId="3C3BA2AC" w14:textId="4DD7F86B" w:rsidR="00927C27" w:rsidRDefault="00252778" w:rsidP="003C3489">
      <w:pPr>
        <w:rPr>
          <w:rFonts w:ascii="Arial" w:hAnsi="Arial" w:cs="Arial"/>
          <w:color w:val="auto"/>
        </w:rPr>
      </w:pPr>
      <w:r>
        <w:rPr>
          <w:rFonts w:ascii="Arial" w:hAnsi="Arial" w:cs="Arial"/>
          <w:color w:val="auto"/>
        </w:rPr>
        <w:t xml:space="preserve"> </w:t>
      </w:r>
      <w:r w:rsidR="007E7E4D">
        <w:rPr>
          <w:noProof/>
        </w:rPr>
        <w:drawing>
          <wp:inline distT="0" distB="0" distL="0" distR="0" wp14:anchorId="47D1F51B" wp14:editId="0193A721">
            <wp:extent cx="5485130" cy="362197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97338" cy="3630035"/>
                    </a:xfrm>
                    <a:prstGeom prst="rect">
                      <a:avLst/>
                    </a:prstGeom>
                  </pic:spPr>
                </pic:pic>
              </a:graphicData>
            </a:graphic>
          </wp:inline>
        </w:drawing>
      </w:r>
    </w:p>
    <w:p w14:paraId="0EC84AC6" w14:textId="5C4FC57D" w:rsidR="0064033E" w:rsidRDefault="00DF2BBB" w:rsidP="0064033E">
      <w:pPr>
        <w:rPr>
          <w:rFonts w:ascii="Arial" w:hAnsi="Arial" w:cs="Arial"/>
          <w:color w:val="auto"/>
        </w:rPr>
      </w:pPr>
      <w:sdt>
        <w:sdtPr>
          <w:rPr>
            <w:rFonts w:ascii="Arial" w:hAnsi="Arial" w:cs="Arial"/>
            <w:color w:val="auto"/>
          </w:rPr>
          <w:id w:val="-721826982"/>
          <w:citation/>
        </w:sdtPr>
        <w:sdtEndPr/>
        <w:sdtContent>
          <w:r w:rsidR="0064033E">
            <w:rPr>
              <w:rFonts w:ascii="Arial" w:hAnsi="Arial" w:cs="Arial"/>
              <w:color w:val="auto"/>
            </w:rPr>
            <w:fldChar w:fldCharType="begin"/>
          </w:r>
          <w:r w:rsidR="00AB6ADE">
            <w:rPr>
              <w:rFonts w:ascii="Arial" w:hAnsi="Arial" w:cs="Arial"/>
              <w:color w:val="auto"/>
              <w:lang w:val="en-GB"/>
            </w:rPr>
            <w:instrText xml:space="preserve">CITATION Sum16 \l 2057 </w:instrText>
          </w:r>
          <w:r w:rsidR="0064033E">
            <w:rPr>
              <w:rFonts w:ascii="Arial" w:hAnsi="Arial" w:cs="Arial"/>
              <w:color w:val="auto"/>
            </w:rPr>
            <w:fldChar w:fldCharType="separate"/>
          </w:r>
          <w:r w:rsidR="005C372C" w:rsidRPr="005C372C">
            <w:rPr>
              <w:rFonts w:ascii="Arial" w:hAnsi="Arial" w:cs="Arial"/>
              <w:noProof/>
              <w:color w:val="auto"/>
              <w:lang w:val="en-GB"/>
            </w:rPr>
            <w:t>(EY, 2016)</w:t>
          </w:r>
          <w:r w:rsidR="0064033E">
            <w:rPr>
              <w:rFonts w:ascii="Arial" w:hAnsi="Arial" w:cs="Arial"/>
              <w:color w:val="auto"/>
            </w:rPr>
            <w:fldChar w:fldCharType="end"/>
          </w:r>
        </w:sdtContent>
      </w:sdt>
      <w:r w:rsidR="0064033E">
        <w:rPr>
          <w:rFonts w:ascii="Arial" w:hAnsi="Arial" w:cs="Arial"/>
          <w:color w:val="auto"/>
        </w:rPr>
        <w:t xml:space="preserve"> </w:t>
      </w:r>
    </w:p>
    <w:p w14:paraId="49E46D79" w14:textId="77777777" w:rsidR="002D2322" w:rsidRDefault="008E52BF" w:rsidP="00084729">
      <w:pPr>
        <w:spacing w:before="0" w:after="0"/>
        <w:rPr>
          <w:rFonts w:ascii="Arial" w:hAnsi="Arial" w:cs="Arial"/>
          <w:color w:val="auto"/>
        </w:rPr>
      </w:pPr>
      <w:r>
        <w:rPr>
          <w:rFonts w:ascii="Arial" w:hAnsi="Arial" w:cs="Arial"/>
          <w:color w:val="auto"/>
        </w:rPr>
        <w:t xml:space="preserve">As you can see in the graph above IFRS 16 will impact the </w:t>
      </w:r>
      <w:r w:rsidR="00B77054">
        <w:rPr>
          <w:rFonts w:ascii="Arial" w:hAnsi="Arial" w:cs="Arial"/>
          <w:color w:val="auto"/>
        </w:rPr>
        <w:t>balance sheet and profit and loss account</w:t>
      </w:r>
      <w:r w:rsidR="00344103">
        <w:rPr>
          <w:rFonts w:ascii="Arial" w:hAnsi="Arial" w:cs="Arial"/>
          <w:color w:val="auto"/>
        </w:rPr>
        <w:t>.</w:t>
      </w:r>
    </w:p>
    <w:p w14:paraId="2DB89EB0" w14:textId="62DE3760" w:rsidR="003845C8" w:rsidRDefault="002C7F5B" w:rsidP="00DE1D4E">
      <w:pPr>
        <w:spacing w:before="0" w:after="0"/>
        <w:ind w:firstLine="720"/>
        <w:rPr>
          <w:rFonts w:ascii="Arial" w:hAnsi="Arial" w:cs="Arial"/>
          <w:color w:val="auto"/>
        </w:rPr>
      </w:pPr>
      <w:r>
        <w:rPr>
          <w:rFonts w:ascii="Arial" w:hAnsi="Arial" w:cs="Arial"/>
          <w:color w:val="auto"/>
        </w:rPr>
        <w:t>Firstly,</w:t>
      </w:r>
      <w:r w:rsidR="00721514">
        <w:rPr>
          <w:rFonts w:ascii="Arial" w:hAnsi="Arial" w:cs="Arial"/>
          <w:color w:val="auto"/>
        </w:rPr>
        <w:t xml:space="preserve"> for the balance sheet, the impact</w:t>
      </w:r>
      <w:r w:rsidR="00344103">
        <w:rPr>
          <w:rFonts w:ascii="Arial" w:hAnsi="Arial" w:cs="Arial"/>
          <w:color w:val="auto"/>
        </w:rPr>
        <w:t xml:space="preserve"> </w:t>
      </w:r>
      <w:r w:rsidR="00A2794C">
        <w:rPr>
          <w:rFonts w:ascii="Arial" w:hAnsi="Arial" w:cs="Arial"/>
          <w:color w:val="auto"/>
        </w:rPr>
        <w:t>IFRS 16</w:t>
      </w:r>
      <w:r w:rsidR="00721514">
        <w:rPr>
          <w:rFonts w:ascii="Arial" w:hAnsi="Arial" w:cs="Arial"/>
          <w:color w:val="auto"/>
        </w:rPr>
        <w:t xml:space="preserve"> will make is that</w:t>
      </w:r>
      <w:r w:rsidR="00A2794C">
        <w:rPr>
          <w:rFonts w:ascii="Arial" w:hAnsi="Arial" w:cs="Arial"/>
          <w:color w:val="auto"/>
        </w:rPr>
        <w:t xml:space="preserve"> all leases will be </w:t>
      </w:r>
      <w:r w:rsidR="00721514">
        <w:rPr>
          <w:rFonts w:ascii="Arial" w:hAnsi="Arial" w:cs="Arial"/>
          <w:color w:val="auto"/>
        </w:rPr>
        <w:t>recognized</w:t>
      </w:r>
      <w:r w:rsidR="00A2794C">
        <w:rPr>
          <w:rFonts w:ascii="Arial" w:hAnsi="Arial" w:cs="Arial"/>
          <w:color w:val="auto"/>
        </w:rPr>
        <w:t xml:space="preserve"> </w:t>
      </w:r>
      <w:r w:rsidR="00721514">
        <w:rPr>
          <w:rFonts w:ascii="Arial" w:hAnsi="Arial" w:cs="Arial"/>
          <w:color w:val="auto"/>
        </w:rPr>
        <w:t>in</w:t>
      </w:r>
      <w:r w:rsidR="00A2794C">
        <w:rPr>
          <w:rFonts w:ascii="Arial" w:hAnsi="Arial" w:cs="Arial"/>
          <w:color w:val="auto"/>
        </w:rPr>
        <w:t xml:space="preserve"> the assets and liabilities whereas before under IAS 17 the operating leases </w:t>
      </w:r>
      <w:r w:rsidR="00A40BEE">
        <w:rPr>
          <w:rFonts w:ascii="Arial" w:hAnsi="Arial" w:cs="Arial"/>
          <w:color w:val="auto"/>
        </w:rPr>
        <w:t>weren’t on the balance sheet.</w:t>
      </w:r>
      <w:r w:rsidR="00BF011B">
        <w:rPr>
          <w:rFonts w:ascii="Arial" w:hAnsi="Arial" w:cs="Arial"/>
          <w:color w:val="auto"/>
        </w:rPr>
        <w:t xml:space="preserve"> </w:t>
      </w:r>
      <w:r w:rsidR="00F845F9">
        <w:rPr>
          <w:rFonts w:ascii="Arial" w:hAnsi="Arial" w:cs="Arial"/>
          <w:color w:val="auto"/>
        </w:rPr>
        <w:t xml:space="preserve">Secondly, </w:t>
      </w:r>
      <w:r w:rsidR="00C802AA">
        <w:rPr>
          <w:rFonts w:ascii="Arial" w:hAnsi="Arial" w:cs="Arial"/>
          <w:color w:val="auto"/>
        </w:rPr>
        <w:t xml:space="preserve">as for </w:t>
      </w:r>
      <w:r w:rsidR="00F845F9">
        <w:rPr>
          <w:rFonts w:ascii="Arial" w:hAnsi="Arial" w:cs="Arial"/>
          <w:color w:val="auto"/>
        </w:rPr>
        <w:t>the profit and loss</w:t>
      </w:r>
      <w:r w:rsidR="00C802AA">
        <w:rPr>
          <w:rFonts w:ascii="Arial" w:hAnsi="Arial" w:cs="Arial"/>
          <w:color w:val="auto"/>
        </w:rPr>
        <w:t xml:space="preserve"> account</w:t>
      </w:r>
      <w:r w:rsidR="00F845F9">
        <w:rPr>
          <w:rFonts w:ascii="Arial" w:hAnsi="Arial" w:cs="Arial"/>
          <w:color w:val="auto"/>
        </w:rPr>
        <w:t xml:space="preserve"> (shown as income statement)</w:t>
      </w:r>
      <w:r w:rsidR="00C802AA">
        <w:rPr>
          <w:rFonts w:ascii="Arial" w:hAnsi="Arial" w:cs="Arial"/>
          <w:color w:val="auto"/>
        </w:rPr>
        <w:t xml:space="preserve">, </w:t>
      </w:r>
      <w:r w:rsidR="00F845F9">
        <w:rPr>
          <w:rFonts w:ascii="Arial" w:hAnsi="Arial" w:cs="Arial"/>
          <w:color w:val="auto"/>
        </w:rPr>
        <w:t xml:space="preserve">the impact will be that </w:t>
      </w:r>
      <w:r>
        <w:rPr>
          <w:rFonts w:ascii="Arial" w:hAnsi="Arial" w:cs="Arial"/>
          <w:color w:val="auto"/>
        </w:rPr>
        <w:t xml:space="preserve">operating leases under IAS 17 </w:t>
      </w:r>
      <w:r w:rsidR="00C802AA">
        <w:rPr>
          <w:rFonts w:ascii="Arial" w:hAnsi="Arial" w:cs="Arial"/>
          <w:color w:val="auto"/>
        </w:rPr>
        <w:t xml:space="preserve">were </w:t>
      </w:r>
      <w:r w:rsidR="00C802AA">
        <w:rPr>
          <w:rFonts w:ascii="Arial" w:hAnsi="Arial" w:cs="Arial"/>
          <w:color w:val="auto"/>
        </w:rPr>
        <w:lastRenderedPageBreak/>
        <w:t xml:space="preserve">accounted for </w:t>
      </w:r>
      <w:r w:rsidR="00B77E19">
        <w:rPr>
          <w:rFonts w:ascii="Arial" w:hAnsi="Arial" w:cs="Arial"/>
          <w:color w:val="auto"/>
        </w:rPr>
        <w:t>under a single lease expense they will now be accounted for as separate lease expenses under depreciation and interest</w:t>
      </w:r>
      <w:r w:rsidR="00C039B5">
        <w:rPr>
          <w:rFonts w:ascii="Arial" w:hAnsi="Arial" w:cs="Arial"/>
          <w:color w:val="auto"/>
        </w:rPr>
        <w:t>.</w:t>
      </w:r>
      <w:r w:rsidR="00BF011B">
        <w:rPr>
          <w:rFonts w:ascii="Arial" w:hAnsi="Arial" w:cs="Arial"/>
          <w:color w:val="auto"/>
        </w:rPr>
        <w:t xml:space="preserve"> </w:t>
      </w:r>
      <w:r w:rsidR="00977283">
        <w:rPr>
          <w:rFonts w:ascii="Arial" w:hAnsi="Arial" w:cs="Arial"/>
          <w:color w:val="auto"/>
        </w:rPr>
        <w:t>To summarize, the major impact will be that all leases will be accounted for the same</w:t>
      </w:r>
      <w:r w:rsidR="0046497B">
        <w:rPr>
          <w:rFonts w:ascii="Arial" w:hAnsi="Arial" w:cs="Arial"/>
          <w:color w:val="auto"/>
        </w:rPr>
        <w:t>.</w:t>
      </w:r>
    </w:p>
    <w:p w14:paraId="01FF4B6D" w14:textId="77777777" w:rsidR="00DE1D4E" w:rsidRPr="00DE1D4E" w:rsidRDefault="00DE1D4E" w:rsidP="00DE1D4E">
      <w:pPr>
        <w:spacing w:before="0" w:after="0"/>
        <w:rPr>
          <w:rFonts w:ascii="Arial" w:hAnsi="Arial" w:cs="Arial"/>
          <w:color w:val="auto"/>
        </w:rPr>
      </w:pPr>
    </w:p>
    <w:p w14:paraId="5FEA81EB" w14:textId="7DBA8A6C" w:rsidR="003845C8" w:rsidRDefault="004A38EB" w:rsidP="00EE6D76">
      <w:pPr>
        <w:pStyle w:val="NormalWeb"/>
        <w:spacing w:before="0" w:beforeAutospacing="0" w:after="0" w:afterAutospacing="0"/>
        <w:rPr>
          <w:rFonts w:ascii="Arial" w:hAnsi="Arial" w:cs="Arial"/>
          <w:u w:val="single"/>
        </w:rPr>
      </w:pPr>
      <w:r w:rsidRPr="00EE6D76">
        <w:rPr>
          <w:rFonts w:ascii="Arial" w:eastAsiaTheme="minorHAnsi" w:hAnsi="Arial" w:cs="Arial"/>
          <w:szCs w:val="22"/>
          <w:u w:val="single"/>
          <w:lang w:val="en-US" w:eastAsia="en-US"/>
        </w:rPr>
        <w:t>The impact IFRS 16 will have on compan</w:t>
      </w:r>
      <w:r w:rsidR="002556DF" w:rsidRPr="00EE6D76">
        <w:rPr>
          <w:rFonts w:ascii="Arial" w:eastAsiaTheme="minorHAnsi" w:hAnsi="Arial" w:cs="Arial"/>
          <w:szCs w:val="22"/>
          <w:u w:val="single"/>
          <w:lang w:val="en-US" w:eastAsia="en-US"/>
        </w:rPr>
        <w:t>ies</w:t>
      </w:r>
    </w:p>
    <w:p w14:paraId="785D527C" w14:textId="77777777" w:rsidR="002556DF" w:rsidRPr="002556DF" w:rsidRDefault="002556DF" w:rsidP="00084729">
      <w:pPr>
        <w:spacing w:before="0" w:after="0"/>
      </w:pPr>
    </w:p>
    <w:p w14:paraId="038D2DD9" w14:textId="74D40739" w:rsidR="00136786" w:rsidRPr="00252F02" w:rsidRDefault="00F32802" w:rsidP="00084729">
      <w:pPr>
        <w:spacing w:before="0" w:after="0"/>
        <w:rPr>
          <w:rFonts w:ascii="Arial" w:hAnsi="Arial" w:cs="Arial"/>
          <w:color w:val="auto"/>
        </w:rPr>
      </w:pPr>
      <w:r w:rsidRPr="00252F02">
        <w:rPr>
          <w:rFonts w:ascii="Arial" w:hAnsi="Arial" w:cs="Arial"/>
          <w:color w:val="auto"/>
        </w:rPr>
        <w:t xml:space="preserve">The effects of IFRS 16 will </w:t>
      </w:r>
      <w:r w:rsidR="00AE2E90" w:rsidRPr="00252F02">
        <w:rPr>
          <w:rFonts w:ascii="Arial" w:hAnsi="Arial" w:cs="Arial"/>
          <w:color w:val="auto"/>
        </w:rPr>
        <w:t>be felt harsher by some companies rather than others and this depends on capital structures that the company has adopted.</w:t>
      </w:r>
      <w:r w:rsidR="00DD126E" w:rsidRPr="00252F02">
        <w:rPr>
          <w:rFonts w:ascii="Arial" w:hAnsi="Arial" w:cs="Arial"/>
          <w:color w:val="auto"/>
        </w:rPr>
        <w:t xml:space="preserve"> However, it is forecasted that certain </w:t>
      </w:r>
      <w:r w:rsidR="00136786" w:rsidRPr="00252F02">
        <w:rPr>
          <w:rFonts w:ascii="Arial" w:hAnsi="Arial" w:cs="Arial"/>
          <w:color w:val="auto"/>
        </w:rPr>
        <w:t>industries will feel</w:t>
      </w:r>
      <w:r w:rsidR="0056380B" w:rsidRPr="00252F02">
        <w:rPr>
          <w:rFonts w:ascii="Arial" w:hAnsi="Arial" w:cs="Arial"/>
          <w:color w:val="auto"/>
        </w:rPr>
        <w:t xml:space="preserve"> the impacts harsher.</w:t>
      </w:r>
    </w:p>
    <w:p w14:paraId="7591C9EC" w14:textId="19E62A60" w:rsidR="001D0B0E" w:rsidRDefault="0056380B" w:rsidP="00C71403">
      <w:pPr>
        <w:spacing w:before="0" w:after="0"/>
        <w:ind w:firstLine="720"/>
        <w:rPr>
          <w:rFonts w:ascii="Arial" w:hAnsi="Arial" w:cs="Arial"/>
          <w:color w:val="auto"/>
        </w:rPr>
      </w:pPr>
      <w:r w:rsidRPr="00252F02">
        <w:rPr>
          <w:rFonts w:ascii="Arial" w:hAnsi="Arial" w:cs="Arial"/>
          <w:color w:val="auto"/>
        </w:rPr>
        <w:t xml:space="preserve">Firstly, it is forecasted that </w:t>
      </w:r>
      <w:r w:rsidR="00377A30" w:rsidRPr="00252F02">
        <w:rPr>
          <w:rFonts w:ascii="Arial" w:hAnsi="Arial" w:cs="Arial"/>
          <w:color w:val="auto"/>
        </w:rPr>
        <w:t xml:space="preserve">the </w:t>
      </w:r>
      <w:r w:rsidR="00DE1D4E">
        <w:rPr>
          <w:rFonts w:ascii="Arial" w:hAnsi="Arial" w:cs="Arial"/>
          <w:color w:val="auto"/>
        </w:rPr>
        <w:t>r</w:t>
      </w:r>
      <w:r w:rsidRPr="00252F02">
        <w:rPr>
          <w:rFonts w:ascii="Arial" w:hAnsi="Arial" w:cs="Arial"/>
          <w:color w:val="auto"/>
        </w:rPr>
        <w:t xml:space="preserve">etail and consumer product </w:t>
      </w:r>
      <w:r w:rsidR="00377A30" w:rsidRPr="00252F02">
        <w:rPr>
          <w:rFonts w:ascii="Arial" w:hAnsi="Arial" w:cs="Arial"/>
          <w:color w:val="auto"/>
        </w:rPr>
        <w:t>industry will be affected most significantly.</w:t>
      </w:r>
      <w:r w:rsidR="00812F9A" w:rsidRPr="00252F02">
        <w:rPr>
          <w:rFonts w:ascii="Arial" w:hAnsi="Arial" w:cs="Arial"/>
          <w:color w:val="auto"/>
        </w:rPr>
        <w:t xml:space="preserve"> This will especially be the case where leased retail space forms a significant part of the company’s business model.</w:t>
      </w:r>
      <w:r w:rsidR="00BF011B">
        <w:rPr>
          <w:rFonts w:ascii="Arial" w:hAnsi="Arial" w:cs="Arial"/>
          <w:color w:val="auto"/>
        </w:rPr>
        <w:t xml:space="preserve"> </w:t>
      </w:r>
      <w:r w:rsidR="00C71403">
        <w:rPr>
          <w:rFonts w:ascii="Arial" w:hAnsi="Arial" w:cs="Arial"/>
          <w:color w:val="auto"/>
        </w:rPr>
        <w:t xml:space="preserve"> </w:t>
      </w:r>
      <w:r w:rsidR="006517D4" w:rsidRPr="00252F02">
        <w:rPr>
          <w:rFonts w:ascii="Arial" w:hAnsi="Arial" w:cs="Arial"/>
          <w:color w:val="auto"/>
        </w:rPr>
        <w:t xml:space="preserve">Secondly, </w:t>
      </w:r>
      <w:r w:rsidR="00DE1D4E">
        <w:rPr>
          <w:rFonts w:ascii="Arial" w:hAnsi="Arial" w:cs="Arial"/>
          <w:color w:val="auto"/>
        </w:rPr>
        <w:t>t</w:t>
      </w:r>
      <w:r w:rsidR="006517D4" w:rsidRPr="00252F02">
        <w:rPr>
          <w:rFonts w:ascii="Arial" w:hAnsi="Arial" w:cs="Arial"/>
          <w:color w:val="auto"/>
        </w:rPr>
        <w:t xml:space="preserve">elecommunications </w:t>
      </w:r>
      <w:r w:rsidR="0043774F">
        <w:rPr>
          <w:rFonts w:ascii="Arial" w:hAnsi="Arial" w:cs="Arial"/>
          <w:color w:val="auto"/>
        </w:rPr>
        <w:t xml:space="preserve">companies </w:t>
      </w:r>
      <w:r w:rsidR="0043774F" w:rsidRPr="00252F02">
        <w:rPr>
          <w:rFonts w:ascii="Arial" w:hAnsi="Arial" w:cs="Arial"/>
          <w:color w:val="auto"/>
        </w:rPr>
        <w:t>are</w:t>
      </w:r>
      <w:r w:rsidR="006517D4" w:rsidRPr="00252F02">
        <w:rPr>
          <w:rFonts w:ascii="Arial" w:hAnsi="Arial" w:cs="Arial"/>
          <w:color w:val="auto"/>
        </w:rPr>
        <w:t xml:space="preserve"> expected to feel the effects of IFRS 16 </w:t>
      </w:r>
      <w:r w:rsidR="007E140F" w:rsidRPr="00252F02">
        <w:rPr>
          <w:rFonts w:ascii="Arial" w:hAnsi="Arial" w:cs="Arial"/>
          <w:color w:val="auto"/>
        </w:rPr>
        <w:t xml:space="preserve">they must </w:t>
      </w:r>
      <w:r w:rsidR="00A75973" w:rsidRPr="00252F02">
        <w:rPr>
          <w:rFonts w:ascii="Arial" w:hAnsi="Arial" w:cs="Arial"/>
          <w:color w:val="auto"/>
        </w:rPr>
        <w:t>analyze</w:t>
      </w:r>
      <w:r w:rsidR="007F5F6D" w:rsidRPr="00252F02">
        <w:rPr>
          <w:rFonts w:ascii="Arial" w:hAnsi="Arial" w:cs="Arial"/>
          <w:color w:val="auto"/>
        </w:rPr>
        <w:t xml:space="preserve"> where equipment is provided to their customers. </w:t>
      </w:r>
      <w:r w:rsidR="008266B0" w:rsidRPr="00252F02">
        <w:rPr>
          <w:rFonts w:ascii="Arial" w:hAnsi="Arial" w:cs="Arial"/>
          <w:color w:val="auto"/>
        </w:rPr>
        <w:t>They would need to consider whether the contract contains a lease and if so, how the lease payments should be allocated to products and services provided.</w:t>
      </w:r>
      <w:r w:rsidR="00BF011B">
        <w:rPr>
          <w:rFonts w:ascii="Arial" w:hAnsi="Arial" w:cs="Arial"/>
          <w:color w:val="auto"/>
        </w:rPr>
        <w:t xml:space="preserve"> </w:t>
      </w:r>
      <w:r w:rsidR="00346BAB" w:rsidRPr="00252F02">
        <w:rPr>
          <w:rFonts w:ascii="Arial" w:hAnsi="Arial" w:cs="Arial"/>
          <w:color w:val="auto"/>
        </w:rPr>
        <w:t xml:space="preserve">Thirdly, Banking and other financial services </w:t>
      </w:r>
      <w:r w:rsidR="00957546" w:rsidRPr="00252F02">
        <w:rPr>
          <w:rFonts w:ascii="Arial" w:hAnsi="Arial" w:cs="Arial"/>
          <w:color w:val="auto"/>
        </w:rPr>
        <w:t xml:space="preserve">that have large administration and call </w:t>
      </w:r>
      <w:r w:rsidR="0085664E" w:rsidRPr="00252F02">
        <w:rPr>
          <w:rFonts w:ascii="Arial" w:hAnsi="Arial" w:cs="Arial"/>
          <w:color w:val="auto"/>
        </w:rPr>
        <w:t>centers</w:t>
      </w:r>
      <w:r w:rsidR="00957546" w:rsidRPr="00252F02">
        <w:rPr>
          <w:rFonts w:ascii="Arial" w:hAnsi="Arial" w:cs="Arial"/>
          <w:color w:val="auto"/>
        </w:rPr>
        <w:t xml:space="preserve"> will need to consider any lease agreements. </w:t>
      </w:r>
      <w:r w:rsidR="00F445D6" w:rsidRPr="00252F02">
        <w:rPr>
          <w:rFonts w:ascii="Arial" w:hAnsi="Arial" w:cs="Arial"/>
          <w:color w:val="auto"/>
        </w:rPr>
        <w:t xml:space="preserve">They will also need to </w:t>
      </w:r>
      <w:r w:rsidR="00A75973" w:rsidRPr="00252F02">
        <w:rPr>
          <w:rFonts w:ascii="Arial" w:hAnsi="Arial" w:cs="Arial"/>
          <w:color w:val="auto"/>
        </w:rPr>
        <w:t>analyze</w:t>
      </w:r>
      <w:r w:rsidR="00F445D6" w:rsidRPr="00252F02">
        <w:rPr>
          <w:rFonts w:ascii="Arial" w:hAnsi="Arial" w:cs="Arial"/>
          <w:color w:val="auto"/>
        </w:rPr>
        <w:t xml:space="preserve"> the contracts over ATMs and the space occupied by these machines</w:t>
      </w:r>
      <w:r w:rsidR="001F28CF" w:rsidRPr="00252F02">
        <w:rPr>
          <w:rFonts w:ascii="Arial" w:hAnsi="Arial" w:cs="Arial"/>
          <w:color w:val="auto"/>
        </w:rPr>
        <w:t xml:space="preserve">. </w:t>
      </w:r>
      <w:r w:rsidR="00BF011B">
        <w:rPr>
          <w:rFonts w:ascii="Arial" w:hAnsi="Arial" w:cs="Arial"/>
          <w:color w:val="auto"/>
        </w:rPr>
        <w:t xml:space="preserve"> </w:t>
      </w:r>
      <w:r w:rsidR="00B7348A" w:rsidRPr="00252F02">
        <w:rPr>
          <w:rFonts w:ascii="Arial" w:hAnsi="Arial" w:cs="Arial"/>
          <w:color w:val="auto"/>
        </w:rPr>
        <w:t>Other s</w:t>
      </w:r>
      <w:r w:rsidR="00BE30D2" w:rsidRPr="00252F02">
        <w:rPr>
          <w:rFonts w:ascii="Arial" w:hAnsi="Arial" w:cs="Arial"/>
          <w:color w:val="auto"/>
        </w:rPr>
        <w:t>ector</w:t>
      </w:r>
      <w:r w:rsidR="00B7348A" w:rsidRPr="00252F02">
        <w:rPr>
          <w:rFonts w:ascii="Arial" w:hAnsi="Arial" w:cs="Arial"/>
          <w:color w:val="auto"/>
        </w:rPr>
        <w:t>s</w:t>
      </w:r>
      <w:r w:rsidR="00BE30D2" w:rsidRPr="00252F02">
        <w:rPr>
          <w:rFonts w:ascii="Arial" w:hAnsi="Arial" w:cs="Arial"/>
          <w:color w:val="auto"/>
        </w:rPr>
        <w:t xml:space="preserve"> that will be heavily affected will be the Metal and mining industry</w:t>
      </w:r>
      <w:r w:rsidR="00D352B5" w:rsidRPr="00252F02">
        <w:rPr>
          <w:rFonts w:ascii="Arial" w:hAnsi="Arial" w:cs="Arial"/>
          <w:color w:val="auto"/>
        </w:rPr>
        <w:t xml:space="preserve"> Oil and Gas and</w:t>
      </w:r>
      <w:r w:rsidR="001A4AB2">
        <w:rPr>
          <w:rFonts w:ascii="Arial" w:hAnsi="Arial" w:cs="Arial"/>
          <w:color w:val="auto"/>
        </w:rPr>
        <w:t xml:space="preserve"> the</w:t>
      </w:r>
      <w:r w:rsidR="00D352B5" w:rsidRPr="00252F02">
        <w:rPr>
          <w:rFonts w:ascii="Arial" w:hAnsi="Arial" w:cs="Arial"/>
          <w:color w:val="auto"/>
        </w:rPr>
        <w:t xml:space="preserve"> Insurance</w:t>
      </w:r>
      <w:r w:rsidR="001A4AB2">
        <w:rPr>
          <w:rFonts w:ascii="Arial" w:hAnsi="Arial" w:cs="Arial"/>
          <w:color w:val="auto"/>
        </w:rPr>
        <w:t xml:space="preserve"> industry</w:t>
      </w:r>
      <w:r w:rsidR="00D352B5" w:rsidRPr="00252F02">
        <w:rPr>
          <w:rFonts w:ascii="Arial" w:hAnsi="Arial" w:cs="Arial"/>
          <w:color w:val="auto"/>
        </w:rPr>
        <w:t>.</w:t>
      </w:r>
      <w:r w:rsidR="00BE30D2" w:rsidRPr="00252F02">
        <w:rPr>
          <w:rFonts w:ascii="Arial" w:hAnsi="Arial" w:cs="Arial"/>
          <w:color w:val="auto"/>
        </w:rPr>
        <w:t xml:space="preserve"> </w:t>
      </w:r>
      <w:r w:rsidR="00D352B5" w:rsidRPr="00252F02">
        <w:rPr>
          <w:rFonts w:ascii="Arial" w:hAnsi="Arial" w:cs="Arial"/>
          <w:color w:val="auto"/>
        </w:rPr>
        <w:t>Metal and mining</w:t>
      </w:r>
      <w:r w:rsidR="00BE30D2" w:rsidRPr="00252F02">
        <w:rPr>
          <w:rFonts w:ascii="Arial" w:hAnsi="Arial" w:cs="Arial"/>
          <w:color w:val="auto"/>
        </w:rPr>
        <w:t xml:space="preserve"> will need to consider </w:t>
      </w:r>
      <w:r w:rsidR="00947946" w:rsidRPr="00252F02">
        <w:rPr>
          <w:rFonts w:ascii="Arial" w:hAnsi="Arial" w:cs="Arial"/>
          <w:color w:val="auto"/>
        </w:rPr>
        <w:t xml:space="preserve">the leasing </w:t>
      </w:r>
      <w:r w:rsidR="001D0B0E" w:rsidRPr="00252F02">
        <w:rPr>
          <w:rFonts w:ascii="Arial" w:hAnsi="Arial" w:cs="Arial"/>
          <w:color w:val="auto"/>
        </w:rPr>
        <w:t>arrangements</w:t>
      </w:r>
      <w:r w:rsidR="00947946" w:rsidRPr="00252F02">
        <w:rPr>
          <w:rFonts w:ascii="Arial" w:hAnsi="Arial" w:cs="Arial"/>
          <w:color w:val="auto"/>
        </w:rPr>
        <w:t xml:space="preserve"> they currently have such as mining equipment, vehicles as well as land and </w:t>
      </w:r>
      <w:r w:rsidR="001D0B0E" w:rsidRPr="00252F02">
        <w:rPr>
          <w:rFonts w:ascii="Arial" w:hAnsi="Arial" w:cs="Arial"/>
          <w:color w:val="auto"/>
        </w:rPr>
        <w:t>buildings</w:t>
      </w:r>
      <w:r w:rsidR="00947946" w:rsidRPr="00252F02">
        <w:rPr>
          <w:rFonts w:ascii="Arial" w:hAnsi="Arial" w:cs="Arial"/>
          <w:color w:val="auto"/>
        </w:rPr>
        <w:t xml:space="preserve">. </w:t>
      </w:r>
      <w:r w:rsidR="00136DA3" w:rsidRPr="00252F02">
        <w:rPr>
          <w:rFonts w:ascii="Arial" w:hAnsi="Arial" w:cs="Arial"/>
          <w:color w:val="auto"/>
        </w:rPr>
        <w:t>Mining entities often enter into arrangements that contain a lease (previously IFRIC 4) that falls within the scope of the new standard.</w:t>
      </w:r>
      <w:r w:rsidR="00D352B5" w:rsidRPr="00252F02">
        <w:rPr>
          <w:rFonts w:ascii="Arial" w:hAnsi="Arial" w:cs="Arial"/>
          <w:color w:val="auto"/>
        </w:rPr>
        <w:t xml:space="preserve"> Like Metal and mining, </w:t>
      </w:r>
      <w:r w:rsidR="00CB05E8" w:rsidRPr="00252F02">
        <w:rPr>
          <w:rFonts w:ascii="Arial" w:hAnsi="Arial" w:cs="Arial"/>
          <w:color w:val="auto"/>
        </w:rPr>
        <w:t>the Oil and gas industry and the Insurance industry will need to consider</w:t>
      </w:r>
      <w:r w:rsidR="009C4B8B" w:rsidRPr="00252F02">
        <w:rPr>
          <w:rFonts w:ascii="Arial" w:hAnsi="Arial" w:cs="Arial"/>
          <w:color w:val="auto"/>
        </w:rPr>
        <w:t xml:space="preserve"> current</w:t>
      </w:r>
      <w:r w:rsidR="00CB05E8" w:rsidRPr="00252F02">
        <w:rPr>
          <w:rFonts w:ascii="Arial" w:hAnsi="Arial" w:cs="Arial"/>
          <w:color w:val="auto"/>
        </w:rPr>
        <w:t xml:space="preserve"> leases such as land and buildings, </w:t>
      </w:r>
      <w:r w:rsidR="009C4B8B" w:rsidRPr="00252F02">
        <w:rPr>
          <w:rFonts w:ascii="Arial" w:hAnsi="Arial" w:cs="Arial"/>
          <w:color w:val="auto"/>
        </w:rPr>
        <w:t>ve</w:t>
      </w:r>
      <w:r w:rsidR="00CB05E8" w:rsidRPr="00252F02">
        <w:rPr>
          <w:rFonts w:ascii="Arial" w:hAnsi="Arial" w:cs="Arial"/>
          <w:color w:val="auto"/>
        </w:rPr>
        <w:t xml:space="preserve">hicles and </w:t>
      </w:r>
      <w:r w:rsidR="009C4B8B" w:rsidRPr="00252F02">
        <w:rPr>
          <w:rFonts w:ascii="Arial" w:hAnsi="Arial" w:cs="Arial"/>
          <w:color w:val="auto"/>
        </w:rPr>
        <w:t>e</w:t>
      </w:r>
      <w:r w:rsidR="00CB05E8" w:rsidRPr="00252F02">
        <w:rPr>
          <w:rFonts w:ascii="Arial" w:hAnsi="Arial" w:cs="Arial"/>
          <w:color w:val="auto"/>
        </w:rPr>
        <w:t>quipment that are currently not showing on the balance sheet.</w:t>
      </w:r>
    </w:p>
    <w:p w14:paraId="3B53631C" w14:textId="64F94840" w:rsidR="002B6545" w:rsidRDefault="002B6545" w:rsidP="00084729">
      <w:pPr>
        <w:spacing w:before="0" w:after="0"/>
        <w:ind w:firstLine="720"/>
        <w:rPr>
          <w:rFonts w:ascii="Arial" w:hAnsi="Arial" w:cs="Arial"/>
          <w:color w:val="auto"/>
        </w:rPr>
      </w:pPr>
      <w:r>
        <w:rPr>
          <w:rFonts w:ascii="Arial" w:hAnsi="Arial" w:cs="Arial"/>
          <w:color w:val="auto"/>
        </w:rPr>
        <w:t xml:space="preserve">The graph below shows the scope of impact per industry </w:t>
      </w:r>
      <w:r w:rsidR="006979A1">
        <w:rPr>
          <w:rFonts w:ascii="Arial" w:hAnsi="Arial" w:cs="Arial"/>
          <w:color w:val="auto"/>
        </w:rPr>
        <w:t>scaled to the effort to comply and the level of impact expected on</w:t>
      </w:r>
      <w:r w:rsidR="0021077D">
        <w:rPr>
          <w:rFonts w:ascii="Arial" w:hAnsi="Arial" w:cs="Arial"/>
          <w:color w:val="auto"/>
        </w:rPr>
        <w:t xml:space="preserve"> specific</w:t>
      </w:r>
      <w:r w:rsidR="006979A1">
        <w:rPr>
          <w:rFonts w:ascii="Arial" w:hAnsi="Arial" w:cs="Arial"/>
          <w:color w:val="auto"/>
        </w:rPr>
        <w:t xml:space="preserve"> industr</w:t>
      </w:r>
      <w:r w:rsidR="0021077D">
        <w:rPr>
          <w:rFonts w:ascii="Arial" w:hAnsi="Arial" w:cs="Arial"/>
          <w:color w:val="auto"/>
        </w:rPr>
        <w:t>ies</w:t>
      </w:r>
      <w:r w:rsidR="006979A1">
        <w:rPr>
          <w:rFonts w:ascii="Arial" w:hAnsi="Arial" w:cs="Arial"/>
          <w:color w:val="auto"/>
        </w:rPr>
        <w:t>.</w:t>
      </w:r>
    </w:p>
    <w:p w14:paraId="4A55AC1F" w14:textId="3B59D698" w:rsidR="0021077D" w:rsidRDefault="0021077D" w:rsidP="00084729">
      <w:pPr>
        <w:spacing w:before="0" w:after="0"/>
        <w:ind w:firstLine="720"/>
        <w:rPr>
          <w:rFonts w:ascii="Arial" w:hAnsi="Arial" w:cs="Arial"/>
          <w:color w:val="auto"/>
        </w:rPr>
      </w:pPr>
    </w:p>
    <w:p w14:paraId="35F14456" w14:textId="4B1C979B" w:rsidR="001D0B0E" w:rsidRPr="00E465B0" w:rsidRDefault="00E465B0" w:rsidP="00E465B0">
      <w:pPr>
        <w:spacing w:before="0" w:after="0"/>
        <w:ind w:firstLine="720"/>
        <w:rPr>
          <w:rFonts w:ascii="Arial" w:hAnsi="Arial" w:cs="Arial"/>
          <w:color w:val="auto"/>
        </w:rPr>
      </w:pPr>
      <w:bookmarkStart w:id="6" w:name="_GoBack"/>
      <w:bookmarkEnd w:id="6"/>
      <w:r>
        <w:rPr>
          <w:noProof/>
        </w:rPr>
        <w:drawing>
          <wp:inline distT="0" distB="0" distL="0" distR="0" wp14:anchorId="5DD79482" wp14:editId="3269159F">
            <wp:extent cx="4453247" cy="2446708"/>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5046" cy="2458685"/>
                    </a:xfrm>
                    <a:prstGeom prst="rect">
                      <a:avLst/>
                    </a:prstGeom>
                  </pic:spPr>
                </pic:pic>
              </a:graphicData>
            </a:graphic>
          </wp:inline>
        </w:drawing>
      </w:r>
    </w:p>
    <w:p w14:paraId="17819E3C" w14:textId="0D7485FB" w:rsidR="00812F9A" w:rsidRPr="005C372C" w:rsidRDefault="00DF2BBB" w:rsidP="002556DF">
      <w:pPr>
        <w:rPr>
          <w:rFonts w:ascii="Arial" w:hAnsi="Arial" w:cs="Arial"/>
          <w:color w:val="auto"/>
        </w:rPr>
      </w:pPr>
      <w:sdt>
        <w:sdtPr>
          <w:rPr>
            <w:rFonts w:ascii="Arial" w:hAnsi="Arial" w:cs="Arial"/>
            <w:color w:val="auto"/>
          </w:rPr>
          <w:id w:val="951359699"/>
          <w:citation/>
        </w:sdtPr>
        <w:sdtEndPr/>
        <w:sdtContent>
          <w:r w:rsidR="00CF3D49" w:rsidRPr="00CF3D49">
            <w:rPr>
              <w:rFonts w:ascii="Arial" w:hAnsi="Arial" w:cs="Arial"/>
              <w:color w:val="auto"/>
            </w:rPr>
            <w:fldChar w:fldCharType="begin"/>
          </w:r>
          <w:r w:rsidR="00AB6ADE">
            <w:rPr>
              <w:rFonts w:ascii="Arial" w:hAnsi="Arial" w:cs="Arial"/>
              <w:color w:val="auto"/>
            </w:rPr>
            <w:instrText xml:space="preserve">CITATION Sum16 \l 2057 </w:instrText>
          </w:r>
          <w:r w:rsidR="00CF3D49" w:rsidRPr="00CF3D49">
            <w:rPr>
              <w:rFonts w:ascii="Arial" w:hAnsi="Arial" w:cs="Arial"/>
              <w:color w:val="auto"/>
            </w:rPr>
            <w:fldChar w:fldCharType="separate"/>
          </w:r>
          <w:r w:rsidR="005C372C" w:rsidRPr="005C372C">
            <w:rPr>
              <w:rFonts w:ascii="Arial" w:hAnsi="Arial" w:cs="Arial"/>
              <w:noProof/>
              <w:color w:val="auto"/>
            </w:rPr>
            <w:t>(EY, 2016)</w:t>
          </w:r>
          <w:r w:rsidR="00CF3D49" w:rsidRPr="00CF3D49">
            <w:rPr>
              <w:rFonts w:ascii="Arial" w:hAnsi="Arial" w:cs="Arial"/>
              <w:color w:val="auto"/>
            </w:rPr>
            <w:fldChar w:fldCharType="end"/>
          </w:r>
        </w:sdtContent>
      </w:sdt>
    </w:p>
    <w:sdt>
      <w:sdtPr>
        <w:rPr>
          <w:rFonts w:asciiTheme="minorHAnsi" w:eastAsiaTheme="minorHAnsi" w:hAnsiTheme="minorHAnsi" w:cstheme="minorBidi"/>
          <w:color w:val="595959" w:themeColor="text1" w:themeTint="A6"/>
          <w:sz w:val="22"/>
        </w:rPr>
        <w:id w:val="997081980"/>
        <w:docPartObj>
          <w:docPartGallery w:val="Bibliographies"/>
          <w:docPartUnique/>
        </w:docPartObj>
      </w:sdtPr>
      <w:sdtEndPr/>
      <w:sdtContent>
        <w:p w14:paraId="17C9B588" w14:textId="3D23B3D9" w:rsidR="00EF0812" w:rsidRDefault="00EF0812">
          <w:pPr>
            <w:pStyle w:val="Heading1"/>
          </w:pPr>
          <w:r>
            <w:t>Bibliography</w:t>
          </w:r>
        </w:p>
        <w:sdt>
          <w:sdtPr>
            <w:id w:val="111145805"/>
            <w:bibliography/>
          </w:sdtPr>
          <w:sdtEndPr/>
          <w:sdtContent>
            <w:p w14:paraId="4B178DC8" w14:textId="77777777" w:rsidR="005C372C" w:rsidRDefault="00EF0812" w:rsidP="005C372C">
              <w:pPr>
                <w:pStyle w:val="Bibliography"/>
                <w:rPr>
                  <w:noProof/>
                  <w:sz w:val="24"/>
                  <w:szCs w:val="24"/>
                </w:rPr>
              </w:pPr>
              <w:r>
                <w:fldChar w:fldCharType="begin"/>
              </w:r>
              <w:r>
                <w:instrText xml:space="preserve"> BIBLIOGRAPHY </w:instrText>
              </w:r>
              <w:r>
                <w:fldChar w:fldCharType="separate"/>
              </w:r>
              <w:r w:rsidR="005C372C">
                <w:rPr>
                  <w:noProof/>
                </w:rPr>
                <w:t xml:space="preserve">EY, 2016. Summary of IFRS 16 and its effects. </w:t>
              </w:r>
              <w:r w:rsidR="005C372C">
                <w:rPr>
                  <w:i/>
                  <w:iCs/>
                  <w:noProof/>
                </w:rPr>
                <w:t xml:space="preserve">EY Building a better working world, </w:t>
              </w:r>
              <w:r w:rsidR="005C372C">
                <w:rPr>
                  <w:noProof/>
                </w:rPr>
                <w:t>p. 5.</w:t>
              </w:r>
            </w:p>
            <w:p w14:paraId="61A6FFE1" w14:textId="77777777" w:rsidR="005C372C" w:rsidRDefault="005C372C" w:rsidP="005C372C">
              <w:pPr>
                <w:pStyle w:val="Bibliography"/>
                <w:rPr>
                  <w:noProof/>
                </w:rPr>
              </w:pPr>
              <w:r>
                <w:rPr>
                  <w:noProof/>
                </w:rPr>
                <w:t xml:space="preserve">FASB, 2013. Proposed Accounting Standards Update. </w:t>
              </w:r>
              <w:r>
                <w:rPr>
                  <w:i/>
                  <w:iCs/>
                  <w:noProof/>
                </w:rPr>
                <w:t xml:space="preserve">Leases (Topic 842), </w:t>
              </w:r>
              <w:r>
                <w:rPr>
                  <w:noProof/>
                </w:rPr>
                <w:t>pp. 11-206.</w:t>
              </w:r>
            </w:p>
            <w:p w14:paraId="5EB34CDA" w14:textId="77777777" w:rsidR="005C372C" w:rsidRDefault="005C372C" w:rsidP="005C372C">
              <w:pPr>
                <w:pStyle w:val="Bibliography"/>
                <w:rPr>
                  <w:noProof/>
                </w:rPr>
              </w:pPr>
              <w:r>
                <w:rPr>
                  <w:noProof/>
                </w:rPr>
                <w:t xml:space="preserve">FCCA, T. C., 2011. The IASB's Conceptual Framework for Financial Reporting. </w:t>
              </w:r>
              <w:r>
                <w:rPr>
                  <w:i/>
                  <w:iCs/>
                  <w:noProof/>
                </w:rPr>
                <w:t xml:space="preserve">Student Accountant Technical, </w:t>
              </w:r>
              <w:r>
                <w:rPr>
                  <w:noProof/>
                </w:rPr>
                <w:t>p. 5.</w:t>
              </w:r>
            </w:p>
            <w:p w14:paraId="1F98398A" w14:textId="77777777" w:rsidR="005C372C" w:rsidRDefault="005C372C" w:rsidP="005C372C">
              <w:pPr>
                <w:pStyle w:val="Bibliography"/>
                <w:rPr>
                  <w:noProof/>
                </w:rPr>
              </w:pPr>
              <w:r>
                <w:rPr>
                  <w:noProof/>
                </w:rPr>
                <w:t xml:space="preserve">Haywood, A., 16. </w:t>
              </w:r>
              <w:r>
                <w:rPr>
                  <w:i/>
                  <w:iCs/>
                  <w:noProof/>
                </w:rPr>
                <w:t xml:space="preserve">IFRS 16 Leases is Here – IASB Release New Global Lease Accounting Standard. </w:t>
              </w:r>
              <w:r>
                <w:rPr>
                  <w:noProof/>
                </w:rPr>
                <w:t xml:space="preserve">[Online] </w:t>
              </w:r>
              <w:r>
                <w:rPr>
                  <w:noProof/>
                </w:rPr>
                <w:br/>
                <w:t xml:space="preserve">Available at: </w:t>
              </w:r>
              <w:r>
                <w:rPr>
                  <w:noProof/>
                  <w:u w:val="single"/>
                </w:rPr>
                <w:t>http://blog.innervision.co.uk/blog/ifrs-16-leases-is-here-iasb-release-new-global-lease-accounting-standard</w:t>
              </w:r>
              <w:r>
                <w:rPr>
                  <w:noProof/>
                </w:rPr>
                <w:br/>
                <w:t>[Accessed 28 11 2018].</w:t>
              </w:r>
            </w:p>
            <w:p w14:paraId="2DE41DA7" w14:textId="77777777" w:rsidR="005C372C" w:rsidRDefault="005C372C" w:rsidP="005C372C">
              <w:pPr>
                <w:pStyle w:val="Bibliography"/>
                <w:rPr>
                  <w:noProof/>
                </w:rPr>
              </w:pPr>
              <w:r>
                <w:rPr>
                  <w:noProof/>
                </w:rPr>
                <w:t xml:space="preserve">IASB, 2015. Conceptual Framework for Financial Reporting. </w:t>
              </w:r>
              <w:r>
                <w:rPr>
                  <w:i/>
                  <w:iCs/>
                  <w:noProof/>
                </w:rPr>
                <w:t>IASB.</w:t>
              </w:r>
            </w:p>
            <w:p w14:paraId="23526430" w14:textId="77777777" w:rsidR="005C372C" w:rsidRDefault="005C372C" w:rsidP="005C372C">
              <w:pPr>
                <w:pStyle w:val="Bibliography"/>
                <w:rPr>
                  <w:noProof/>
                </w:rPr>
              </w:pPr>
              <w:r>
                <w:rPr>
                  <w:noProof/>
                </w:rPr>
                <w:t xml:space="preserve">IFRS, 2018. </w:t>
              </w:r>
              <w:r>
                <w:rPr>
                  <w:i/>
                  <w:iCs/>
                  <w:noProof/>
                </w:rPr>
                <w:t xml:space="preserve">IFRS 16 Leases. </w:t>
              </w:r>
              <w:r>
                <w:rPr>
                  <w:noProof/>
                </w:rPr>
                <w:t xml:space="preserve">[Online] </w:t>
              </w:r>
              <w:r>
                <w:rPr>
                  <w:noProof/>
                </w:rPr>
                <w:br/>
                <w:t xml:space="preserve">Available at: </w:t>
              </w:r>
              <w:r>
                <w:rPr>
                  <w:noProof/>
                  <w:u w:val="single"/>
                </w:rPr>
                <w:t>https://www.ifrs.org/issued-standards/list-of-standards/ifrs-16-leases/</w:t>
              </w:r>
            </w:p>
            <w:p w14:paraId="2ADA5B15" w14:textId="77777777" w:rsidR="005C372C" w:rsidRDefault="005C372C" w:rsidP="005C372C">
              <w:pPr>
                <w:pStyle w:val="Bibliography"/>
                <w:rPr>
                  <w:noProof/>
                </w:rPr>
              </w:pPr>
              <w:r>
                <w:rPr>
                  <w:noProof/>
                </w:rPr>
                <w:t xml:space="preserve">Mellwig, W., 2017. Conceptual Problems with a New lease Accounting Approach. </w:t>
              </w:r>
              <w:r>
                <w:rPr>
                  <w:i/>
                  <w:iCs/>
                  <w:noProof/>
                </w:rPr>
                <w:t xml:space="preserve">Journal of Equipment Lease Financing, </w:t>
              </w:r>
              <w:r>
                <w:rPr>
                  <w:noProof/>
                </w:rPr>
                <w:t>pp. 1-19.</w:t>
              </w:r>
            </w:p>
            <w:p w14:paraId="15E4FFB6" w14:textId="77777777" w:rsidR="005C372C" w:rsidRDefault="005C372C" w:rsidP="005C372C">
              <w:pPr>
                <w:pStyle w:val="Bibliography"/>
                <w:rPr>
                  <w:noProof/>
                </w:rPr>
              </w:pPr>
              <w:r>
                <w:rPr>
                  <w:noProof/>
                </w:rPr>
                <w:t xml:space="preserve">Retallack, B.-A., 09. </w:t>
              </w:r>
              <w:r>
                <w:rPr>
                  <w:i/>
                  <w:iCs/>
                  <w:noProof/>
                </w:rPr>
                <w:t xml:space="preserve">Accounting for Leases. </w:t>
              </w:r>
              <w:r>
                <w:rPr>
                  <w:noProof/>
                </w:rPr>
                <w:t xml:space="preserve">[Online] </w:t>
              </w:r>
              <w:r>
                <w:rPr>
                  <w:noProof/>
                </w:rPr>
                <w:br/>
                <w:t xml:space="preserve">Available at: </w:t>
              </w:r>
              <w:r>
                <w:rPr>
                  <w:noProof/>
                  <w:u w:val="single"/>
                </w:rPr>
                <w:t>https://www.accaglobal.com/uk/en/student/exam-support-resources/fundamentals-exams-study-resources/f7/technical-articles/accounting-for-leases.html#</w:t>
              </w:r>
              <w:r>
                <w:rPr>
                  <w:noProof/>
                </w:rPr>
                <w:br/>
                <w:t>[Accessed 05 12 2018].</w:t>
              </w:r>
            </w:p>
            <w:p w14:paraId="0D329CBF" w14:textId="77777777" w:rsidR="005C372C" w:rsidRDefault="005C372C" w:rsidP="005C372C">
              <w:pPr>
                <w:pStyle w:val="Bibliography"/>
                <w:rPr>
                  <w:noProof/>
                </w:rPr>
              </w:pPr>
              <w:r>
                <w:rPr>
                  <w:noProof/>
                </w:rPr>
                <w:t>Rulmont, S., 2017. IFRS 16 - Leases: Implications for analysts and investors. pp. 6-8.</w:t>
              </w:r>
            </w:p>
            <w:p w14:paraId="69B404A1" w14:textId="77777777" w:rsidR="005C372C" w:rsidRDefault="005C372C" w:rsidP="005C372C">
              <w:pPr>
                <w:pStyle w:val="Bibliography"/>
                <w:rPr>
                  <w:noProof/>
                </w:rPr>
              </w:pPr>
              <w:r>
                <w:rPr>
                  <w:noProof/>
                </w:rPr>
                <w:t xml:space="preserve">Smith, L., 2018. </w:t>
              </w:r>
              <w:r>
                <w:rPr>
                  <w:i/>
                  <w:iCs/>
                  <w:noProof/>
                </w:rPr>
                <w:t xml:space="preserve">Off-Balance-Sheet Entities: An Introduction. </w:t>
              </w:r>
              <w:r>
                <w:rPr>
                  <w:noProof/>
                </w:rPr>
                <w:t xml:space="preserve">[Online] </w:t>
              </w:r>
              <w:r>
                <w:rPr>
                  <w:noProof/>
                </w:rPr>
                <w:br/>
                <w:t xml:space="preserve">Available at: </w:t>
              </w:r>
              <w:r>
                <w:rPr>
                  <w:noProof/>
                  <w:u w:val="single"/>
                </w:rPr>
                <w:t>https://www.investopedia.com/articles/analyst/022002.asp</w:t>
              </w:r>
            </w:p>
            <w:p w14:paraId="3045D3B6" w14:textId="7B31B618" w:rsidR="00EF0812" w:rsidRDefault="00EF0812" w:rsidP="005C372C">
              <w:r>
                <w:rPr>
                  <w:b/>
                  <w:bCs/>
                  <w:noProof/>
                </w:rPr>
                <w:fldChar w:fldCharType="end"/>
              </w:r>
            </w:p>
          </w:sdtContent>
        </w:sdt>
      </w:sdtContent>
    </w:sdt>
    <w:p w14:paraId="42E368D1" w14:textId="495E41A0" w:rsidR="003845C8" w:rsidRPr="003845C8" w:rsidRDefault="003845C8" w:rsidP="003845C8"/>
    <w:sectPr w:rsidR="003845C8" w:rsidRPr="003845C8">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AF7D8" w14:textId="77777777" w:rsidR="00DF2BBB" w:rsidRDefault="00DF2BBB" w:rsidP="00C6554A">
      <w:pPr>
        <w:spacing w:before="0" w:after="0" w:line="240" w:lineRule="auto"/>
      </w:pPr>
      <w:r>
        <w:separator/>
      </w:r>
    </w:p>
  </w:endnote>
  <w:endnote w:type="continuationSeparator" w:id="0">
    <w:p w14:paraId="6A68858E" w14:textId="77777777" w:rsidR="00DF2BBB" w:rsidRDefault="00DF2BBB" w:rsidP="00C6554A">
      <w:pPr>
        <w:spacing w:before="0" w:after="0" w:line="240" w:lineRule="auto"/>
      </w:pPr>
      <w:r>
        <w:continuationSeparator/>
      </w:r>
    </w:p>
  </w:endnote>
  <w:endnote w:type="continuationNotice" w:id="1">
    <w:p w14:paraId="7E677D91" w14:textId="77777777" w:rsidR="00DF2BBB" w:rsidRDefault="00DF2BBB">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33E0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300813" w14:textId="77777777" w:rsidR="00DF2BBB" w:rsidRDefault="00DF2BBB" w:rsidP="00C6554A">
      <w:pPr>
        <w:spacing w:before="0" w:after="0" w:line="240" w:lineRule="auto"/>
      </w:pPr>
      <w:r>
        <w:separator/>
      </w:r>
    </w:p>
  </w:footnote>
  <w:footnote w:type="continuationSeparator" w:id="0">
    <w:p w14:paraId="3AF1E2A1" w14:textId="77777777" w:rsidR="00DF2BBB" w:rsidRDefault="00DF2BBB" w:rsidP="00C6554A">
      <w:pPr>
        <w:spacing w:before="0" w:after="0" w:line="240" w:lineRule="auto"/>
      </w:pPr>
      <w:r>
        <w:continuationSeparator/>
      </w:r>
    </w:p>
  </w:footnote>
  <w:footnote w:type="continuationNotice" w:id="1">
    <w:p w14:paraId="6D015C5A" w14:textId="77777777" w:rsidR="00DF2BBB" w:rsidRDefault="00DF2BBB">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6552E4"/>
    <w:multiLevelType w:val="hybridMultilevel"/>
    <w:tmpl w:val="982C6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BC29B1"/>
    <w:multiLevelType w:val="hybridMultilevel"/>
    <w:tmpl w:val="536E3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1796DE0"/>
    <w:multiLevelType w:val="hybridMultilevel"/>
    <w:tmpl w:val="DE641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BD1FB3"/>
    <w:multiLevelType w:val="hybridMultilevel"/>
    <w:tmpl w:val="8AE4D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6"/>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FF9"/>
    <w:rsid w:val="00025DAF"/>
    <w:rsid w:val="000371F8"/>
    <w:rsid w:val="00040038"/>
    <w:rsid w:val="000537C6"/>
    <w:rsid w:val="00056462"/>
    <w:rsid w:val="0005789D"/>
    <w:rsid w:val="00061010"/>
    <w:rsid w:val="00077792"/>
    <w:rsid w:val="00083EB5"/>
    <w:rsid w:val="00084729"/>
    <w:rsid w:val="00087914"/>
    <w:rsid w:val="00094EEB"/>
    <w:rsid w:val="000978AD"/>
    <w:rsid w:val="000A208B"/>
    <w:rsid w:val="000A7A13"/>
    <w:rsid w:val="000C117F"/>
    <w:rsid w:val="000C502E"/>
    <w:rsid w:val="000C77DE"/>
    <w:rsid w:val="000D1BB3"/>
    <w:rsid w:val="000D2087"/>
    <w:rsid w:val="000E0DF0"/>
    <w:rsid w:val="00101DAA"/>
    <w:rsid w:val="001110CB"/>
    <w:rsid w:val="0012009F"/>
    <w:rsid w:val="00136786"/>
    <w:rsid w:val="00136DA3"/>
    <w:rsid w:val="0014227B"/>
    <w:rsid w:val="00143B94"/>
    <w:rsid w:val="0015498B"/>
    <w:rsid w:val="001700ED"/>
    <w:rsid w:val="001715BA"/>
    <w:rsid w:val="00171761"/>
    <w:rsid w:val="00183D5F"/>
    <w:rsid w:val="00190B23"/>
    <w:rsid w:val="0019401B"/>
    <w:rsid w:val="001A4AB2"/>
    <w:rsid w:val="001B2A07"/>
    <w:rsid w:val="001B5430"/>
    <w:rsid w:val="001B6F8E"/>
    <w:rsid w:val="001B772C"/>
    <w:rsid w:val="001B7D91"/>
    <w:rsid w:val="001C0079"/>
    <w:rsid w:val="001C3B45"/>
    <w:rsid w:val="001D0B0E"/>
    <w:rsid w:val="001D31B9"/>
    <w:rsid w:val="001F28CF"/>
    <w:rsid w:val="002016A9"/>
    <w:rsid w:val="0021077D"/>
    <w:rsid w:val="0023368B"/>
    <w:rsid w:val="00233C49"/>
    <w:rsid w:val="002376BC"/>
    <w:rsid w:val="002426C9"/>
    <w:rsid w:val="00247802"/>
    <w:rsid w:val="00252778"/>
    <w:rsid w:val="00252F02"/>
    <w:rsid w:val="002554CD"/>
    <w:rsid w:val="002556DF"/>
    <w:rsid w:val="00291F41"/>
    <w:rsid w:val="00293B83"/>
    <w:rsid w:val="00297A0F"/>
    <w:rsid w:val="002B4294"/>
    <w:rsid w:val="002B6545"/>
    <w:rsid w:val="002C7F5B"/>
    <w:rsid w:val="002D2322"/>
    <w:rsid w:val="002E06C1"/>
    <w:rsid w:val="002E3A00"/>
    <w:rsid w:val="002F0BA3"/>
    <w:rsid w:val="00312AB1"/>
    <w:rsid w:val="00315639"/>
    <w:rsid w:val="00326721"/>
    <w:rsid w:val="00333D0D"/>
    <w:rsid w:val="00344103"/>
    <w:rsid w:val="00346BAB"/>
    <w:rsid w:val="0037299E"/>
    <w:rsid w:val="00377A30"/>
    <w:rsid w:val="003845C8"/>
    <w:rsid w:val="00391F57"/>
    <w:rsid w:val="0039797A"/>
    <w:rsid w:val="003C29A8"/>
    <w:rsid w:val="003C3489"/>
    <w:rsid w:val="003C4C48"/>
    <w:rsid w:val="003C573F"/>
    <w:rsid w:val="003D6CFC"/>
    <w:rsid w:val="00407F55"/>
    <w:rsid w:val="004172C3"/>
    <w:rsid w:val="004253F3"/>
    <w:rsid w:val="00426D48"/>
    <w:rsid w:val="0043774F"/>
    <w:rsid w:val="0044026E"/>
    <w:rsid w:val="00441584"/>
    <w:rsid w:val="00441835"/>
    <w:rsid w:val="00442F85"/>
    <w:rsid w:val="00443685"/>
    <w:rsid w:val="00455BE7"/>
    <w:rsid w:val="00457DDD"/>
    <w:rsid w:val="00460679"/>
    <w:rsid w:val="004616E1"/>
    <w:rsid w:val="00463A4B"/>
    <w:rsid w:val="0046497B"/>
    <w:rsid w:val="00465557"/>
    <w:rsid w:val="00467995"/>
    <w:rsid w:val="00471EA8"/>
    <w:rsid w:val="00473D93"/>
    <w:rsid w:val="0048292E"/>
    <w:rsid w:val="004A1D1E"/>
    <w:rsid w:val="004A38EB"/>
    <w:rsid w:val="004B53C8"/>
    <w:rsid w:val="004C049F"/>
    <w:rsid w:val="004E0B09"/>
    <w:rsid w:val="004E6B8E"/>
    <w:rsid w:val="004F0488"/>
    <w:rsid w:val="005000E2"/>
    <w:rsid w:val="00506E04"/>
    <w:rsid w:val="005174EC"/>
    <w:rsid w:val="00523FE2"/>
    <w:rsid w:val="0054254A"/>
    <w:rsid w:val="00544085"/>
    <w:rsid w:val="00545258"/>
    <w:rsid w:val="00563096"/>
    <w:rsid w:val="0056380B"/>
    <w:rsid w:val="00581A4B"/>
    <w:rsid w:val="005B19EE"/>
    <w:rsid w:val="005B3C7E"/>
    <w:rsid w:val="005B4CCB"/>
    <w:rsid w:val="005C1E79"/>
    <w:rsid w:val="005C372C"/>
    <w:rsid w:val="005E30DE"/>
    <w:rsid w:val="005F7695"/>
    <w:rsid w:val="00602EC6"/>
    <w:rsid w:val="00631749"/>
    <w:rsid w:val="00636B41"/>
    <w:rsid w:val="0064033E"/>
    <w:rsid w:val="006517D4"/>
    <w:rsid w:val="00651EE6"/>
    <w:rsid w:val="00656C6D"/>
    <w:rsid w:val="00675C89"/>
    <w:rsid w:val="0069199E"/>
    <w:rsid w:val="006979A1"/>
    <w:rsid w:val="006A0DFB"/>
    <w:rsid w:val="006A3CE7"/>
    <w:rsid w:val="006D0176"/>
    <w:rsid w:val="006D13DF"/>
    <w:rsid w:val="006D71EA"/>
    <w:rsid w:val="006E3FBD"/>
    <w:rsid w:val="006E4741"/>
    <w:rsid w:val="006E5135"/>
    <w:rsid w:val="006E64E0"/>
    <w:rsid w:val="00700A23"/>
    <w:rsid w:val="00704B89"/>
    <w:rsid w:val="00721514"/>
    <w:rsid w:val="00725980"/>
    <w:rsid w:val="00727D4D"/>
    <w:rsid w:val="00730FED"/>
    <w:rsid w:val="00737BFD"/>
    <w:rsid w:val="00753C7C"/>
    <w:rsid w:val="00754E33"/>
    <w:rsid w:val="0076247D"/>
    <w:rsid w:val="00765DEC"/>
    <w:rsid w:val="007703B0"/>
    <w:rsid w:val="00774605"/>
    <w:rsid w:val="00782495"/>
    <w:rsid w:val="00783A02"/>
    <w:rsid w:val="007A5B82"/>
    <w:rsid w:val="007B41B5"/>
    <w:rsid w:val="007B6D6A"/>
    <w:rsid w:val="007C2AB4"/>
    <w:rsid w:val="007C3F53"/>
    <w:rsid w:val="007C68B0"/>
    <w:rsid w:val="007D2013"/>
    <w:rsid w:val="007E12A6"/>
    <w:rsid w:val="007E140F"/>
    <w:rsid w:val="007E7E4D"/>
    <w:rsid w:val="007F3A6F"/>
    <w:rsid w:val="007F5F6D"/>
    <w:rsid w:val="007F75DF"/>
    <w:rsid w:val="00802B83"/>
    <w:rsid w:val="00812F9A"/>
    <w:rsid w:val="00826259"/>
    <w:rsid w:val="008266B0"/>
    <w:rsid w:val="00831A82"/>
    <w:rsid w:val="00837B60"/>
    <w:rsid w:val="0085664E"/>
    <w:rsid w:val="00857D70"/>
    <w:rsid w:val="00857E88"/>
    <w:rsid w:val="00862519"/>
    <w:rsid w:val="0086396F"/>
    <w:rsid w:val="00866052"/>
    <w:rsid w:val="008768E9"/>
    <w:rsid w:val="00876DCD"/>
    <w:rsid w:val="0087797F"/>
    <w:rsid w:val="00877994"/>
    <w:rsid w:val="0088140E"/>
    <w:rsid w:val="00893925"/>
    <w:rsid w:val="008D0AB8"/>
    <w:rsid w:val="008D3AD0"/>
    <w:rsid w:val="008E2788"/>
    <w:rsid w:val="008E32B2"/>
    <w:rsid w:val="008E4A56"/>
    <w:rsid w:val="008E52BF"/>
    <w:rsid w:val="008F3928"/>
    <w:rsid w:val="008F564B"/>
    <w:rsid w:val="0091194C"/>
    <w:rsid w:val="00927C27"/>
    <w:rsid w:val="0094094C"/>
    <w:rsid w:val="00943E1A"/>
    <w:rsid w:val="00947946"/>
    <w:rsid w:val="00957546"/>
    <w:rsid w:val="009614A9"/>
    <w:rsid w:val="00973746"/>
    <w:rsid w:val="00977283"/>
    <w:rsid w:val="0098039B"/>
    <w:rsid w:val="00984C15"/>
    <w:rsid w:val="00994A55"/>
    <w:rsid w:val="009B7BFB"/>
    <w:rsid w:val="009C0D68"/>
    <w:rsid w:val="009C3CA3"/>
    <w:rsid w:val="009C4B8B"/>
    <w:rsid w:val="009D1DD3"/>
    <w:rsid w:val="009D29C7"/>
    <w:rsid w:val="009D4DBC"/>
    <w:rsid w:val="009D680E"/>
    <w:rsid w:val="009E3761"/>
    <w:rsid w:val="009F0307"/>
    <w:rsid w:val="00A0480D"/>
    <w:rsid w:val="00A1472C"/>
    <w:rsid w:val="00A2794C"/>
    <w:rsid w:val="00A328D9"/>
    <w:rsid w:val="00A33EA5"/>
    <w:rsid w:val="00A40BEE"/>
    <w:rsid w:val="00A60F68"/>
    <w:rsid w:val="00A67385"/>
    <w:rsid w:val="00A75973"/>
    <w:rsid w:val="00AA3849"/>
    <w:rsid w:val="00AB6ADE"/>
    <w:rsid w:val="00AB768E"/>
    <w:rsid w:val="00AE2E90"/>
    <w:rsid w:val="00AF0057"/>
    <w:rsid w:val="00B41A4B"/>
    <w:rsid w:val="00B51D7F"/>
    <w:rsid w:val="00B62693"/>
    <w:rsid w:val="00B64CDA"/>
    <w:rsid w:val="00B67854"/>
    <w:rsid w:val="00B7348A"/>
    <w:rsid w:val="00B77054"/>
    <w:rsid w:val="00B77E19"/>
    <w:rsid w:val="00B87AA5"/>
    <w:rsid w:val="00B87BEE"/>
    <w:rsid w:val="00BA0748"/>
    <w:rsid w:val="00BB49CD"/>
    <w:rsid w:val="00BB609E"/>
    <w:rsid w:val="00BC5CB1"/>
    <w:rsid w:val="00BC78BA"/>
    <w:rsid w:val="00BE30D2"/>
    <w:rsid w:val="00BF011B"/>
    <w:rsid w:val="00BF2CCD"/>
    <w:rsid w:val="00BF6FBA"/>
    <w:rsid w:val="00BF74F4"/>
    <w:rsid w:val="00C039B5"/>
    <w:rsid w:val="00C113D6"/>
    <w:rsid w:val="00C21BBD"/>
    <w:rsid w:val="00C30D07"/>
    <w:rsid w:val="00C40C1E"/>
    <w:rsid w:val="00C44200"/>
    <w:rsid w:val="00C6195A"/>
    <w:rsid w:val="00C6554A"/>
    <w:rsid w:val="00C66C0D"/>
    <w:rsid w:val="00C71403"/>
    <w:rsid w:val="00C763C3"/>
    <w:rsid w:val="00C76D5C"/>
    <w:rsid w:val="00C802AA"/>
    <w:rsid w:val="00C85EDE"/>
    <w:rsid w:val="00C90EEE"/>
    <w:rsid w:val="00C91440"/>
    <w:rsid w:val="00C9268F"/>
    <w:rsid w:val="00C926D3"/>
    <w:rsid w:val="00C97327"/>
    <w:rsid w:val="00CA519A"/>
    <w:rsid w:val="00CA57EE"/>
    <w:rsid w:val="00CB05E8"/>
    <w:rsid w:val="00CB6C27"/>
    <w:rsid w:val="00CC58A7"/>
    <w:rsid w:val="00CD1F28"/>
    <w:rsid w:val="00CE594B"/>
    <w:rsid w:val="00CE6419"/>
    <w:rsid w:val="00CF3D49"/>
    <w:rsid w:val="00D03FA9"/>
    <w:rsid w:val="00D117BB"/>
    <w:rsid w:val="00D17655"/>
    <w:rsid w:val="00D26D86"/>
    <w:rsid w:val="00D352B5"/>
    <w:rsid w:val="00D423F2"/>
    <w:rsid w:val="00D56035"/>
    <w:rsid w:val="00D565B5"/>
    <w:rsid w:val="00D86234"/>
    <w:rsid w:val="00D90343"/>
    <w:rsid w:val="00D946AD"/>
    <w:rsid w:val="00DA5DC1"/>
    <w:rsid w:val="00DB67E5"/>
    <w:rsid w:val="00DD02AE"/>
    <w:rsid w:val="00DD0AA4"/>
    <w:rsid w:val="00DD126E"/>
    <w:rsid w:val="00DE1D4E"/>
    <w:rsid w:val="00DE3347"/>
    <w:rsid w:val="00DE3E1E"/>
    <w:rsid w:val="00DE7E7D"/>
    <w:rsid w:val="00DF2BBB"/>
    <w:rsid w:val="00DF4FF9"/>
    <w:rsid w:val="00DF598B"/>
    <w:rsid w:val="00DF6849"/>
    <w:rsid w:val="00DF7C83"/>
    <w:rsid w:val="00E115FA"/>
    <w:rsid w:val="00E2175A"/>
    <w:rsid w:val="00E23B28"/>
    <w:rsid w:val="00E25DF6"/>
    <w:rsid w:val="00E45905"/>
    <w:rsid w:val="00E465B0"/>
    <w:rsid w:val="00E758F0"/>
    <w:rsid w:val="00E90376"/>
    <w:rsid w:val="00E91946"/>
    <w:rsid w:val="00EA2630"/>
    <w:rsid w:val="00EA7952"/>
    <w:rsid w:val="00EC63FE"/>
    <w:rsid w:val="00ED627E"/>
    <w:rsid w:val="00ED720C"/>
    <w:rsid w:val="00ED724D"/>
    <w:rsid w:val="00ED7C44"/>
    <w:rsid w:val="00EE39F6"/>
    <w:rsid w:val="00EE6D76"/>
    <w:rsid w:val="00EF0812"/>
    <w:rsid w:val="00EF139F"/>
    <w:rsid w:val="00F02358"/>
    <w:rsid w:val="00F12776"/>
    <w:rsid w:val="00F168C5"/>
    <w:rsid w:val="00F32802"/>
    <w:rsid w:val="00F42505"/>
    <w:rsid w:val="00F4290B"/>
    <w:rsid w:val="00F445D6"/>
    <w:rsid w:val="00F467EA"/>
    <w:rsid w:val="00F47295"/>
    <w:rsid w:val="00F5292A"/>
    <w:rsid w:val="00F729B9"/>
    <w:rsid w:val="00F776EA"/>
    <w:rsid w:val="00F77F66"/>
    <w:rsid w:val="00F845F9"/>
    <w:rsid w:val="00F84B95"/>
    <w:rsid w:val="00F93E66"/>
    <w:rsid w:val="00FA55F2"/>
    <w:rsid w:val="00FB2359"/>
    <w:rsid w:val="00FB5BB1"/>
    <w:rsid w:val="00FD5F74"/>
    <w:rsid w:val="00FE00A5"/>
    <w:rsid w:val="00FE5465"/>
    <w:rsid w:val="00FF7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5908F"/>
  <w15:chartTrackingRefBased/>
  <w15:docId w15:val="{076903BC-0AD1-4F7D-9B5B-EE5BA50B3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unhideWhenUsed/>
    <w:rsid w:val="005E30DE"/>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customStyle="1" w:styleId="p2">
    <w:name w:val="p2"/>
    <w:basedOn w:val="Normal"/>
    <w:rsid w:val="00F84B95"/>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s1">
    <w:name w:val="s1"/>
    <w:basedOn w:val="DefaultParagraphFont"/>
    <w:rsid w:val="00F84B95"/>
  </w:style>
  <w:style w:type="paragraph" w:styleId="Bibliography">
    <w:name w:val="Bibliography"/>
    <w:basedOn w:val="Normal"/>
    <w:next w:val="Normal"/>
    <w:uiPriority w:val="37"/>
    <w:unhideWhenUsed/>
    <w:rsid w:val="00EF0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1646">
      <w:bodyDiv w:val="1"/>
      <w:marLeft w:val="0"/>
      <w:marRight w:val="0"/>
      <w:marTop w:val="0"/>
      <w:marBottom w:val="0"/>
      <w:divBdr>
        <w:top w:val="none" w:sz="0" w:space="0" w:color="auto"/>
        <w:left w:val="none" w:sz="0" w:space="0" w:color="auto"/>
        <w:bottom w:val="none" w:sz="0" w:space="0" w:color="auto"/>
        <w:right w:val="none" w:sz="0" w:space="0" w:color="auto"/>
      </w:divBdr>
    </w:div>
    <w:div w:id="3021541">
      <w:bodyDiv w:val="1"/>
      <w:marLeft w:val="0"/>
      <w:marRight w:val="0"/>
      <w:marTop w:val="0"/>
      <w:marBottom w:val="0"/>
      <w:divBdr>
        <w:top w:val="none" w:sz="0" w:space="0" w:color="auto"/>
        <w:left w:val="none" w:sz="0" w:space="0" w:color="auto"/>
        <w:bottom w:val="none" w:sz="0" w:space="0" w:color="auto"/>
        <w:right w:val="none" w:sz="0" w:space="0" w:color="auto"/>
      </w:divBdr>
    </w:div>
    <w:div w:id="11617643">
      <w:bodyDiv w:val="1"/>
      <w:marLeft w:val="0"/>
      <w:marRight w:val="0"/>
      <w:marTop w:val="0"/>
      <w:marBottom w:val="0"/>
      <w:divBdr>
        <w:top w:val="none" w:sz="0" w:space="0" w:color="auto"/>
        <w:left w:val="none" w:sz="0" w:space="0" w:color="auto"/>
        <w:bottom w:val="none" w:sz="0" w:space="0" w:color="auto"/>
        <w:right w:val="none" w:sz="0" w:space="0" w:color="auto"/>
      </w:divBdr>
    </w:div>
    <w:div w:id="30886709">
      <w:bodyDiv w:val="1"/>
      <w:marLeft w:val="0"/>
      <w:marRight w:val="0"/>
      <w:marTop w:val="0"/>
      <w:marBottom w:val="0"/>
      <w:divBdr>
        <w:top w:val="none" w:sz="0" w:space="0" w:color="auto"/>
        <w:left w:val="none" w:sz="0" w:space="0" w:color="auto"/>
        <w:bottom w:val="none" w:sz="0" w:space="0" w:color="auto"/>
        <w:right w:val="none" w:sz="0" w:space="0" w:color="auto"/>
      </w:divBdr>
    </w:div>
    <w:div w:id="74327639">
      <w:bodyDiv w:val="1"/>
      <w:marLeft w:val="0"/>
      <w:marRight w:val="0"/>
      <w:marTop w:val="0"/>
      <w:marBottom w:val="0"/>
      <w:divBdr>
        <w:top w:val="none" w:sz="0" w:space="0" w:color="auto"/>
        <w:left w:val="none" w:sz="0" w:space="0" w:color="auto"/>
        <w:bottom w:val="none" w:sz="0" w:space="0" w:color="auto"/>
        <w:right w:val="none" w:sz="0" w:space="0" w:color="auto"/>
      </w:divBdr>
    </w:div>
    <w:div w:id="217280414">
      <w:bodyDiv w:val="1"/>
      <w:marLeft w:val="0"/>
      <w:marRight w:val="0"/>
      <w:marTop w:val="0"/>
      <w:marBottom w:val="0"/>
      <w:divBdr>
        <w:top w:val="none" w:sz="0" w:space="0" w:color="auto"/>
        <w:left w:val="none" w:sz="0" w:space="0" w:color="auto"/>
        <w:bottom w:val="none" w:sz="0" w:space="0" w:color="auto"/>
        <w:right w:val="none" w:sz="0" w:space="0" w:color="auto"/>
      </w:divBdr>
    </w:div>
    <w:div w:id="243300996">
      <w:bodyDiv w:val="1"/>
      <w:marLeft w:val="0"/>
      <w:marRight w:val="0"/>
      <w:marTop w:val="0"/>
      <w:marBottom w:val="0"/>
      <w:divBdr>
        <w:top w:val="none" w:sz="0" w:space="0" w:color="auto"/>
        <w:left w:val="none" w:sz="0" w:space="0" w:color="auto"/>
        <w:bottom w:val="none" w:sz="0" w:space="0" w:color="auto"/>
        <w:right w:val="none" w:sz="0" w:space="0" w:color="auto"/>
      </w:divBdr>
    </w:div>
    <w:div w:id="248316406">
      <w:bodyDiv w:val="1"/>
      <w:marLeft w:val="0"/>
      <w:marRight w:val="0"/>
      <w:marTop w:val="0"/>
      <w:marBottom w:val="0"/>
      <w:divBdr>
        <w:top w:val="none" w:sz="0" w:space="0" w:color="auto"/>
        <w:left w:val="none" w:sz="0" w:space="0" w:color="auto"/>
        <w:bottom w:val="none" w:sz="0" w:space="0" w:color="auto"/>
        <w:right w:val="none" w:sz="0" w:space="0" w:color="auto"/>
      </w:divBdr>
    </w:div>
    <w:div w:id="302471646">
      <w:bodyDiv w:val="1"/>
      <w:marLeft w:val="0"/>
      <w:marRight w:val="0"/>
      <w:marTop w:val="0"/>
      <w:marBottom w:val="0"/>
      <w:divBdr>
        <w:top w:val="none" w:sz="0" w:space="0" w:color="auto"/>
        <w:left w:val="none" w:sz="0" w:space="0" w:color="auto"/>
        <w:bottom w:val="none" w:sz="0" w:space="0" w:color="auto"/>
        <w:right w:val="none" w:sz="0" w:space="0" w:color="auto"/>
      </w:divBdr>
    </w:div>
    <w:div w:id="333147220">
      <w:bodyDiv w:val="1"/>
      <w:marLeft w:val="0"/>
      <w:marRight w:val="0"/>
      <w:marTop w:val="0"/>
      <w:marBottom w:val="0"/>
      <w:divBdr>
        <w:top w:val="none" w:sz="0" w:space="0" w:color="auto"/>
        <w:left w:val="none" w:sz="0" w:space="0" w:color="auto"/>
        <w:bottom w:val="none" w:sz="0" w:space="0" w:color="auto"/>
        <w:right w:val="none" w:sz="0" w:space="0" w:color="auto"/>
      </w:divBdr>
    </w:div>
    <w:div w:id="347562359">
      <w:bodyDiv w:val="1"/>
      <w:marLeft w:val="0"/>
      <w:marRight w:val="0"/>
      <w:marTop w:val="0"/>
      <w:marBottom w:val="0"/>
      <w:divBdr>
        <w:top w:val="none" w:sz="0" w:space="0" w:color="auto"/>
        <w:left w:val="none" w:sz="0" w:space="0" w:color="auto"/>
        <w:bottom w:val="none" w:sz="0" w:space="0" w:color="auto"/>
        <w:right w:val="none" w:sz="0" w:space="0" w:color="auto"/>
      </w:divBdr>
    </w:div>
    <w:div w:id="443887455">
      <w:bodyDiv w:val="1"/>
      <w:marLeft w:val="0"/>
      <w:marRight w:val="0"/>
      <w:marTop w:val="0"/>
      <w:marBottom w:val="0"/>
      <w:divBdr>
        <w:top w:val="none" w:sz="0" w:space="0" w:color="auto"/>
        <w:left w:val="none" w:sz="0" w:space="0" w:color="auto"/>
        <w:bottom w:val="none" w:sz="0" w:space="0" w:color="auto"/>
        <w:right w:val="none" w:sz="0" w:space="0" w:color="auto"/>
      </w:divBdr>
    </w:div>
    <w:div w:id="469247516">
      <w:bodyDiv w:val="1"/>
      <w:marLeft w:val="0"/>
      <w:marRight w:val="0"/>
      <w:marTop w:val="0"/>
      <w:marBottom w:val="0"/>
      <w:divBdr>
        <w:top w:val="none" w:sz="0" w:space="0" w:color="auto"/>
        <w:left w:val="none" w:sz="0" w:space="0" w:color="auto"/>
        <w:bottom w:val="none" w:sz="0" w:space="0" w:color="auto"/>
        <w:right w:val="none" w:sz="0" w:space="0" w:color="auto"/>
      </w:divBdr>
    </w:div>
    <w:div w:id="510604150">
      <w:bodyDiv w:val="1"/>
      <w:marLeft w:val="0"/>
      <w:marRight w:val="0"/>
      <w:marTop w:val="0"/>
      <w:marBottom w:val="0"/>
      <w:divBdr>
        <w:top w:val="none" w:sz="0" w:space="0" w:color="auto"/>
        <w:left w:val="none" w:sz="0" w:space="0" w:color="auto"/>
        <w:bottom w:val="none" w:sz="0" w:space="0" w:color="auto"/>
        <w:right w:val="none" w:sz="0" w:space="0" w:color="auto"/>
      </w:divBdr>
    </w:div>
    <w:div w:id="544874480">
      <w:bodyDiv w:val="1"/>
      <w:marLeft w:val="0"/>
      <w:marRight w:val="0"/>
      <w:marTop w:val="0"/>
      <w:marBottom w:val="0"/>
      <w:divBdr>
        <w:top w:val="none" w:sz="0" w:space="0" w:color="auto"/>
        <w:left w:val="none" w:sz="0" w:space="0" w:color="auto"/>
        <w:bottom w:val="none" w:sz="0" w:space="0" w:color="auto"/>
        <w:right w:val="none" w:sz="0" w:space="0" w:color="auto"/>
      </w:divBdr>
    </w:div>
    <w:div w:id="554774493">
      <w:bodyDiv w:val="1"/>
      <w:marLeft w:val="0"/>
      <w:marRight w:val="0"/>
      <w:marTop w:val="0"/>
      <w:marBottom w:val="0"/>
      <w:divBdr>
        <w:top w:val="none" w:sz="0" w:space="0" w:color="auto"/>
        <w:left w:val="none" w:sz="0" w:space="0" w:color="auto"/>
        <w:bottom w:val="none" w:sz="0" w:space="0" w:color="auto"/>
        <w:right w:val="none" w:sz="0" w:space="0" w:color="auto"/>
      </w:divBdr>
    </w:div>
    <w:div w:id="565457735">
      <w:bodyDiv w:val="1"/>
      <w:marLeft w:val="0"/>
      <w:marRight w:val="0"/>
      <w:marTop w:val="0"/>
      <w:marBottom w:val="0"/>
      <w:divBdr>
        <w:top w:val="none" w:sz="0" w:space="0" w:color="auto"/>
        <w:left w:val="none" w:sz="0" w:space="0" w:color="auto"/>
        <w:bottom w:val="none" w:sz="0" w:space="0" w:color="auto"/>
        <w:right w:val="none" w:sz="0" w:space="0" w:color="auto"/>
      </w:divBdr>
    </w:div>
    <w:div w:id="580607617">
      <w:bodyDiv w:val="1"/>
      <w:marLeft w:val="0"/>
      <w:marRight w:val="0"/>
      <w:marTop w:val="0"/>
      <w:marBottom w:val="0"/>
      <w:divBdr>
        <w:top w:val="none" w:sz="0" w:space="0" w:color="auto"/>
        <w:left w:val="none" w:sz="0" w:space="0" w:color="auto"/>
        <w:bottom w:val="none" w:sz="0" w:space="0" w:color="auto"/>
        <w:right w:val="none" w:sz="0" w:space="0" w:color="auto"/>
      </w:divBdr>
    </w:div>
    <w:div w:id="630742814">
      <w:bodyDiv w:val="1"/>
      <w:marLeft w:val="0"/>
      <w:marRight w:val="0"/>
      <w:marTop w:val="0"/>
      <w:marBottom w:val="0"/>
      <w:divBdr>
        <w:top w:val="none" w:sz="0" w:space="0" w:color="auto"/>
        <w:left w:val="none" w:sz="0" w:space="0" w:color="auto"/>
        <w:bottom w:val="none" w:sz="0" w:space="0" w:color="auto"/>
        <w:right w:val="none" w:sz="0" w:space="0" w:color="auto"/>
      </w:divBdr>
    </w:div>
    <w:div w:id="651449471">
      <w:bodyDiv w:val="1"/>
      <w:marLeft w:val="0"/>
      <w:marRight w:val="0"/>
      <w:marTop w:val="0"/>
      <w:marBottom w:val="0"/>
      <w:divBdr>
        <w:top w:val="none" w:sz="0" w:space="0" w:color="auto"/>
        <w:left w:val="none" w:sz="0" w:space="0" w:color="auto"/>
        <w:bottom w:val="none" w:sz="0" w:space="0" w:color="auto"/>
        <w:right w:val="none" w:sz="0" w:space="0" w:color="auto"/>
      </w:divBdr>
    </w:div>
    <w:div w:id="814564836">
      <w:bodyDiv w:val="1"/>
      <w:marLeft w:val="0"/>
      <w:marRight w:val="0"/>
      <w:marTop w:val="0"/>
      <w:marBottom w:val="0"/>
      <w:divBdr>
        <w:top w:val="none" w:sz="0" w:space="0" w:color="auto"/>
        <w:left w:val="none" w:sz="0" w:space="0" w:color="auto"/>
        <w:bottom w:val="none" w:sz="0" w:space="0" w:color="auto"/>
        <w:right w:val="none" w:sz="0" w:space="0" w:color="auto"/>
      </w:divBdr>
    </w:div>
    <w:div w:id="943655134">
      <w:bodyDiv w:val="1"/>
      <w:marLeft w:val="0"/>
      <w:marRight w:val="0"/>
      <w:marTop w:val="0"/>
      <w:marBottom w:val="0"/>
      <w:divBdr>
        <w:top w:val="none" w:sz="0" w:space="0" w:color="auto"/>
        <w:left w:val="none" w:sz="0" w:space="0" w:color="auto"/>
        <w:bottom w:val="none" w:sz="0" w:space="0" w:color="auto"/>
        <w:right w:val="none" w:sz="0" w:space="0" w:color="auto"/>
      </w:divBdr>
    </w:div>
    <w:div w:id="1002971213">
      <w:bodyDiv w:val="1"/>
      <w:marLeft w:val="0"/>
      <w:marRight w:val="0"/>
      <w:marTop w:val="0"/>
      <w:marBottom w:val="0"/>
      <w:divBdr>
        <w:top w:val="none" w:sz="0" w:space="0" w:color="auto"/>
        <w:left w:val="none" w:sz="0" w:space="0" w:color="auto"/>
        <w:bottom w:val="none" w:sz="0" w:space="0" w:color="auto"/>
        <w:right w:val="none" w:sz="0" w:space="0" w:color="auto"/>
      </w:divBdr>
    </w:div>
    <w:div w:id="1046488447">
      <w:bodyDiv w:val="1"/>
      <w:marLeft w:val="0"/>
      <w:marRight w:val="0"/>
      <w:marTop w:val="0"/>
      <w:marBottom w:val="0"/>
      <w:divBdr>
        <w:top w:val="none" w:sz="0" w:space="0" w:color="auto"/>
        <w:left w:val="none" w:sz="0" w:space="0" w:color="auto"/>
        <w:bottom w:val="none" w:sz="0" w:space="0" w:color="auto"/>
        <w:right w:val="none" w:sz="0" w:space="0" w:color="auto"/>
      </w:divBdr>
    </w:div>
    <w:div w:id="1065645613">
      <w:bodyDiv w:val="1"/>
      <w:marLeft w:val="0"/>
      <w:marRight w:val="0"/>
      <w:marTop w:val="0"/>
      <w:marBottom w:val="0"/>
      <w:divBdr>
        <w:top w:val="none" w:sz="0" w:space="0" w:color="auto"/>
        <w:left w:val="none" w:sz="0" w:space="0" w:color="auto"/>
        <w:bottom w:val="none" w:sz="0" w:space="0" w:color="auto"/>
        <w:right w:val="none" w:sz="0" w:space="0" w:color="auto"/>
      </w:divBdr>
    </w:div>
    <w:div w:id="1071122738">
      <w:bodyDiv w:val="1"/>
      <w:marLeft w:val="0"/>
      <w:marRight w:val="0"/>
      <w:marTop w:val="0"/>
      <w:marBottom w:val="0"/>
      <w:divBdr>
        <w:top w:val="none" w:sz="0" w:space="0" w:color="auto"/>
        <w:left w:val="none" w:sz="0" w:space="0" w:color="auto"/>
        <w:bottom w:val="none" w:sz="0" w:space="0" w:color="auto"/>
        <w:right w:val="none" w:sz="0" w:space="0" w:color="auto"/>
      </w:divBdr>
    </w:div>
    <w:div w:id="1099791129">
      <w:bodyDiv w:val="1"/>
      <w:marLeft w:val="0"/>
      <w:marRight w:val="0"/>
      <w:marTop w:val="0"/>
      <w:marBottom w:val="0"/>
      <w:divBdr>
        <w:top w:val="none" w:sz="0" w:space="0" w:color="auto"/>
        <w:left w:val="none" w:sz="0" w:space="0" w:color="auto"/>
        <w:bottom w:val="none" w:sz="0" w:space="0" w:color="auto"/>
        <w:right w:val="none" w:sz="0" w:space="0" w:color="auto"/>
      </w:divBdr>
    </w:div>
    <w:div w:id="1106541470">
      <w:bodyDiv w:val="1"/>
      <w:marLeft w:val="0"/>
      <w:marRight w:val="0"/>
      <w:marTop w:val="0"/>
      <w:marBottom w:val="0"/>
      <w:divBdr>
        <w:top w:val="none" w:sz="0" w:space="0" w:color="auto"/>
        <w:left w:val="none" w:sz="0" w:space="0" w:color="auto"/>
        <w:bottom w:val="none" w:sz="0" w:space="0" w:color="auto"/>
        <w:right w:val="none" w:sz="0" w:space="0" w:color="auto"/>
      </w:divBdr>
    </w:div>
    <w:div w:id="1161626601">
      <w:bodyDiv w:val="1"/>
      <w:marLeft w:val="0"/>
      <w:marRight w:val="0"/>
      <w:marTop w:val="0"/>
      <w:marBottom w:val="0"/>
      <w:divBdr>
        <w:top w:val="none" w:sz="0" w:space="0" w:color="auto"/>
        <w:left w:val="none" w:sz="0" w:space="0" w:color="auto"/>
        <w:bottom w:val="none" w:sz="0" w:space="0" w:color="auto"/>
        <w:right w:val="none" w:sz="0" w:space="0" w:color="auto"/>
      </w:divBdr>
    </w:div>
    <w:div w:id="1185095792">
      <w:bodyDiv w:val="1"/>
      <w:marLeft w:val="0"/>
      <w:marRight w:val="0"/>
      <w:marTop w:val="0"/>
      <w:marBottom w:val="0"/>
      <w:divBdr>
        <w:top w:val="none" w:sz="0" w:space="0" w:color="auto"/>
        <w:left w:val="none" w:sz="0" w:space="0" w:color="auto"/>
        <w:bottom w:val="none" w:sz="0" w:space="0" w:color="auto"/>
        <w:right w:val="none" w:sz="0" w:space="0" w:color="auto"/>
      </w:divBdr>
    </w:div>
    <w:div w:id="1232889610">
      <w:bodyDiv w:val="1"/>
      <w:marLeft w:val="0"/>
      <w:marRight w:val="0"/>
      <w:marTop w:val="0"/>
      <w:marBottom w:val="0"/>
      <w:divBdr>
        <w:top w:val="none" w:sz="0" w:space="0" w:color="auto"/>
        <w:left w:val="none" w:sz="0" w:space="0" w:color="auto"/>
        <w:bottom w:val="none" w:sz="0" w:space="0" w:color="auto"/>
        <w:right w:val="none" w:sz="0" w:space="0" w:color="auto"/>
      </w:divBdr>
    </w:div>
    <w:div w:id="1330328536">
      <w:bodyDiv w:val="1"/>
      <w:marLeft w:val="0"/>
      <w:marRight w:val="0"/>
      <w:marTop w:val="0"/>
      <w:marBottom w:val="0"/>
      <w:divBdr>
        <w:top w:val="none" w:sz="0" w:space="0" w:color="auto"/>
        <w:left w:val="none" w:sz="0" w:space="0" w:color="auto"/>
        <w:bottom w:val="none" w:sz="0" w:space="0" w:color="auto"/>
        <w:right w:val="none" w:sz="0" w:space="0" w:color="auto"/>
      </w:divBdr>
    </w:div>
    <w:div w:id="1348360711">
      <w:bodyDiv w:val="1"/>
      <w:marLeft w:val="0"/>
      <w:marRight w:val="0"/>
      <w:marTop w:val="0"/>
      <w:marBottom w:val="0"/>
      <w:divBdr>
        <w:top w:val="none" w:sz="0" w:space="0" w:color="auto"/>
        <w:left w:val="none" w:sz="0" w:space="0" w:color="auto"/>
        <w:bottom w:val="none" w:sz="0" w:space="0" w:color="auto"/>
        <w:right w:val="none" w:sz="0" w:space="0" w:color="auto"/>
      </w:divBdr>
    </w:div>
    <w:div w:id="1466238195">
      <w:bodyDiv w:val="1"/>
      <w:marLeft w:val="0"/>
      <w:marRight w:val="0"/>
      <w:marTop w:val="0"/>
      <w:marBottom w:val="0"/>
      <w:divBdr>
        <w:top w:val="none" w:sz="0" w:space="0" w:color="auto"/>
        <w:left w:val="none" w:sz="0" w:space="0" w:color="auto"/>
        <w:bottom w:val="none" w:sz="0" w:space="0" w:color="auto"/>
        <w:right w:val="none" w:sz="0" w:space="0" w:color="auto"/>
      </w:divBdr>
    </w:div>
    <w:div w:id="1581674766">
      <w:bodyDiv w:val="1"/>
      <w:marLeft w:val="0"/>
      <w:marRight w:val="0"/>
      <w:marTop w:val="0"/>
      <w:marBottom w:val="0"/>
      <w:divBdr>
        <w:top w:val="none" w:sz="0" w:space="0" w:color="auto"/>
        <w:left w:val="none" w:sz="0" w:space="0" w:color="auto"/>
        <w:bottom w:val="none" w:sz="0" w:space="0" w:color="auto"/>
        <w:right w:val="none" w:sz="0" w:space="0" w:color="auto"/>
      </w:divBdr>
    </w:div>
    <w:div w:id="1614361834">
      <w:bodyDiv w:val="1"/>
      <w:marLeft w:val="0"/>
      <w:marRight w:val="0"/>
      <w:marTop w:val="0"/>
      <w:marBottom w:val="0"/>
      <w:divBdr>
        <w:top w:val="none" w:sz="0" w:space="0" w:color="auto"/>
        <w:left w:val="none" w:sz="0" w:space="0" w:color="auto"/>
        <w:bottom w:val="none" w:sz="0" w:space="0" w:color="auto"/>
        <w:right w:val="none" w:sz="0" w:space="0" w:color="auto"/>
      </w:divBdr>
    </w:div>
    <w:div w:id="1653605519">
      <w:bodyDiv w:val="1"/>
      <w:marLeft w:val="0"/>
      <w:marRight w:val="0"/>
      <w:marTop w:val="0"/>
      <w:marBottom w:val="0"/>
      <w:divBdr>
        <w:top w:val="none" w:sz="0" w:space="0" w:color="auto"/>
        <w:left w:val="none" w:sz="0" w:space="0" w:color="auto"/>
        <w:bottom w:val="none" w:sz="0" w:space="0" w:color="auto"/>
        <w:right w:val="none" w:sz="0" w:space="0" w:color="auto"/>
      </w:divBdr>
    </w:div>
    <w:div w:id="1672097131">
      <w:bodyDiv w:val="1"/>
      <w:marLeft w:val="0"/>
      <w:marRight w:val="0"/>
      <w:marTop w:val="0"/>
      <w:marBottom w:val="0"/>
      <w:divBdr>
        <w:top w:val="none" w:sz="0" w:space="0" w:color="auto"/>
        <w:left w:val="none" w:sz="0" w:space="0" w:color="auto"/>
        <w:bottom w:val="none" w:sz="0" w:space="0" w:color="auto"/>
        <w:right w:val="none" w:sz="0" w:space="0" w:color="auto"/>
      </w:divBdr>
    </w:div>
    <w:div w:id="1707176905">
      <w:bodyDiv w:val="1"/>
      <w:marLeft w:val="0"/>
      <w:marRight w:val="0"/>
      <w:marTop w:val="0"/>
      <w:marBottom w:val="0"/>
      <w:divBdr>
        <w:top w:val="none" w:sz="0" w:space="0" w:color="auto"/>
        <w:left w:val="none" w:sz="0" w:space="0" w:color="auto"/>
        <w:bottom w:val="none" w:sz="0" w:space="0" w:color="auto"/>
        <w:right w:val="none" w:sz="0" w:space="0" w:color="auto"/>
      </w:divBdr>
    </w:div>
    <w:div w:id="1720015793">
      <w:bodyDiv w:val="1"/>
      <w:marLeft w:val="0"/>
      <w:marRight w:val="0"/>
      <w:marTop w:val="0"/>
      <w:marBottom w:val="0"/>
      <w:divBdr>
        <w:top w:val="none" w:sz="0" w:space="0" w:color="auto"/>
        <w:left w:val="none" w:sz="0" w:space="0" w:color="auto"/>
        <w:bottom w:val="none" w:sz="0" w:space="0" w:color="auto"/>
        <w:right w:val="none" w:sz="0" w:space="0" w:color="auto"/>
      </w:divBdr>
    </w:div>
    <w:div w:id="1904675672">
      <w:bodyDiv w:val="1"/>
      <w:marLeft w:val="0"/>
      <w:marRight w:val="0"/>
      <w:marTop w:val="0"/>
      <w:marBottom w:val="0"/>
      <w:divBdr>
        <w:top w:val="none" w:sz="0" w:space="0" w:color="auto"/>
        <w:left w:val="none" w:sz="0" w:space="0" w:color="auto"/>
        <w:bottom w:val="none" w:sz="0" w:space="0" w:color="auto"/>
        <w:right w:val="none" w:sz="0" w:space="0" w:color="auto"/>
      </w:divBdr>
    </w:div>
    <w:div w:id="1907951576">
      <w:bodyDiv w:val="1"/>
      <w:marLeft w:val="0"/>
      <w:marRight w:val="0"/>
      <w:marTop w:val="0"/>
      <w:marBottom w:val="0"/>
      <w:divBdr>
        <w:top w:val="none" w:sz="0" w:space="0" w:color="auto"/>
        <w:left w:val="none" w:sz="0" w:space="0" w:color="auto"/>
        <w:bottom w:val="none" w:sz="0" w:space="0" w:color="auto"/>
        <w:right w:val="none" w:sz="0" w:space="0" w:color="auto"/>
      </w:divBdr>
    </w:div>
    <w:div w:id="1943027076">
      <w:bodyDiv w:val="1"/>
      <w:marLeft w:val="0"/>
      <w:marRight w:val="0"/>
      <w:marTop w:val="0"/>
      <w:marBottom w:val="0"/>
      <w:divBdr>
        <w:top w:val="none" w:sz="0" w:space="0" w:color="auto"/>
        <w:left w:val="none" w:sz="0" w:space="0" w:color="auto"/>
        <w:bottom w:val="none" w:sz="0" w:space="0" w:color="auto"/>
        <w:right w:val="none" w:sz="0" w:space="0" w:color="auto"/>
      </w:divBdr>
    </w:div>
    <w:div w:id="2031175098">
      <w:bodyDiv w:val="1"/>
      <w:marLeft w:val="0"/>
      <w:marRight w:val="0"/>
      <w:marTop w:val="0"/>
      <w:marBottom w:val="0"/>
      <w:divBdr>
        <w:top w:val="none" w:sz="0" w:space="0" w:color="auto"/>
        <w:left w:val="none" w:sz="0" w:space="0" w:color="auto"/>
        <w:bottom w:val="none" w:sz="0" w:space="0" w:color="auto"/>
        <w:right w:val="none" w:sz="0" w:space="0" w:color="auto"/>
      </w:divBdr>
    </w:div>
    <w:div w:id="2052026263">
      <w:bodyDiv w:val="1"/>
      <w:marLeft w:val="0"/>
      <w:marRight w:val="0"/>
      <w:marTop w:val="0"/>
      <w:marBottom w:val="0"/>
      <w:divBdr>
        <w:top w:val="none" w:sz="0" w:space="0" w:color="auto"/>
        <w:left w:val="none" w:sz="0" w:space="0" w:color="auto"/>
        <w:bottom w:val="none" w:sz="0" w:space="0" w:color="auto"/>
        <w:right w:val="none" w:sz="0" w:space="0" w:color="auto"/>
      </w:divBdr>
    </w:div>
    <w:div w:id="213910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rice\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Lis18</b:Tag>
    <b:SourceType>InternetSite</b:SourceType>
    <b:Guid>{1083987E-83B7-42D7-B02F-0658A59E6BD1}</b:Guid>
    <b:Author>
      <b:Author>
        <b:NameList>
          <b:Person>
            <b:Last>Smith</b:Last>
            <b:First>Lisa</b:First>
          </b:Person>
        </b:NameList>
      </b:Author>
    </b:Author>
    <b:Title>Off-Balance-Sheet Entities: An Introduction</b:Title>
    <b:InternetSiteTitle>Investopedia</b:InternetSiteTitle>
    <b:Year>2018</b:Year>
    <b:Month>11</b:Month>
    <b:Day>14</b:Day>
    <b:URL>https://www.investopedia.com/articles/analyst/022002.asp</b:URL>
    <b:RefOrder>8</b:RefOrder>
  </b:Source>
  <b:Source>
    <b:Tag>Hay16</b:Tag>
    <b:SourceType>InternetSite</b:SourceType>
    <b:Guid>{10A5FE7A-A1B6-4C41-939B-4332A06B98CD}</b:Guid>
    <b:Author>
      <b:Author>
        <b:NameList>
          <b:Person>
            <b:Last>Haywood</b:Last>
            <b:First>Andy</b:First>
          </b:Person>
        </b:NameList>
      </b:Author>
    </b:Author>
    <b:Title>IFRS 16 Leases is Here – IASB Release New Global Lease Accounting Standard</b:Title>
    <b:InternetSiteTitle>Inner Vision</b:InternetSiteTitle>
    <b:Year>16</b:Year>
    <b:Month>01</b:Month>
    <b:Day>13</b:Day>
    <b:URL>http://blog.innervision.co.uk/blog/ifrs-16-leases-is-here-iasb-release-new-global-lease-accounting-standard</b:URL>
    <b:YearAccessed>2018</b:YearAccessed>
    <b:MonthAccessed>11</b:MonthAccessed>
    <b:DayAccessed>28</b:DayAccessed>
    <b:RefOrder>9</b:RefOrder>
  </b:Source>
  <b:Source>
    <b:Tag>IFR18</b:Tag>
    <b:SourceType>InternetSite</b:SourceType>
    <b:Guid>{BA0E1704-17E3-4D46-8A38-C52382D5340C}</b:Guid>
    <b:Author>
      <b:Author>
        <b:Corporate>IFRS</b:Corporate>
      </b:Author>
    </b:Author>
    <b:Title>IFRS 16 Leases</b:Title>
    <b:InternetSiteTitle>IFRS</b:InternetSiteTitle>
    <b:Year>2018</b:Year>
    <b:Month>11</b:Month>
    <b:Day>28</b:Day>
    <b:URL>https://www.ifrs.org/issued-standards/list-of-standards/ifrs-16-leases/</b:URL>
    <b:RefOrder>6</b:RefOrder>
  </b:Source>
  <b:Source>
    <b:Tag>Mel17</b:Tag>
    <b:SourceType>JournalArticle</b:SourceType>
    <b:Guid>{174692DD-5ADB-49C4-9BB8-9000CEE9BCEF}</b:Guid>
    <b:Title>Conceptual Problems with a New lease Accounting Approach</b:Title>
    <b:Year>2017</b:Year>
    <b:URL>https://www.store.leasefoundation.org/Products/JELFSpr98-4.pdf</b:URL>
    <b:Author>
      <b:Author>
        <b:NameList>
          <b:Person>
            <b:Last>Mellwig</b:Last>
            <b:First>Winfried</b:First>
          </b:Person>
        </b:NameList>
      </b:Author>
    </b:Author>
    <b:JournalName>Journal of Equipment Lease Financing</b:JournalName>
    <b:Pages>1-19</b:Pages>
    <b:YearAccessed>2018</b:YearAccessed>
    <b:MonthAccessed>12</b:MonthAccessed>
    <b:DayAccessed>05</b:DayAccessed>
    <b:RefOrder>3</b:RefOrder>
  </b:Source>
  <b:Source>
    <b:Tag>FCC11</b:Tag>
    <b:SourceType>JournalArticle</b:SourceType>
    <b:Guid>{10515B10-88B2-47CF-B7E2-2C8A759CA4D9}</b:Guid>
    <b:Author>
      <b:Author>
        <b:NameList>
          <b:Person>
            <b:Last>FCCA</b:Last>
            <b:First>Tom</b:First>
            <b:Middle>Clendon</b:Middle>
          </b:Person>
        </b:NameList>
      </b:Author>
    </b:Author>
    <b:Title>The IASB's Conceptual Framework for Financial Reporting</b:Title>
    <b:JournalName>Student Accountant Technical</b:JournalName>
    <b:Year>2011</b:Year>
    <b:Pages>5</b:Pages>
    <b:YearAccessed>2018</b:YearAccessed>
    <b:MonthAccessed>12</b:MonthAccessed>
    <b:DayAccessed>05</b:DayAccessed>
    <b:RefOrder>5</b:RefOrder>
  </b:Source>
  <b:Source>
    <b:Tag>Acc09</b:Tag>
    <b:SourceType>InternetSite</b:SourceType>
    <b:Guid>{44DFA2A8-96D9-48CA-84FC-80B2722FC122}</b:Guid>
    <b:Title>Accounting for Leases</b:Title>
    <b:InternetSiteTitle>ACCA Global</b:InternetSiteTitle>
    <b:Year>09</b:Year>
    <b:Month>11</b:Month>
    <b:Day>2018</b:Day>
    <b:URL>https://www.accaglobal.com/uk/en/student/exam-support-resources/fundamentals-exams-study-resources/f7/technical-articles/accounting-for-leases.html#</b:URL>
    <b:Author>
      <b:Author>
        <b:NameList>
          <b:Person>
            <b:Last>Retallack</b:Last>
            <b:First>Bobbie-Anne</b:First>
          </b:Person>
        </b:NameList>
      </b:Author>
    </b:Author>
    <b:YearAccessed>2018</b:YearAccessed>
    <b:MonthAccessed>12</b:MonthAccessed>
    <b:DayAccessed>05</b:DayAccessed>
    <b:RefOrder>1</b:RefOrder>
  </b:Source>
  <b:Source>
    <b:Tag>Sum16</b:Tag>
    <b:SourceType>JournalArticle</b:SourceType>
    <b:Guid>{A4B25BF5-A2C8-4933-BDF1-BA7622CB6778}</b:Guid>
    <b:Title>Summary of IFRS 16 and its effects</b:Title>
    <b:JournalName>EY Building a better working world</b:JournalName>
    <b:Year>2016</b:Year>
    <b:Pages>5</b:Pages>
    <b:YearAccessed>2018</b:YearAccessed>
    <b:MonthAccessed>12</b:MonthAccessed>
    <b:DayAccessed>05</b:DayAccessed>
    <b:URL>https://www.ey.com/Publication/vwLUAssets/ey-leases-a-summary-of-ifrs-16-and-its-effects-may-2016/$FILE/ey-leases-a-summary-of-ifrs-16-and-its-effects-may-2016.pdf</b:URL>
    <b:Author>
      <b:Author>
        <b:Corporate>EY</b:Corporate>
      </b:Author>
    </b:Author>
    <b:RefOrder>7</b:RefOrder>
  </b:Source>
  <b:Source>
    <b:Tag>FAS13</b:Tag>
    <b:SourceType>JournalArticle</b:SourceType>
    <b:Guid>{F189A522-233A-4B71-BF8C-EDC323CCD742}</b:Guid>
    <b:Author>
      <b:Author>
        <b:Corporate>FASB</b:Corporate>
      </b:Author>
    </b:Author>
    <b:Title>Proposed Accounting Standards Update</b:Title>
    <b:JournalName>Leases (Topic 842)</b:JournalName>
    <b:Year>2013</b:Year>
    <b:Pages>11-206</b:Pages>
    <b:RefOrder>10</b:RefOrder>
  </b:Source>
  <b:Source>
    <b:Tag>Rul17</b:Tag>
    <b:SourceType>JournalArticle</b:SourceType>
    <b:Guid>{3BA3B788-9A7C-41F8-B01E-FC294D79FF0D}</b:Guid>
    <b:Title>IFRS 16 - Leases: Implications for analysts and investors</b:Title>
    <b:Year>2017</b:Year>
    <b:Pages>6-8</b:Pages>
    <b:Author>
      <b:Author>
        <b:NameList>
          <b:Person>
            <b:Last>Rulmont</b:Last>
            <b:First>Sebastien</b:First>
          </b:Person>
        </b:NameList>
      </b:Author>
    </b:Author>
    <b:YearAccessed>2018</b:YearAccessed>
    <b:MonthAccessed>12</b:MonthAccessed>
    <b:DayAccessed>05</b:DayAccessed>
    <b:RefOrder>4</b:RefOrder>
  </b:Source>
  <b:Source>
    <b:Tag>IAS15</b:Tag>
    <b:SourceType>JournalArticle</b:SourceType>
    <b:Guid>{CBB197E3-8E68-49B5-9D4A-621FBC5D2D98}</b:Guid>
    <b:Author>
      <b:Author>
        <b:Corporate>IASB</b:Corporate>
      </b:Author>
    </b:Author>
    <b:Title>Conceptual Framework for Financial Reporting</b:Title>
    <b:JournalName>IASB</b:JournalName>
    <b:Year>2015</b:Year>
    <b:YearAccessed>18</b:YearAccessed>
    <b:MonthAccessed>11</b:MonthAccessed>
    <b:DayAccessed>19</b:DayAccessed>
    <b:URL>http://archive.ifrs.org/Current-Projects/IASB-Projects/Conceptual-Framework/Documents/May%202015/ED_CF_MAY%202015.pdf</b:URL>
    <b:RefOrder>2</b:RefOrder>
  </b:Source>
</b:Sources>
</file>

<file path=customXml/itemProps1.xml><?xml version="1.0" encoding="utf-8"?>
<ds:datastoreItem xmlns:ds="http://schemas.openxmlformats.org/officeDocument/2006/customXml" ds:itemID="{41F932C4-81BB-4738-87DF-F9ACB0AD9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1068</TotalTime>
  <Pages>8</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price</dc:creator>
  <cp:keywords/>
  <dc:description/>
  <cp:lastModifiedBy>ryan price</cp:lastModifiedBy>
  <cp:revision>333</cp:revision>
  <cp:lastPrinted>2018-12-05T23:07:00Z</cp:lastPrinted>
  <dcterms:created xsi:type="dcterms:W3CDTF">2018-11-14T13:01:00Z</dcterms:created>
  <dcterms:modified xsi:type="dcterms:W3CDTF">2018-12-05T23:11:00Z</dcterms:modified>
</cp:coreProperties>
</file>