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47604" w:rsidRPr="00F47604" w:rsidRDefault="00F47604" w:rsidP="00F47604">
      <w:pPr>
        <w:numPr>
          <w:ilvl w:val="0"/>
          <w:numId w:val="1"/>
        </w:numPr>
        <w:autoSpaceDE w:val="0"/>
        <w:autoSpaceDN w:val="0"/>
        <w:adjustRightInd w:val="0"/>
        <w:spacing w:after="0" w:line="240" w:lineRule="auto"/>
        <w:ind w:left="360" w:hanging="360"/>
        <w:rPr>
          <w:rFonts w:ascii="Gill Sans MT" w:hAnsi="Gill Sans MT" w:cs="Gill Sans MT"/>
          <w:kern w:val="24"/>
          <w:sz w:val="40"/>
          <w:szCs w:val="40"/>
        </w:rPr>
      </w:pPr>
      <w:bookmarkStart w:id="0" w:name="_GoBack"/>
      <w:bookmarkEnd w:id="0"/>
      <w:r w:rsidRPr="00F47604">
        <w:rPr>
          <w:rFonts w:ascii="Gill Sans MT" w:hAnsi="Gill Sans MT" w:cs="Gill Sans MT"/>
          <w:kern w:val="24"/>
          <w:sz w:val="40"/>
          <w:szCs w:val="40"/>
        </w:rPr>
        <w:t xml:space="preserve">Anthropology </w:t>
      </w:r>
      <w:proofErr w:type="gramStart"/>
      <w:r w:rsidRPr="00F47604">
        <w:rPr>
          <w:rFonts w:ascii="Gill Sans MT" w:hAnsi="Gill Sans MT" w:cs="Gill Sans MT"/>
          <w:kern w:val="24"/>
          <w:sz w:val="40"/>
          <w:szCs w:val="40"/>
        </w:rPr>
        <w:t>In</w:t>
      </w:r>
      <w:proofErr w:type="gramEnd"/>
      <w:r w:rsidRPr="00F47604">
        <w:rPr>
          <w:rFonts w:ascii="Gill Sans MT" w:hAnsi="Gill Sans MT" w:cs="Gill Sans MT"/>
          <w:kern w:val="24"/>
          <w:sz w:val="40"/>
          <w:szCs w:val="40"/>
        </w:rPr>
        <w:t xml:space="preserve"> Context: Gender</w:t>
      </w:r>
    </w:p>
    <w:p w:rsidR="00F47604" w:rsidRPr="00F47604" w:rsidRDefault="00F47604" w:rsidP="00F47604">
      <w:pPr>
        <w:numPr>
          <w:ilvl w:val="0"/>
          <w:numId w:val="1"/>
        </w:numPr>
        <w:autoSpaceDE w:val="0"/>
        <w:autoSpaceDN w:val="0"/>
        <w:adjustRightInd w:val="0"/>
        <w:spacing w:after="0" w:line="240" w:lineRule="auto"/>
        <w:ind w:left="360" w:hanging="360"/>
        <w:rPr>
          <w:rFonts w:ascii="Gill Sans MT" w:hAnsi="Gill Sans MT" w:cs="Gill Sans MT"/>
          <w:kern w:val="24"/>
          <w:sz w:val="40"/>
          <w:szCs w:val="40"/>
        </w:rPr>
      </w:pPr>
      <w:r w:rsidRPr="00F47604">
        <w:rPr>
          <w:rFonts w:ascii="Gill Sans MT" w:hAnsi="Gill Sans MT" w:cs="Gill Sans MT"/>
          <w:kern w:val="24"/>
          <w:sz w:val="40"/>
          <w:szCs w:val="40"/>
        </w:rPr>
        <w:t>A case study involving the Achuar people</w:t>
      </w:r>
    </w:p>
    <w:p w:rsidR="00F47604" w:rsidRPr="00F47604" w:rsidRDefault="00F47604" w:rsidP="00F47604">
      <w:pPr>
        <w:numPr>
          <w:ilvl w:val="0"/>
          <w:numId w:val="1"/>
        </w:numPr>
        <w:autoSpaceDE w:val="0"/>
        <w:autoSpaceDN w:val="0"/>
        <w:adjustRightInd w:val="0"/>
        <w:spacing w:after="0" w:line="240" w:lineRule="auto"/>
        <w:ind w:left="360" w:hanging="360"/>
        <w:rPr>
          <w:rFonts w:ascii="Verdana" w:eastAsia="Times New Roman" w:hAnsi="Times New Roman" w:cs="Verdana"/>
          <w:kern w:val="24"/>
          <w:sz w:val="40"/>
          <w:szCs w:val="40"/>
        </w:rPr>
      </w:pPr>
      <w:r w:rsidRPr="00F47604">
        <w:rPr>
          <w:rFonts w:ascii="Verdana" w:eastAsia="Times New Roman" w:hAnsi="Times New Roman" w:cs="Verdana"/>
          <w:kern w:val="24"/>
          <w:sz w:val="40"/>
          <w:szCs w:val="40"/>
        </w:rPr>
        <w:t>About the Jivaroan Achuar (Potentially some key information)</w:t>
      </w:r>
      <w:r w:rsidRPr="00F47604">
        <w:rPr>
          <w:rFonts w:ascii="Gill Sans MT" w:hAnsi="Gill Sans MT" w:cs="Gill Sans MT"/>
          <w:kern w:val="24"/>
          <w:sz w:val="40"/>
          <w:szCs w:val="40"/>
        </w:rPr>
        <w:t xml:space="preserve"> Tuzin &amp; George, 2001 p. 94)</w:t>
      </w:r>
    </w:p>
    <w:p w:rsidR="00F47604" w:rsidRPr="00F47604" w:rsidRDefault="00F47604" w:rsidP="00F47604">
      <w:pPr>
        <w:numPr>
          <w:ilvl w:val="0"/>
          <w:numId w:val="1"/>
        </w:numPr>
        <w:autoSpaceDE w:val="0"/>
        <w:autoSpaceDN w:val="0"/>
        <w:adjustRightInd w:val="0"/>
        <w:spacing w:after="0" w:line="240" w:lineRule="auto"/>
        <w:ind w:left="360" w:hanging="360"/>
        <w:rPr>
          <w:rFonts w:ascii="Gill Sans MT" w:hAnsi="Gill Sans MT" w:cs="Gill Sans MT"/>
          <w:kern w:val="24"/>
          <w:sz w:val="40"/>
          <w:szCs w:val="40"/>
        </w:rPr>
      </w:pPr>
      <w:r w:rsidRPr="00F47604">
        <w:rPr>
          <w:rFonts w:ascii="Gill Sans MT" w:hAnsi="Gill Sans MT" w:cs="Gill Sans MT"/>
          <w:kern w:val="24"/>
          <w:sz w:val="40"/>
          <w:szCs w:val="40"/>
        </w:rPr>
        <w:t xml:space="preserve">Each household consists of a single, and generally polygynous, nuclear family and functions as a politically independent unit of production and consumption (. </w:t>
      </w:r>
    </w:p>
    <w:p w:rsidR="00F47604" w:rsidRPr="00F47604" w:rsidRDefault="00F47604" w:rsidP="00F47604">
      <w:pPr>
        <w:numPr>
          <w:ilvl w:val="0"/>
          <w:numId w:val="1"/>
        </w:numPr>
        <w:autoSpaceDE w:val="0"/>
        <w:autoSpaceDN w:val="0"/>
        <w:adjustRightInd w:val="0"/>
        <w:spacing w:after="0" w:line="240" w:lineRule="auto"/>
        <w:ind w:left="360" w:hanging="360"/>
        <w:rPr>
          <w:rFonts w:ascii="Gill Sans MT" w:hAnsi="Gill Sans MT" w:cs="Gill Sans MT"/>
          <w:kern w:val="24"/>
          <w:sz w:val="40"/>
          <w:szCs w:val="40"/>
        </w:rPr>
      </w:pPr>
      <w:r w:rsidRPr="00F47604">
        <w:rPr>
          <w:rFonts w:ascii="Gill Sans MT" w:hAnsi="Gill Sans MT" w:cs="Gill Sans MT"/>
          <w:kern w:val="24"/>
          <w:sz w:val="40"/>
          <w:szCs w:val="40"/>
        </w:rPr>
        <w:t xml:space="preserve">Households are either totally isolated or in clusters of two or three; the distance that separates them may vary from an </w:t>
      </w:r>
      <w:proofErr w:type="gramStart"/>
      <w:r w:rsidRPr="00F47604">
        <w:rPr>
          <w:rFonts w:ascii="Gill Sans MT" w:hAnsi="Gill Sans MT" w:cs="Gill Sans MT"/>
          <w:kern w:val="24"/>
          <w:sz w:val="40"/>
          <w:szCs w:val="40"/>
        </w:rPr>
        <w:t>hour's</w:t>
      </w:r>
      <w:proofErr w:type="gramEnd"/>
      <w:r w:rsidRPr="00F47604">
        <w:rPr>
          <w:rFonts w:ascii="Gill Sans MT" w:hAnsi="Gill Sans MT" w:cs="Gill Sans MT"/>
          <w:kern w:val="24"/>
          <w:sz w:val="40"/>
          <w:szCs w:val="40"/>
        </w:rPr>
        <w:t xml:space="preserve"> to a day's trip by foot or by canoe</w:t>
      </w:r>
    </w:p>
    <w:p w:rsidR="00F47604" w:rsidRPr="00F47604" w:rsidRDefault="00F47604" w:rsidP="00F47604">
      <w:pPr>
        <w:numPr>
          <w:ilvl w:val="0"/>
          <w:numId w:val="1"/>
        </w:numPr>
        <w:autoSpaceDE w:val="0"/>
        <w:autoSpaceDN w:val="0"/>
        <w:adjustRightInd w:val="0"/>
        <w:spacing w:after="0" w:line="240" w:lineRule="auto"/>
        <w:ind w:left="360" w:hanging="360"/>
        <w:rPr>
          <w:rFonts w:ascii="Gill Sans MT" w:hAnsi="Gill Sans MT" w:cs="Gill Sans MT"/>
          <w:kern w:val="24"/>
          <w:sz w:val="40"/>
          <w:szCs w:val="40"/>
        </w:rPr>
      </w:pPr>
      <w:r w:rsidRPr="00F47604">
        <w:rPr>
          <w:rFonts w:ascii="Gill Sans MT" w:hAnsi="Gill Sans MT" w:cs="Gill Sans MT"/>
          <w:kern w:val="24"/>
          <w:sz w:val="40"/>
          <w:szCs w:val="40"/>
        </w:rPr>
        <w:t xml:space="preserve">Relations between different neighbouring </w:t>
      </w:r>
      <w:proofErr w:type="gramStart"/>
      <w:r w:rsidRPr="00F47604">
        <w:rPr>
          <w:rFonts w:ascii="Gill Sans MT" w:hAnsi="Gill Sans MT" w:cs="Gill Sans MT"/>
          <w:kern w:val="24"/>
          <w:sz w:val="40"/>
          <w:szCs w:val="40"/>
        </w:rPr>
        <w:t>nexus’s</w:t>
      </w:r>
      <w:proofErr w:type="gramEnd"/>
      <w:r w:rsidRPr="00F47604">
        <w:rPr>
          <w:rFonts w:ascii="Gill Sans MT" w:hAnsi="Gill Sans MT" w:cs="Gill Sans MT"/>
          <w:kern w:val="24"/>
          <w:sz w:val="40"/>
          <w:szCs w:val="40"/>
        </w:rPr>
        <w:t xml:space="preserve"> are often tense and hostile</w:t>
      </w:r>
    </w:p>
    <w:p w:rsidR="00F47604" w:rsidRPr="00F47604" w:rsidRDefault="00F47604" w:rsidP="00F47604">
      <w:pPr>
        <w:numPr>
          <w:ilvl w:val="0"/>
          <w:numId w:val="1"/>
        </w:numPr>
        <w:autoSpaceDE w:val="0"/>
        <w:autoSpaceDN w:val="0"/>
        <w:adjustRightInd w:val="0"/>
        <w:spacing w:after="0" w:line="240" w:lineRule="auto"/>
        <w:ind w:left="360" w:hanging="360"/>
        <w:rPr>
          <w:rFonts w:ascii="Gill Sans MT" w:hAnsi="Gill Sans MT" w:cs="Gill Sans MT"/>
          <w:kern w:val="24"/>
          <w:sz w:val="40"/>
          <w:szCs w:val="40"/>
        </w:rPr>
      </w:pPr>
      <w:r w:rsidRPr="00F47604">
        <w:rPr>
          <w:rFonts w:ascii="Gill Sans MT" w:hAnsi="Gill Sans MT" w:cs="Gill Sans MT"/>
          <w:kern w:val="24"/>
          <w:sz w:val="40"/>
          <w:szCs w:val="40"/>
        </w:rPr>
        <w:t>Since feuds are fairly frequent, settlements vary in size from half a dozen individuals, in time of peace, to more than seventy in the largest "war houses”.</w:t>
      </w:r>
    </w:p>
    <w:p w:rsidR="00F47604" w:rsidRPr="00F47604" w:rsidRDefault="00F47604" w:rsidP="00F47604">
      <w:pPr>
        <w:numPr>
          <w:ilvl w:val="0"/>
          <w:numId w:val="1"/>
        </w:numPr>
        <w:autoSpaceDE w:val="0"/>
        <w:autoSpaceDN w:val="0"/>
        <w:adjustRightInd w:val="0"/>
        <w:spacing w:after="0" w:line="240" w:lineRule="auto"/>
        <w:ind w:left="360" w:hanging="360"/>
        <w:rPr>
          <w:rFonts w:ascii="Gill Sans MT" w:hAnsi="Gill Sans MT" w:cs="Gill Sans MT"/>
          <w:kern w:val="24"/>
          <w:sz w:val="40"/>
          <w:szCs w:val="40"/>
        </w:rPr>
      </w:pPr>
      <w:r w:rsidRPr="00F47604">
        <w:rPr>
          <w:rFonts w:ascii="Gill Sans MT" w:hAnsi="Gill Sans MT" w:cs="Gill Sans MT"/>
          <w:kern w:val="24"/>
          <w:sz w:val="40"/>
          <w:szCs w:val="40"/>
        </w:rPr>
        <w:t>Beliefs about gender</w:t>
      </w:r>
    </w:p>
    <w:p w:rsidR="00F47604" w:rsidRPr="00F47604" w:rsidRDefault="00F47604" w:rsidP="00F47604">
      <w:pPr>
        <w:autoSpaceDE w:val="0"/>
        <w:autoSpaceDN w:val="0"/>
        <w:adjustRightInd w:val="0"/>
        <w:spacing w:after="0" w:line="240" w:lineRule="auto"/>
        <w:ind w:left="360" w:hanging="360"/>
        <w:rPr>
          <w:rFonts w:ascii="Gill Sans MT" w:hAnsi="Gill Sans MT" w:cs="Gill Sans MT"/>
          <w:kern w:val="24"/>
          <w:sz w:val="40"/>
          <w:szCs w:val="40"/>
        </w:rPr>
      </w:pPr>
    </w:p>
    <w:p w:rsidR="00F47604" w:rsidRPr="00F47604" w:rsidRDefault="00F47604" w:rsidP="00F47604">
      <w:pPr>
        <w:numPr>
          <w:ilvl w:val="0"/>
          <w:numId w:val="2"/>
        </w:numPr>
        <w:autoSpaceDE w:val="0"/>
        <w:autoSpaceDN w:val="0"/>
        <w:adjustRightInd w:val="0"/>
        <w:spacing w:after="0" w:line="240" w:lineRule="auto"/>
        <w:ind w:left="360" w:hanging="360"/>
        <w:rPr>
          <w:rFonts w:ascii="Gill Sans MT" w:hAnsi="Gill Sans MT" w:cs="Gill Sans MT"/>
          <w:kern w:val="24"/>
          <w:sz w:val="128"/>
          <w:szCs w:val="128"/>
        </w:rPr>
      </w:pPr>
      <w:r w:rsidRPr="00F47604">
        <w:rPr>
          <w:rFonts w:ascii="Gill Sans MT" w:hAnsi="Gill Sans MT" w:cs="Gill Sans MT"/>
          <w:kern w:val="24"/>
          <w:sz w:val="128"/>
          <w:szCs w:val="128"/>
        </w:rPr>
        <w:t xml:space="preserve">They have a view of complementarity </w:t>
      </w:r>
      <w:r w:rsidRPr="00F47604">
        <w:rPr>
          <w:rFonts w:ascii="Gill Sans MT" w:hAnsi="Gill Sans MT" w:cs="Gill Sans MT"/>
          <w:kern w:val="24"/>
          <w:sz w:val="128"/>
          <w:szCs w:val="128"/>
        </w:rPr>
        <w:lastRenderedPageBreak/>
        <w:t xml:space="preserve">among the genders </w:t>
      </w:r>
      <w:r w:rsidRPr="00F47604">
        <w:rPr>
          <w:rFonts w:ascii="Gill Sans MT" w:hAnsi="Gill Sans MT" w:cs="Gill Sans MT"/>
          <w:kern w:val="24"/>
          <w:sz w:val="132"/>
          <w:szCs w:val="132"/>
        </w:rPr>
        <w:t>(Tuzin &amp; George, 2001 p. 97)</w:t>
      </w:r>
    </w:p>
    <w:p w:rsidR="00F47604" w:rsidRPr="00F47604" w:rsidRDefault="00F47604" w:rsidP="00F47604">
      <w:pPr>
        <w:numPr>
          <w:ilvl w:val="0"/>
          <w:numId w:val="2"/>
        </w:numPr>
        <w:autoSpaceDE w:val="0"/>
        <w:autoSpaceDN w:val="0"/>
        <w:adjustRightInd w:val="0"/>
        <w:spacing w:after="0" w:line="240" w:lineRule="auto"/>
        <w:ind w:left="360" w:hanging="360"/>
        <w:rPr>
          <w:rFonts w:ascii="Gill Sans MT" w:hAnsi="Gill Sans MT" w:cs="Gill Sans MT"/>
          <w:kern w:val="24"/>
          <w:sz w:val="128"/>
          <w:szCs w:val="128"/>
        </w:rPr>
      </w:pPr>
      <w:r w:rsidRPr="00F47604">
        <w:rPr>
          <w:rFonts w:ascii="Gill Sans MT" w:hAnsi="Gill Sans MT" w:cs="Gill Sans MT"/>
          <w:kern w:val="24"/>
          <w:sz w:val="128"/>
          <w:szCs w:val="128"/>
        </w:rPr>
        <w:t xml:space="preserve">Women are seen as `transformers` of the raw products within </w:t>
      </w:r>
      <w:r w:rsidRPr="00F47604">
        <w:rPr>
          <w:rFonts w:ascii="Gill Sans MT" w:hAnsi="Gill Sans MT" w:cs="Gill Sans MT"/>
          <w:kern w:val="24"/>
          <w:sz w:val="128"/>
          <w:szCs w:val="128"/>
        </w:rPr>
        <w:lastRenderedPageBreak/>
        <w:t xml:space="preserve">the domestic sphere (horticulture, food preparation, pottery, weaving, raising children and pets etc.) </w:t>
      </w:r>
      <w:r w:rsidRPr="00F47604">
        <w:rPr>
          <w:rFonts w:ascii="Gill Sans MT" w:hAnsi="Gill Sans MT" w:cs="Gill Sans MT"/>
          <w:kern w:val="24"/>
          <w:sz w:val="132"/>
          <w:szCs w:val="132"/>
        </w:rPr>
        <w:lastRenderedPageBreak/>
        <w:t>(Tuzin &amp; George, 2001 p. 96)</w:t>
      </w:r>
    </w:p>
    <w:p w:rsidR="00F47604" w:rsidRPr="00F47604" w:rsidRDefault="00F47604" w:rsidP="00F47604">
      <w:pPr>
        <w:numPr>
          <w:ilvl w:val="0"/>
          <w:numId w:val="3"/>
        </w:numPr>
        <w:autoSpaceDE w:val="0"/>
        <w:autoSpaceDN w:val="0"/>
        <w:adjustRightInd w:val="0"/>
        <w:spacing w:after="0" w:line="240" w:lineRule="auto"/>
        <w:ind w:left="360" w:hanging="360"/>
        <w:rPr>
          <w:rFonts w:ascii="Gill Sans MT" w:hAnsi="Gill Sans MT" w:cs="Gill Sans MT"/>
          <w:kern w:val="24"/>
          <w:sz w:val="132"/>
          <w:szCs w:val="132"/>
        </w:rPr>
      </w:pPr>
      <w:r w:rsidRPr="00F47604">
        <w:rPr>
          <w:rFonts w:ascii="Gill Sans MT" w:hAnsi="Gill Sans MT" w:cs="Gill Sans MT"/>
          <w:kern w:val="24"/>
          <w:sz w:val="132"/>
          <w:szCs w:val="132"/>
        </w:rPr>
        <w:t xml:space="preserve"> Women are talked about as links to how people are related to each other </w:t>
      </w:r>
      <w:r w:rsidRPr="00F47604">
        <w:rPr>
          <w:rFonts w:ascii="Gill Sans MT" w:hAnsi="Gill Sans MT" w:cs="Gill Sans MT"/>
          <w:kern w:val="24"/>
          <w:sz w:val="132"/>
          <w:szCs w:val="132"/>
        </w:rPr>
        <w:lastRenderedPageBreak/>
        <w:t xml:space="preserve">(consanguinity), while men are talked about in terms of friendship (affinity) (Tuzin &amp; George, 2001 p. 95-96). </w:t>
      </w:r>
    </w:p>
    <w:p w:rsidR="00F47604" w:rsidRPr="00F47604" w:rsidRDefault="00F47604" w:rsidP="00F47604">
      <w:pPr>
        <w:autoSpaceDE w:val="0"/>
        <w:autoSpaceDN w:val="0"/>
        <w:adjustRightInd w:val="0"/>
        <w:spacing w:after="0" w:line="240" w:lineRule="auto"/>
        <w:ind w:left="360" w:hanging="360"/>
        <w:rPr>
          <w:rFonts w:ascii="Gill Sans MT" w:hAnsi="Gill Sans MT" w:cs="Gill Sans MT"/>
          <w:kern w:val="24"/>
          <w:sz w:val="128"/>
          <w:szCs w:val="128"/>
        </w:rPr>
      </w:pPr>
    </w:p>
    <w:p w:rsidR="00F47604" w:rsidRPr="00F47604" w:rsidRDefault="00F47604" w:rsidP="00F47604">
      <w:pPr>
        <w:autoSpaceDE w:val="0"/>
        <w:autoSpaceDN w:val="0"/>
        <w:adjustRightInd w:val="0"/>
        <w:spacing w:after="0" w:line="240" w:lineRule="auto"/>
        <w:ind w:left="360" w:hanging="360"/>
        <w:rPr>
          <w:rFonts w:ascii="Gill Sans MT" w:hAnsi="Gill Sans MT" w:cs="Gill Sans MT"/>
          <w:kern w:val="24"/>
          <w:sz w:val="128"/>
          <w:szCs w:val="128"/>
        </w:rPr>
      </w:pPr>
    </w:p>
    <w:p w:rsidR="00F47604" w:rsidRPr="00F47604" w:rsidRDefault="00F47604" w:rsidP="00F47604">
      <w:pPr>
        <w:autoSpaceDE w:val="0"/>
        <w:autoSpaceDN w:val="0"/>
        <w:adjustRightInd w:val="0"/>
        <w:spacing w:after="0" w:line="240" w:lineRule="auto"/>
        <w:ind w:left="360" w:hanging="360"/>
        <w:rPr>
          <w:rFonts w:ascii="Gill Sans MT" w:hAnsi="Gill Sans MT" w:cs="Gill Sans MT"/>
          <w:kern w:val="24"/>
          <w:sz w:val="40"/>
          <w:szCs w:val="40"/>
        </w:rPr>
      </w:pPr>
    </w:p>
    <w:p w:rsidR="00F47604" w:rsidRPr="00F47604" w:rsidRDefault="00F47604" w:rsidP="00F47604">
      <w:pPr>
        <w:numPr>
          <w:ilvl w:val="0"/>
          <w:numId w:val="4"/>
        </w:numPr>
        <w:autoSpaceDE w:val="0"/>
        <w:autoSpaceDN w:val="0"/>
        <w:adjustRightInd w:val="0"/>
        <w:spacing w:after="0" w:line="240" w:lineRule="auto"/>
        <w:ind w:left="360" w:hanging="360"/>
        <w:rPr>
          <w:rFonts w:ascii="Gill Sans MT" w:hAnsi="Gill Sans MT" w:cs="Gill Sans MT"/>
          <w:kern w:val="24"/>
          <w:sz w:val="24"/>
          <w:szCs w:val="24"/>
        </w:rPr>
      </w:pPr>
      <w:r w:rsidRPr="00F47604">
        <w:rPr>
          <w:rFonts w:ascii="Gill Sans MT" w:hAnsi="Gill Sans MT" w:cs="Gill Sans MT"/>
          <w:kern w:val="24"/>
          <w:sz w:val="24"/>
          <w:szCs w:val="24"/>
        </w:rPr>
        <w:t>They also apparently culturally regards something as a competition going among the genders in whom can perform their tasks better. Good marriages are seen to crucially require a respect for this the partners complementary competence and hard work (Tuzin &amp; George, 2001 p. 97).</w:t>
      </w:r>
    </w:p>
    <w:p w:rsidR="00F47604" w:rsidRPr="00F47604" w:rsidRDefault="00F47604" w:rsidP="00F47604">
      <w:pPr>
        <w:numPr>
          <w:ilvl w:val="0"/>
          <w:numId w:val="4"/>
        </w:numPr>
        <w:autoSpaceDE w:val="0"/>
        <w:autoSpaceDN w:val="0"/>
        <w:adjustRightInd w:val="0"/>
        <w:spacing w:after="0" w:line="240" w:lineRule="auto"/>
        <w:ind w:left="360" w:hanging="360"/>
        <w:rPr>
          <w:rFonts w:ascii="Gill Sans MT" w:hAnsi="Gill Sans MT" w:cs="Gill Sans MT"/>
          <w:kern w:val="24"/>
          <w:sz w:val="28"/>
          <w:szCs w:val="28"/>
        </w:rPr>
      </w:pPr>
      <w:r w:rsidRPr="00F47604">
        <w:rPr>
          <w:rFonts w:ascii="Gill Sans MT" w:hAnsi="Gill Sans MT" w:cs="Gill Sans MT"/>
          <w:kern w:val="24"/>
          <w:sz w:val="24"/>
          <w:szCs w:val="24"/>
        </w:rPr>
        <w:t xml:space="preserve">Although it says “the sexual division of labour is not based on a native discriminatory theory that would rank productive activities on a scale of prestige according to whether they are performed by men or women” it also says widowers who have no sisters or daughters to take care of them would rather commit suicide(Tuzin &amp; George, 2001 p. 97).  </w:t>
      </w:r>
      <w:r w:rsidRPr="00F47604">
        <w:rPr>
          <w:rFonts w:ascii="Gill Sans MT" w:hAnsi="Gill Sans MT" w:cs="Gill Sans MT"/>
          <w:kern w:val="24"/>
          <w:sz w:val="28"/>
          <w:szCs w:val="28"/>
        </w:rPr>
        <w:br/>
      </w:r>
    </w:p>
    <w:p w:rsidR="00F47604" w:rsidRPr="00F47604" w:rsidRDefault="00F47604" w:rsidP="00F47604">
      <w:pPr>
        <w:numPr>
          <w:ilvl w:val="0"/>
          <w:numId w:val="1"/>
        </w:numPr>
        <w:autoSpaceDE w:val="0"/>
        <w:autoSpaceDN w:val="0"/>
        <w:adjustRightInd w:val="0"/>
        <w:spacing w:after="0" w:line="240" w:lineRule="auto"/>
        <w:ind w:left="360" w:hanging="360"/>
        <w:rPr>
          <w:rFonts w:ascii="Gill Sans MT" w:hAnsi="Gill Sans MT" w:cs="Gill Sans MT"/>
          <w:kern w:val="24"/>
          <w:sz w:val="40"/>
          <w:szCs w:val="40"/>
        </w:rPr>
      </w:pPr>
      <w:r w:rsidRPr="00F47604">
        <w:rPr>
          <w:rFonts w:ascii="Gill Sans MT" w:hAnsi="Gill Sans MT" w:cs="Gill Sans MT"/>
          <w:kern w:val="24"/>
          <w:sz w:val="40"/>
          <w:szCs w:val="40"/>
        </w:rPr>
        <w:t>Beliefs about gender</w:t>
      </w:r>
    </w:p>
    <w:p w:rsidR="00F47604" w:rsidRPr="00F47604" w:rsidRDefault="00F47604" w:rsidP="00F47604">
      <w:pPr>
        <w:autoSpaceDE w:val="0"/>
        <w:autoSpaceDN w:val="0"/>
        <w:adjustRightInd w:val="0"/>
        <w:spacing w:after="0" w:line="240" w:lineRule="auto"/>
        <w:ind w:left="360" w:hanging="360"/>
        <w:rPr>
          <w:rFonts w:ascii="Gill Sans MT" w:hAnsi="Gill Sans MT" w:cs="Gill Sans MT"/>
          <w:kern w:val="24"/>
          <w:sz w:val="40"/>
          <w:szCs w:val="40"/>
        </w:rPr>
      </w:pPr>
    </w:p>
    <w:p w:rsidR="00F47604" w:rsidRPr="00F47604" w:rsidRDefault="00F47604" w:rsidP="00F47604">
      <w:pPr>
        <w:numPr>
          <w:ilvl w:val="0"/>
          <w:numId w:val="1"/>
        </w:numPr>
        <w:autoSpaceDE w:val="0"/>
        <w:autoSpaceDN w:val="0"/>
        <w:adjustRightInd w:val="0"/>
        <w:spacing w:after="0" w:line="240" w:lineRule="auto"/>
        <w:ind w:left="360" w:hanging="360"/>
        <w:rPr>
          <w:rFonts w:ascii="Gill Sans MT" w:hAnsi="Gill Sans MT" w:cs="Gill Sans MT"/>
          <w:kern w:val="24"/>
          <w:sz w:val="40"/>
          <w:szCs w:val="40"/>
        </w:rPr>
      </w:pPr>
      <w:r w:rsidRPr="00F47604">
        <w:rPr>
          <w:rFonts w:ascii="Gill Sans MT" w:hAnsi="Gill Sans MT" w:cs="Gill Sans MT"/>
          <w:kern w:val="24"/>
          <w:sz w:val="40"/>
          <w:szCs w:val="40"/>
        </w:rPr>
        <w:t>One thing that is also interesting is that there is no stigma against women hunting or participating in war parties – many own a pack of hunting dogs and husbands in polygynous marriages would take care to ensure they fairly rotate whether they take their wives with them when hunting so as to not antagonise them (Tuzin &amp; George, 2001 p. 96).</w:t>
      </w:r>
    </w:p>
    <w:p w:rsidR="00F47604" w:rsidRPr="00F47604" w:rsidRDefault="00F47604" w:rsidP="00F47604">
      <w:pPr>
        <w:autoSpaceDE w:val="0"/>
        <w:autoSpaceDN w:val="0"/>
        <w:adjustRightInd w:val="0"/>
        <w:spacing w:after="0" w:line="240" w:lineRule="auto"/>
        <w:ind w:left="360" w:hanging="360"/>
        <w:rPr>
          <w:rFonts w:ascii="Gill Sans MT" w:hAnsi="Gill Sans MT" w:cs="Gill Sans MT"/>
          <w:kern w:val="24"/>
          <w:sz w:val="40"/>
          <w:szCs w:val="40"/>
        </w:rPr>
      </w:pPr>
    </w:p>
    <w:p w:rsidR="00F47604" w:rsidRPr="00F47604" w:rsidRDefault="00F47604" w:rsidP="00F47604">
      <w:pPr>
        <w:numPr>
          <w:ilvl w:val="0"/>
          <w:numId w:val="1"/>
        </w:numPr>
        <w:autoSpaceDE w:val="0"/>
        <w:autoSpaceDN w:val="0"/>
        <w:adjustRightInd w:val="0"/>
        <w:spacing w:after="0" w:line="240" w:lineRule="auto"/>
        <w:ind w:left="360" w:hanging="360"/>
        <w:rPr>
          <w:rFonts w:ascii="Gill Sans MT" w:hAnsi="Gill Sans MT" w:cs="Gill Sans MT"/>
          <w:kern w:val="24"/>
          <w:sz w:val="40"/>
          <w:szCs w:val="40"/>
        </w:rPr>
      </w:pPr>
      <w:r w:rsidRPr="00F47604">
        <w:rPr>
          <w:rFonts w:ascii="Gill Sans MT" w:hAnsi="Gill Sans MT" w:cs="Gill Sans MT"/>
          <w:kern w:val="24"/>
          <w:sz w:val="40"/>
          <w:szCs w:val="40"/>
        </w:rPr>
        <w:t xml:space="preserve"> The book also describes the following “Young women may also participate in war parties as food-carriers, both in intratribal feuding raids and in long-distance expeditions against neighbouring Jivaroan tribes. Although apparently subordinate, this function is taken </w:t>
      </w:r>
      <w:r w:rsidRPr="00F47604">
        <w:rPr>
          <w:rFonts w:ascii="Gill Sans MT" w:hAnsi="Gill Sans MT" w:cs="Gill Sans MT"/>
          <w:kern w:val="24"/>
          <w:sz w:val="40"/>
          <w:szCs w:val="40"/>
        </w:rPr>
        <w:lastRenderedPageBreak/>
        <w:t>very seriously by those to whom it has been entrusted, and in this capacity, as in the exclusively feminine war rituals known as </w:t>
      </w:r>
      <w:r w:rsidRPr="00F47604">
        <w:rPr>
          <w:rFonts w:ascii="Gill Sans MT" w:hAnsi="Gill Sans MT" w:cs="Gill Sans MT"/>
          <w:i/>
          <w:iCs/>
          <w:kern w:val="24"/>
          <w:sz w:val="40"/>
          <w:szCs w:val="40"/>
        </w:rPr>
        <w:t>Ujaj</w:t>
      </w:r>
      <w:r w:rsidRPr="00F47604">
        <w:rPr>
          <w:rFonts w:ascii="Gill Sans MT" w:hAnsi="Gill Sans MT" w:cs="Gill Sans MT"/>
          <w:kern w:val="24"/>
          <w:sz w:val="40"/>
          <w:szCs w:val="40"/>
        </w:rPr>
        <w:t> (</w:t>
      </w:r>
      <w:proofErr w:type="spellStart"/>
      <w:r w:rsidRPr="00F47604">
        <w:rPr>
          <w:rFonts w:ascii="Gill Sans MT" w:hAnsi="Gill Sans MT" w:cs="Gill Sans MT"/>
          <w:kern w:val="24"/>
          <w:sz w:val="40"/>
          <w:szCs w:val="40"/>
          <w:u w:val="single"/>
        </w:rPr>
        <w:t>Descola</w:t>
      </w:r>
      <w:proofErr w:type="spellEnd"/>
      <w:r w:rsidRPr="00F47604">
        <w:rPr>
          <w:rFonts w:ascii="Gill Sans MT" w:hAnsi="Gill Sans MT" w:cs="Gill Sans MT"/>
          <w:kern w:val="24"/>
          <w:sz w:val="40"/>
          <w:szCs w:val="40"/>
          <w:u w:val="single"/>
        </w:rPr>
        <w:t xml:space="preserve"> 1996b</w:t>
      </w:r>
      <w:r w:rsidRPr="00F47604">
        <w:rPr>
          <w:rFonts w:ascii="Gill Sans MT" w:hAnsi="Gill Sans MT" w:cs="Gill Sans MT"/>
          <w:kern w:val="24"/>
          <w:sz w:val="40"/>
          <w:szCs w:val="40"/>
        </w:rPr>
        <w:t>), women appear to share the martial exaltation of their menfolk” (Tuzin &amp; George, 2001 p. 96-97).</w:t>
      </w:r>
      <w:r w:rsidRPr="00F47604">
        <w:rPr>
          <w:rFonts w:ascii="Gill Sans MT" w:hAnsi="Gill Sans MT" w:cs="Gill Sans MT"/>
          <w:kern w:val="24"/>
          <w:sz w:val="40"/>
          <w:szCs w:val="40"/>
        </w:rPr>
        <w:br/>
      </w:r>
    </w:p>
    <w:p w:rsidR="00F47604" w:rsidRPr="00F47604" w:rsidRDefault="00F47604" w:rsidP="00F47604">
      <w:pPr>
        <w:autoSpaceDE w:val="0"/>
        <w:autoSpaceDN w:val="0"/>
        <w:adjustRightInd w:val="0"/>
        <w:spacing w:after="0" w:line="240" w:lineRule="auto"/>
        <w:ind w:left="360" w:hanging="360"/>
        <w:rPr>
          <w:rFonts w:ascii="Gill Sans MT" w:hAnsi="Gill Sans MT" w:cs="Gill Sans MT"/>
          <w:kern w:val="24"/>
          <w:sz w:val="40"/>
          <w:szCs w:val="40"/>
        </w:rPr>
      </w:pPr>
    </w:p>
    <w:p w:rsidR="00F47604" w:rsidRPr="00F47604" w:rsidRDefault="00F47604" w:rsidP="00F47604">
      <w:pPr>
        <w:numPr>
          <w:ilvl w:val="0"/>
          <w:numId w:val="1"/>
        </w:numPr>
        <w:autoSpaceDE w:val="0"/>
        <w:autoSpaceDN w:val="0"/>
        <w:adjustRightInd w:val="0"/>
        <w:spacing w:after="0" w:line="240" w:lineRule="auto"/>
        <w:ind w:left="360" w:hanging="360"/>
        <w:rPr>
          <w:rFonts w:ascii="Gill Sans MT" w:hAnsi="Gill Sans MT" w:cs="Gill Sans MT"/>
          <w:kern w:val="24"/>
          <w:sz w:val="40"/>
          <w:szCs w:val="40"/>
        </w:rPr>
      </w:pPr>
      <w:r w:rsidRPr="00F47604">
        <w:rPr>
          <w:rFonts w:ascii="Gill Sans MT" w:hAnsi="Gill Sans MT" w:cs="Gill Sans MT"/>
          <w:kern w:val="24"/>
          <w:sz w:val="40"/>
          <w:szCs w:val="40"/>
        </w:rPr>
        <w:t xml:space="preserve">The Achuar perception of gender </w:t>
      </w:r>
    </w:p>
    <w:p w:rsidR="00F47604" w:rsidRPr="00F47604" w:rsidRDefault="00F47604" w:rsidP="00F47604">
      <w:pPr>
        <w:autoSpaceDE w:val="0"/>
        <w:autoSpaceDN w:val="0"/>
        <w:adjustRightInd w:val="0"/>
        <w:spacing w:after="0" w:line="240" w:lineRule="auto"/>
        <w:ind w:left="360" w:hanging="360"/>
        <w:rPr>
          <w:rFonts w:ascii="Gill Sans MT" w:hAnsi="Gill Sans MT" w:cs="Gill Sans MT"/>
          <w:kern w:val="24"/>
          <w:sz w:val="40"/>
          <w:szCs w:val="40"/>
        </w:rPr>
      </w:pPr>
    </w:p>
    <w:p w:rsidR="00F47604" w:rsidRPr="00F47604" w:rsidRDefault="00F47604" w:rsidP="00F47604">
      <w:pPr>
        <w:numPr>
          <w:ilvl w:val="0"/>
          <w:numId w:val="1"/>
        </w:numPr>
        <w:autoSpaceDE w:val="0"/>
        <w:autoSpaceDN w:val="0"/>
        <w:adjustRightInd w:val="0"/>
        <w:spacing w:after="0" w:line="240" w:lineRule="auto"/>
        <w:ind w:left="360" w:hanging="360"/>
        <w:rPr>
          <w:rFonts w:ascii="Verdana" w:eastAsia="Times New Roman" w:hAnsi="Times New Roman" w:cs="Verdana"/>
          <w:kern w:val="24"/>
          <w:sz w:val="40"/>
          <w:szCs w:val="40"/>
        </w:rPr>
      </w:pPr>
      <w:r w:rsidRPr="00F47604">
        <w:rPr>
          <w:rFonts w:ascii="Verdana" w:eastAsia="Times New Roman" w:hAnsi="Times New Roman" w:cs="Verdana"/>
          <w:kern w:val="24"/>
          <w:sz w:val="40"/>
          <w:szCs w:val="40"/>
        </w:rPr>
        <w:t xml:space="preserve">One part of the cosmology of the Achuar is that Nunkui, the protective spirit of the garden, cursed the humans for their ill treatment of her daughter, and now the gardens must be constantly maintained by women or they would totally disappear </w:t>
      </w:r>
      <w:r w:rsidRPr="00F47604">
        <w:rPr>
          <w:rFonts w:ascii="Gill Sans MT" w:hAnsi="Gill Sans MT" w:cs="Gill Sans MT"/>
          <w:kern w:val="24"/>
          <w:sz w:val="40"/>
          <w:szCs w:val="40"/>
        </w:rPr>
        <w:t>(Tuzin &amp; George, 2001 p. 97)</w:t>
      </w:r>
      <w:r w:rsidRPr="00F47604">
        <w:rPr>
          <w:rFonts w:ascii="Verdana" w:eastAsia="Times New Roman" w:hAnsi="Times New Roman" w:cs="Verdana"/>
          <w:kern w:val="24"/>
          <w:sz w:val="40"/>
          <w:szCs w:val="40"/>
        </w:rPr>
        <w:t xml:space="preserve">. </w:t>
      </w:r>
    </w:p>
    <w:p w:rsidR="00F47604" w:rsidRPr="00F47604" w:rsidRDefault="00F47604" w:rsidP="00F47604">
      <w:pPr>
        <w:numPr>
          <w:ilvl w:val="0"/>
          <w:numId w:val="5"/>
        </w:numPr>
        <w:autoSpaceDE w:val="0"/>
        <w:autoSpaceDN w:val="0"/>
        <w:adjustRightInd w:val="0"/>
        <w:spacing w:after="0" w:line="240" w:lineRule="auto"/>
        <w:ind w:left="360" w:hanging="360"/>
        <w:rPr>
          <w:rFonts w:ascii="Verdana" w:eastAsia="Times New Roman" w:hAnsi="Times New Roman" w:cs="Verdana"/>
          <w:kern w:val="24"/>
          <w:sz w:val="40"/>
          <w:szCs w:val="40"/>
        </w:rPr>
      </w:pPr>
      <w:r w:rsidRPr="00F47604">
        <w:rPr>
          <w:rFonts w:ascii="Gill Sans MT" w:hAnsi="Gill Sans MT" w:cs="Gill Sans MT"/>
          <w:kern w:val="24"/>
          <w:sz w:val="46"/>
          <w:szCs w:val="46"/>
        </w:rPr>
        <w:t>However, there is also cosmological reasons for their view of gender complementarity. They view all plants and animals as people (</w:t>
      </w:r>
      <w:proofErr w:type="spellStart"/>
      <w:r w:rsidRPr="00F47604">
        <w:rPr>
          <w:rFonts w:ascii="Gill Sans MT" w:hAnsi="Gill Sans MT" w:cs="Gill Sans MT"/>
          <w:i/>
          <w:iCs/>
          <w:kern w:val="24"/>
          <w:sz w:val="46"/>
          <w:szCs w:val="46"/>
        </w:rPr>
        <w:t>aents</w:t>
      </w:r>
      <w:proofErr w:type="spellEnd"/>
      <w:r w:rsidRPr="00F47604">
        <w:rPr>
          <w:rFonts w:ascii="Gill Sans MT" w:hAnsi="Gill Sans MT" w:cs="Gill Sans MT"/>
          <w:kern w:val="24"/>
          <w:sz w:val="46"/>
          <w:szCs w:val="46"/>
        </w:rPr>
        <w:t>) with a soul (</w:t>
      </w:r>
      <w:r w:rsidRPr="00F47604">
        <w:rPr>
          <w:rFonts w:ascii="Gill Sans MT" w:hAnsi="Gill Sans MT" w:cs="Gill Sans MT"/>
          <w:i/>
          <w:iCs/>
          <w:kern w:val="24"/>
          <w:sz w:val="46"/>
          <w:szCs w:val="46"/>
        </w:rPr>
        <w:t>waken</w:t>
      </w:r>
      <w:r w:rsidRPr="00F47604">
        <w:rPr>
          <w:rFonts w:ascii="Gill Sans MT" w:hAnsi="Gill Sans MT" w:cs="Gill Sans MT"/>
          <w:kern w:val="24"/>
          <w:sz w:val="46"/>
          <w:szCs w:val="46"/>
        </w:rPr>
        <w:t xml:space="preserve">) and are children of the spirit Nunkui </w:t>
      </w:r>
      <w:r w:rsidRPr="00F47604">
        <w:rPr>
          <w:rFonts w:ascii="Gill Sans MT" w:hAnsi="Gill Sans MT" w:cs="Gill Sans MT"/>
          <w:kern w:val="24"/>
          <w:sz w:val="48"/>
          <w:szCs w:val="48"/>
        </w:rPr>
        <w:t>(Tuzin &amp; George, 2001 p. 98)</w:t>
      </w:r>
      <w:r w:rsidRPr="00F47604">
        <w:rPr>
          <w:rFonts w:ascii="Gill Sans MT" w:hAnsi="Gill Sans MT" w:cs="Gill Sans MT"/>
          <w:kern w:val="24"/>
          <w:sz w:val="46"/>
          <w:szCs w:val="46"/>
        </w:rPr>
        <w:t xml:space="preserve">. </w:t>
      </w:r>
    </w:p>
    <w:p w:rsidR="00F47604" w:rsidRPr="00F47604" w:rsidRDefault="00F47604" w:rsidP="00F47604">
      <w:pPr>
        <w:autoSpaceDE w:val="0"/>
        <w:autoSpaceDN w:val="0"/>
        <w:adjustRightInd w:val="0"/>
        <w:spacing w:after="0" w:line="240" w:lineRule="auto"/>
        <w:ind w:left="360" w:hanging="360"/>
        <w:rPr>
          <w:rFonts w:ascii="Gill Sans MT" w:hAnsi="Gill Sans MT" w:cs="Gill Sans MT"/>
          <w:kern w:val="24"/>
          <w:sz w:val="40"/>
          <w:szCs w:val="40"/>
        </w:rPr>
      </w:pPr>
    </w:p>
    <w:p w:rsidR="00F47604" w:rsidRPr="00F47604" w:rsidRDefault="00F47604" w:rsidP="00F47604">
      <w:pPr>
        <w:autoSpaceDE w:val="0"/>
        <w:autoSpaceDN w:val="0"/>
        <w:adjustRightInd w:val="0"/>
        <w:spacing w:after="0" w:line="240" w:lineRule="auto"/>
        <w:ind w:left="360" w:hanging="360"/>
        <w:rPr>
          <w:rFonts w:ascii="Gill Sans MT" w:hAnsi="Gill Sans MT" w:cs="Gill Sans MT"/>
          <w:kern w:val="24"/>
          <w:sz w:val="40"/>
          <w:szCs w:val="40"/>
        </w:rPr>
      </w:pPr>
    </w:p>
    <w:p w:rsidR="00F47604" w:rsidRPr="00F47604" w:rsidRDefault="00F47604" w:rsidP="00F47604">
      <w:pPr>
        <w:numPr>
          <w:ilvl w:val="0"/>
          <w:numId w:val="1"/>
        </w:numPr>
        <w:autoSpaceDE w:val="0"/>
        <w:autoSpaceDN w:val="0"/>
        <w:adjustRightInd w:val="0"/>
        <w:spacing w:after="0" w:line="240" w:lineRule="auto"/>
        <w:ind w:left="360" w:hanging="360"/>
        <w:rPr>
          <w:rFonts w:ascii="Gill Sans MT" w:hAnsi="Gill Sans MT" w:cs="Gill Sans MT"/>
          <w:kern w:val="24"/>
          <w:sz w:val="40"/>
          <w:szCs w:val="40"/>
        </w:rPr>
      </w:pPr>
      <w:r w:rsidRPr="00F47604">
        <w:rPr>
          <w:rFonts w:ascii="Gill Sans MT" w:hAnsi="Gill Sans MT" w:cs="Gill Sans MT"/>
          <w:kern w:val="24"/>
          <w:sz w:val="40"/>
          <w:szCs w:val="40"/>
        </w:rPr>
        <w:t xml:space="preserve">As the book further explains. </w:t>
      </w:r>
      <w:r w:rsidRPr="00F47604">
        <w:rPr>
          <w:rFonts w:ascii="Gill Sans MT" w:hAnsi="Gill Sans MT" w:cs="Gill Sans MT"/>
          <w:kern w:val="24"/>
          <w:sz w:val="40"/>
          <w:szCs w:val="40"/>
        </w:rPr>
        <w:br/>
        <w:t xml:space="preserve">“The Achuar sexual division of labour is thus based on the idea that each sex reaches its full potential in the </w:t>
      </w:r>
      <w:r w:rsidRPr="00F47604">
        <w:rPr>
          <w:rFonts w:ascii="Gill Sans MT" w:hAnsi="Gill Sans MT" w:cs="Gill Sans MT"/>
          <w:kern w:val="24"/>
          <w:sz w:val="40"/>
          <w:szCs w:val="40"/>
        </w:rPr>
        <w:lastRenderedPageBreak/>
        <w:t xml:space="preserve">sphere befitting its symbolic area of manipulation and in the </w:t>
      </w:r>
      <w:proofErr w:type="gramStart"/>
      <w:r w:rsidRPr="00F47604">
        <w:rPr>
          <w:rFonts w:ascii="Gill Sans MT" w:hAnsi="Gill Sans MT" w:cs="Gill Sans MT"/>
          <w:kern w:val="24"/>
          <w:sz w:val="40"/>
          <w:szCs w:val="40"/>
        </w:rPr>
        <w:t>kinship</w:t>
      </w:r>
      <w:proofErr w:type="gramEnd"/>
      <w:r w:rsidRPr="00F47604">
        <w:rPr>
          <w:rFonts w:ascii="Gill Sans MT" w:hAnsi="Gill Sans MT" w:cs="Gill Sans MT"/>
          <w:kern w:val="24"/>
          <w:sz w:val="40"/>
          <w:szCs w:val="40"/>
        </w:rPr>
        <w:t xml:space="preserve"> regime preferentially assigned to its range of social competence. Each gender deals with humans and nonhumans alike according to its particular abilities: women convert affinity into consanguinity within the nexus and treat their plants as children; men are in charge of affinal relations and treat the beings of the forest as in-laws” (Tuzin &amp; George, 2001 p. 99) .</w:t>
      </w:r>
    </w:p>
    <w:p w:rsidR="00F47604" w:rsidRPr="00F47604" w:rsidRDefault="00F47604" w:rsidP="00F47604">
      <w:pPr>
        <w:numPr>
          <w:ilvl w:val="0"/>
          <w:numId w:val="1"/>
        </w:numPr>
        <w:autoSpaceDE w:val="0"/>
        <w:autoSpaceDN w:val="0"/>
        <w:adjustRightInd w:val="0"/>
        <w:spacing w:after="0" w:line="240" w:lineRule="auto"/>
        <w:ind w:left="360" w:hanging="360"/>
        <w:rPr>
          <w:rFonts w:ascii="Gill Sans MT" w:hAnsi="Gill Sans MT" w:cs="Gill Sans MT"/>
          <w:kern w:val="24"/>
          <w:sz w:val="40"/>
          <w:szCs w:val="40"/>
        </w:rPr>
      </w:pPr>
      <w:r w:rsidRPr="00F47604">
        <w:rPr>
          <w:rFonts w:ascii="Gill Sans MT" w:hAnsi="Gill Sans MT" w:cs="Gill Sans MT"/>
          <w:kern w:val="24"/>
          <w:sz w:val="40"/>
          <w:szCs w:val="40"/>
        </w:rPr>
        <w:t xml:space="preserve">Politics of Gender among </w:t>
      </w:r>
      <w:proofErr w:type="spellStart"/>
      <w:r w:rsidRPr="00F47604">
        <w:rPr>
          <w:rFonts w:ascii="Gill Sans MT" w:hAnsi="Gill Sans MT" w:cs="Gill Sans MT"/>
          <w:kern w:val="24"/>
          <w:sz w:val="40"/>
          <w:szCs w:val="40"/>
        </w:rPr>
        <w:t>achuar</w:t>
      </w:r>
      <w:proofErr w:type="spellEnd"/>
    </w:p>
    <w:p w:rsidR="00F47604" w:rsidRPr="00F47604" w:rsidRDefault="00F47604" w:rsidP="00F47604">
      <w:pPr>
        <w:numPr>
          <w:ilvl w:val="0"/>
          <w:numId w:val="1"/>
        </w:numPr>
        <w:autoSpaceDE w:val="0"/>
        <w:autoSpaceDN w:val="0"/>
        <w:adjustRightInd w:val="0"/>
        <w:spacing w:after="0" w:line="240" w:lineRule="auto"/>
        <w:ind w:left="360" w:hanging="360"/>
        <w:rPr>
          <w:rFonts w:ascii="Verdana" w:eastAsia="Times New Roman" w:hAnsi="Times New Roman" w:cs="Verdana"/>
          <w:kern w:val="24"/>
          <w:sz w:val="40"/>
          <w:szCs w:val="40"/>
        </w:rPr>
      </w:pPr>
      <w:r w:rsidRPr="00F47604">
        <w:rPr>
          <w:rFonts w:ascii="Verdana" w:eastAsia="Times New Roman" w:hAnsi="Times New Roman" w:cs="Verdana"/>
          <w:kern w:val="24"/>
          <w:sz w:val="40"/>
          <w:szCs w:val="40"/>
        </w:rPr>
        <w:t xml:space="preserve">Women are also respected for their roles as, interestingly, horticulture is regarded as a </w:t>
      </w:r>
      <w:r w:rsidRPr="00F47604">
        <w:rPr>
          <w:rFonts w:ascii="Verdana" w:eastAsia="Times New Roman" w:hAnsi="Times New Roman" w:cs="Verdana"/>
          <w:kern w:val="24"/>
          <w:sz w:val="40"/>
          <w:szCs w:val="40"/>
        </w:rPr>
        <w:t>“</w:t>
      </w:r>
      <w:r w:rsidRPr="00F47604">
        <w:rPr>
          <w:rFonts w:ascii="Verdana" w:eastAsia="Times New Roman" w:hAnsi="Times New Roman" w:cs="Verdana"/>
          <w:kern w:val="24"/>
          <w:sz w:val="40"/>
          <w:szCs w:val="40"/>
        </w:rPr>
        <w:t>hazardous and even dangerous</w:t>
      </w:r>
      <w:r w:rsidRPr="00F47604">
        <w:rPr>
          <w:rFonts w:ascii="Verdana" w:eastAsia="Times New Roman" w:hAnsi="Times New Roman" w:cs="Verdana"/>
          <w:kern w:val="24"/>
          <w:sz w:val="40"/>
          <w:szCs w:val="40"/>
        </w:rPr>
        <w:t>”</w:t>
      </w:r>
      <w:r w:rsidRPr="00F47604">
        <w:rPr>
          <w:rFonts w:ascii="Verdana" w:eastAsia="Times New Roman" w:hAnsi="Times New Roman" w:cs="Verdana"/>
          <w:kern w:val="24"/>
          <w:sz w:val="40"/>
          <w:szCs w:val="40"/>
        </w:rPr>
        <w:t xml:space="preserve"> activity, despite the effectiveness and sophistication of their horticultural techniques (</w:t>
      </w:r>
      <w:r w:rsidRPr="00F47604">
        <w:rPr>
          <w:rFonts w:ascii="Gill Sans MT" w:hAnsi="Gill Sans MT" w:cs="Gill Sans MT"/>
          <w:kern w:val="24"/>
          <w:sz w:val="40"/>
          <w:szCs w:val="40"/>
        </w:rPr>
        <w:t>Tuzin &amp; George, 2001 p. 97)</w:t>
      </w:r>
      <w:r w:rsidRPr="00F47604">
        <w:rPr>
          <w:rFonts w:ascii="Verdana" w:eastAsia="Times New Roman" w:hAnsi="Times New Roman" w:cs="Verdana"/>
          <w:kern w:val="24"/>
          <w:sz w:val="40"/>
          <w:szCs w:val="40"/>
        </w:rPr>
        <w:t>.</w:t>
      </w:r>
    </w:p>
    <w:p w:rsidR="00F47604" w:rsidRPr="00F47604" w:rsidRDefault="00F47604" w:rsidP="00F47604">
      <w:pPr>
        <w:numPr>
          <w:ilvl w:val="0"/>
          <w:numId w:val="1"/>
        </w:numPr>
        <w:autoSpaceDE w:val="0"/>
        <w:autoSpaceDN w:val="0"/>
        <w:adjustRightInd w:val="0"/>
        <w:spacing w:after="0" w:line="240" w:lineRule="auto"/>
        <w:ind w:left="360" w:hanging="360"/>
        <w:rPr>
          <w:rFonts w:ascii="Verdana" w:eastAsia="Times New Roman" w:hAnsi="Times New Roman" w:cs="Verdana"/>
          <w:kern w:val="24"/>
          <w:sz w:val="40"/>
          <w:szCs w:val="40"/>
        </w:rPr>
      </w:pPr>
      <w:r w:rsidRPr="00F47604">
        <w:rPr>
          <w:rFonts w:ascii="Verdana" w:eastAsia="Times New Roman" w:hAnsi="Times New Roman" w:cs="Verdana"/>
          <w:kern w:val="24"/>
          <w:sz w:val="40"/>
          <w:szCs w:val="40"/>
        </w:rPr>
        <w:t>Due to the story of Nunkui and her child, the work on horticulture by women is valued</w:t>
      </w:r>
      <w:r w:rsidRPr="00F47604">
        <w:rPr>
          <w:rFonts w:ascii="Gill Sans MT" w:hAnsi="Gill Sans MT" w:cs="Gill Sans MT"/>
          <w:kern w:val="24"/>
          <w:sz w:val="40"/>
          <w:szCs w:val="40"/>
        </w:rPr>
        <w:t>.</w:t>
      </w:r>
    </w:p>
    <w:p w:rsidR="00F47604" w:rsidRPr="00F47604" w:rsidRDefault="00F47604" w:rsidP="00F47604">
      <w:pPr>
        <w:numPr>
          <w:ilvl w:val="0"/>
          <w:numId w:val="1"/>
        </w:numPr>
        <w:autoSpaceDE w:val="0"/>
        <w:autoSpaceDN w:val="0"/>
        <w:adjustRightInd w:val="0"/>
        <w:spacing w:after="0" w:line="240" w:lineRule="auto"/>
        <w:ind w:left="360" w:hanging="360"/>
        <w:rPr>
          <w:rFonts w:ascii="Verdana" w:eastAsia="Times New Roman" w:hAnsi="Times New Roman" w:cs="Verdana"/>
          <w:kern w:val="24"/>
          <w:sz w:val="40"/>
          <w:szCs w:val="40"/>
        </w:rPr>
      </w:pPr>
      <w:r w:rsidRPr="00F47604">
        <w:rPr>
          <w:rFonts w:ascii="Verdana" w:eastAsia="Times New Roman" w:hAnsi="Times New Roman" w:cs="Verdana"/>
          <w:kern w:val="24"/>
          <w:sz w:val="40"/>
          <w:szCs w:val="40"/>
        </w:rPr>
        <w:t xml:space="preserve">The book explains </w:t>
      </w:r>
      <w:r w:rsidRPr="00F47604">
        <w:rPr>
          <w:rFonts w:ascii="Verdana" w:eastAsia="Times New Roman" w:hAnsi="Times New Roman" w:cs="Verdana"/>
          <w:kern w:val="24"/>
          <w:sz w:val="40"/>
          <w:szCs w:val="40"/>
        </w:rPr>
        <w:t>“</w:t>
      </w:r>
      <w:r w:rsidRPr="00F47604">
        <w:rPr>
          <w:rFonts w:ascii="Verdana" w:eastAsia="Times New Roman" w:hAnsi="Times New Roman" w:cs="Verdana"/>
          <w:kern w:val="24"/>
          <w:sz w:val="40"/>
          <w:szCs w:val="40"/>
        </w:rPr>
        <w:t xml:space="preserve">Although the nature of their uncertainty is symmetrically inverted around two poles (desired presence of game versus feared absence of plants, and humans as agents of killing versus humans as prey to the vampirism of plants), both hunting and gardening are thought of as risky endeavours the outcome of which is unpredictable. There is thus no ground here </w:t>
      </w:r>
      <w:r w:rsidRPr="00F47604">
        <w:rPr>
          <w:rFonts w:ascii="Verdana" w:eastAsia="Times New Roman" w:hAnsi="Times New Roman" w:cs="Verdana"/>
          <w:kern w:val="24"/>
          <w:sz w:val="40"/>
          <w:szCs w:val="40"/>
        </w:rPr>
        <w:lastRenderedPageBreak/>
        <w:t>for a possible justification of the superiority of male hunting over female gardening that would be based on an exaltation of the dangers and unpredictability of the former in contrast with the mundane, easy going nature of the latter</w:t>
      </w:r>
      <w:r w:rsidRPr="00F47604">
        <w:rPr>
          <w:rFonts w:ascii="Verdana" w:eastAsia="Times New Roman" w:hAnsi="Times New Roman" w:cs="Verdana"/>
          <w:kern w:val="24"/>
          <w:sz w:val="40"/>
          <w:szCs w:val="40"/>
        </w:rPr>
        <w:t>”</w:t>
      </w:r>
      <w:r w:rsidRPr="00F47604">
        <w:rPr>
          <w:rFonts w:ascii="Verdana" w:eastAsia="Times New Roman" w:hAnsi="Times New Roman" w:cs="Verdana"/>
          <w:kern w:val="24"/>
          <w:sz w:val="40"/>
          <w:szCs w:val="40"/>
        </w:rPr>
        <w:t xml:space="preserve"> </w:t>
      </w:r>
      <w:r w:rsidRPr="00F47604">
        <w:rPr>
          <w:rFonts w:ascii="Gill Sans MT" w:hAnsi="Gill Sans MT" w:cs="Gill Sans MT"/>
          <w:kern w:val="24"/>
          <w:sz w:val="40"/>
          <w:szCs w:val="40"/>
        </w:rPr>
        <w:t>(Tuzin &amp; George, 2001 p. 98)</w:t>
      </w:r>
      <w:r w:rsidRPr="00F47604">
        <w:rPr>
          <w:rFonts w:ascii="Verdana" w:eastAsia="Times New Roman" w:hAnsi="Times New Roman" w:cs="Verdana"/>
          <w:kern w:val="24"/>
          <w:sz w:val="40"/>
          <w:szCs w:val="40"/>
        </w:rPr>
        <w:t>.</w:t>
      </w:r>
    </w:p>
    <w:p w:rsidR="00F47604" w:rsidRPr="00F47604" w:rsidRDefault="00F47604" w:rsidP="00F47604">
      <w:pPr>
        <w:numPr>
          <w:ilvl w:val="0"/>
          <w:numId w:val="1"/>
        </w:numPr>
        <w:autoSpaceDE w:val="0"/>
        <w:autoSpaceDN w:val="0"/>
        <w:adjustRightInd w:val="0"/>
        <w:spacing w:after="0" w:line="240" w:lineRule="auto"/>
        <w:ind w:left="360" w:hanging="360"/>
        <w:rPr>
          <w:rFonts w:ascii="Verdana" w:eastAsia="Times New Roman" w:hAnsi="Times New Roman" w:cs="Verdana"/>
          <w:kern w:val="24"/>
          <w:sz w:val="40"/>
          <w:szCs w:val="40"/>
        </w:rPr>
      </w:pPr>
      <w:r w:rsidRPr="00F47604">
        <w:rPr>
          <w:rFonts w:ascii="Verdana" w:eastAsia="Times New Roman" w:hAnsi="Times New Roman" w:cs="Verdana"/>
          <w:kern w:val="24"/>
          <w:sz w:val="40"/>
          <w:szCs w:val="40"/>
        </w:rPr>
        <w:t>Essentially in terms of responsibility and importance, the Achuar consider both to top imperatives that have to be balanced and so more appreciation is reflected on women.</w:t>
      </w:r>
    </w:p>
    <w:p w:rsidR="00F47604" w:rsidRPr="00F47604" w:rsidRDefault="00F47604" w:rsidP="00F47604">
      <w:pPr>
        <w:numPr>
          <w:ilvl w:val="0"/>
          <w:numId w:val="1"/>
        </w:numPr>
        <w:autoSpaceDE w:val="0"/>
        <w:autoSpaceDN w:val="0"/>
        <w:adjustRightInd w:val="0"/>
        <w:spacing w:after="0" w:line="240" w:lineRule="auto"/>
        <w:ind w:left="360" w:hanging="360"/>
        <w:rPr>
          <w:rFonts w:ascii="Gill Sans MT" w:hAnsi="Gill Sans MT" w:cs="Gill Sans MT"/>
          <w:kern w:val="24"/>
          <w:sz w:val="40"/>
          <w:szCs w:val="40"/>
        </w:rPr>
      </w:pPr>
      <w:r w:rsidRPr="00F47604">
        <w:rPr>
          <w:rFonts w:ascii="Gill Sans MT" w:hAnsi="Gill Sans MT" w:cs="Gill Sans MT"/>
          <w:kern w:val="24"/>
          <w:sz w:val="40"/>
          <w:szCs w:val="40"/>
        </w:rPr>
        <w:t xml:space="preserve">Politics of Gender among </w:t>
      </w:r>
      <w:proofErr w:type="spellStart"/>
      <w:r w:rsidRPr="00F47604">
        <w:rPr>
          <w:rFonts w:ascii="Gill Sans MT" w:hAnsi="Gill Sans MT" w:cs="Gill Sans MT"/>
          <w:kern w:val="24"/>
          <w:sz w:val="40"/>
          <w:szCs w:val="40"/>
        </w:rPr>
        <w:t>achuar</w:t>
      </w:r>
      <w:proofErr w:type="spellEnd"/>
    </w:p>
    <w:p w:rsidR="00F47604" w:rsidRPr="00F47604" w:rsidRDefault="00F47604" w:rsidP="00F47604">
      <w:pPr>
        <w:numPr>
          <w:ilvl w:val="0"/>
          <w:numId w:val="6"/>
        </w:numPr>
        <w:autoSpaceDE w:val="0"/>
        <w:autoSpaceDN w:val="0"/>
        <w:adjustRightInd w:val="0"/>
        <w:spacing w:after="0" w:line="240" w:lineRule="auto"/>
        <w:ind w:left="360" w:hanging="360"/>
        <w:rPr>
          <w:rFonts w:ascii="Gill Sans MT" w:hAnsi="Gill Sans MT" w:cs="Gill Sans MT"/>
          <w:kern w:val="24"/>
          <w:sz w:val="80"/>
          <w:szCs w:val="80"/>
        </w:rPr>
      </w:pPr>
      <w:r w:rsidRPr="00F47604">
        <w:rPr>
          <w:rFonts w:ascii="Gill Sans MT" w:hAnsi="Gill Sans MT" w:cs="Gill Sans MT"/>
          <w:kern w:val="24"/>
          <w:sz w:val="80"/>
          <w:szCs w:val="80"/>
        </w:rPr>
        <w:t xml:space="preserve">Women are able to participate in public life. Tuzin &amp; George suggest it is as so much due to one fact: “the men do not form a community as such, which would have vested interests to defend collectively, such </w:t>
      </w:r>
      <w:r w:rsidRPr="00F47604">
        <w:rPr>
          <w:rFonts w:ascii="Gill Sans MT" w:hAnsi="Gill Sans MT" w:cs="Gill Sans MT"/>
          <w:kern w:val="24"/>
          <w:sz w:val="80"/>
          <w:szCs w:val="80"/>
        </w:rPr>
        <w:lastRenderedPageBreak/>
        <w:t xml:space="preserve">as in their joint control over women—a sharp contrast with many Melanesian cultures, needless to say. The anarchy of Achuar social life prevents the consolidation of an effective leadership over long periods of time and thus impedes the formation of corporate sodalities. The authority that a great-man exercises </w:t>
      </w:r>
      <w:r w:rsidRPr="00F47604">
        <w:rPr>
          <w:rFonts w:ascii="Gill Sans MT" w:hAnsi="Gill Sans MT" w:cs="Gill Sans MT"/>
          <w:kern w:val="24"/>
          <w:sz w:val="80"/>
          <w:szCs w:val="80"/>
        </w:rPr>
        <w:lastRenderedPageBreak/>
        <w:t xml:space="preserve">over the men of his faction is restricted to tactical decisions in times of open hostilities and is based on the recognition of his personal qualities; it does not extend to the women of the warriors who share his fate” (Tuzin &amp; George, 2001 p. 100). </w:t>
      </w:r>
    </w:p>
    <w:p w:rsidR="00F47604" w:rsidRPr="00F47604" w:rsidRDefault="00F47604" w:rsidP="00F47604">
      <w:pPr>
        <w:numPr>
          <w:ilvl w:val="0"/>
          <w:numId w:val="6"/>
        </w:numPr>
        <w:autoSpaceDE w:val="0"/>
        <w:autoSpaceDN w:val="0"/>
        <w:adjustRightInd w:val="0"/>
        <w:spacing w:after="0" w:line="240" w:lineRule="auto"/>
        <w:ind w:left="360" w:hanging="360"/>
        <w:rPr>
          <w:rFonts w:ascii="Gill Sans MT" w:hAnsi="Gill Sans MT" w:cs="Gill Sans MT"/>
          <w:kern w:val="24"/>
          <w:sz w:val="80"/>
          <w:szCs w:val="80"/>
        </w:rPr>
      </w:pPr>
      <w:r w:rsidRPr="00F47604">
        <w:rPr>
          <w:rFonts w:ascii="Gill Sans MT" w:hAnsi="Gill Sans MT" w:cs="Gill Sans MT"/>
          <w:kern w:val="24"/>
          <w:sz w:val="80"/>
          <w:szCs w:val="80"/>
        </w:rPr>
        <w:t xml:space="preserve">Women thus have a relative amount of political influence – a man is more </w:t>
      </w:r>
      <w:r w:rsidRPr="00F47604">
        <w:rPr>
          <w:rFonts w:ascii="Gill Sans MT" w:hAnsi="Gill Sans MT" w:cs="Gill Sans MT"/>
          <w:kern w:val="24"/>
          <w:sz w:val="80"/>
          <w:szCs w:val="80"/>
        </w:rPr>
        <w:lastRenderedPageBreak/>
        <w:t>likely to listen to his wife, rather than which young men his daughters are married to, over complicated adult matters and discussions (Tuzin &amp; George, 2001 p. 100).</w:t>
      </w:r>
    </w:p>
    <w:p w:rsidR="00F47604" w:rsidRPr="00F47604" w:rsidRDefault="00F47604" w:rsidP="00F47604">
      <w:pPr>
        <w:autoSpaceDE w:val="0"/>
        <w:autoSpaceDN w:val="0"/>
        <w:adjustRightInd w:val="0"/>
        <w:spacing w:after="0" w:line="240" w:lineRule="auto"/>
        <w:ind w:left="360" w:hanging="360"/>
        <w:rPr>
          <w:rFonts w:ascii="Gill Sans MT" w:hAnsi="Gill Sans MT" w:cs="Gill Sans MT"/>
          <w:kern w:val="24"/>
          <w:sz w:val="40"/>
          <w:szCs w:val="40"/>
        </w:rPr>
      </w:pPr>
    </w:p>
    <w:p w:rsidR="00F47604" w:rsidRPr="00F47604" w:rsidRDefault="00F47604" w:rsidP="00F47604">
      <w:pPr>
        <w:numPr>
          <w:ilvl w:val="0"/>
          <w:numId w:val="1"/>
        </w:numPr>
        <w:autoSpaceDE w:val="0"/>
        <w:autoSpaceDN w:val="0"/>
        <w:adjustRightInd w:val="0"/>
        <w:spacing w:after="0" w:line="240" w:lineRule="auto"/>
        <w:ind w:left="360" w:hanging="360"/>
        <w:rPr>
          <w:rFonts w:ascii="Gill Sans MT" w:hAnsi="Gill Sans MT" w:cs="Gill Sans MT"/>
          <w:kern w:val="24"/>
          <w:sz w:val="40"/>
          <w:szCs w:val="40"/>
        </w:rPr>
      </w:pPr>
      <w:r w:rsidRPr="00F47604">
        <w:rPr>
          <w:rFonts w:ascii="Gill Sans MT" w:hAnsi="Gill Sans MT" w:cs="Gill Sans MT"/>
          <w:kern w:val="24"/>
          <w:sz w:val="40"/>
          <w:szCs w:val="40"/>
        </w:rPr>
        <w:t xml:space="preserve">Politics of gender among </w:t>
      </w:r>
      <w:proofErr w:type="spellStart"/>
      <w:r w:rsidRPr="00F47604">
        <w:rPr>
          <w:rFonts w:ascii="Gill Sans MT" w:hAnsi="Gill Sans MT" w:cs="Gill Sans MT"/>
          <w:kern w:val="24"/>
          <w:sz w:val="40"/>
          <w:szCs w:val="40"/>
        </w:rPr>
        <w:t>achuar</w:t>
      </w:r>
      <w:proofErr w:type="spellEnd"/>
    </w:p>
    <w:p w:rsidR="00F47604" w:rsidRPr="00F47604" w:rsidRDefault="00F47604" w:rsidP="00F47604">
      <w:pPr>
        <w:numPr>
          <w:ilvl w:val="0"/>
          <w:numId w:val="1"/>
        </w:numPr>
        <w:autoSpaceDE w:val="0"/>
        <w:autoSpaceDN w:val="0"/>
        <w:adjustRightInd w:val="0"/>
        <w:spacing w:after="0" w:line="240" w:lineRule="auto"/>
        <w:ind w:left="360" w:hanging="360"/>
        <w:rPr>
          <w:rFonts w:ascii="Gill Sans MT" w:hAnsi="Gill Sans MT" w:cs="Gill Sans MT"/>
          <w:kern w:val="24"/>
          <w:sz w:val="40"/>
          <w:szCs w:val="40"/>
        </w:rPr>
      </w:pPr>
      <w:r w:rsidRPr="00F47604">
        <w:rPr>
          <w:rFonts w:ascii="Gill Sans MT" w:hAnsi="Gill Sans MT" w:cs="Gill Sans MT"/>
          <w:kern w:val="24"/>
          <w:sz w:val="40"/>
          <w:szCs w:val="40"/>
        </w:rPr>
        <w:t xml:space="preserve">Men do still perceive to `own` their women: fathers and brothers exercise control over the fate of their unmarried daughters and sisters, although they have to relinquish some of their authority in favour of their in-laws after marriage. </w:t>
      </w:r>
      <w:r w:rsidRPr="00F47604">
        <w:rPr>
          <w:rFonts w:ascii="Gill Sans MT" w:hAnsi="Gill Sans MT" w:cs="Gill Sans MT"/>
          <w:kern w:val="24"/>
          <w:sz w:val="40"/>
          <w:szCs w:val="40"/>
        </w:rPr>
        <w:br/>
        <w:t xml:space="preserve">Culturally men are seen to be prone to anger and beating their wives, even severely with machete blows to the head, is seen as unfortunate but normal and forgivable outcomes whenever they become displeased with their wives or when they suspect unfaithfulness (Tuzin &amp; George, 2001 p. 99). </w:t>
      </w:r>
    </w:p>
    <w:p w:rsidR="00F47604" w:rsidRPr="00F47604" w:rsidRDefault="00F47604" w:rsidP="00F47604">
      <w:pPr>
        <w:numPr>
          <w:ilvl w:val="0"/>
          <w:numId w:val="1"/>
        </w:numPr>
        <w:autoSpaceDE w:val="0"/>
        <w:autoSpaceDN w:val="0"/>
        <w:adjustRightInd w:val="0"/>
        <w:spacing w:after="0" w:line="240" w:lineRule="auto"/>
        <w:ind w:left="360" w:hanging="360"/>
        <w:rPr>
          <w:rFonts w:ascii="Gill Sans MT" w:hAnsi="Gill Sans MT" w:cs="Gill Sans MT"/>
          <w:kern w:val="24"/>
          <w:sz w:val="40"/>
          <w:szCs w:val="40"/>
        </w:rPr>
      </w:pPr>
      <w:r w:rsidRPr="00F47604">
        <w:rPr>
          <w:rFonts w:ascii="Gill Sans MT" w:hAnsi="Gill Sans MT" w:cs="Gill Sans MT"/>
          <w:kern w:val="24"/>
          <w:sz w:val="40"/>
          <w:szCs w:val="40"/>
        </w:rPr>
        <w:lastRenderedPageBreak/>
        <w:t xml:space="preserve">Compared to other hunter-gatherer/forager ethnographic groups, they do not hold natural body processes of a woman against them. As well as participate in hunting and war parties, they are allowed to become shamans, they are also free to participate in the </w:t>
      </w:r>
      <w:proofErr w:type="spellStart"/>
      <w:r w:rsidRPr="00F47604">
        <w:rPr>
          <w:rFonts w:ascii="Gill Sans MT" w:hAnsi="Gill Sans MT" w:cs="Gill Sans MT"/>
          <w:i/>
          <w:iCs/>
          <w:kern w:val="24"/>
          <w:sz w:val="40"/>
          <w:szCs w:val="40"/>
        </w:rPr>
        <w:t>Aratum</w:t>
      </w:r>
      <w:proofErr w:type="spellEnd"/>
      <w:r w:rsidRPr="00F47604">
        <w:rPr>
          <w:rFonts w:ascii="Gill Sans MT" w:hAnsi="Gill Sans MT" w:cs="Gill Sans MT"/>
          <w:kern w:val="24"/>
          <w:sz w:val="40"/>
          <w:szCs w:val="40"/>
        </w:rPr>
        <w:t xml:space="preserve"> vision quest, the closest thing to a rite of passage (Tuzin &amp; George, 2001 p. 100-101).</w:t>
      </w:r>
      <w:r w:rsidRPr="00F47604">
        <w:rPr>
          <w:rFonts w:ascii="Gill Sans MT" w:hAnsi="Gill Sans MT" w:cs="Gill Sans MT"/>
          <w:kern w:val="24"/>
          <w:sz w:val="40"/>
          <w:szCs w:val="40"/>
        </w:rPr>
        <w:br/>
      </w:r>
    </w:p>
    <w:p w:rsidR="00F47604" w:rsidRPr="00F47604" w:rsidRDefault="00F47604" w:rsidP="00F47604">
      <w:pPr>
        <w:numPr>
          <w:ilvl w:val="0"/>
          <w:numId w:val="1"/>
        </w:numPr>
        <w:autoSpaceDE w:val="0"/>
        <w:autoSpaceDN w:val="0"/>
        <w:adjustRightInd w:val="0"/>
        <w:spacing w:after="0" w:line="240" w:lineRule="auto"/>
        <w:ind w:left="360" w:hanging="360"/>
        <w:rPr>
          <w:rFonts w:ascii="Gill Sans MT" w:hAnsi="Gill Sans MT" w:cs="Gill Sans MT"/>
          <w:kern w:val="24"/>
          <w:sz w:val="40"/>
          <w:szCs w:val="40"/>
        </w:rPr>
      </w:pPr>
      <w:r w:rsidRPr="00F47604">
        <w:rPr>
          <w:rFonts w:ascii="Gill Sans MT" w:hAnsi="Gill Sans MT" w:cs="Gill Sans MT"/>
          <w:kern w:val="24"/>
          <w:sz w:val="40"/>
          <w:szCs w:val="40"/>
        </w:rPr>
        <w:t>Why is that?</w:t>
      </w:r>
    </w:p>
    <w:p w:rsidR="00F47604" w:rsidRPr="00F47604" w:rsidRDefault="00F47604" w:rsidP="00F47604">
      <w:pPr>
        <w:autoSpaceDE w:val="0"/>
        <w:autoSpaceDN w:val="0"/>
        <w:adjustRightInd w:val="0"/>
        <w:spacing w:after="0" w:line="240" w:lineRule="auto"/>
        <w:rPr>
          <w:rFonts w:ascii="Gill Sans MT" w:hAnsi="Gill Sans MT" w:cs="Gill Sans MT"/>
          <w:kern w:val="24"/>
          <w:sz w:val="40"/>
          <w:szCs w:val="40"/>
        </w:rPr>
      </w:pPr>
      <w:r w:rsidRPr="00F47604">
        <w:rPr>
          <w:rFonts w:ascii="Gill Sans MT" w:hAnsi="Gill Sans MT" w:cs="Gill Sans MT"/>
          <w:kern w:val="24"/>
          <w:sz w:val="40"/>
          <w:szCs w:val="40"/>
        </w:rPr>
        <w:t xml:space="preserve"> </w:t>
      </w:r>
    </w:p>
    <w:p w:rsidR="00F47604" w:rsidRPr="00F47604" w:rsidRDefault="00F47604" w:rsidP="00F47604">
      <w:pPr>
        <w:numPr>
          <w:ilvl w:val="0"/>
          <w:numId w:val="1"/>
        </w:numPr>
        <w:autoSpaceDE w:val="0"/>
        <w:autoSpaceDN w:val="0"/>
        <w:adjustRightInd w:val="0"/>
        <w:spacing w:after="0" w:line="240" w:lineRule="auto"/>
        <w:ind w:left="360" w:hanging="360"/>
        <w:rPr>
          <w:rFonts w:ascii="Gill Sans MT" w:hAnsi="Gill Sans MT" w:cs="Gill Sans MT"/>
          <w:kern w:val="24"/>
          <w:sz w:val="40"/>
          <w:szCs w:val="40"/>
        </w:rPr>
      </w:pPr>
      <w:r w:rsidRPr="00F47604">
        <w:rPr>
          <w:rFonts w:ascii="Gill Sans MT" w:hAnsi="Gill Sans MT" w:cs="Gill Sans MT"/>
          <w:kern w:val="24"/>
          <w:sz w:val="40"/>
          <w:szCs w:val="40"/>
        </w:rPr>
        <w:t>“Subjecting gender categories to wider social oppositions goes far beyond the internal constraints of the kinship system, as sex roles acquire their full justification and meaning in relation to the type of behaviour proceeding from the preferential assignment of each sex to a specific kinship category. In that sense, warfare or hunting are male affairs, not because men would be stronger or braver than women, but because these activities are conceived as expressions of relationships with metaphorical affines and fall therefore under the jurisdiction of those whose business it is to deal with affinity. Conversely, gardening or child rearing are female prerogatives, not so much because women would be naturally predisposed to produce and manage life, but because these tasks befit their aptitude at dealing with consanguinity” (Tuzin &amp; George, 2001 p. 101-102).</w:t>
      </w:r>
    </w:p>
    <w:p w:rsidR="00F47604" w:rsidRPr="00F47604" w:rsidRDefault="00F47604" w:rsidP="00F47604">
      <w:pPr>
        <w:autoSpaceDE w:val="0"/>
        <w:autoSpaceDN w:val="0"/>
        <w:adjustRightInd w:val="0"/>
        <w:spacing w:after="0" w:line="240" w:lineRule="auto"/>
        <w:ind w:left="360" w:hanging="360"/>
        <w:rPr>
          <w:rFonts w:ascii="Gill Sans MT" w:hAnsi="Gill Sans MT" w:cs="Gill Sans MT"/>
          <w:kern w:val="24"/>
          <w:sz w:val="40"/>
          <w:szCs w:val="40"/>
        </w:rPr>
      </w:pPr>
    </w:p>
    <w:p w:rsidR="00F47604" w:rsidRPr="00F47604" w:rsidRDefault="00F47604" w:rsidP="00F47604">
      <w:pPr>
        <w:numPr>
          <w:ilvl w:val="0"/>
          <w:numId w:val="1"/>
        </w:numPr>
        <w:autoSpaceDE w:val="0"/>
        <w:autoSpaceDN w:val="0"/>
        <w:adjustRightInd w:val="0"/>
        <w:spacing w:after="0" w:line="240" w:lineRule="auto"/>
        <w:ind w:left="360" w:hanging="360"/>
        <w:rPr>
          <w:rFonts w:ascii="Gill Sans MT" w:hAnsi="Gill Sans MT" w:cs="Gill Sans MT"/>
          <w:kern w:val="24"/>
          <w:sz w:val="40"/>
          <w:szCs w:val="40"/>
        </w:rPr>
      </w:pPr>
      <w:r w:rsidRPr="00F47604">
        <w:rPr>
          <w:rFonts w:ascii="Gill Sans MT" w:hAnsi="Gill Sans MT" w:cs="Gill Sans MT"/>
          <w:kern w:val="24"/>
          <w:sz w:val="40"/>
          <w:szCs w:val="40"/>
        </w:rPr>
        <w:t>bibliography</w:t>
      </w:r>
    </w:p>
    <w:p w:rsidR="00F47604" w:rsidRPr="00F47604" w:rsidRDefault="00F47604" w:rsidP="00F47604">
      <w:pPr>
        <w:numPr>
          <w:ilvl w:val="0"/>
          <w:numId w:val="1"/>
        </w:numPr>
        <w:autoSpaceDE w:val="0"/>
        <w:autoSpaceDN w:val="0"/>
        <w:adjustRightInd w:val="0"/>
        <w:spacing w:after="0" w:line="240" w:lineRule="auto"/>
        <w:ind w:left="360" w:hanging="360"/>
        <w:rPr>
          <w:rFonts w:ascii="Gill Sans MT" w:hAnsi="Gill Sans MT" w:cs="Gill Sans MT"/>
          <w:kern w:val="24"/>
          <w:sz w:val="40"/>
          <w:szCs w:val="40"/>
        </w:rPr>
      </w:pPr>
      <w:r w:rsidRPr="00F47604">
        <w:rPr>
          <w:rFonts w:ascii="Gill Sans MT" w:hAnsi="Gill Sans MT" w:cs="Gill Sans MT"/>
          <w:kern w:val="24"/>
          <w:sz w:val="40"/>
          <w:szCs w:val="40"/>
        </w:rPr>
        <w:t xml:space="preserve">1. Diamond, J. (1997). </w:t>
      </w:r>
      <w:r w:rsidRPr="00F47604">
        <w:rPr>
          <w:rFonts w:ascii="Gill Sans MT" w:hAnsi="Gill Sans MT" w:cs="Gill Sans MT"/>
          <w:i/>
          <w:iCs/>
          <w:kern w:val="24"/>
          <w:sz w:val="40"/>
          <w:szCs w:val="40"/>
        </w:rPr>
        <w:t>Why is Sex Fun? The Evolution of Human Sexuality.</w:t>
      </w:r>
      <w:r w:rsidRPr="00F47604">
        <w:rPr>
          <w:rFonts w:ascii="Gill Sans MT" w:hAnsi="Gill Sans MT" w:cs="Gill Sans MT"/>
          <w:kern w:val="24"/>
          <w:sz w:val="40"/>
          <w:szCs w:val="40"/>
        </w:rPr>
        <w:t xml:space="preserve"> New York, Basic Books</w:t>
      </w:r>
    </w:p>
    <w:p w:rsidR="00F47604" w:rsidRPr="00F47604" w:rsidRDefault="00F47604" w:rsidP="00F47604">
      <w:pPr>
        <w:numPr>
          <w:ilvl w:val="0"/>
          <w:numId w:val="1"/>
        </w:numPr>
        <w:autoSpaceDE w:val="0"/>
        <w:autoSpaceDN w:val="0"/>
        <w:adjustRightInd w:val="0"/>
        <w:spacing w:after="0" w:line="240" w:lineRule="auto"/>
        <w:ind w:left="360" w:hanging="360"/>
        <w:rPr>
          <w:rFonts w:ascii="Gill Sans MT" w:hAnsi="Gill Sans MT" w:cs="Gill Sans MT"/>
          <w:kern w:val="24"/>
          <w:sz w:val="40"/>
          <w:szCs w:val="40"/>
        </w:rPr>
      </w:pPr>
      <w:r w:rsidRPr="00F47604">
        <w:rPr>
          <w:rFonts w:ascii="Gill Sans MT" w:hAnsi="Gill Sans MT" w:cs="Gill Sans MT"/>
          <w:kern w:val="24"/>
          <w:sz w:val="40"/>
          <w:szCs w:val="40"/>
        </w:rPr>
        <w:t xml:space="preserve">2. Stoet, G. &amp; Greary, D. C. (2018).  The Gender-Equality Paradox in Science, Technology, Engineering, and Mathematics Education, </w:t>
      </w:r>
      <w:r w:rsidRPr="00F47604">
        <w:rPr>
          <w:rFonts w:ascii="Gill Sans MT" w:hAnsi="Gill Sans MT" w:cs="Gill Sans MT"/>
          <w:i/>
          <w:iCs/>
          <w:kern w:val="24"/>
          <w:sz w:val="40"/>
          <w:szCs w:val="40"/>
        </w:rPr>
        <w:t>Psychological Science</w:t>
      </w:r>
      <w:r w:rsidRPr="00F47604">
        <w:rPr>
          <w:rFonts w:ascii="Gill Sans MT" w:hAnsi="Gill Sans MT" w:cs="Gill Sans MT"/>
          <w:kern w:val="24"/>
          <w:sz w:val="40"/>
          <w:szCs w:val="40"/>
        </w:rPr>
        <w:t xml:space="preserve">, 29(4), pp. 581-593. </w:t>
      </w:r>
    </w:p>
    <w:p w:rsidR="00F47604" w:rsidRPr="00F47604" w:rsidRDefault="00F47604" w:rsidP="00F47604">
      <w:pPr>
        <w:numPr>
          <w:ilvl w:val="0"/>
          <w:numId w:val="1"/>
        </w:numPr>
        <w:autoSpaceDE w:val="0"/>
        <w:autoSpaceDN w:val="0"/>
        <w:adjustRightInd w:val="0"/>
        <w:spacing w:after="0" w:line="240" w:lineRule="auto"/>
        <w:ind w:left="360" w:hanging="360"/>
        <w:rPr>
          <w:rFonts w:ascii="Gill Sans MT" w:hAnsi="Gill Sans MT" w:cs="Gill Sans MT"/>
          <w:kern w:val="24"/>
          <w:sz w:val="40"/>
          <w:szCs w:val="40"/>
        </w:rPr>
      </w:pPr>
      <w:r w:rsidRPr="00F47604">
        <w:rPr>
          <w:rFonts w:ascii="Gill Sans MT" w:hAnsi="Gill Sans MT" w:cs="Gill Sans MT"/>
          <w:kern w:val="24"/>
          <w:sz w:val="40"/>
          <w:szCs w:val="40"/>
        </w:rPr>
        <w:t xml:space="preserve">3. Harari, Y. N. (2011). </w:t>
      </w:r>
      <w:r w:rsidRPr="00F47604">
        <w:rPr>
          <w:rFonts w:ascii="Gill Sans MT" w:hAnsi="Gill Sans MT" w:cs="Gill Sans MT"/>
          <w:i/>
          <w:iCs/>
          <w:kern w:val="24"/>
          <w:sz w:val="40"/>
          <w:szCs w:val="40"/>
        </w:rPr>
        <w:t>Sapiens: A brief history of humankind</w:t>
      </w:r>
      <w:r w:rsidRPr="00F47604">
        <w:rPr>
          <w:rFonts w:ascii="Gill Sans MT" w:hAnsi="Gill Sans MT" w:cs="Gill Sans MT"/>
          <w:kern w:val="24"/>
          <w:sz w:val="40"/>
          <w:szCs w:val="40"/>
        </w:rPr>
        <w:t xml:space="preserve">. 20 Vauxhall Bridge Road, London, SW1V 2SA, Vintage </w:t>
      </w:r>
    </w:p>
    <w:p w:rsidR="00F47604" w:rsidRPr="00F47604" w:rsidRDefault="00F47604" w:rsidP="00F47604">
      <w:pPr>
        <w:numPr>
          <w:ilvl w:val="0"/>
          <w:numId w:val="1"/>
        </w:numPr>
        <w:autoSpaceDE w:val="0"/>
        <w:autoSpaceDN w:val="0"/>
        <w:adjustRightInd w:val="0"/>
        <w:spacing w:after="0" w:line="240" w:lineRule="auto"/>
        <w:ind w:left="360" w:hanging="360"/>
        <w:rPr>
          <w:rFonts w:ascii="Gill Sans MT" w:hAnsi="Gill Sans MT" w:cs="Gill Sans MT"/>
          <w:kern w:val="24"/>
          <w:sz w:val="40"/>
          <w:szCs w:val="40"/>
        </w:rPr>
      </w:pPr>
      <w:r w:rsidRPr="00F47604">
        <w:rPr>
          <w:rFonts w:ascii="Gill Sans MT" w:hAnsi="Gill Sans MT" w:cs="Gill Sans MT"/>
          <w:kern w:val="24"/>
          <w:sz w:val="40"/>
          <w:szCs w:val="40"/>
        </w:rPr>
        <w:t xml:space="preserve">4. Bamberger, J. (1974).  `The Myth of Matriarchy: Why Men rule in Primitive Societies` in </w:t>
      </w:r>
      <w:r w:rsidRPr="00F47604">
        <w:rPr>
          <w:rFonts w:ascii="Gill Sans MT" w:hAnsi="Gill Sans MT" w:cs="Gill Sans MT"/>
          <w:i/>
          <w:iCs/>
          <w:kern w:val="24"/>
          <w:sz w:val="40"/>
          <w:szCs w:val="40"/>
        </w:rPr>
        <w:t xml:space="preserve"> Women, Culture and Society</w:t>
      </w:r>
      <w:r w:rsidRPr="00F47604">
        <w:rPr>
          <w:rFonts w:ascii="Gill Sans MT" w:hAnsi="Gill Sans MT" w:cs="Gill Sans MT"/>
          <w:kern w:val="24"/>
          <w:sz w:val="40"/>
          <w:szCs w:val="40"/>
        </w:rPr>
        <w:t>, California: Stanford University Press</w:t>
      </w:r>
    </w:p>
    <w:p w:rsidR="00F47604" w:rsidRPr="00F47604" w:rsidRDefault="00F47604" w:rsidP="00F47604">
      <w:pPr>
        <w:numPr>
          <w:ilvl w:val="0"/>
          <w:numId w:val="1"/>
        </w:numPr>
        <w:autoSpaceDE w:val="0"/>
        <w:autoSpaceDN w:val="0"/>
        <w:adjustRightInd w:val="0"/>
        <w:spacing w:after="0" w:line="240" w:lineRule="auto"/>
        <w:ind w:left="360" w:hanging="360"/>
        <w:rPr>
          <w:rFonts w:ascii="Gill Sans MT" w:hAnsi="Gill Sans MT" w:cs="Gill Sans MT"/>
          <w:kern w:val="24"/>
          <w:sz w:val="40"/>
          <w:szCs w:val="40"/>
        </w:rPr>
      </w:pPr>
      <w:r w:rsidRPr="00F47604">
        <w:rPr>
          <w:rFonts w:ascii="Gill Sans MT" w:hAnsi="Gill Sans MT" w:cs="Gill Sans MT"/>
          <w:kern w:val="24"/>
          <w:sz w:val="40"/>
          <w:szCs w:val="40"/>
        </w:rPr>
        <w:t xml:space="preserve">5. Ortner, S. (1974). `Is Female to Male as Nature Is to Culture` from </w:t>
      </w:r>
      <w:r w:rsidRPr="00F47604">
        <w:rPr>
          <w:rFonts w:ascii="Gill Sans MT" w:hAnsi="Gill Sans MT" w:cs="Gill Sans MT"/>
          <w:i/>
          <w:iCs/>
          <w:kern w:val="24"/>
          <w:sz w:val="40"/>
          <w:szCs w:val="40"/>
        </w:rPr>
        <w:t>Women, Culture and Society</w:t>
      </w:r>
      <w:r w:rsidRPr="00F47604">
        <w:rPr>
          <w:rFonts w:ascii="Gill Sans MT" w:hAnsi="Gill Sans MT" w:cs="Gill Sans MT"/>
          <w:kern w:val="24"/>
          <w:sz w:val="40"/>
          <w:szCs w:val="40"/>
        </w:rPr>
        <w:t>, California: Stanford University Press</w:t>
      </w:r>
      <w:r w:rsidRPr="00F47604">
        <w:rPr>
          <w:rFonts w:ascii="Gill Sans MT" w:hAnsi="Gill Sans MT" w:cs="Gill Sans MT"/>
          <w:kern w:val="24"/>
          <w:sz w:val="40"/>
          <w:szCs w:val="40"/>
        </w:rPr>
        <w:br/>
      </w:r>
    </w:p>
    <w:p w:rsidR="00F47604" w:rsidRPr="00F47604" w:rsidRDefault="00F47604" w:rsidP="00F47604">
      <w:pPr>
        <w:numPr>
          <w:ilvl w:val="0"/>
          <w:numId w:val="1"/>
        </w:numPr>
        <w:autoSpaceDE w:val="0"/>
        <w:autoSpaceDN w:val="0"/>
        <w:adjustRightInd w:val="0"/>
        <w:spacing w:after="0" w:line="240" w:lineRule="auto"/>
        <w:ind w:left="360" w:hanging="360"/>
        <w:rPr>
          <w:rFonts w:ascii="Gill Sans MT" w:hAnsi="Gill Sans MT" w:cs="Gill Sans MT"/>
          <w:kern w:val="24"/>
          <w:sz w:val="40"/>
          <w:szCs w:val="40"/>
        </w:rPr>
      </w:pPr>
      <w:r w:rsidRPr="00F47604">
        <w:rPr>
          <w:rFonts w:ascii="Gill Sans MT" w:hAnsi="Gill Sans MT" w:cs="Gill Sans MT"/>
          <w:kern w:val="24"/>
          <w:sz w:val="40"/>
          <w:szCs w:val="40"/>
        </w:rPr>
        <w:t>Bibliography</w:t>
      </w:r>
    </w:p>
    <w:p w:rsidR="00F47604" w:rsidRPr="00F47604" w:rsidRDefault="00F47604" w:rsidP="00F47604">
      <w:pPr>
        <w:numPr>
          <w:ilvl w:val="0"/>
          <w:numId w:val="1"/>
        </w:numPr>
        <w:autoSpaceDE w:val="0"/>
        <w:autoSpaceDN w:val="0"/>
        <w:adjustRightInd w:val="0"/>
        <w:spacing w:after="0" w:line="240" w:lineRule="auto"/>
        <w:ind w:left="360" w:hanging="360"/>
        <w:rPr>
          <w:rFonts w:ascii="Gill Sans MT" w:hAnsi="Gill Sans MT" w:cs="Gill Sans MT"/>
          <w:kern w:val="24"/>
          <w:sz w:val="40"/>
          <w:szCs w:val="40"/>
        </w:rPr>
      </w:pPr>
      <w:r w:rsidRPr="00F47604">
        <w:rPr>
          <w:rFonts w:ascii="Gill Sans MT" w:hAnsi="Gill Sans MT" w:cs="Gill Sans MT"/>
          <w:kern w:val="24"/>
          <w:sz w:val="40"/>
          <w:szCs w:val="40"/>
        </w:rPr>
        <w:t xml:space="preserve">Jared Diamond’s </w:t>
      </w:r>
      <w:r w:rsidRPr="00F47604">
        <w:rPr>
          <w:rFonts w:ascii="Gill Sans MT" w:hAnsi="Gill Sans MT" w:cs="Gill Sans MT"/>
          <w:i/>
          <w:iCs/>
          <w:kern w:val="24"/>
          <w:sz w:val="40"/>
          <w:szCs w:val="40"/>
        </w:rPr>
        <w:t>Why is Sex fun</w:t>
      </w:r>
      <w:r w:rsidRPr="00F47604">
        <w:rPr>
          <w:rFonts w:ascii="Gill Sans MT" w:hAnsi="Gill Sans MT" w:cs="Gill Sans MT"/>
          <w:kern w:val="24"/>
          <w:sz w:val="40"/>
          <w:szCs w:val="40"/>
        </w:rPr>
        <w:t xml:space="preserve"> </w:t>
      </w:r>
      <w:proofErr w:type="gramStart"/>
      <w:r w:rsidRPr="00F47604">
        <w:rPr>
          <w:rFonts w:ascii="Gill Sans MT" w:hAnsi="Gill Sans MT" w:cs="Gill Sans MT"/>
          <w:kern w:val="24"/>
          <w:sz w:val="40"/>
          <w:szCs w:val="40"/>
        </w:rPr>
        <w:t>is</w:t>
      </w:r>
      <w:proofErr w:type="gramEnd"/>
      <w:r w:rsidRPr="00F47604">
        <w:rPr>
          <w:rFonts w:ascii="Gill Sans MT" w:hAnsi="Gill Sans MT" w:cs="Gill Sans MT"/>
          <w:kern w:val="24"/>
          <w:sz w:val="40"/>
          <w:szCs w:val="40"/>
        </w:rPr>
        <w:t xml:space="preserve"> a book that aimed to provide a factual account of why humans have evolved the (frankly bizarre) mating and reproductive system that they have, which is virtually unprecedented in the animal kingdom. His aim is to show that the sex differences  that appeared between the genders occurred ultimately because the different traits that would have increased survival and subsequently genetic </w:t>
      </w:r>
      <w:r w:rsidRPr="00F47604">
        <w:rPr>
          <w:rFonts w:ascii="Gill Sans MT" w:hAnsi="Gill Sans MT" w:cs="Gill Sans MT"/>
          <w:kern w:val="24"/>
          <w:sz w:val="40"/>
          <w:szCs w:val="40"/>
        </w:rPr>
        <w:lastRenderedPageBreak/>
        <w:t xml:space="preserve">output would have been what was ultimately of flourished under the system of natural selection (to say that they would `selected` would be to imply that natural selection is conscious which is a fallacious statement). Diamond observes the biological facts of the genders (i.e. that man can fertilise many offspring in a short amount of time, while women can only sire usually one over a period of at least 9 months, and usually longer) and uses it to conclude that differing psychological traits of the sexes (such as a greater aversion to casual sex from women) can be explained by these. He also makes the point that the struggle of natural selection works within mates as well, as the self-interest of the parents actually would clash. Jared Diamond highlights the strength of the natural selection theory by showing how it explains the reproductive behaviour of other species whose biological and anatomical features are different (i.e. they fertilise the eggs outside their bodies rather than inside the bodies) equally well – it helps give validity and strength to his assertions. This helps contextualise much of the tension that arises between men and women in seemingly every society, and something for me to bear in mind when analysing ethnographic data of gender relations. He doesn’t cover any examples of how different cultures tries to understand and conceptualise the reasons for this reality, but it matters </w:t>
      </w:r>
      <w:r w:rsidRPr="00F47604">
        <w:rPr>
          <w:rFonts w:ascii="Gill Sans MT" w:hAnsi="Gill Sans MT" w:cs="Gill Sans MT"/>
          <w:kern w:val="24"/>
          <w:sz w:val="40"/>
          <w:szCs w:val="40"/>
        </w:rPr>
        <w:lastRenderedPageBreak/>
        <w:t xml:space="preserve">little; his main points remain. </w:t>
      </w:r>
      <w:r w:rsidRPr="00F47604">
        <w:rPr>
          <w:rFonts w:ascii="Gill Sans MT" w:hAnsi="Gill Sans MT" w:cs="Gill Sans MT"/>
          <w:kern w:val="24"/>
          <w:sz w:val="40"/>
          <w:szCs w:val="40"/>
        </w:rPr>
        <w:br/>
        <w:t xml:space="preserve">He ultimately concludes that casual sex between a man and a woman with a partner would tend to increase a man’s output of children, but not the women. That would corroborate the various studies shown around the world where men more likely than woman would say that they are interested in sexual variety (i.e. casual sex and brief relationships), and woman were more likely to say that their reasons for extra-marital sex, if they were having it would be due to marital dissatisfaction. On reflection, if we take these attitudes as a given then it would be interesting to see how different cultures do deal with tensions between men and women, as we could have a better understanding of what is cultural or not.    </w:t>
      </w:r>
      <w:r w:rsidRPr="00F47604">
        <w:rPr>
          <w:rFonts w:ascii="Gill Sans MT" w:hAnsi="Gill Sans MT" w:cs="Gill Sans MT"/>
          <w:kern w:val="24"/>
          <w:sz w:val="40"/>
          <w:szCs w:val="40"/>
        </w:rPr>
        <w:br/>
      </w:r>
    </w:p>
    <w:p w:rsidR="00F47604" w:rsidRPr="00F47604" w:rsidRDefault="00F47604" w:rsidP="00F47604">
      <w:pPr>
        <w:numPr>
          <w:ilvl w:val="0"/>
          <w:numId w:val="1"/>
        </w:numPr>
        <w:autoSpaceDE w:val="0"/>
        <w:autoSpaceDN w:val="0"/>
        <w:adjustRightInd w:val="0"/>
        <w:spacing w:after="0" w:line="240" w:lineRule="auto"/>
        <w:ind w:left="360" w:hanging="360"/>
        <w:rPr>
          <w:rFonts w:ascii="Gill Sans MT" w:hAnsi="Gill Sans MT" w:cs="Gill Sans MT"/>
          <w:kern w:val="24"/>
          <w:sz w:val="40"/>
          <w:szCs w:val="40"/>
        </w:rPr>
      </w:pPr>
      <w:r w:rsidRPr="00F47604">
        <w:rPr>
          <w:rFonts w:ascii="Gill Sans MT" w:hAnsi="Gill Sans MT" w:cs="Gill Sans MT"/>
          <w:kern w:val="24"/>
          <w:sz w:val="40"/>
          <w:szCs w:val="40"/>
        </w:rPr>
        <w:t>Bibliography</w:t>
      </w:r>
    </w:p>
    <w:p w:rsidR="00F47604" w:rsidRPr="00F47604" w:rsidRDefault="00F47604" w:rsidP="00F47604">
      <w:pPr>
        <w:numPr>
          <w:ilvl w:val="0"/>
          <w:numId w:val="1"/>
        </w:numPr>
        <w:autoSpaceDE w:val="0"/>
        <w:autoSpaceDN w:val="0"/>
        <w:adjustRightInd w:val="0"/>
        <w:spacing w:after="0" w:line="240" w:lineRule="auto"/>
        <w:ind w:left="360" w:hanging="360"/>
        <w:rPr>
          <w:rFonts w:ascii="Gill Sans MT" w:hAnsi="Gill Sans MT" w:cs="Gill Sans MT"/>
          <w:kern w:val="24"/>
          <w:sz w:val="40"/>
          <w:szCs w:val="40"/>
        </w:rPr>
      </w:pPr>
      <w:r w:rsidRPr="00F47604">
        <w:rPr>
          <w:rFonts w:ascii="Gill Sans MT" w:hAnsi="Gill Sans MT" w:cs="Gill Sans MT"/>
          <w:kern w:val="24"/>
          <w:sz w:val="40"/>
          <w:szCs w:val="40"/>
        </w:rPr>
        <w:t xml:space="preserve">Stoet, G. &amp; Greary, D. C. (2018).  The Gender-Equality Paradox in Science, Technology, Engineering, and Mathematics Education, </w:t>
      </w:r>
      <w:r w:rsidRPr="00F47604">
        <w:rPr>
          <w:rFonts w:ascii="Gill Sans MT" w:hAnsi="Gill Sans MT" w:cs="Gill Sans MT"/>
          <w:i/>
          <w:iCs/>
          <w:kern w:val="24"/>
          <w:sz w:val="40"/>
          <w:szCs w:val="40"/>
        </w:rPr>
        <w:t>Psychological Science</w:t>
      </w:r>
      <w:r w:rsidRPr="00F47604">
        <w:rPr>
          <w:rFonts w:ascii="Gill Sans MT" w:hAnsi="Gill Sans MT" w:cs="Gill Sans MT"/>
          <w:kern w:val="24"/>
          <w:sz w:val="40"/>
          <w:szCs w:val="40"/>
        </w:rPr>
        <w:t xml:space="preserve">, 29(4), pp. 581-593. </w:t>
      </w:r>
      <w:r w:rsidRPr="00F47604">
        <w:rPr>
          <w:rFonts w:ascii="Gill Sans MT" w:hAnsi="Gill Sans MT" w:cs="Gill Sans MT"/>
          <w:kern w:val="24"/>
          <w:sz w:val="40"/>
          <w:szCs w:val="40"/>
        </w:rPr>
        <w:br/>
        <w:t xml:space="preserve">In this article Stoet et al. review findings that suggest that countries that have achieved gender equality have, against expectations, resulted in a more pronounced gender gap of women going into STEM subjects. </w:t>
      </w:r>
      <w:r w:rsidRPr="00F47604">
        <w:rPr>
          <w:rFonts w:ascii="Gill Sans MT" w:hAnsi="Gill Sans MT" w:cs="Gill Sans MT"/>
          <w:kern w:val="24"/>
          <w:sz w:val="40"/>
          <w:szCs w:val="40"/>
        </w:rPr>
        <w:br/>
        <w:t xml:space="preserve">Their authors used data collected by PISA (the world’s largest educational survey) in a 2015 science literacy </w:t>
      </w:r>
      <w:r w:rsidRPr="00F47604">
        <w:rPr>
          <w:rFonts w:ascii="Gill Sans MT" w:hAnsi="Gill Sans MT" w:cs="Gill Sans MT"/>
          <w:kern w:val="24"/>
          <w:sz w:val="40"/>
          <w:szCs w:val="40"/>
        </w:rPr>
        <w:lastRenderedPageBreak/>
        <w:t>which also asked questions about science learning and attitudes – 519, 334 students from 72 nations and regions where participating. In order to prevent double-counting of samples, they excluded regions for which they also had national data (Massachusetts and North Carolina, several Spanish regions, and Buenos Aires, because they had data from the United States, Spain, and Argentina as a whole); this exclusion resulted in a sample of 472,242 students in 67 nations or regions (Table S1 in the Supplemental Material available online), which represents 25,141,223 students (i.e., the sum of weights provided by PISA for each student). The data set included the following regions: Hong Kong, Macao, Chinese Taipei, and the Chinese provinces of Beijing, Shanghai, Jiangsu, and Guangdong (i.e., these four Chinese provinces were combined into one sub-data set by PISA).</w:t>
      </w:r>
      <w:r w:rsidRPr="00F47604">
        <w:rPr>
          <w:rFonts w:ascii="Gill Sans MT" w:hAnsi="Gill Sans MT" w:cs="Gill Sans MT"/>
          <w:kern w:val="24"/>
          <w:sz w:val="40"/>
          <w:szCs w:val="40"/>
        </w:rPr>
        <w:br/>
        <w:t xml:space="preserve">The data they have collected here is useful in revealing a particular trend about the genders – the most important and novel finding in their opinion was how in societies which have more gender-equality the sex difference in intraindividual strength in science was higher and more favourable to boys in countries. Also that the difference between the percentage of girls with a strength in science or mathematics was always equally large or larger than the percentage of women graduating in STEM fields; importantly, this difference </w:t>
      </w:r>
      <w:r w:rsidRPr="00F47604">
        <w:rPr>
          <w:rFonts w:ascii="Gill Sans MT" w:hAnsi="Gill Sans MT" w:cs="Gill Sans MT"/>
          <w:kern w:val="24"/>
          <w:sz w:val="40"/>
          <w:szCs w:val="40"/>
        </w:rPr>
        <w:lastRenderedPageBreak/>
        <w:t>was again larger in more gender-equal countries.</w:t>
      </w:r>
      <w:r w:rsidRPr="00F47604">
        <w:rPr>
          <w:rFonts w:ascii="Gill Sans MT" w:hAnsi="Gill Sans MT" w:cs="Gill Sans MT"/>
          <w:kern w:val="24"/>
          <w:sz w:val="40"/>
          <w:szCs w:val="40"/>
        </w:rPr>
        <w:br/>
        <w:t>The conclusions from this paper was that perhaps the reason why the women in less gender egalitarian countries more pronouncedly pursued careers in a STEM subject due to the cultural conditions of poverty – having a career in STEM Subjects meant they would be more well off. After all, if absolute performance, interest, joy, and self-efficacy alone were the basis for choosing a STEM career, we would expect to see more women entering STEM career paths than do so.</w:t>
      </w:r>
      <w:r w:rsidRPr="00F47604">
        <w:rPr>
          <w:rFonts w:ascii="Gill Sans MT" w:hAnsi="Gill Sans MT" w:cs="Gill Sans MT"/>
          <w:kern w:val="24"/>
          <w:sz w:val="40"/>
          <w:szCs w:val="40"/>
        </w:rPr>
        <w:br/>
        <w:t>I feel that this research is hugely important as it suggests to us that we needn’t be astonished or perturbed now, by data or theories that suggest on aggregate psychological sex differences between the gender may and do appear – in this case when individual students came to naming their personal academic strength 24% of girls had science as their strength, 25% of girls had mathematics as their strength, and 51% had reading. The corresponding values for boys were 38% science, 42% mathematics, and 20% reading.</w:t>
      </w:r>
      <w:r w:rsidRPr="00F47604">
        <w:rPr>
          <w:rFonts w:ascii="Gill Sans MT" w:hAnsi="Gill Sans MT" w:cs="Gill Sans MT"/>
          <w:kern w:val="24"/>
          <w:sz w:val="40"/>
          <w:szCs w:val="40"/>
        </w:rPr>
        <w:br/>
      </w:r>
    </w:p>
    <w:p w:rsidR="00F47604" w:rsidRPr="00F47604" w:rsidRDefault="00F47604" w:rsidP="00F47604">
      <w:pPr>
        <w:autoSpaceDE w:val="0"/>
        <w:autoSpaceDN w:val="0"/>
        <w:adjustRightInd w:val="0"/>
        <w:spacing w:after="0" w:line="240" w:lineRule="auto"/>
        <w:ind w:left="360" w:hanging="360"/>
        <w:rPr>
          <w:rFonts w:ascii="Gill Sans MT" w:hAnsi="Gill Sans MT" w:cs="Gill Sans MT"/>
          <w:kern w:val="24"/>
          <w:sz w:val="40"/>
          <w:szCs w:val="40"/>
        </w:rPr>
      </w:pPr>
    </w:p>
    <w:p w:rsidR="00F47604" w:rsidRPr="00F47604" w:rsidRDefault="00F47604" w:rsidP="00F47604">
      <w:pPr>
        <w:numPr>
          <w:ilvl w:val="0"/>
          <w:numId w:val="1"/>
        </w:numPr>
        <w:autoSpaceDE w:val="0"/>
        <w:autoSpaceDN w:val="0"/>
        <w:adjustRightInd w:val="0"/>
        <w:spacing w:after="0" w:line="240" w:lineRule="auto"/>
        <w:ind w:left="360" w:hanging="360"/>
        <w:rPr>
          <w:rFonts w:ascii="Gill Sans MT" w:hAnsi="Gill Sans MT" w:cs="Gill Sans MT"/>
          <w:kern w:val="24"/>
          <w:sz w:val="40"/>
          <w:szCs w:val="40"/>
        </w:rPr>
      </w:pPr>
      <w:r w:rsidRPr="00F47604">
        <w:rPr>
          <w:rFonts w:ascii="Gill Sans MT" w:hAnsi="Gill Sans MT" w:cs="Gill Sans MT"/>
          <w:kern w:val="24"/>
          <w:sz w:val="40"/>
          <w:szCs w:val="40"/>
        </w:rPr>
        <w:t>bibliography</w:t>
      </w:r>
    </w:p>
    <w:p w:rsidR="00F47604" w:rsidRPr="00F47604" w:rsidRDefault="00F47604" w:rsidP="00F47604">
      <w:pPr>
        <w:numPr>
          <w:ilvl w:val="0"/>
          <w:numId w:val="1"/>
        </w:numPr>
        <w:autoSpaceDE w:val="0"/>
        <w:autoSpaceDN w:val="0"/>
        <w:adjustRightInd w:val="0"/>
        <w:spacing w:after="0" w:line="240" w:lineRule="auto"/>
        <w:ind w:left="360" w:hanging="360"/>
        <w:rPr>
          <w:rFonts w:ascii="Gill Sans MT" w:hAnsi="Gill Sans MT" w:cs="Gill Sans MT"/>
          <w:kern w:val="24"/>
          <w:sz w:val="40"/>
          <w:szCs w:val="40"/>
        </w:rPr>
      </w:pPr>
      <w:r w:rsidRPr="00F47604">
        <w:rPr>
          <w:rFonts w:ascii="Gill Sans MT" w:hAnsi="Gill Sans MT" w:cs="Gill Sans MT"/>
          <w:kern w:val="24"/>
          <w:sz w:val="40"/>
          <w:szCs w:val="40"/>
        </w:rPr>
        <w:t xml:space="preserve">Harari, Y. N. (2011). </w:t>
      </w:r>
      <w:r w:rsidRPr="00F47604">
        <w:rPr>
          <w:rFonts w:ascii="Gill Sans MT" w:hAnsi="Gill Sans MT" w:cs="Gill Sans MT"/>
          <w:i/>
          <w:iCs/>
          <w:kern w:val="24"/>
          <w:sz w:val="40"/>
          <w:szCs w:val="40"/>
        </w:rPr>
        <w:t>Sapiens: A brief history of humankind</w:t>
      </w:r>
      <w:r w:rsidRPr="00F47604">
        <w:rPr>
          <w:rFonts w:ascii="Gill Sans MT" w:hAnsi="Gill Sans MT" w:cs="Gill Sans MT"/>
          <w:kern w:val="24"/>
          <w:sz w:val="40"/>
          <w:szCs w:val="40"/>
        </w:rPr>
        <w:t xml:space="preserve">. 20 Vauxhall Bridge Road, London, SW1V 2SA, Vintage </w:t>
      </w:r>
      <w:r w:rsidRPr="00F47604">
        <w:rPr>
          <w:rFonts w:ascii="Gill Sans MT" w:hAnsi="Gill Sans MT" w:cs="Gill Sans MT"/>
          <w:kern w:val="24"/>
          <w:sz w:val="40"/>
          <w:szCs w:val="40"/>
        </w:rPr>
        <w:br/>
        <w:t xml:space="preserve">In this extract from his book, Yuval Noah Harari </w:t>
      </w:r>
      <w:r w:rsidRPr="00F47604">
        <w:rPr>
          <w:rFonts w:ascii="Gill Sans MT" w:hAnsi="Gill Sans MT" w:cs="Gill Sans MT"/>
          <w:kern w:val="24"/>
          <w:sz w:val="40"/>
          <w:szCs w:val="40"/>
        </w:rPr>
        <w:lastRenderedPageBreak/>
        <w:t xml:space="preserve">explores the question on why the vast majority of human societies since the agricultural revolution have been patriarchal (where masculine qualities, something that men could only express, were more valued than those considered feminine), remaining a constant despite many political upheavals, social revolutions and economic transformations through human history. Argues that in all likelihood there could be some universal biological reason for why almost all cultures valued manhood over womanhood. Harari uses analysis of history and biology to show how various theories of male dominance (i.e. the advantage of physical strength and brute force, the more aggressive tendencies, the men who have prominently ambitious, competitive and aggressive genes were selected by natural selection) are all incoherent when considered by facts. Ultimately Harari cannot provide any coherent or compelling answers himself, but in his conclusion,  he does raise important question. He doesn’t cite all of the facts in his work, but his reasoning is sound enough to simply refute common arguments, and he doesn’t make any overarching claims of his own. His concludes by remarking that the speed at which gender roles have undergone a social transformation is what is making the history of gender so bewildering. If, as is being demonstrated today so clearly, the patriarchal system has been based on unfounded myths rather than on </w:t>
      </w:r>
      <w:r w:rsidRPr="00F47604">
        <w:rPr>
          <w:rFonts w:ascii="Gill Sans MT" w:hAnsi="Gill Sans MT" w:cs="Gill Sans MT"/>
          <w:kern w:val="24"/>
          <w:sz w:val="40"/>
          <w:szCs w:val="40"/>
        </w:rPr>
        <w:lastRenderedPageBreak/>
        <w:t xml:space="preserve">biological facts, what would explain the historical universality and stability of the system. It is particularly bizarre he notes that among a species whose success depends above all on cooperation, individuals who are supposedly less cooperative (men) control on the whole individuals who are supposedly more cooperative (women)? A huge takeaway from this piece of work is the knowledge that much of the common stereotypes about women among societies could be even further from the truth than I realised. </w:t>
      </w:r>
      <w:r w:rsidRPr="00F47604">
        <w:rPr>
          <w:rFonts w:ascii="Gill Sans MT" w:hAnsi="Gill Sans MT" w:cs="Gill Sans MT"/>
          <w:kern w:val="24"/>
          <w:sz w:val="40"/>
          <w:szCs w:val="40"/>
        </w:rPr>
        <w:br/>
      </w:r>
    </w:p>
    <w:p w:rsidR="00F47604" w:rsidRPr="00F47604" w:rsidRDefault="00F47604" w:rsidP="00F47604">
      <w:pPr>
        <w:autoSpaceDE w:val="0"/>
        <w:autoSpaceDN w:val="0"/>
        <w:adjustRightInd w:val="0"/>
        <w:spacing w:after="0" w:line="240" w:lineRule="auto"/>
        <w:ind w:left="360" w:hanging="360"/>
        <w:rPr>
          <w:rFonts w:ascii="Gill Sans MT" w:hAnsi="Gill Sans MT" w:cs="Gill Sans MT"/>
          <w:kern w:val="24"/>
          <w:sz w:val="40"/>
          <w:szCs w:val="40"/>
        </w:rPr>
      </w:pPr>
    </w:p>
    <w:p w:rsidR="00F47604" w:rsidRPr="00F47604" w:rsidRDefault="00F47604" w:rsidP="00F47604">
      <w:pPr>
        <w:numPr>
          <w:ilvl w:val="0"/>
          <w:numId w:val="1"/>
        </w:numPr>
        <w:autoSpaceDE w:val="0"/>
        <w:autoSpaceDN w:val="0"/>
        <w:adjustRightInd w:val="0"/>
        <w:spacing w:after="0" w:line="240" w:lineRule="auto"/>
        <w:ind w:left="360" w:hanging="360"/>
        <w:rPr>
          <w:rFonts w:ascii="Gill Sans MT" w:hAnsi="Gill Sans MT" w:cs="Gill Sans MT"/>
          <w:kern w:val="24"/>
          <w:sz w:val="40"/>
          <w:szCs w:val="40"/>
        </w:rPr>
      </w:pPr>
      <w:r w:rsidRPr="00F47604">
        <w:rPr>
          <w:rFonts w:ascii="Gill Sans MT" w:hAnsi="Gill Sans MT" w:cs="Gill Sans MT"/>
          <w:kern w:val="24"/>
          <w:sz w:val="40"/>
          <w:szCs w:val="40"/>
        </w:rPr>
        <w:t>Bibliography</w:t>
      </w:r>
    </w:p>
    <w:p w:rsidR="00F47604" w:rsidRPr="00F47604" w:rsidRDefault="00F47604" w:rsidP="00F47604">
      <w:pPr>
        <w:numPr>
          <w:ilvl w:val="0"/>
          <w:numId w:val="7"/>
        </w:numPr>
        <w:autoSpaceDE w:val="0"/>
        <w:autoSpaceDN w:val="0"/>
        <w:adjustRightInd w:val="0"/>
        <w:spacing w:after="0" w:line="240" w:lineRule="auto"/>
        <w:ind w:left="360" w:hanging="360"/>
        <w:rPr>
          <w:rFonts w:ascii="Gill Sans MT" w:hAnsi="Gill Sans MT" w:cs="Gill Sans MT"/>
          <w:kern w:val="24"/>
          <w:sz w:val="20"/>
          <w:szCs w:val="20"/>
        </w:rPr>
      </w:pPr>
      <w:r w:rsidRPr="00F47604">
        <w:rPr>
          <w:rFonts w:ascii="Gill Sans MT" w:hAnsi="Gill Sans MT" w:cs="Gill Sans MT"/>
          <w:kern w:val="24"/>
          <w:sz w:val="20"/>
          <w:szCs w:val="20"/>
        </w:rPr>
        <w:t xml:space="preserve">Ortner, S. (1974). `Is Female to Male as Nature Is to Culture` from </w:t>
      </w:r>
      <w:r w:rsidRPr="00F47604">
        <w:rPr>
          <w:rFonts w:ascii="Gill Sans MT" w:hAnsi="Gill Sans MT" w:cs="Gill Sans MT"/>
          <w:i/>
          <w:iCs/>
          <w:kern w:val="24"/>
          <w:sz w:val="20"/>
          <w:szCs w:val="20"/>
        </w:rPr>
        <w:t>Women, Culture and Society</w:t>
      </w:r>
      <w:r w:rsidRPr="00F47604">
        <w:rPr>
          <w:rFonts w:ascii="Gill Sans MT" w:hAnsi="Gill Sans MT" w:cs="Gill Sans MT"/>
          <w:kern w:val="24"/>
          <w:sz w:val="20"/>
          <w:szCs w:val="20"/>
        </w:rPr>
        <w:t xml:space="preserve">, California: Stanford University Press(2) Sherry Ortner recognises along with Yuval Noah Harari that female suppression is almost universal, even if it manifests itself culturally in a variety of ways. She claims within her own paper that her goal is to “expose the underlying logic of cultural thinking that assumes the inferiority of women; I try to show the highly persuasive nature of the logic, for if it were not so persuasive, people would not keep subscribing to it. But I also try to show the social and cultural sources of that logic, to indicate wherein lies the potential for change”. She principally focuses on the universal devaluation of women. Ortner defines certain evidence that she feels indicates whether a specific culture would consider women inferior: Elements of Cultural Ideology and informant’s statements that explicitly devalue women, according them, their roles, their tasks, their products and their social milieu les prestige than are accorded men and the male correlates (2) Symbolic devices, such as attribution of defilement, which may be interpreted as implicitly making a statement of inferior valuation and (3)Social-structural arrangements that exclude women from participation in or contact with some realm in which the highest powers of the society 4) Her main questions are what part of the realm of universals in the human condition explains the fact of female devaluation. </w:t>
      </w:r>
      <w:r w:rsidRPr="00F47604">
        <w:rPr>
          <w:rFonts w:ascii="Gill Sans MT" w:hAnsi="Gill Sans MT" w:cs="Gill Sans MT"/>
          <w:kern w:val="24"/>
          <w:sz w:val="20"/>
          <w:szCs w:val="20"/>
        </w:rPr>
        <w:br/>
        <w:t>Ortner ultimately suggests the women may be universally identified with or symbolised with what every culture devalues or defines as a lower order existence than itself – which she says is nature, as every culture is trying to get humanity to transcend nature and natural conditions itself. Cultures naturally associate women with nature from the occurrence of simple natural processes of the women’s body (i.e. menstruation) and also due to the more prominent role women traditionally play in childcare and so the cultures then find it natural to subordinate. Sherry Ortner summarises it by saying “(a) woman’s body seems to doom her to mere reproduction of life; the male, in contrast, lacking natural creative functions, must (or has the opportunity to) assert his creativity externally, ”artificially”, through the medium of technology and symbols. In doing so, he creates relatively lasting, eternal, transcendent objects, while the women creates only perishables – human beings”. Ortner says women are barred from participation in what is considered to be the higher levels of the culture</w:t>
      </w:r>
      <w:r w:rsidRPr="00F47604">
        <w:rPr>
          <w:rFonts w:ascii="Gill Sans MT" w:hAnsi="Gill Sans MT" w:cs="Gill Sans MT"/>
          <w:kern w:val="24"/>
          <w:sz w:val="20"/>
          <w:szCs w:val="20"/>
        </w:rPr>
        <w:br/>
        <w:t xml:space="preserve">One problem with the paper is the lack of ethnographic detail Ortner presents – she however did reference much theory from other Anthropologist’s and Philosophers works, many of them regarded as the most prominent in the field. Her inquiry can prove useful to me as by tackling the empirically strong inequality between men and women could indeed be a key clue to working out what are the cultural ideology and </w:t>
      </w:r>
      <w:r w:rsidRPr="00F47604">
        <w:rPr>
          <w:rFonts w:ascii="Gill Sans MT" w:hAnsi="Gill Sans MT" w:cs="Gill Sans MT"/>
          <w:kern w:val="24"/>
          <w:sz w:val="20"/>
          <w:szCs w:val="20"/>
        </w:rPr>
        <w:lastRenderedPageBreak/>
        <w:t xml:space="preserve">cosmology that dominates human’s thinking on gender (assuming like Sherry Ortner does that this inequality is not an inevitable result of biological determinism. </w:t>
      </w:r>
      <w:r w:rsidRPr="00F47604">
        <w:rPr>
          <w:rFonts w:ascii="Gill Sans MT" w:hAnsi="Gill Sans MT" w:cs="Gill Sans MT"/>
          <w:kern w:val="24"/>
          <w:sz w:val="20"/>
          <w:szCs w:val="20"/>
        </w:rPr>
        <w:br/>
        <w:t xml:space="preserve">In conclusion, Ortner summarises that cultures have taken the surface image of women as being closer to nature and the notion has become deeply ingrained as a result into culture, and only consciousness raising </w:t>
      </w:r>
      <w:r w:rsidRPr="00F47604">
        <w:rPr>
          <w:rFonts w:ascii="Gill Sans MT" w:hAnsi="Gill Sans MT" w:cs="Gill Sans MT"/>
          <w:kern w:val="24"/>
          <w:sz w:val="20"/>
          <w:szCs w:val="20"/>
        </w:rPr>
        <w:br/>
      </w:r>
    </w:p>
    <w:p w:rsidR="00F47604" w:rsidRPr="00F47604" w:rsidRDefault="00F47604" w:rsidP="00F47604">
      <w:pPr>
        <w:autoSpaceDE w:val="0"/>
        <w:autoSpaceDN w:val="0"/>
        <w:adjustRightInd w:val="0"/>
        <w:spacing w:after="0" w:line="240" w:lineRule="auto"/>
        <w:ind w:left="360" w:hanging="360"/>
        <w:rPr>
          <w:rFonts w:ascii="Gill Sans MT" w:hAnsi="Gill Sans MT" w:cs="Gill Sans MT"/>
          <w:kern w:val="24"/>
          <w:sz w:val="40"/>
          <w:szCs w:val="40"/>
        </w:rPr>
      </w:pPr>
    </w:p>
    <w:p w:rsidR="00F47604" w:rsidRPr="00F47604" w:rsidRDefault="00F47604" w:rsidP="00F47604">
      <w:pPr>
        <w:numPr>
          <w:ilvl w:val="0"/>
          <w:numId w:val="8"/>
        </w:numPr>
        <w:autoSpaceDE w:val="0"/>
        <w:autoSpaceDN w:val="0"/>
        <w:adjustRightInd w:val="0"/>
        <w:spacing w:after="0" w:line="240" w:lineRule="auto"/>
        <w:ind w:left="360" w:hanging="360"/>
        <w:rPr>
          <w:rFonts w:ascii="Gill Sans MT" w:hAnsi="Gill Sans MT" w:cs="Gill Sans MT"/>
          <w:kern w:val="24"/>
          <w:sz w:val="50"/>
          <w:szCs w:val="50"/>
        </w:rPr>
      </w:pPr>
      <w:r w:rsidRPr="00F47604">
        <w:rPr>
          <w:rFonts w:ascii="Gill Sans MT" w:hAnsi="Gill Sans MT" w:cs="Gill Sans MT"/>
          <w:kern w:val="24"/>
          <w:sz w:val="50"/>
          <w:szCs w:val="50"/>
        </w:rPr>
        <w:t xml:space="preserve">Bamberger, J. (1974).  `The Myth of Matriarchy: Why Men rule in Primitive Societies` </w:t>
      </w:r>
      <w:r w:rsidRPr="00F47604">
        <w:rPr>
          <w:rFonts w:ascii="Gill Sans MT" w:hAnsi="Gill Sans MT" w:cs="Gill Sans MT"/>
          <w:i/>
          <w:iCs/>
          <w:kern w:val="24"/>
          <w:sz w:val="50"/>
          <w:szCs w:val="50"/>
        </w:rPr>
        <w:t xml:space="preserve"> Women, Culture and Society</w:t>
      </w:r>
      <w:r w:rsidRPr="00F47604">
        <w:rPr>
          <w:rFonts w:ascii="Gill Sans MT" w:hAnsi="Gill Sans MT" w:cs="Gill Sans MT"/>
          <w:kern w:val="24"/>
          <w:sz w:val="50"/>
          <w:szCs w:val="50"/>
        </w:rPr>
        <w:t>, California: Stanford University Press</w:t>
      </w:r>
      <w:r w:rsidRPr="00F47604">
        <w:rPr>
          <w:rFonts w:ascii="Gill Sans MT" w:hAnsi="Gill Sans MT" w:cs="Gill Sans MT"/>
          <w:kern w:val="24"/>
          <w:sz w:val="50"/>
          <w:szCs w:val="50"/>
        </w:rPr>
        <w:br/>
        <w:t xml:space="preserve">Joan Bamberger introduces us to the different accounts of mythology which stated women had in earlier historical periods held power, </w:t>
      </w:r>
      <w:r w:rsidRPr="00F47604">
        <w:rPr>
          <w:rFonts w:ascii="Gill Sans MT" w:hAnsi="Gill Sans MT" w:cs="Gill Sans MT"/>
          <w:kern w:val="24"/>
          <w:sz w:val="50"/>
          <w:szCs w:val="50"/>
        </w:rPr>
        <w:br/>
        <w:t xml:space="preserve">She draws upon and discusses the differing accounts of : people who have drawn upon roman law and the early chapters of genesis Johann Jakob Bachofen who argued from many mainly poetic and dubiously historical sources (Hesiod, Pindar, Ovid, Virgil, Horace, </w:t>
      </w:r>
      <w:r w:rsidRPr="00F47604">
        <w:rPr>
          <w:rFonts w:ascii="Gill Sans MT" w:hAnsi="Gill Sans MT" w:cs="Gill Sans MT"/>
          <w:i/>
          <w:iCs/>
          <w:kern w:val="24"/>
          <w:sz w:val="50"/>
          <w:szCs w:val="50"/>
        </w:rPr>
        <w:t>the Iliad</w:t>
      </w:r>
      <w:r w:rsidRPr="00F47604">
        <w:rPr>
          <w:rFonts w:ascii="Gill Sans MT" w:hAnsi="Gill Sans MT" w:cs="Gill Sans MT"/>
          <w:kern w:val="24"/>
          <w:sz w:val="50"/>
          <w:szCs w:val="50"/>
        </w:rPr>
        <w:t xml:space="preserve"> and </w:t>
      </w:r>
      <w:r w:rsidRPr="00F47604">
        <w:rPr>
          <w:rFonts w:ascii="Gill Sans MT" w:hAnsi="Gill Sans MT" w:cs="Gill Sans MT"/>
          <w:i/>
          <w:iCs/>
          <w:kern w:val="24"/>
          <w:sz w:val="50"/>
          <w:szCs w:val="50"/>
        </w:rPr>
        <w:t>the Odyssey</w:t>
      </w:r>
      <w:r w:rsidRPr="00F47604">
        <w:rPr>
          <w:rFonts w:ascii="Gill Sans MT" w:hAnsi="Gill Sans MT" w:cs="Gill Sans MT"/>
          <w:kern w:val="24"/>
          <w:sz w:val="50"/>
          <w:szCs w:val="50"/>
        </w:rPr>
        <w:t xml:space="preserve">, Herodotus and Strabo) to form his book </w:t>
      </w:r>
      <w:r w:rsidRPr="00F47604">
        <w:rPr>
          <w:rFonts w:ascii="Gill Sans MT" w:hAnsi="Gill Sans MT" w:cs="Gill Sans MT"/>
          <w:i/>
          <w:iCs/>
          <w:kern w:val="24"/>
          <w:sz w:val="50"/>
          <w:szCs w:val="50"/>
        </w:rPr>
        <w:t>Das Mutterrecht</w:t>
      </w:r>
      <w:r w:rsidRPr="00F47604">
        <w:rPr>
          <w:rFonts w:ascii="Gill Sans MT" w:hAnsi="Gill Sans MT" w:cs="Gill Sans MT"/>
          <w:kern w:val="24"/>
          <w:sz w:val="50"/>
          <w:szCs w:val="50"/>
        </w:rPr>
        <w:t xml:space="preserve"> (Mother Right) – Bachofen’s work was also compromised as he was writing before Bamberger concluded that Bachofen’s </w:t>
      </w:r>
      <w:r w:rsidRPr="00F47604">
        <w:rPr>
          <w:rFonts w:ascii="Gill Sans MT" w:hAnsi="Gill Sans MT" w:cs="Gill Sans MT"/>
          <w:kern w:val="24"/>
          <w:sz w:val="50"/>
          <w:szCs w:val="50"/>
        </w:rPr>
        <w:lastRenderedPageBreak/>
        <w:t xml:space="preserve">conception of a dominant matriarch was quite different from the image of a modern liberated women – his conception bore a closer image to the mid-Victorian concept of a perfect woman “whose unblemished  beauty, whose chastity and high-minded-ness” inspired men to do deeds of chivalry and bravery for her sake (to quote Bachofen himself). Bamberger also draws upon various other accounts of the mythology of other ethnographic groups such as the </w:t>
      </w:r>
      <w:proofErr w:type="spellStart"/>
      <w:r w:rsidRPr="00F47604">
        <w:rPr>
          <w:rFonts w:ascii="Gill Sans MT" w:hAnsi="Gill Sans MT" w:cs="Gill Sans MT"/>
          <w:kern w:val="24"/>
          <w:sz w:val="50"/>
          <w:szCs w:val="50"/>
        </w:rPr>
        <w:t>Juyupari</w:t>
      </w:r>
      <w:proofErr w:type="spellEnd"/>
      <w:r w:rsidRPr="00F47604">
        <w:rPr>
          <w:rFonts w:ascii="Gill Sans MT" w:hAnsi="Gill Sans MT" w:cs="Gill Sans MT"/>
          <w:kern w:val="24"/>
          <w:sz w:val="50"/>
          <w:szCs w:val="50"/>
        </w:rPr>
        <w:t xml:space="preserve"> and </w:t>
      </w:r>
      <w:proofErr w:type="spellStart"/>
      <w:r w:rsidRPr="00F47604">
        <w:rPr>
          <w:rFonts w:ascii="Gill Sans MT" w:hAnsi="Gill Sans MT" w:cs="Gill Sans MT"/>
          <w:kern w:val="24"/>
          <w:sz w:val="50"/>
          <w:szCs w:val="50"/>
        </w:rPr>
        <w:t>Yamana</w:t>
      </w:r>
      <w:proofErr w:type="spellEnd"/>
      <w:r w:rsidRPr="00F47604">
        <w:rPr>
          <w:rFonts w:ascii="Gill Sans MT" w:hAnsi="Gill Sans MT" w:cs="Gill Sans MT"/>
          <w:kern w:val="24"/>
          <w:sz w:val="50"/>
          <w:szCs w:val="50"/>
        </w:rPr>
        <w:t xml:space="preserve"> people,</w:t>
      </w:r>
      <w:r w:rsidRPr="00F47604">
        <w:rPr>
          <w:rFonts w:ascii="Gill Sans MT" w:hAnsi="Gill Sans MT" w:cs="Gill Sans MT"/>
          <w:kern w:val="24"/>
          <w:sz w:val="50"/>
          <w:szCs w:val="50"/>
        </w:rPr>
        <w:br/>
        <w:t xml:space="preserve">Historically there have been many myths about matriarchy which express women as having possessed prestige – only to lose it due to their own flaws (i.e. unbridled sexuality). In her own words, the myth in its reiteration that women did not know how to handle power when in possession of it, reaffirms dogmatically the inferiority of their present position. Joan Bamberger concludes, quite dramatically, that the myth of </w:t>
      </w:r>
      <w:r w:rsidRPr="00F47604">
        <w:rPr>
          <w:rFonts w:ascii="Gill Sans MT" w:hAnsi="Gill Sans MT" w:cs="Gill Sans MT"/>
          <w:kern w:val="24"/>
          <w:sz w:val="50"/>
          <w:szCs w:val="50"/>
        </w:rPr>
        <w:lastRenderedPageBreak/>
        <w:t>matriarchy is a tool used to continually oppress women – and to free her, women (and men) need to destroy this myth.</w:t>
      </w:r>
      <w:r w:rsidRPr="00F47604">
        <w:rPr>
          <w:rFonts w:ascii="Gill Sans MT" w:hAnsi="Gill Sans MT" w:cs="Gill Sans MT"/>
          <w:kern w:val="24"/>
          <w:sz w:val="50"/>
          <w:szCs w:val="50"/>
        </w:rPr>
        <w:br/>
        <w:t xml:space="preserve">Whether this analysis helps us understand more about the root causes of oppression and inequality among the sexes I am not sure however.  </w:t>
      </w:r>
    </w:p>
    <w:p w:rsidR="00F47604" w:rsidRPr="00F47604" w:rsidRDefault="00F47604" w:rsidP="00F47604">
      <w:pPr>
        <w:autoSpaceDE w:val="0"/>
        <w:autoSpaceDN w:val="0"/>
        <w:adjustRightInd w:val="0"/>
        <w:spacing w:after="0" w:line="240" w:lineRule="auto"/>
        <w:ind w:left="360" w:hanging="360"/>
        <w:rPr>
          <w:rFonts w:ascii="Gill Sans MT" w:hAnsi="Gill Sans MT" w:cs="Gill Sans MT"/>
          <w:kern w:val="24"/>
          <w:sz w:val="40"/>
          <w:szCs w:val="40"/>
        </w:rPr>
      </w:pPr>
    </w:p>
    <w:p w:rsidR="00F47604" w:rsidRPr="00F47604" w:rsidRDefault="00F47604" w:rsidP="00F47604">
      <w:pPr>
        <w:numPr>
          <w:ilvl w:val="0"/>
          <w:numId w:val="1"/>
        </w:numPr>
        <w:autoSpaceDE w:val="0"/>
        <w:autoSpaceDN w:val="0"/>
        <w:adjustRightInd w:val="0"/>
        <w:spacing w:after="0" w:line="240" w:lineRule="auto"/>
        <w:ind w:left="360" w:hanging="360"/>
        <w:rPr>
          <w:rFonts w:ascii="Gill Sans MT" w:hAnsi="Gill Sans MT" w:cs="Gill Sans MT"/>
          <w:kern w:val="24"/>
          <w:sz w:val="40"/>
          <w:szCs w:val="40"/>
        </w:rPr>
      </w:pPr>
      <w:r w:rsidRPr="00F47604">
        <w:rPr>
          <w:rFonts w:ascii="Gill Sans MT" w:hAnsi="Gill Sans MT" w:cs="Gill Sans MT"/>
          <w:kern w:val="24"/>
          <w:sz w:val="40"/>
          <w:szCs w:val="40"/>
        </w:rPr>
        <w:t>How do the  Achuar compare to the Bibliography texts?</w:t>
      </w:r>
    </w:p>
    <w:p w:rsidR="00F47604" w:rsidRPr="00F47604" w:rsidRDefault="00F47604" w:rsidP="00F47604">
      <w:pPr>
        <w:numPr>
          <w:ilvl w:val="0"/>
          <w:numId w:val="1"/>
        </w:numPr>
        <w:autoSpaceDE w:val="0"/>
        <w:autoSpaceDN w:val="0"/>
        <w:adjustRightInd w:val="0"/>
        <w:spacing w:after="0" w:line="240" w:lineRule="auto"/>
        <w:ind w:left="360" w:hanging="360"/>
        <w:rPr>
          <w:rFonts w:ascii="Gill Sans MT" w:hAnsi="Gill Sans MT" w:cs="Gill Sans MT"/>
          <w:kern w:val="24"/>
          <w:sz w:val="40"/>
          <w:szCs w:val="40"/>
        </w:rPr>
      </w:pPr>
      <w:r w:rsidRPr="00F47604">
        <w:rPr>
          <w:rFonts w:ascii="Gill Sans MT" w:hAnsi="Gill Sans MT" w:cs="Gill Sans MT"/>
          <w:kern w:val="24"/>
          <w:sz w:val="40"/>
          <w:szCs w:val="40"/>
        </w:rPr>
        <w:t xml:space="preserve">They don’t stigmatise women for menstruation or consider them dirty or polluted as a result of it – however they do consider themselves to be on similar level to nature in that they believe that natural organisms such as plants and animals like them is imbued with a soul – they have full personhood in Achuar culture. </w:t>
      </w:r>
      <w:r w:rsidRPr="00F47604">
        <w:rPr>
          <w:rFonts w:ascii="Gill Sans MT" w:hAnsi="Gill Sans MT" w:cs="Gill Sans MT"/>
          <w:kern w:val="24"/>
          <w:sz w:val="40"/>
          <w:szCs w:val="40"/>
        </w:rPr>
        <w:br/>
      </w:r>
      <w:proofErr w:type="gramStart"/>
      <w:r w:rsidRPr="00F47604">
        <w:rPr>
          <w:rFonts w:ascii="Gill Sans MT" w:hAnsi="Gill Sans MT" w:cs="Gill Sans MT"/>
          <w:kern w:val="24"/>
          <w:sz w:val="40"/>
          <w:szCs w:val="40"/>
        </w:rPr>
        <w:t>Thus</w:t>
      </w:r>
      <w:proofErr w:type="gramEnd"/>
      <w:r w:rsidRPr="00F47604">
        <w:rPr>
          <w:rFonts w:ascii="Gill Sans MT" w:hAnsi="Gill Sans MT" w:cs="Gill Sans MT"/>
          <w:kern w:val="24"/>
          <w:sz w:val="40"/>
          <w:szCs w:val="40"/>
        </w:rPr>
        <w:t xml:space="preserve"> if women are associated with nature like Ortner suggests, this may not be such a problem for the genders necessarily.  The women do have strong influence over those within their immediate family</w:t>
      </w:r>
    </w:p>
    <w:p w:rsidR="00F47604" w:rsidRPr="00F47604" w:rsidRDefault="00F47604" w:rsidP="00F47604">
      <w:pPr>
        <w:numPr>
          <w:ilvl w:val="0"/>
          <w:numId w:val="1"/>
        </w:numPr>
        <w:autoSpaceDE w:val="0"/>
        <w:autoSpaceDN w:val="0"/>
        <w:adjustRightInd w:val="0"/>
        <w:spacing w:after="0" w:line="240" w:lineRule="auto"/>
        <w:ind w:left="360" w:hanging="360"/>
        <w:rPr>
          <w:rFonts w:ascii="Gill Sans MT" w:hAnsi="Gill Sans MT" w:cs="Gill Sans MT"/>
          <w:kern w:val="24"/>
          <w:sz w:val="40"/>
          <w:szCs w:val="40"/>
        </w:rPr>
      </w:pPr>
      <w:r w:rsidRPr="00F47604">
        <w:rPr>
          <w:rFonts w:ascii="Gill Sans MT" w:hAnsi="Gill Sans MT" w:cs="Gill Sans MT"/>
          <w:kern w:val="24"/>
          <w:sz w:val="40"/>
          <w:szCs w:val="40"/>
        </w:rPr>
        <w:t xml:space="preserve">And women’s work is considered of equal respect and worth in their culture – which makes the fact that women are considered free to engage in men’s activities (while men are less likely to engage in women’s activities) is peculiar – it is almost as though </w:t>
      </w:r>
      <w:r w:rsidRPr="00F47604">
        <w:rPr>
          <w:rFonts w:ascii="Gill Sans MT" w:hAnsi="Gill Sans MT" w:cs="Gill Sans MT"/>
          <w:kern w:val="24"/>
          <w:sz w:val="40"/>
          <w:szCs w:val="40"/>
        </w:rPr>
        <w:lastRenderedPageBreak/>
        <w:t>there is more worth in men’s activities after all from their view.</w:t>
      </w:r>
    </w:p>
    <w:p w:rsidR="00F47604" w:rsidRPr="00F47604" w:rsidRDefault="00F47604" w:rsidP="00F47604">
      <w:pPr>
        <w:numPr>
          <w:ilvl w:val="0"/>
          <w:numId w:val="1"/>
        </w:numPr>
        <w:autoSpaceDE w:val="0"/>
        <w:autoSpaceDN w:val="0"/>
        <w:adjustRightInd w:val="0"/>
        <w:spacing w:after="0" w:line="240" w:lineRule="auto"/>
        <w:ind w:left="360" w:hanging="360"/>
        <w:rPr>
          <w:rFonts w:ascii="Gill Sans MT" w:hAnsi="Gill Sans MT" w:cs="Gill Sans MT"/>
          <w:kern w:val="24"/>
          <w:sz w:val="40"/>
          <w:szCs w:val="40"/>
        </w:rPr>
      </w:pPr>
      <w:r w:rsidRPr="00F47604">
        <w:rPr>
          <w:rFonts w:ascii="Gill Sans MT" w:hAnsi="Gill Sans MT" w:cs="Gill Sans MT"/>
          <w:kern w:val="24"/>
          <w:sz w:val="40"/>
          <w:szCs w:val="40"/>
        </w:rPr>
        <w:t>In contrast to what Joan Bamberger says</w:t>
      </w:r>
    </w:p>
    <w:p w:rsidR="00F47604" w:rsidRPr="00F47604" w:rsidRDefault="00F47604" w:rsidP="00F47604">
      <w:pPr>
        <w:numPr>
          <w:ilvl w:val="0"/>
          <w:numId w:val="1"/>
        </w:numPr>
        <w:autoSpaceDE w:val="0"/>
        <w:autoSpaceDN w:val="0"/>
        <w:adjustRightInd w:val="0"/>
        <w:spacing w:after="0" w:line="240" w:lineRule="auto"/>
        <w:ind w:left="360" w:hanging="360"/>
        <w:rPr>
          <w:rFonts w:ascii="Gill Sans MT" w:hAnsi="Gill Sans MT" w:cs="Gill Sans MT"/>
          <w:kern w:val="24"/>
          <w:sz w:val="40"/>
          <w:szCs w:val="40"/>
        </w:rPr>
      </w:pPr>
      <w:r w:rsidRPr="00F47604">
        <w:rPr>
          <w:rFonts w:ascii="Gill Sans MT" w:hAnsi="Gill Sans MT" w:cs="Gill Sans MT"/>
          <w:kern w:val="24"/>
          <w:sz w:val="40"/>
          <w:szCs w:val="40"/>
        </w:rPr>
        <w:t>The practice of polygyny is something that reflects cultural norms – perhaps men need to compete for a certain level of wives – the culture of taking more wives to build alliances might ironically be helping to perpetuate conflict within the Achuar – thus perhaps Jared Diamond’s points about monogamy within homo sapiens being entirely evolutionary could be subject to further scrutiny</w:t>
      </w:r>
    </w:p>
    <w:p w:rsidR="00F47604" w:rsidRPr="00F47604" w:rsidRDefault="00F47604" w:rsidP="00F47604">
      <w:pPr>
        <w:numPr>
          <w:ilvl w:val="0"/>
          <w:numId w:val="1"/>
        </w:numPr>
        <w:autoSpaceDE w:val="0"/>
        <w:autoSpaceDN w:val="0"/>
        <w:adjustRightInd w:val="0"/>
        <w:spacing w:after="0" w:line="240" w:lineRule="auto"/>
        <w:ind w:left="360" w:hanging="360"/>
        <w:rPr>
          <w:rFonts w:ascii="Gill Sans MT" w:hAnsi="Gill Sans MT" w:cs="Gill Sans MT"/>
          <w:kern w:val="24"/>
          <w:sz w:val="40"/>
          <w:szCs w:val="40"/>
        </w:rPr>
      </w:pPr>
      <w:r w:rsidRPr="00F47604">
        <w:rPr>
          <w:rFonts w:ascii="Gill Sans MT" w:hAnsi="Gill Sans MT" w:cs="Gill Sans MT"/>
          <w:kern w:val="24"/>
          <w:sz w:val="40"/>
          <w:szCs w:val="40"/>
        </w:rPr>
        <w:t xml:space="preserve">Why men have control over the women when it comes to arranging marriage is somewhat odd </w:t>
      </w:r>
    </w:p>
    <w:p w:rsidR="00F47604" w:rsidRPr="00F47604" w:rsidRDefault="00F47604" w:rsidP="00F47604">
      <w:pPr>
        <w:numPr>
          <w:ilvl w:val="0"/>
          <w:numId w:val="1"/>
        </w:numPr>
        <w:autoSpaceDE w:val="0"/>
        <w:autoSpaceDN w:val="0"/>
        <w:adjustRightInd w:val="0"/>
        <w:spacing w:after="0" w:line="240" w:lineRule="auto"/>
        <w:ind w:left="360" w:hanging="360"/>
        <w:rPr>
          <w:rFonts w:ascii="Gill Sans MT" w:hAnsi="Gill Sans MT" w:cs="Gill Sans MT"/>
          <w:kern w:val="24"/>
          <w:sz w:val="40"/>
          <w:szCs w:val="40"/>
        </w:rPr>
      </w:pPr>
      <w:r w:rsidRPr="00F47604">
        <w:rPr>
          <w:rFonts w:ascii="Gill Sans MT" w:hAnsi="Gill Sans MT" w:cs="Gill Sans MT"/>
          <w:kern w:val="24"/>
          <w:sz w:val="40"/>
          <w:szCs w:val="40"/>
        </w:rPr>
        <w:t xml:space="preserve">Glossary on Gender </w:t>
      </w:r>
    </w:p>
    <w:p w:rsidR="00F47604" w:rsidRPr="00F47604" w:rsidRDefault="00F47604" w:rsidP="00F47604">
      <w:pPr>
        <w:numPr>
          <w:ilvl w:val="0"/>
          <w:numId w:val="1"/>
        </w:numPr>
        <w:autoSpaceDE w:val="0"/>
        <w:autoSpaceDN w:val="0"/>
        <w:adjustRightInd w:val="0"/>
        <w:spacing w:after="0" w:line="240" w:lineRule="auto"/>
        <w:ind w:left="360" w:hanging="360"/>
        <w:rPr>
          <w:rFonts w:ascii="Gill Sans MT" w:hAnsi="Gill Sans MT" w:cs="Gill Sans MT"/>
          <w:kern w:val="24"/>
          <w:sz w:val="40"/>
          <w:szCs w:val="40"/>
        </w:rPr>
      </w:pPr>
      <w:r w:rsidRPr="00F47604">
        <w:rPr>
          <w:rFonts w:ascii="Gill Sans MT" w:hAnsi="Gill Sans MT" w:cs="Gill Sans MT"/>
          <w:kern w:val="24"/>
          <w:sz w:val="40"/>
          <w:szCs w:val="40"/>
        </w:rPr>
        <w:t xml:space="preserve">Gender = The expression of sexual identity </w:t>
      </w:r>
    </w:p>
    <w:p w:rsidR="00F47604" w:rsidRPr="00F47604" w:rsidRDefault="00F47604" w:rsidP="00F47604">
      <w:pPr>
        <w:numPr>
          <w:ilvl w:val="0"/>
          <w:numId w:val="1"/>
        </w:numPr>
        <w:autoSpaceDE w:val="0"/>
        <w:autoSpaceDN w:val="0"/>
        <w:adjustRightInd w:val="0"/>
        <w:spacing w:after="0" w:line="240" w:lineRule="auto"/>
        <w:ind w:left="360" w:hanging="360"/>
        <w:rPr>
          <w:rFonts w:ascii="Gill Sans MT" w:hAnsi="Gill Sans MT" w:cs="Gill Sans MT"/>
          <w:kern w:val="24"/>
          <w:sz w:val="40"/>
          <w:szCs w:val="40"/>
        </w:rPr>
      </w:pPr>
      <w:r w:rsidRPr="00F47604">
        <w:rPr>
          <w:rFonts w:ascii="Gill Sans MT" w:hAnsi="Gill Sans MT" w:cs="Gill Sans MT"/>
          <w:kern w:val="24"/>
          <w:sz w:val="40"/>
          <w:szCs w:val="40"/>
        </w:rPr>
        <w:t xml:space="preserve">Sex = The anatomy of an </w:t>
      </w:r>
      <w:proofErr w:type="spellStart"/>
      <w:proofErr w:type="gramStart"/>
      <w:r w:rsidRPr="00F47604">
        <w:rPr>
          <w:rFonts w:ascii="Gill Sans MT" w:hAnsi="Gill Sans MT" w:cs="Gill Sans MT"/>
          <w:kern w:val="24"/>
          <w:sz w:val="40"/>
          <w:szCs w:val="40"/>
        </w:rPr>
        <w:t>individuals</w:t>
      </w:r>
      <w:proofErr w:type="spellEnd"/>
      <w:proofErr w:type="gramEnd"/>
      <w:r w:rsidRPr="00F47604">
        <w:rPr>
          <w:rFonts w:ascii="Gill Sans MT" w:hAnsi="Gill Sans MT" w:cs="Gill Sans MT"/>
          <w:kern w:val="24"/>
          <w:sz w:val="40"/>
          <w:szCs w:val="40"/>
        </w:rPr>
        <w:t xml:space="preserve"> reproductive system </w:t>
      </w:r>
    </w:p>
    <w:p w:rsidR="00F47604" w:rsidRPr="00F47604" w:rsidRDefault="00F47604" w:rsidP="00F47604">
      <w:pPr>
        <w:numPr>
          <w:ilvl w:val="0"/>
          <w:numId w:val="1"/>
        </w:numPr>
        <w:autoSpaceDE w:val="0"/>
        <w:autoSpaceDN w:val="0"/>
        <w:adjustRightInd w:val="0"/>
        <w:spacing w:after="0" w:line="240" w:lineRule="auto"/>
        <w:ind w:left="360" w:hanging="360"/>
        <w:rPr>
          <w:rFonts w:ascii="Gill Sans MT" w:hAnsi="Gill Sans MT" w:cs="Gill Sans MT"/>
          <w:kern w:val="24"/>
          <w:sz w:val="40"/>
          <w:szCs w:val="40"/>
        </w:rPr>
      </w:pPr>
      <w:r w:rsidRPr="00F47604">
        <w:rPr>
          <w:rFonts w:ascii="Gill Sans MT" w:hAnsi="Gill Sans MT" w:cs="Gill Sans MT"/>
          <w:kern w:val="24"/>
          <w:sz w:val="40"/>
          <w:szCs w:val="40"/>
        </w:rPr>
        <w:t xml:space="preserve">Complementary = When two traits are opposed, but work together </w:t>
      </w:r>
    </w:p>
    <w:p w:rsidR="00F47604" w:rsidRPr="00F47604" w:rsidRDefault="00F47604" w:rsidP="00F47604">
      <w:pPr>
        <w:numPr>
          <w:ilvl w:val="0"/>
          <w:numId w:val="1"/>
        </w:numPr>
        <w:autoSpaceDE w:val="0"/>
        <w:autoSpaceDN w:val="0"/>
        <w:adjustRightInd w:val="0"/>
        <w:spacing w:after="0" w:line="240" w:lineRule="auto"/>
        <w:ind w:left="360" w:hanging="360"/>
        <w:rPr>
          <w:rFonts w:ascii="Gill Sans MT" w:hAnsi="Gill Sans MT" w:cs="Gill Sans MT"/>
          <w:kern w:val="24"/>
          <w:sz w:val="40"/>
          <w:szCs w:val="40"/>
        </w:rPr>
      </w:pPr>
      <w:r w:rsidRPr="00F47604">
        <w:rPr>
          <w:rFonts w:ascii="Gill Sans MT" w:hAnsi="Gill Sans MT" w:cs="Gill Sans MT"/>
          <w:kern w:val="24"/>
          <w:sz w:val="40"/>
          <w:szCs w:val="40"/>
        </w:rPr>
        <w:t>Dichotomy = When two things are opposed and unable to work together</w:t>
      </w:r>
    </w:p>
    <w:p w:rsidR="00F47604" w:rsidRPr="00F47604" w:rsidRDefault="00F47604" w:rsidP="00F47604">
      <w:pPr>
        <w:numPr>
          <w:ilvl w:val="0"/>
          <w:numId w:val="1"/>
        </w:numPr>
        <w:autoSpaceDE w:val="0"/>
        <w:autoSpaceDN w:val="0"/>
        <w:adjustRightInd w:val="0"/>
        <w:spacing w:after="0" w:line="240" w:lineRule="auto"/>
        <w:ind w:left="360" w:hanging="360"/>
        <w:rPr>
          <w:rFonts w:ascii="Gill Sans MT" w:hAnsi="Gill Sans MT" w:cs="Gill Sans MT"/>
          <w:kern w:val="24"/>
          <w:sz w:val="40"/>
          <w:szCs w:val="40"/>
        </w:rPr>
      </w:pPr>
      <w:r w:rsidRPr="00F47604">
        <w:rPr>
          <w:rFonts w:ascii="Gill Sans MT" w:hAnsi="Gill Sans MT" w:cs="Gill Sans MT"/>
          <w:kern w:val="24"/>
          <w:sz w:val="40"/>
          <w:szCs w:val="40"/>
        </w:rPr>
        <w:t>Innate = When certain trait, characteristics or qualities would be found in people regardless</w:t>
      </w:r>
    </w:p>
    <w:p w:rsidR="00F47604" w:rsidRPr="00F47604" w:rsidRDefault="00F47604" w:rsidP="00F47604">
      <w:pPr>
        <w:numPr>
          <w:ilvl w:val="0"/>
          <w:numId w:val="1"/>
        </w:numPr>
        <w:autoSpaceDE w:val="0"/>
        <w:autoSpaceDN w:val="0"/>
        <w:adjustRightInd w:val="0"/>
        <w:spacing w:after="0" w:line="240" w:lineRule="auto"/>
        <w:ind w:left="360" w:hanging="360"/>
        <w:rPr>
          <w:rFonts w:ascii="Gill Sans MT" w:hAnsi="Gill Sans MT" w:cs="Gill Sans MT"/>
          <w:kern w:val="24"/>
          <w:sz w:val="40"/>
          <w:szCs w:val="40"/>
        </w:rPr>
      </w:pPr>
      <w:r w:rsidRPr="00F47604">
        <w:rPr>
          <w:rFonts w:ascii="Gill Sans MT" w:hAnsi="Gill Sans MT" w:cs="Gill Sans MT"/>
          <w:kern w:val="24"/>
          <w:sz w:val="40"/>
          <w:szCs w:val="40"/>
        </w:rPr>
        <w:t>Natural Selection = The selection of organism traits that best aid the survival and passing of the organism’s genes</w:t>
      </w:r>
    </w:p>
    <w:p w:rsidR="00F47604" w:rsidRPr="00F47604" w:rsidRDefault="00F47604" w:rsidP="00F47604">
      <w:pPr>
        <w:numPr>
          <w:ilvl w:val="0"/>
          <w:numId w:val="1"/>
        </w:numPr>
        <w:autoSpaceDE w:val="0"/>
        <w:autoSpaceDN w:val="0"/>
        <w:adjustRightInd w:val="0"/>
        <w:spacing w:after="0" w:line="240" w:lineRule="auto"/>
        <w:ind w:left="360" w:hanging="360"/>
        <w:rPr>
          <w:rFonts w:ascii="Gill Sans MT" w:hAnsi="Gill Sans MT" w:cs="Gill Sans MT"/>
          <w:kern w:val="24"/>
          <w:sz w:val="40"/>
          <w:szCs w:val="40"/>
        </w:rPr>
      </w:pPr>
      <w:r w:rsidRPr="00F47604">
        <w:rPr>
          <w:rFonts w:ascii="Gill Sans MT" w:hAnsi="Gill Sans MT" w:cs="Gill Sans MT"/>
          <w:kern w:val="24"/>
          <w:sz w:val="40"/>
          <w:szCs w:val="40"/>
        </w:rPr>
        <w:lastRenderedPageBreak/>
        <w:t xml:space="preserve">Social Constructionism = A sociological theory of knowledge which states that all knowledge is socially constructed </w:t>
      </w:r>
    </w:p>
    <w:p w:rsidR="00F47604" w:rsidRPr="00F47604" w:rsidRDefault="00F47604" w:rsidP="00F47604">
      <w:pPr>
        <w:numPr>
          <w:ilvl w:val="0"/>
          <w:numId w:val="1"/>
        </w:numPr>
        <w:autoSpaceDE w:val="0"/>
        <w:autoSpaceDN w:val="0"/>
        <w:adjustRightInd w:val="0"/>
        <w:spacing w:after="0" w:line="240" w:lineRule="auto"/>
        <w:ind w:left="360" w:hanging="360"/>
        <w:rPr>
          <w:rFonts w:ascii="Gill Sans MT" w:hAnsi="Gill Sans MT" w:cs="Gill Sans MT"/>
          <w:kern w:val="24"/>
          <w:sz w:val="40"/>
          <w:szCs w:val="40"/>
        </w:rPr>
      </w:pPr>
      <w:r w:rsidRPr="00F47604">
        <w:rPr>
          <w:rFonts w:ascii="Gill Sans MT" w:hAnsi="Gill Sans MT" w:cs="Gill Sans MT"/>
          <w:kern w:val="24"/>
          <w:sz w:val="40"/>
          <w:szCs w:val="40"/>
        </w:rPr>
        <w:t xml:space="preserve">Socialization = The process of learning to behave in a way that is acceptable to society (Oxford Dictionary)  </w:t>
      </w:r>
    </w:p>
    <w:p w:rsidR="00F47604" w:rsidRPr="00F47604" w:rsidRDefault="00F47604" w:rsidP="00F47604">
      <w:pPr>
        <w:autoSpaceDE w:val="0"/>
        <w:autoSpaceDN w:val="0"/>
        <w:adjustRightInd w:val="0"/>
        <w:spacing w:after="0" w:line="240" w:lineRule="auto"/>
        <w:ind w:left="360" w:hanging="360"/>
        <w:rPr>
          <w:rFonts w:ascii="Gill Sans MT" w:hAnsi="Gill Sans MT" w:cs="Gill Sans MT"/>
          <w:kern w:val="24"/>
          <w:sz w:val="40"/>
          <w:szCs w:val="40"/>
        </w:rPr>
      </w:pPr>
    </w:p>
    <w:p w:rsidR="00F47604" w:rsidRPr="00F47604" w:rsidRDefault="00F47604" w:rsidP="00F47604">
      <w:pPr>
        <w:numPr>
          <w:ilvl w:val="0"/>
          <w:numId w:val="1"/>
        </w:numPr>
        <w:autoSpaceDE w:val="0"/>
        <w:autoSpaceDN w:val="0"/>
        <w:adjustRightInd w:val="0"/>
        <w:spacing w:after="0" w:line="240" w:lineRule="auto"/>
        <w:ind w:left="360" w:hanging="360"/>
        <w:rPr>
          <w:rFonts w:ascii="Gill Sans MT" w:hAnsi="Gill Sans MT" w:cs="Gill Sans MT"/>
          <w:kern w:val="24"/>
          <w:sz w:val="40"/>
          <w:szCs w:val="40"/>
        </w:rPr>
      </w:pPr>
      <w:r w:rsidRPr="00F47604">
        <w:rPr>
          <w:rFonts w:ascii="Gill Sans MT" w:hAnsi="Gill Sans MT" w:cs="Gill Sans MT"/>
          <w:kern w:val="24"/>
          <w:sz w:val="40"/>
          <w:szCs w:val="40"/>
        </w:rPr>
        <w:t xml:space="preserve">Glossary on the </w:t>
      </w:r>
      <w:proofErr w:type="spellStart"/>
      <w:r w:rsidRPr="00F47604">
        <w:rPr>
          <w:rFonts w:ascii="Gill Sans MT" w:hAnsi="Gill Sans MT" w:cs="Gill Sans MT"/>
          <w:kern w:val="24"/>
          <w:sz w:val="40"/>
          <w:szCs w:val="40"/>
        </w:rPr>
        <w:t>achuar</w:t>
      </w:r>
      <w:proofErr w:type="spellEnd"/>
    </w:p>
    <w:p w:rsidR="00F47604" w:rsidRPr="00F47604" w:rsidRDefault="00F47604" w:rsidP="00F47604">
      <w:pPr>
        <w:numPr>
          <w:ilvl w:val="0"/>
          <w:numId w:val="1"/>
        </w:numPr>
        <w:autoSpaceDE w:val="0"/>
        <w:autoSpaceDN w:val="0"/>
        <w:adjustRightInd w:val="0"/>
        <w:spacing w:after="0" w:line="240" w:lineRule="auto"/>
        <w:ind w:left="360" w:hanging="360"/>
        <w:rPr>
          <w:rFonts w:ascii="Gill Sans MT" w:hAnsi="Gill Sans MT" w:cs="Gill Sans MT"/>
          <w:kern w:val="24"/>
          <w:sz w:val="40"/>
          <w:szCs w:val="40"/>
        </w:rPr>
      </w:pPr>
      <w:r w:rsidRPr="00F47604">
        <w:rPr>
          <w:rFonts w:ascii="Gill Sans MT" w:hAnsi="Gill Sans MT" w:cs="Gill Sans MT"/>
          <w:kern w:val="24"/>
          <w:sz w:val="40"/>
          <w:szCs w:val="40"/>
        </w:rPr>
        <w:t>Endogamous = Endogamy is the practice of marrying within a specific social group, caste or ethnic group, rejecting those from others as unsuitable for marriage or other close personal relationships. Endogamy is common in many cultures and ethnic groups</w:t>
      </w:r>
    </w:p>
    <w:p w:rsidR="00F47604" w:rsidRPr="00F47604" w:rsidRDefault="00F47604" w:rsidP="00F47604">
      <w:pPr>
        <w:numPr>
          <w:ilvl w:val="0"/>
          <w:numId w:val="1"/>
        </w:numPr>
        <w:autoSpaceDE w:val="0"/>
        <w:autoSpaceDN w:val="0"/>
        <w:adjustRightInd w:val="0"/>
        <w:spacing w:after="0" w:line="240" w:lineRule="auto"/>
        <w:ind w:left="360" w:hanging="360"/>
        <w:rPr>
          <w:rFonts w:ascii="Gill Sans MT" w:hAnsi="Gill Sans MT" w:cs="Gill Sans MT"/>
          <w:kern w:val="24"/>
          <w:sz w:val="40"/>
          <w:szCs w:val="40"/>
        </w:rPr>
      </w:pPr>
      <w:r w:rsidRPr="00F47604">
        <w:rPr>
          <w:rFonts w:ascii="Gill Sans MT" w:hAnsi="Gill Sans MT" w:cs="Gill Sans MT"/>
          <w:kern w:val="24"/>
          <w:sz w:val="40"/>
          <w:szCs w:val="40"/>
        </w:rPr>
        <w:t>Consanguinity =  The fact of being descended from the same ancestor.</w:t>
      </w:r>
    </w:p>
    <w:p w:rsidR="00F47604" w:rsidRPr="00F47604" w:rsidRDefault="00F47604" w:rsidP="00F47604">
      <w:pPr>
        <w:numPr>
          <w:ilvl w:val="0"/>
          <w:numId w:val="1"/>
        </w:numPr>
        <w:autoSpaceDE w:val="0"/>
        <w:autoSpaceDN w:val="0"/>
        <w:adjustRightInd w:val="0"/>
        <w:spacing w:after="0" w:line="240" w:lineRule="auto"/>
        <w:ind w:left="360" w:hanging="360"/>
        <w:rPr>
          <w:rFonts w:ascii="Gill Sans MT" w:hAnsi="Gill Sans MT" w:cs="Gill Sans MT"/>
          <w:kern w:val="24"/>
          <w:sz w:val="40"/>
          <w:szCs w:val="40"/>
        </w:rPr>
      </w:pPr>
      <w:r w:rsidRPr="00F47604">
        <w:rPr>
          <w:rFonts w:ascii="Gill Sans MT" w:hAnsi="Gill Sans MT" w:cs="Gill Sans MT"/>
          <w:kern w:val="24"/>
          <w:sz w:val="40"/>
          <w:szCs w:val="40"/>
        </w:rPr>
        <w:t>Affinity = A similarity of characteristics suggesting a relationship, especially a resemblance in structure between animals, plants, or languages.</w:t>
      </w:r>
    </w:p>
    <w:p w:rsidR="00F47604" w:rsidRPr="00F47604" w:rsidRDefault="00F47604" w:rsidP="00F47604">
      <w:pPr>
        <w:autoSpaceDE w:val="0"/>
        <w:autoSpaceDN w:val="0"/>
        <w:adjustRightInd w:val="0"/>
        <w:spacing w:after="0" w:line="240" w:lineRule="auto"/>
        <w:ind w:left="360" w:hanging="360"/>
        <w:rPr>
          <w:rFonts w:ascii="Gill Sans MT" w:hAnsi="Gill Sans MT" w:cs="Gill Sans MT"/>
          <w:kern w:val="24"/>
          <w:sz w:val="40"/>
          <w:szCs w:val="40"/>
        </w:rPr>
      </w:pPr>
    </w:p>
    <w:p w:rsidR="00F47604" w:rsidRPr="00F47604" w:rsidRDefault="00F47604" w:rsidP="00F47604">
      <w:pPr>
        <w:numPr>
          <w:ilvl w:val="0"/>
          <w:numId w:val="1"/>
        </w:numPr>
        <w:autoSpaceDE w:val="0"/>
        <w:autoSpaceDN w:val="0"/>
        <w:adjustRightInd w:val="0"/>
        <w:spacing w:after="0" w:line="240" w:lineRule="auto"/>
        <w:ind w:left="360" w:hanging="360"/>
        <w:rPr>
          <w:rFonts w:ascii="Gill Sans MT" w:hAnsi="Gill Sans MT" w:cs="Gill Sans MT"/>
          <w:kern w:val="24"/>
          <w:sz w:val="40"/>
          <w:szCs w:val="40"/>
        </w:rPr>
      </w:pPr>
      <w:r w:rsidRPr="00F47604">
        <w:rPr>
          <w:rFonts w:ascii="Gill Sans MT" w:hAnsi="Gill Sans MT" w:cs="Gill Sans MT"/>
          <w:kern w:val="24"/>
          <w:sz w:val="40"/>
          <w:szCs w:val="40"/>
        </w:rPr>
        <w:t>Source(s):</w:t>
      </w:r>
    </w:p>
    <w:p w:rsidR="00F47604" w:rsidRPr="00F47604" w:rsidRDefault="00F47604" w:rsidP="00F47604">
      <w:pPr>
        <w:numPr>
          <w:ilvl w:val="0"/>
          <w:numId w:val="1"/>
        </w:numPr>
        <w:autoSpaceDE w:val="0"/>
        <w:autoSpaceDN w:val="0"/>
        <w:adjustRightInd w:val="0"/>
        <w:spacing w:after="0" w:line="240" w:lineRule="auto"/>
        <w:ind w:left="360" w:hanging="360"/>
        <w:rPr>
          <w:rFonts w:ascii="Gill Sans MT" w:hAnsi="Gill Sans MT" w:cs="Gill Sans MT"/>
          <w:kern w:val="24"/>
          <w:sz w:val="40"/>
          <w:szCs w:val="40"/>
        </w:rPr>
      </w:pPr>
      <w:r w:rsidRPr="00F47604">
        <w:rPr>
          <w:rFonts w:ascii="Gill Sans MT" w:hAnsi="Gill Sans MT" w:cs="Gill Sans MT"/>
          <w:kern w:val="24"/>
          <w:sz w:val="40"/>
          <w:szCs w:val="40"/>
        </w:rPr>
        <w:t xml:space="preserve">Tuzin, D. &amp; Gregor, T. (Nov, 2001).  </w:t>
      </w:r>
      <w:r w:rsidRPr="00F47604">
        <w:rPr>
          <w:rFonts w:ascii="Gill Sans MT" w:hAnsi="Gill Sans MT" w:cs="Gill Sans MT"/>
          <w:i/>
          <w:iCs/>
          <w:kern w:val="24"/>
          <w:sz w:val="40"/>
          <w:szCs w:val="40"/>
        </w:rPr>
        <w:t>Gender in Amazonia and Melanesia: An Exploration of the Comparative Method</w:t>
      </w:r>
      <w:r w:rsidRPr="00F47604">
        <w:rPr>
          <w:rFonts w:ascii="Gill Sans MT" w:hAnsi="Gill Sans MT" w:cs="Gill Sans MT"/>
          <w:kern w:val="24"/>
          <w:sz w:val="40"/>
          <w:szCs w:val="40"/>
        </w:rPr>
        <w:t>. Berkley, California: University of California Press </w:t>
      </w:r>
    </w:p>
    <w:p w:rsidR="00F47604" w:rsidRPr="00F47604" w:rsidRDefault="00F47604" w:rsidP="00F47604">
      <w:pPr>
        <w:autoSpaceDE w:val="0"/>
        <w:autoSpaceDN w:val="0"/>
        <w:adjustRightInd w:val="0"/>
        <w:spacing w:after="0" w:line="240" w:lineRule="auto"/>
        <w:ind w:left="360" w:hanging="360"/>
        <w:rPr>
          <w:rFonts w:ascii="Gill Sans MT" w:hAnsi="Gill Sans MT" w:cs="Gill Sans MT"/>
          <w:kern w:val="24"/>
          <w:sz w:val="40"/>
          <w:szCs w:val="40"/>
        </w:rPr>
      </w:pPr>
    </w:p>
    <w:p w:rsidR="00F47604" w:rsidRPr="00F47604" w:rsidRDefault="00F47604" w:rsidP="00F47604">
      <w:pPr>
        <w:autoSpaceDE w:val="0"/>
        <w:autoSpaceDN w:val="0"/>
        <w:adjustRightInd w:val="0"/>
        <w:spacing w:after="0" w:line="240" w:lineRule="auto"/>
        <w:ind w:left="360" w:hanging="360"/>
        <w:rPr>
          <w:rFonts w:ascii="Gill Sans MT" w:hAnsi="Gill Sans MT" w:cs="Gill Sans MT"/>
          <w:kern w:val="24"/>
          <w:sz w:val="40"/>
          <w:szCs w:val="40"/>
        </w:rPr>
      </w:pPr>
    </w:p>
    <w:p w:rsidR="000D09B4" w:rsidRPr="00F47604" w:rsidRDefault="00F47604"/>
    <w:sectPr w:rsidR="000D09B4" w:rsidRPr="00F47604" w:rsidSect="006643BB">
      <w:pgSz w:w="12240" w:h="15840"/>
      <w:pgMar w:top="1440" w:right="1440" w:bottom="1440" w:left="1440"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Gill Sans MT">
    <w:panose1 w:val="020B0502020104020203"/>
    <w:charset w:val="00"/>
    <w:family w:val="swiss"/>
    <w:pitch w:val="variable"/>
    <w:sig w:usb0="00000007" w:usb1="00000000" w:usb2="00000000" w:usb3="00000000" w:csb0="00000003"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244E2D4A"/>
    <w:lvl w:ilvl="0">
      <w:numFmt w:val="bullet"/>
      <w:lvlText w:val="*"/>
      <w:lvlJc w:val="left"/>
    </w:lvl>
  </w:abstractNum>
  <w:num w:numId="1">
    <w:abstractNumId w:val="0"/>
    <w:lvlOverride w:ilvl="0">
      <w:lvl w:ilvl="0">
        <w:numFmt w:val="bullet"/>
        <w:lvlText w:val="•"/>
        <w:legacy w:legacy="1" w:legacySpace="0" w:legacyIndent="0"/>
        <w:lvlJc w:val="left"/>
        <w:rPr>
          <w:rFonts w:ascii="Arial" w:hAnsi="Arial" w:cs="Arial" w:hint="default"/>
          <w:sz w:val="40"/>
        </w:rPr>
      </w:lvl>
    </w:lvlOverride>
  </w:num>
  <w:num w:numId="2">
    <w:abstractNumId w:val="0"/>
    <w:lvlOverride w:ilvl="0">
      <w:lvl w:ilvl="0">
        <w:numFmt w:val="bullet"/>
        <w:lvlText w:val="•"/>
        <w:legacy w:legacy="1" w:legacySpace="0" w:legacyIndent="0"/>
        <w:lvlJc w:val="left"/>
        <w:rPr>
          <w:rFonts w:ascii="Arial" w:hAnsi="Arial" w:cs="Arial" w:hint="default"/>
          <w:sz w:val="128"/>
        </w:rPr>
      </w:lvl>
    </w:lvlOverride>
  </w:num>
  <w:num w:numId="3">
    <w:abstractNumId w:val="0"/>
    <w:lvlOverride w:ilvl="0">
      <w:lvl w:ilvl="0">
        <w:numFmt w:val="bullet"/>
        <w:lvlText w:val="•"/>
        <w:legacy w:legacy="1" w:legacySpace="0" w:legacyIndent="0"/>
        <w:lvlJc w:val="left"/>
        <w:rPr>
          <w:rFonts w:ascii="Arial" w:hAnsi="Arial" w:cs="Arial" w:hint="default"/>
          <w:sz w:val="132"/>
        </w:rPr>
      </w:lvl>
    </w:lvlOverride>
  </w:num>
  <w:num w:numId="4">
    <w:abstractNumId w:val="0"/>
    <w:lvlOverride w:ilvl="0">
      <w:lvl w:ilvl="0">
        <w:numFmt w:val="bullet"/>
        <w:lvlText w:val="•"/>
        <w:legacy w:legacy="1" w:legacySpace="0" w:legacyIndent="0"/>
        <w:lvlJc w:val="left"/>
        <w:rPr>
          <w:rFonts w:ascii="Arial" w:hAnsi="Arial" w:cs="Arial" w:hint="default"/>
          <w:sz w:val="24"/>
        </w:rPr>
      </w:lvl>
    </w:lvlOverride>
  </w:num>
  <w:num w:numId="5">
    <w:abstractNumId w:val="0"/>
    <w:lvlOverride w:ilvl="0">
      <w:lvl w:ilvl="0">
        <w:numFmt w:val="bullet"/>
        <w:lvlText w:val="•"/>
        <w:legacy w:legacy="1" w:legacySpace="0" w:legacyIndent="0"/>
        <w:lvlJc w:val="left"/>
        <w:rPr>
          <w:rFonts w:ascii="Arial" w:hAnsi="Arial" w:cs="Arial" w:hint="default"/>
          <w:sz w:val="46"/>
        </w:rPr>
      </w:lvl>
    </w:lvlOverride>
  </w:num>
  <w:num w:numId="6">
    <w:abstractNumId w:val="0"/>
    <w:lvlOverride w:ilvl="0">
      <w:lvl w:ilvl="0">
        <w:numFmt w:val="bullet"/>
        <w:lvlText w:val="•"/>
        <w:legacy w:legacy="1" w:legacySpace="0" w:legacyIndent="0"/>
        <w:lvlJc w:val="left"/>
        <w:rPr>
          <w:rFonts w:ascii="Arial" w:hAnsi="Arial" w:cs="Arial" w:hint="default"/>
          <w:sz w:val="80"/>
        </w:rPr>
      </w:lvl>
    </w:lvlOverride>
  </w:num>
  <w:num w:numId="7">
    <w:abstractNumId w:val="0"/>
    <w:lvlOverride w:ilvl="0">
      <w:lvl w:ilvl="0">
        <w:numFmt w:val="bullet"/>
        <w:lvlText w:val="•"/>
        <w:legacy w:legacy="1" w:legacySpace="0" w:legacyIndent="0"/>
        <w:lvlJc w:val="left"/>
        <w:rPr>
          <w:rFonts w:ascii="Arial" w:hAnsi="Arial" w:cs="Arial" w:hint="default"/>
          <w:sz w:val="20"/>
        </w:rPr>
      </w:lvl>
    </w:lvlOverride>
  </w:num>
  <w:num w:numId="8">
    <w:abstractNumId w:val="0"/>
    <w:lvlOverride w:ilvl="0">
      <w:lvl w:ilvl="0">
        <w:numFmt w:val="bullet"/>
        <w:lvlText w:val="•"/>
        <w:legacy w:legacy="1" w:legacySpace="0" w:legacyIndent="0"/>
        <w:lvlJc w:val="left"/>
        <w:rPr>
          <w:rFonts w:ascii="Arial" w:hAnsi="Arial" w:cs="Arial" w:hint="default"/>
          <w:sz w:val="5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7604"/>
    <w:rsid w:val="00A869BF"/>
    <w:rsid w:val="00AF6119"/>
    <w:rsid w:val="00F476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2E6BFFD-E016-4A55-B6CD-05A6002497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25</Pages>
  <Words>3622</Words>
  <Characters>20646</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Tobias Olds</dc:creator>
  <cp:keywords/>
  <dc:description/>
  <cp:lastModifiedBy>Tobias Olds</cp:lastModifiedBy>
  <cp:revision>1</cp:revision>
  <dcterms:created xsi:type="dcterms:W3CDTF">2018-11-16T23:54:00Z</dcterms:created>
  <dcterms:modified xsi:type="dcterms:W3CDTF">2018-11-16T23:55:00Z</dcterms:modified>
</cp:coreProperties>
</file>