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7C5D5" w14:textId="56E10058" w:rsidR="00C1532E" w:rsidRDefault="00C1532E" w:rsidP="009D2562"/>
    <w:p w14:paraId="10D708C3" w14:textId="2477DDAF" w:rsidR="009D2562" w:rsidRDefault="009D2562" w:rsidP="009D2562"/>
    <w:p w14:paraId="258048EF" w14:textId="457AC1CE" w:rsidR="009D2562" w:rsidRDefault="009D2562" w:rsidP="009D2562"/>
    <w:p w14:paraId="1169D288" w14:textId="23BE64F4" w:rsidR="009D2562" w:rsidRDefault="009D2562" w:rsidP="009D2562"/>
    <w:p w14:paraId="5A33AB4C" w14:textId="0B3F6777" w:rsidR="009D2562" w:rsidRDefault="009D2562" w:rsidP="009D2562"/>
    <w:p w14:paraId="1A710671" w14:textId="7D10D817" w:rsidR="009D2562" w:rsidRDefault="009D2562" w:rsidP="009D2562"/>
    <w:p w14:paraId="0A3EEFA8" w14:textId="2B7CB8E7" w:rsidR="009D2562" w:rsidRDefault="009D2562" w:rsidP="009D2562"/>
    <w:p w14:paraId="6ACE4A96" w14:textId="07104013" w:rsidR="009D2562" w:rsidRDefault="009D2562" w:rsidP="009D2562"/>
    <w:p w14:paraId="1576DBD1" w14:textId="0BDB9C46" w:rsidR="009D2562" w:rsidRDefault="009D2562" w:rsidP="009D2562"/>
    <w:p w14:paraId="0306D784" w14:textId="38868B44" w:rsidR="009D2562" w:rsidRDefault="009D2562" w:rsidP="009D2562"/>
    <w:p w14:paraId="1C997EE8" w14:textId="47A65489" w:rsidR="009D2562" w:rsidRDefault="009D2562" w:rsidP="009D2562"/>
    <w:p w14:paraId="5305E5D5" w14:textId="244F02F5" w:rsidR="009D2562" w:rsidRDefault="009D2562" w:rsidP="009D2562"/>
    <w:p w14:paraId="7CE90D29" w14:textId="0484F922" w:rsidR="009D2562" w:rsidRDefault="009D2562" w:rsidP="009D2562">
      <w:pPr>
        <w:pStyle w:val="Heading1"/>
        <w:jc w:val="center"/>
      </w:pPr>
      <w:r>
        <w:t>LEGAL PROCESS – THE STATUTORY INTERPRETATION</w:t>
      </w:r>
    </w:p>
    <w:p w14:paraId="7C564D43" w14:textId="28BA2167" w:rsidR="009D2562" w:rsidRDefault="009D2562" w:rsidP="009D2562"/>
    <w:p w14:paraId="5407A22D" w14:textId="77777777" w:rsidR="00D276EF" w:rsidRDefault="00D276EF"/>
    <w:p w14:paraId="5396F5E7" w14:textId="77777777" w:rsidR="00D276EF" w:rsidRDefault="00D276EF"/>
    <w:p w14:paraId="6828A8BF" w14:textId="77777777" w:rsidR="00D276EF" w:rsidRDefault="00D276EF"/>
    <w:p w14:paraId="4A1825CE" w14:textId="77777777" w:rsidR="00D276EF" w:rsidRDefault="00D276EF"/>
    <w:p w14:paraId="11DB2C51" w14:textId="77777777" w:rsidR="00D276EF" w:rsidRDefault="00D276EF"/>
    <w:p w14:paraId="4D39E631" w14:textId="77777777" w:rsidR="00D276EF" w:rsidRDefault="00D276EF"/>
    <w:p w14:paraId="6B4CD086" w14:textId="77777777" w:rsidR="00D276EF" w:rsidRDefault="00D276EF"/>
    <w:p w14:paraId="03410CE8" w14:textId="77777777" w:rsidR="00D276EF" w:rsidRDefault="00D276EF"/>
    <w:p w14:paraId="0D3A5F96" w14:textId="77777777" w:rsidR="00D276EF" w:rsidRDefault="00D276EF"/>
    <w:p w14:paraId="0EDAC686" w14:textId="77777777" w:rsidR="00D276EF" w:rsidRDefault="00D276EF"/>
    <w:p w14:paraId="3BE9AAD7" w14:textId="77777777" w:rsidR="00D276EF" w:rsidRDefault="00D276EF"/>
    <w:p w14:paraId="0F2E2FA8" w14:textId="77777777" w:rsidR="00D276EF" w:rsidRDefault="00D276EF"/>
    <w:p w14:paraId="2D82C39B" w14:textId="77777777" w:rsidR="00D276EF" w:rsidRDefault="00D276EF"/>
    <w:p w14:paraId="11A306B1" w14:textId="77777777" w:rsidR="00D276EF" w:rsidRDefault="00D276EF"/>
    <w:p w14:paraId="0AA9E45E" w14:textId="77777777" w:rsidR="00D276EF" w:rsidRDefault="00D276EF">
      <w:r>
        <w:t>Public Services Level 4</w:t>
      </w:r>
    </w:p>
    <w:p w14:paraId="32884EC7" w14:textId="77777777" w:rsidR="00576EF5" w:rsidRDefault="00D276EF">
      <w:pPr>
        <w:rPr>
          <w:lang w:val="fr-FR"/>
        </w:rPr>
      </w:pPr>
      <w:r w:rsidRPr="000601F5">
        <w:rPr>
          <w:lang w:val="fr-FR"/>
        </w:rPr>
        <w:t>James Ellis Dick (2103999)</w:t>
      </w:r>
    </w:p>
    <w:p w14:paraId="68ED6C31" w14:textId="6F5F2E0B" w:rsidR="009D2562" w:rsidRPr="00420186" w:rsidRDefault="00576EF5">
      <w:pPr>
        <w:rPr>
          <w:lang w:val="fr-FR"/>
        </w:rPr>
      </w:pPr>
      <w:r>
        <w:rPr>
          <w:lang w:val="fr-FR"/>
        </w:rPr>
        <w:t>Legal Process (BMP</w:t>
      </w:r>
      <w:r w:rsidR="00D54FA3">
        <w:rPr>
          <w:lang w:val="fr-FR"/>
        </w:rPr>
        <w:t>L4005)</w:t>
      </w:r>
      <w:r w:rsidR="009D2562">
        <w:br w:type="page"/>
      </w:r>
    </w:p>
    <w:p w14:paraId="71F7BBDE" w14:textId="026081C2" w:rsidR="006C334C" w:rsidRDefault="006C334C" w:rsidP="009D2562">
      <w:r>
        <w:lastRenderedPageBreak/>
        <w:t xml:space="preserve">Statutes </w:t>
      </w:r>
      <w:r w:rsidR="00E83A73">
        <w:t>are the key laws passed by parliament. Statutory interpretation is the way judges in court look statute law t</w:t>
      </w:r>
      <w:r w:rsidR="009368D2">
        <w:t>o</w:t>
      </w:r>
      <w:r w:rsidR="00E83A73">
        <w:t xml:space="preserve"> decide </w:t>
      </w:r>
      <w:r w:rsidR="00B879FE">
        <w:t xml:space="preserve">how to deal with a case. Some cases do not </w:t>
      </w:r>
      <w:r w:rsidR="00BB6649">
        <w:t>let the</w:t>
      </w:r>
      <w:r w:rsidR="0017122E">
        <w:t xml:space="preserve"> judges interpret </w:t>
      </w:r>
      <w:r w:rsidR="00BB6649">
        <w:t xml:space="preserve">the </w:t>
      </w:r>
      <w:r w:rsidR="00970F1C">
        <w:t>statute because</w:t>
      </w:r>
      <w:r w:rsidR="0017122E">
        <w:t xml:space="preserve"> the case does not </w:t>
      </w:r>
      <w:r w:rsidR="00BB6649">
        <w:t>have one</w:t>
      </w:r>
      <w:r w:rsidR="0090078E">
        <w:t xml:space="preserve">, </w:t>
      </w:r>
      <w:r w:rsidR="00636DD4">
        <w:t>instead the court looks at the common law instead</w:t>
      </w:r>
      <w:r w:rsidR="00666628">
        <w:t xml:space="preserve">. Some cases are very complicated and have statutes that </w:t>
      </w:r>
      <w:r w:rsidR="0024254F">
        <w:t>n</w:t>
      </w:r>
      <w:r w:rsidR="00970F1C">
        <w:t>eed a lot of understanding.</w:t>
      </w:r>
    </w:p>
    <w:p w14:paraId="225B8819" w14:textId="31DA26AF" w:rsidR="00D276EF" w:rsidRDefault="001576C2" w:rsidP="009D2562">
      <w:r>
        <w:t xml:space="preserve">When a case </w:t>
      </w:r>
      <w:r w:rsidR="0013669A">
        <w:t xml:space="preserve">has a statute that </w:t>
      </w:r>
      <w:r>
        <w:t xml:space="preserve">is unclear, it is up to the judge to come up with an accurate definition of the specific statute which applies for the case. For example, ...  </w:t>
      </w:r>
      <w:commentRangeStart w:id="0"/>
      <w:commentRangeStart w:id="1"/>
      <w:r>
        <w:t>This means that the meaning of the statute it is influenced by the judiciary</w:t>
      </w:r>
      <w:r w:rsidR="004F67F5">
        <w:t xml:space="preserve"> and that it is </w:t>
      </w:r>
      <w:commentRangeEnd w:id="0"/>
      <w:r>
        <w:rPr>
          <w:rStyle w:val="CommentReference"/>
        </w:rPr>
        <w:commentReference w:id="0"/>
      </w:r>
      <w:commentRangeEnd w:id="1"/>
      <w:r>
        <w:rPr>
          <w:rStyle w:val="CommentReference"/>
        </w:rPr>
        <w:commentReference w:id="1"/>
      </w:r>
      <w:r w:rsidR="004F67F5">
        <w:t>d</w:t>
      </w:r>
      <w:r w:rsidR="007D3D04">
        <w:t xml:space="preserve">own to the judge to decide </w:t>
      </w:r>
      <w:r w:rsidR="004F67F5">
        <w:t>what it means.</w:t>
      </w:r>
    </w:p>
    <w:p w14:paraId="6070E975" w14:textId="2732DFA5" w:rsidR="00B6041C" w:rsidRDefault="006A49C3" w:rsidP="009D2562">
      <w:commentRangeStart w:id="2"/>
      <w:r>
        <w:t>The interpretation of statu</w:t>
      </w:r>
      <w:r w:rsidR="0013669A">
        <w:t>te</w:t>
      </w:r>
      <w:r>
        <w:t>s is about the ‘problem of communication’ (Wilson et al, 2020)</w:t>
      </w:r>
      <w:commentRangeEnd w:id="2"/>
      <w:r>
        <w:rPr>
          <w:rStyle w:val="CommentReference"/>
        </w:rPr>
        <w:commentReference w:id="2"/>
      </w:r>
      <w:r>
        <w:t xml:space="preserve">. This links to the limits of the language that Parliament and the judiciary use and how those words </w:t>
      </w:r>
      <w:r w:rsidR="00310B70">
        <w:t>explain</w:t>
      </w:r>
      <w:r>
        <w:t xml:space="preserve"> what the law mean</w:t>
      </w:r>
      <w:r w:rsidR="00422A1B">
        <w:t>s</w:t>
      </w:r>
      <w:r>
        <w:t xml:space="preserve">. There are many different perspectives on the process of interpretation, which include understanding the intentions behind the words of a statute, the audience these words are aimed at, what the words </w:t>
      </w:r>
      <w:proofErr w:type="gramStart"/>
      <w:r>
        <w:t>actually say</w:t>
      </w:r>
      <w:proofErr w:type="gramEnd"/>
      <w:r>
        <w:t xml:space="preserve"> and finally, when using those words, looking at whether they talk about one agenda or multiple agendas. </w:t>
      </w:r>
    </w:p>
    <w:p w14:paraId="18A44EDA" w14:textId="1EA4BCD9" w:rsidR="00B6041C" w:rsidRDefault="00B6041C" w:rsidP="00B6041C">
      <w:pPr>
        <w:pStyle w:val="Heading2"/>
      </w:pPr>
      <w:commentRangeStart w:id="3"/>
      <w:r>
        <w:t>Talk about</w:t>
      </w:r>
      <w:r w:rsidR="00BF45ED">
        <w:t>,</w:t>
      </w:r>
      <w:r>
        <w:t xml:space="preserve"> </w:t>
      </w:r>
      <w:r w:rsidR="00BF45ED">
        <w:t xml:space="preserve">does </w:t>
      </w:r>
      <w:r w:rsidRPr="00B6041C">
        <w:t>statutory interpretation diminish</w:t>
      </w:r>
      <w:r w:rsidR="008E0EA7">
        <w:t>ing</w:t>
      </w:r>
      <w:r w:rsidRPr="00B6041C">
        <w:t xml:space="preserve"> the status of legislation</w:t>
      </w:r>
      <w:commentRangeEnd w:id="3"/>
      <w:r w:rsidR="000601F5">
        <w:rPr>
          <w:rStyle w:val="CommentReference"/>
          <w:rFonts w:asciiTheme="minorHAnsi" w:eastAsiaTheme="minorHAnsi" w:hAnsiTheme="minorHAnsi" w:cstheme="minorBidi"/>
          <w:color w:val="auto"/>
        </w:rPr>
        <w:commentReference w:id="3"/>
      </w:r>
    </w:p>
    <w:p w14:paraId="596B1CE6" w14:textId="5D74B753" w:rsidR="00B6041C" w:rsidRDefault="00E45DCF" w:rsidP="5042B2DC">
      <w:pPr>
        <w:rPr>
          <w:highlight w:val="yellow"/>
        </w:rPr>
      </w:pPr>
      <w:commentRangeStart w:id="4"/>
      <w:commentRangeStart w:id="5"/>
      <w:r w:rsidRPr="5042B2DC">
        <w:rPr>
          <w:highlight w:val="yellow"/>
        </w:rPr>
        <w:t xml:space="preserve">It has been suggested from </w:t>
      </w:r>
      <w:r w:rsidR="00503315">
        <w:t>Wilson et al (</w:t>
      </w:r>
      <w:r w:rsidR="0071002C">
        <w:t>2020), that s</w:t>
      </w:r>
      <w:r>
        <w:t>tatutory interpretation</w:t>
      </w:r>
      <w:r w:rsidR="00ED0E8F">
        <w:t xml:space="preserve"> </w:t>
      </w:r>
      <w:r w:rsidR="00B35928">
        <w:t>do</w:t>
      </w:r>
      <w:r w:rsidR="002316F5">
        <w:t>es</w:t>
      </w:r>
      <w:r w:rsidR="00187946">
        <w:t xml:space="preserve"> not dimmish the</w:t>
      </w:r>
      <w:r w:rsidR="00ED0E8F">
        <w:t xml:space="preserve"> statutes of </w:t>
      </w:r>
      <w:r w:rsidR="00841919">
        <w:t>UK Legislation</w:t>
      </w:r>
      <w:commentRangeEnd w:id="4"/>
      <w:r>
        <w:rPr>
          <w:rStyle w:val="CommentReference"/>
        </w:rPr>
        <w:commentReference w:id="4"/>
      </w:r>
      <w:commentRangeEnd w:id="5"/>
      <w:r>
        <w:rPr>
          <w:rStyle w:val="CommentReference"/>
        </w:rPr>
        <w:commentReference w:id="5"/>
      </w:r>
      <w:r w:rsidR="00841919">
        <w:t xml:space="preserve">. </w:t>
      </w:r>
      <w:r w:rsidR="00C66E9E">
        <w:t>Firstly,</w:t>
      </w:r>
      <w:r>
        <w:t xml:space="preserve"> the </w:t>
      </w:r>
      <w:r w:rsidR="002A3A19">
        <w:t xml:space="preserve">language from a statute </w:t>
      </w:r>
      <w:r w:rsidR="002316F5">
        <w:t xml:space="preserve">can be </w:t>
      </w:r>
      <w:r w:rsidR="00D82440">
        <w:t>non-specific</w:t>
      </w:r>
      <w:r w:rsidR="002316F5">
        <w:t xml:space="preserve"> or </w:t>
      </w:r>
      <w:r w:rsidR="00D82440">
        <w:t>vague</w:t>
      </w:r>
      <w:r w:rsidR="002316F5">
        <w:t xml:space="preserve"> with certain individual words, </w:t>
      </w:r>
      <w:r w:rsidR="00DC1A78">
        <w:t>f</w:t>
      </w:r>
      <w:r w:rsidR="00AE0261">
        <w:t>or example in</w:t>
      </w:r>
      <w:r w:rsidR="00B90216">
        <w:t xml:space="preserve"> </w:t>
      </w:r>
      <w:r w:rsidR="00CC7088">
        <w:t>criminal cases if one of the statutes involves the words</w:t>
      </w:r>
      <w:r w:rsidR="00767BB3">
        <w:t xml:space="preserve"> ‘</w:t>
      </w:r>
      <w:r w:rsidR="00B140AC">
        <w:t>profanity’ or ‘indec</w:t>
      </w:r>
      <w:r w:rsidR="00FF32E1">
        <w:t>ency’, it wo</w:t>
      </w:r>
      <w:r w:rsidR="00BB31CE">
        <w:t xml:space="preserve">uld be difficult to describe it precisely </w:t>
      </w:r>
      <w:r w:rsidR="00BB31CE" w:rsidRPr="5042B2DC">
        <w:rPr>
          <w:highlight w:val="yellow"/>
        </w:rPr>
        <w:t>Subjective opinion as to what constitutes profanity or indecency – needs more detail or examples</w:t>
      </w:r>
      <w:r w:rsidR="00DB59ED">
        <w:t>.</w:t>
      </w:r>
      <w:r w:rsidR="0001248B">
        <w:t xml:space="preserve"> </w:t>
      </w:r>
      <w:r w:rsidR="0058107E">
        <w:t>Meanwhile, in civil</w:t>
      </w:r>
      <w:r w:rsidR="00DB59ED">
        <w:t xml:space="preserve"> cases </w:t>
      </w:r>
      <w:r w:rsidR="00AB6783">
        <w:t xml:space="preserve">where a building had been damaged from </w:t>
      </w:r>
      <w:r w:rsidR="002B2C80">
        <w:t xml:space="preserve">either natural or </w:t>
      </w:r>
      <w:r w:rsidR="00F615DA">
        <w:t>man-made</w:t>
      </w:r>
      <w:r w:rsidR="002D733B" w:rsidRPr="5042B2DC">
        <w:rPr>
          <w:b/>
          <w:bCs/>
        </w:rPr>
        <w:t xml:space="preserve"> </w:t>
      </w:r>
      <w:r w:rsidR="002D733B">
        <w:t>causes,</w:t>
      </w:r>
      <w:r w:rsidR="00871C54">
        <w:t xml:space="preserve"> </w:t>
      </w:r>
      <w:r w:rsidR="002D733B">
        <w:t>then</w:t>
      </w:r>
      <w:r w:rsidR="00523C56">
        <w:t xml:space="preserve"> the statute would need to have an accurate definition of what a ‘building’ is, however there is no specific </w:t>
      </w:r>
      <w:r w:rsidR="000E1EB4">
        <w:t>list of objects to show what a building must have or what type of structure could be classed</w:t>
      </w:r>
      <w:r w:rsidR="00D255EF">
        <w:t xml:space="preserve"> as a building, for example could a caravan be classed as a ‘building’.</w:t>
      </w:r>
      <w:r w:rsidR="005920D7">
        <w:t xml:space="preserve"> </w:t>
      </w:r>
      <w:r w:rsidR="00790A62">
        <w:t xml:space="preserve">Vagueness </w:t>
      </w:r>
      <w:r w:rsidR="00864092">
        <w:t>happens when words have multiple possible meanings</w:t>
      </w:r>
      <w:r w:rsidR="00D53459">
        <w:t>. Words may have</w:t>
      </w:r>
      <w:r w:rsidR="00896B82">
        <w:t xml:space="preserve"> either a specific technical meaning or </w:t>
      </w:r>
      <w:r w:rsidR="00DD3AEA">
        <w:t>an</w:t>
      </w:r>
      <w:r w:rsidR="00896B82">
        <w:t xml:space="preserve"> ordinary more general </w:t>
      </w:r>
      <w:r w:rsidR="00F24111">
        <w:t xml:space="preserve">meaning. </w:t>
      </w:r>
      <w:r w:rsidR="00E44433">
        <w:t xml:space="preserve">For </w:t>
      </w:r>
      <w:r w:rsidR="00771D9A">
        <w:t>example,</w:t>
      </w:r>
      <w:r w:rsidR="00E44433">
        <w:t xml:space="preserve"> in </w:t>
      </w:r>
      <w:r w:rsidR="00C57DCA">
        <w:t xml:space="preserve">Fisher v Bell [1961], the court had to determine </w:t>
      </w:r>
      <w:r w:rsidR="005258D7">
        <w:t xml:space="preserve">what the word ‘offer’ meant, because the shop owner was </w:t>
      </w:r>
      <w:r w:rsidR="00080776">
        <w:t xml:space="preserve">displaying </w:t>
      </w:r>
      <w:r w:rsidR="0007681B">
        <w:t>flick knifes in the shop window, and</w:t>
      </w:r>
      <w:r w:rsidR="005360CF">
        <w:t xml:space="preserve"> </w:t>
      </w:r>
      <w:r w:rsidR="00CD4B84">
        <w:t xml:space="preserve">because of the </w:t>
      </w:r>
      <w:r w:rsidR="005360CF">
        <w:t>Restriction of Offensive Weapons Act 1959 s.1</w:t>
      </w:r>
      <w:r w:rsidR="00CD4B84">
        <w:t xml:space="preserve">, </w:t>
      </w:r>
      <w:r w:rsidR="00D32D1B">
        <w:t>it was prohibited for someone to “offer for sal</w:t>
      </w:r>
      <w:r w:rsidR="00BB54CA">
        <w:t>e or hire” certain offensive weapons.</w:t>
      </w:r>
      <w:commentRangeStart w:id="6"/>
      <w:r w:rsidR="00BB54CA">
        <w:t xml:space="preserve"> </w:t>
      </w:r>
      <w:r w:rsidR="00BB54CA" w:rsidRPr="5042B2DC">
        <w:rPr>
          <w:highlight w:val="yellow"/>
        </w:rPr>
        <w:t>In the ‘ordinary’ dictionary</w:t>
      </w:r>
      <w:r w:rsidR="00263A66" w:rsidRPr="5042B2DC">
        <w:rPr>
          <w:highlight w:val="yellow"/>
        </w:rPr>
        <w:t>, the definition would suggest</w:t>
      </w:r>
      <w:r w:rsidR="00B84108" w:rsidRPr="5042B2DC">
        <w:rPr>
          <w:highlight w:val="yellow"/>
        </w:rPr>
        <w:t xml:space="preserve"> it was okay to</w:t>
      </w:r>
      <w:r w:rsidR="002E74D5" w:rsidRPr="5042B2DC">
        <w:rPr>
          <w:highlight w:val="yellow"/>
        </w:rPr>
        <w:t xml:space="preserve"> </w:t>
      </w:r>
      <w:r w:rsidR="006C4541" w:rsidRPr="5042B2DC">
        <w:rPr>
          <w:highlight w:val="yellow"/>
        </w:rPr>
        <w:t xml:space="preserve">offer goods inside a </w:t>
      </w:r>
      <w:r w:rsidR="002E74D5" w:rsidRPr="5042B2DC">
        <w:rPr>
          <w:highlight w:val="yellow"/>
        </w:rPr>
        <w:t>shop for display</w:t>
      </w:r>
      <w:r w:rsidR="002E74D5">
        <w:t xml:space="preserve"> </w:t>
      </w:r>
      <w:commentRangeEnd w:id="6"/>
      <w:r>
        <w:rPr>
          <w:rStyle w:val="CommentReference"/>
        </w:rPr>
        <w:commentReference w:id="6"/>
      </w:r>
      <w:r w:rsidR="002E74D5">
        <w:t>and nothing more,</w:t>
      </w:r>
      <w:r w:rsidR="00A07E3D">
        <w:t xml:space="preserve"> s</w:t>
      </w:r>
      <w:r w:rsidR="007416CD">
        <w:t>o for the Fisher v Bell case</w:t>
      </w:r>
      <w:r w:rsidR="00E859CA">
        <w:t xml:space="preserve">, placing an item in a shop </w:t>
      </w:r>
      <w:r w:rsidR="00E53B63">
        <w:t>window wa</w:t>
      </w:r>
      <w:r w:rsidR="00027532">
        <w:t xml:space="preserve">s seen as not making an offer, but </w:t>
      </w:r>
      <w:r w:rsidR="00FC6CA5">
        <w:t xml:space="preserve">however </w:t>
      </w:r>
      <w:r w:rsidR="004D1108">
        <w:t xml:space="preserve">inviting a (potential) purchaser to make an offer, and in this case the shop owner was acquitted of attempting to sell ‘offensive </w:t>
      </w:r>
      <w:proofErr w:type="gramStart"/>
      <w:r w:rsidR="004D1108">
        <w:t>weapons’</w:t>
      </w:r>
      <w:proofErr w:type="gramEnd"/>
      <w:r w:rsidR="004D1108">
        <w:t>. Following this case, however,</w:t>
      </w:r>
      <w:r w:rsidR="00A07E3D">
        <w:t xml:space="preserve"> </w:t>
      </w:r>
      <w:commentRangeStart w:id="7"/>
      <w:r w:rsidR="00A07E3D">
        <w:t>the technical definition of the word offer was clarified in law. This is more complex as it gives the definition of ‘offer’ as a</w:t>
      </w:r>
      <w:r w:rsidR="002A3D47">
        <w:t xml:space="preserve"> small association of </w:t>
      </w:r>
      <w:r w:rsidR="00D13A5F">
        <w:t>people having an agreement, containing some terms and conditions</w:t>
      </w:r>
      <w:r w:rsidR="001D4364">
        <w:t xml:space="preserve">, and they must </w:t>
      </w:r>
      <w:r w:rsidR="00F64D71">
        <w:t xml:space="preserve">have the intention to </w:t>
      </w:r>
      <w:r w:rsidR="00B60843">
        <w:t>obey those terms</w:t>
      </w:r>
      <w:r w:rsidR="004A3CCD">
        <w:t>.</w:t>
      </w:r>
      <w:r w:rsidR="001B29AF">
        <w:t xml:space="preserve"> </w:t>
      </w:r>
      <w:r w:rsidR="003E362E">
        <w:t xml:space="preserve">In summary, in relation to this statute, an offer is now defined as an attempt </w:t>
      </w:r>
      <w:r w:rsidR="008168AC">
        <w:t xml:space="preserve">at making a mandatory contract. </w:t>
      </w:r>
      <w:r w:rsidR="008168AC" w:rsidRPr="5042B2DC">
        <w:rPr>
          <w:highlight w:val="yellow"/>
        </w:rPr>
        <w:t>This shows that interpretation can change the outcome of a case guilty/not guilty in your own words. This case study shows how important it is, when a specific word is not described probably it can create confusion when dealing with that statute at court in the future. That is why for this case, statutory int</w:t>
      </w:r>
      <w:commentRangeEnd w:id="7"/>
      <w:r>
        <w:rPr>
          <w:rStyle w:val="CommentReference"/>
        </w:rPr>
        <w:commentReference w:id="7"/>
      </w:r>
      <w:r w:rsidR="5042B2DC" w:rsidRPr="5042B2DC">
        <w:rPr>
          <w:highlight w:val="yellow"/>
        </w:rPr>
        <w:t xml:space="preserve">erpretation had to be important to determine the final decision.  </w:t>
      </w:r>
    </w:p>
    <w:p w14:paraId="646D3FB8" w14:textId="0DB6F571" w:rsidR="00B6041C" w:rsidRDefault="00DC1A78" w:rsidP="5EA902AF">
      <w:pPr>
        <w:rPr>
          <w:color w:val="FF0000"/>
        </w:rPr>
      </w:pPr>
      <w:r>
        <w:t>Secondly</w:t>
      </w:r>
      <w:r w:rsidR="00B35928">
        <w:t xml:space="preserve">, statutory interpretation </w:t>
      </w:r>
      <w:r w:rsidR="00691D1F">
        <w:t>helps</w:t>
      </w:r>
      <w:r w:rsidR="00B35928">
        <w:t xml:space="preserve"> with n</w:t>
      </w:r>
      <w:r w:rsidR="00AF6C7E">
        <w:t xml:space="preserve">ew problems </w:t>
      </w:r>
      <w:r w:rsidR="00046504">
        <w:t xml:space="preserve">that </w:t>
      </w:r>
      <w:r w:rsidR="00116D02">
        <w:t xml:space="preserve">could </w:t>
      </w:r>
      <w:r w:rsidR="00046504">
        <w:t xml:space="preserve">suddenly </w:t>
      </w:r>
      <w:r w:rsidR="00116D02">
        <w:t>come in</w:t>
      </w:r>
      <w:r w:rsidR="00046504">
        <w:t>,</w:t>
      </w:r>
      <w:r w:rsidR="00116D02">
        <w:t xml:space="preserve"> </w:t>
      </w:r>
      <w:r w:rsidR="00CE0FA7">
        <w:t xml:space="preserve">that were no predicted just after the legislation was drafted and passed such as in the case of </w:t>
      </w:r>
      <w:r w:rsidR="004B2DA2">
        <w:t xml:space="preserve">The Royal College </w:t>
      </w:r>
      <w:r w:rsidR="009D2AB5">
        <w:t>of Nursing of the United Kingdom v Depart</w:t>
      </w:r>
      <w:r w:rsidR="00510CBE">
        <w:t>ment of Health and Social Security [1981] AC 800</w:t>
      </w:r>
      <w:r w:rsidR="00586CDA">
        <w:t xml:space="preserve">. This </w:t>
      </w:r>
      <w:r w:rsidR="00185C30">
        <w:t xml:space="preserve">case was to determine whether </w:t>
      </w:r>
      <w:r w:rsidR="00B32655">
        <w:t xml:space="preserve">“a person shall not be guilty of an offence </w:t>
      </w:r>
      <w:r w:rsidR="006C6B37">
        <w:t xml:space="preserve">under the law relating to abortion </w:t>
      </w:r>
      <w:r w:rsidR="00BC26EB">
        <w:t xml:space="preserve">when a pregnancy is terminated by a registered medical </w:t>
      </w:r>
      <w:r w:rsidR="00A67F73">
        <w:t>practitioner”</w:t>
      </w:r>
      <w:r w:rsidR="00167206">
        <w:t xml:space="preserve"> (</w:t>
      </w:r>
      <w:r w:rsidR="00EE6C50">
        <w:t xml:space="preserve">Offences </w:t>
      </w:r>
      <w:r w:rsidR="00EE6C50">
        <w:lastRenderedPageBreak/>
        <w:t>Against the Person Act, 1861, s</w:t>
      </w:r>
      <w:r w:rsidR="00DE69D2">
        <w:t xml:space="preserve">s.58 and 59). </w:t>
      </w:r>
      <w:r w:rsidR="008B0F64">
        <w:t xml:space="preserve">When the act was </w:t>
      </w:r>
      <w:r w:rsidR="0011079C">
        <w:t xml:space="preserve">passed to be a statute, the method of abortion was surgical and </w:t>
      </w:r>
      <w:r w:rsidR="00276780">
        <w:t>needed a doctor</w:t>
      </w:r>
      <w:r w:rsidR="005104F1">
        <w:t xml:space="preserve">. </w:t>
      </w:r>
      <w:r w:rsidR="00784695">
        <w:t>In</w:t>
      </w:r>
      <w:r w:rsidR="005104F1">
        <w:t xml:space="preserve"> 1980, the </w:t>
      </w:r>
      <w:r w:rsidR="00C7049F">
        <w:t xml:space="preserve">common method changed to using </w:t>
      </w:r>
      <w:r w:rsidR="006D28EB">
        <w:t xml:space="preserve">a chemical fluid injected </w:t>
      </w:r>
      <w:r w:rsidR="0003440A">
        <w:t>into the womb to trigger premature birth of the foetus (medical induction)</w:t>
      </w:r>
      <w:r w:rsidR="00AD4A86">
        <w:t>, which would then be carried out by nurses</w:t>
      </w:r>
      <w:r w:rsidR="009800FC">
        <w:t xml:space="preserve">. </w:t>
      </w:r>
      <w:r w:rsidR="0059596C">
        <w:t>The q</w:t>
      </w:r>
      <w:r w:rsidR="005D4E46">
        <w:t>uestion that the House of Lords were given was, under</w:t>
      </w:r>
      <w:r w:rsidR="00294FB8">
        <w:t xml:space="preserve"> the Abortion Act (1976) s.1(1) could a </w:t>
      </w:r>
      <w:r w:rsidR="008D0C0F">
        <w:t>fully registered medical practitioner (a doctor)</w:t>
      </w:r>
      <w:r w:rsidR="00FB2FFF">
        <w:t xml:space="preserve">, have a </w:t>
      </w:r>
      <w:r w:rsidR="00FD0D82">
        <w:t>non-registered medical practitioner (a nurse) work with them under t</w:t>
      </w:r>
      <w:r w:rsidR="00EE3E35">
        <w:t xml:space="preserve">heir instructions to </w:t>
      </w:r>
      <w:r w:rsidR="00E21E22">
        <w:t>give an ‘aborti</w:t>
      </w:r>
      <w:r w:rsidR="00F570D6">
        <w:t xml:space="preserve">facient fluid’ into the mother’s womb </w:t>
      </w:r>
      <w:r w:rsidR="00761907">
        <w:t xml:space="preserve">to cause the abortion to happen. </w:t>
      </w:r>
      <w:r w:rsidR="00BC6D17">
        <w:t>In the end there was a 3:2 majority vote that decided no.</w:t>
      </w:r>
      <w:r w:rsidR="00BC6D17" w:rsidRPr="5EA902AF">
        <w:t xml:space="preserve"> </w:t>
      </w:r>
      <w:r w:rsidR="009F52DB" w:rsidRPr="5EA902AF">
        <w:t xml:space="preserve">The reason was because the majority felt that the </w:t>
      </w:r>
      <w:r w:rsidR="000D56D9" w:rsidRPr="5EA902AF">
        <w:t>new procedure may encourage</w:t>
      </w:r>
      <w:r w:rsidR="00AB448A" w:rsidRPr="5EA902AF">
        <w:t xml:space="preserve"> </w:t>
      </w:r>
      <w:proofErr w:type="gramStart"/>
      <w:r w:rsidR="00AB448A" w:rsidRPr="5EA902AF">
        <w:t>back-street</w:t>
      </w:r>
      <w:proofErr w:type="gramEnd"/>
      <w:r w:rsidR="00AB448A" w:rsidRPr="5EA902AF">
        <w:t xml:space="preserve"> and unsafe </w:t>
      </w:r>
      <w:commentRangeStart w:id="8"/>
      <w:r w:rsidR="00AB448A" w:rsidRPr="5EA902AF">
        <w:t>abortion</w:t>
      </w:r>
      <w:r w:rsidR="00691D1F" w:rsidRPr="5EA902AF">
        <w:t xml:space="preserve">s, which is what the original Act had been aiming to prevent. </w:t>
      </w:r>
      <w:r w:rsidR="00691D1F" w:rsidRPr="5EA902AF">
        <w:rPr>
          <w:highlight w:val="yellow"/>
        </w:rPr>
        <w:t>This was clarified in law so how does interpretation come in?</w:t>
      </w:r>
      <w:commentRangeEnd w:id="8"/>
      <w:r>
        <w:rPr>
          <w:rStyle w:val="CommentReference"/>
        </w:rPr>
        <w:commentReference w:id="8"/>
      </w:r>
    </w:p>
    <w:p w14:paraId="22942110" w14:textId="77777777" w:rsidR="00B6041C" w:rsidRDefault="00B6041C" w:rsidP="00B6041C">
      <w:pPr>
        <w:pStyle w:val="Heading2"/>
      </w:pPr>
    </w:p>
    <w:p w14:paraId="577CE190" w14:textId="727F8EBF" w:rsidR="00B6041C" w:rsidRDefault="00B6041C" w:rsidP="00B6041C">
      <w:pPr>
        <w:pStyle w:val="Heading2"/>
      </w:pPr>
      <w:commentRangeStart w:id="9"/>
      <w:r>
        <w:t>The rules</w:t>
      </w:r>
    </w:p>
    <w:p w14:paraId="41F629FF" w14:textId="4F30548A" w:rsidR="00B6041C" w:rsidRDefault="00B6041C" w:rsidP="009D2562">
      <w:r>
        <w:t>The Mischief rule</w:t>
      </w:r>
      <w:commentRangeEnd w:id="9"/>
      <w:r w:rsidR="000601F5">
        <w:rPr>
          <w:rStyle w:val="CommentReference"/>
        </w:rPr>
        <w:commentReference w:id="9"/>
      </w:r>
    </w:p>
    <w:p w14:paraId="255EF1DD" w14:textId="36ED7CC2" w:rsidR="00D276EF" w:rsidRDefault="00D276EF" w:rsidP="00D276EF">
      <w:commentRangeStart w:id="10"/>
      <w:r>
        <w:t xml:space="preserve">The mischief rule </w:t>
      </w:r>
      <w:commentRangeEnd w:id="10"/>
      <w:r w:rsidR="00965B60">
        <w:rPr>
          <w:rStyle w:val="CommentReference"/>
        </w:rPr>
        <w:commentReference w:id="10"/>
      </w:r>
      <w:r>
        <w:t xml:space="preserve">was created so that the court could interpret the statute and make sure that the statute is covered and has no errors. A formulation of the rule can be found in Heydon's case (1584) 3 Co Rep 7a. During the case it was said that the true interpretation of a statute, must have consider four things. 1. What was the common law before the making of the Act. 2.What was the mischief and defect for which the common law did not provide / The statute might need to </w:t>
      </w:r>
      <w:r w:rsidR="00CD3097">
        <w:t>change</w:t>
      </w:r>
      <w:r>
        <w:t xml:space="preserve"> because it is outdated and needs to </w:t>
      </w:r>
      <w:proofErr w:type="gramStart"/>
      <w:r>
        <w:t>reconstructed</w:t>
      </w:r>
      <w:proofErr w:type="gramEnd"/>
      <w:r>
        <w:t xml:space="preserve"> for the present time. 3. What remedy the Parliament hath resolved and appointed to cure the disease of the Commonwealth / The statute has been changed around. 4. The true reason of the remedy / the reconstructed and the new statute been created. </w:t>
      </w:r>
    </w:p>
    <w:p w14:paraId="0C280E86" w14:textId="7A7EE3CE" w:rsidR="00D276EF" w:rsidRDefault="00D276EF" w:rsidP="00D276EF">
      <w:r>
        <w:t>The mischief rule can lead to either positive or negative reinforcement on a statute. The negative of the 'mischief act' is, according to Law commission (Report No. 21, 1969), The mischief rule was only designed for evil cases. However</w:t>
      </w:r>
      <w:r w:rsidR="00C63082">
        <w:t>,</w:t>
      </w:r>
      <w:r>
        <w:t xml:space="preserve"> dealing with the evil cases can lead positive reinforcement, for example in the case of Smith v Hughes, the case involves woman prostitutes in a house trying to attract males going pass them in the streets by yelling from the balconies and tapping on the windows. The Streets offences Act 1959 s.1 (1) says it was ' an offence for a prostitute to roam around in a street or public places and try and get away with prostitution. The </w:t>
      </w:r>
      <w:r w:rsidR="00CD3097">
        <w:t>defendant’s</w:t>
      </w:r>
      <w:r>
        <w:t xml:space="preserve"> conviction was upheld due to the act not being clear enough where the prostitutes had to be when the 'solicitation' took place.</w:t>
      </w:r>
    </w:p>
    <w:p w14:paraId="6F17C048" w14:textId="08451697" w:rsidR="00B6041C" w:rsidRDefault="00B6041C" w:rsidP="009D2562">
      <w:r>
        <w:t>The Literal rule</w:t>
      </w:r>
    </w:p>
    <w:p w14:paraId="5D805A0D" w14:textId="2B311D97" w:rsidR="00F502DD" w:rsidRDefault="00F502DD" w:rsidP="009D2562">
      <w:pPr>
        <w:rPr>
          <w:rFonts w:ascii="Calibri" w:eastAsia="Times New Roman" w:hAnsi="Calibri" w:cs="Times New Roman"/>
          <w:szCs w:val="21"/>
        </w:rPr>
      </w:pPr>
      <w:r>
        <w:t xml:space="preserve">The literal rule </w:t>
      </w:r>
      <w:r w:rsidR="008D130D">
        <w:t>main purpose is to focus on the wording</w:t>
      </w:r>
      <w:r w:rsidR="009F4F92">
        <w:t xml:space="preserve"> of the statute</w:t>
      </w:r>
      <w:r w:rsidR="0091318D">
        <w:t>,</w:t>
      </w:r>
      <w:r w:rsidR="00290735">
        <w:t xml:space="preserve"> also it is the first pro</w:t>
      </w:r>
      <w:r w:rsidR="002B2602">
        <w:t>cess when dealing with the interpretation of a statute</w:t>
      </w:r>
      <w:r w:rsidR="009F4F92">
        <w:t xml:space="preserve">. </w:t>
      </w:r>
      <w:r w:rsidR="00A326F9">
        <w:t xml:space="preserve">In the case </w:t>
      </w:r>
      <w:proofErr w:type="spellStart"/>
      <w:r w:rsidR="00A326F9">
        <w:t>Duport</w:t>
      </w:r>
      <w:proofErr w:type="spellEnd"/>
      <w:r w:rsidR="00A326F9">
        <w:t xml:space="preserve"> Steels Ltd v Sirs [1980] 1 WLR 142</w:t>
      </w:r>
      <w:r w:rsidR="00F00724">
        <w:t xml:space="preserve">, 157, Lord Diplock said </w:t>
      </w:r>
      <w:r w:rsidR="0062600E">
        <w:t>“</w:t>
      </w:r>
      <w:r w:rsidR="00A64AEA" w:rsidRPr="00A64AEA">
        <w:rPr>
          <w:rFonts w:ascii="Calibri" w:eastAsia="Times New Roman" w:hAnsi="Calibri" w:cs="Times New Roman"/>
          <w:color w:val="000000"/>
          <w:szCs w:val="21"/>
          <w:shd w:val="clear" w:color="auto" w:fill="FFFF31"/>
        </w:rPr>
        <w:t xml:space="preserve">The role of the judge is confined to ascertaining from the words that Parliament has approved as expressing </w:t>
      </w:r>
      <w:proofErr w:type="spellStart"/>
      <w:r w:rsidR="00A64AEA" w:rsidRPr="00A64AEA">
        <w:rPr>
          <w:rFonts w:ascii="Calibri" w:eastAsia="Times New Roman" w:hAnsi="Calibri" w:cs="Times New Roman"/>
          <w:color w:val="000000"/>
          <w:szCs w:val="21"/>
          <w:shd w:val="clear" w:color="auto" w:fill="FFFF31"/>
        </w:rPr>
        <w:t>it's</w:t>
      </w:r>
      <w:proofErr w:type="spellEnd"/>
      <w:r w:rsidR="00A64AEA" w:rsidRPr="00A64AEA">
        <w:rPr>
          <w:rFonts w:ascii="Calibri" w:eastAsia="Times New Roman" w:hAnsi="Calibri" w:cs="Times New Roman"/>
          <w:color w:val="000000"/>
          <w:szCs w:val="21"/>
          <w:shd w:val="clear" w:color="auto" w:fill="FFFF31"/>
        </w:rPr>
        <w:t xml:space="preserve"> intention</w:t>
      </w:r>
      <w:r w:rsidR="00A64AEA" w:rsidRPr="00A64AEA">
        <w:rPr>
          <w:rFonts w:ascii="Calibri" w:eastAsia="Times New Roman" w:hAnsi="Calibri" w:cs="Times New Roman"/>
          <w:szCs w:val="21"/>
        </w:rPr>
        <w:t xml:space="preserve"> what that laws intention actually is and give its full effect to it."</w:t>
      </w:r>
      <w:r w:rsidR="0043466B">
        <w:rPr>
          <w:rFonts w:ascii="Calibri" w:eastAsia="Times New Roman" w:hAnsi="Calibri" w:cs="Times New Roman"/>
          <w:szCs w:val="21"/>
        </w:rPr>
        <w:t xml:space="preserve"> </w:t>
      </w:r>
      <w:r w:rsidR="009D6093">
        <w:rPr>
          <w:rFonts w:ascii="Calibri" w:eastAsia="Times New Roman" w:hAnsi="Calibri" w:cs="Times New Roman"/>
          <w:szCs w:val="21"/>
        </w:rPr>
        <w:t xml:space="preserve">(MEANING). </w:t>
      </w:r>
      <w:r w:rsidR="004A1CE3">
        <w:rPr>
          <w:rFonts w:ascii="Calibri" w:eastAsia="Times New Roman" w:hAnsi="Calibri" w:cs="Times New Roman"/>
          <w:szCs w:val="21"/>
        </w:rPr>
        <w:t xml:space="preserve">The literal </w:t>
      </w:r>
      <w:r w:rsidR="003B632D">
        <w:rPr>
          <w:rFonts w:ascii="Calibri" w:eastAsia="Times New Roman" w:hAnsi="Calibri" w:cs="Times New Roman"/>
          <w:szCs w:val="21"/>
        </w:rPr>
        <w:t xml:space="preserve">rule also </w:t>
      </w:r>
      <w:proofErr w:type="gramStart"/>
      <w:r w:rsidR="003B632D">
        <w:rPr>
          <w:rFonts w:ascii="Calibri" w:eastAsia="Times New Roman" w:hAnsi="Calibri" w:cs="Times New Roman"/>
          <w:szCs w:val="21"/>
        </w:rPr>
        <w:t>has</w:t>
      </w:r>
      <w:r w:rsidR="000D6DD4">
        <w:rPr>
          <w:rFonts w:ascii="Calibri" w:eastAsia="Times New Roman" w:hAnsi="Calibri" w:cs="Times New Roman"/>
          <w:szCs w:val="21"/>
        </w:rPr>
        <w:t xml:space="preserve"> to</w:t>
      </w:r>
      <w:proofErr w:type="gramEnd"/>
      <w:r w:rsidR="000D6DD4">
        <w:rPr>
          <w:rFonts w:ascii="Calibri" w:eastAsia="Times New Roman" w:hAnsi="Calibri" w:cs="Times New Roman"/>
          <w:szCs w:val="21"/>
        </w:rPr>
        <w:t xml:space="preserve"> </w:t>
      </w:r>
      <w:r w:rsidR="008E5948">
        <w:rPr>
          <w:rFonts w:ascii="Calibri" w:eastAsia="Times New Roman" w:hAnsi="Calibri" w:cs="Times New Roman"/>
          <w:szCs w:val="21"/>
        </w:rPr>
        <w:t xml:space="preserve">be </w:t>
      </w:r>
      <w:r w:rsidR="000D6DD4">
        <w:rPr>
          <w:rFonts w:ascii="Calibri" w:eastAsia="Times New Roman" w:hAnsi="Calibri" w:cs="Times New Roman"/>
          <w:szCs w:val="21"/>
        </w:rPr>
        <w:t xml:space="preserve">used </w:t>
      </w:r>
      <w:r w:rsidR="002A4084">
        <w:rPr>
          <w:rFonts w:ascii="Calibri" w:eastAsia="Times New Roman" w:hAnsi="Calibri" w:cs="Times New Roman"/>
          <w:szCs w:val="21"/>
        </w:rPr>
        <w:t>on the assumption that the meanings of the word and sentences are clear</w:t>
      </w:r>
      <w:r w:rsidR="008E5948">
        <w:rPr>
          <w:rFonts w:ascii="Calibri" w:eastAsia="Times New Roman" w:hAnsi="Calibri" w:cs="Times New Roman"/>
          <w:szCs w:val="21"/>
        </w:rPr>
        <w:t xml:space="preserve"> </w:t>
      </w:r>
      <w:r w:rsidR="001A2552">
        <w:rPr>
          <w:rFonts w:ascii="Calibri" w:eastAsia="Times New Roman" w:hAnsi="Calibri" w:cs="Times New Roman"/>
          <w:szCs w:val="21"/>
        </w:rPr>
        <w:t>which in some cases they are not</w:t>
      </w:r>
      <w:r w:rsidR="00AB7C66">
        <w:rPr>
          <w:rFonts w:ascii="Calibri" w:eastAsia="Times New Roman" w:hAnsi="Calibri" w:cs="Times New Roman"/>
          <w:szCs w:val="21"/>
        </w:rPr>
        <w:t xml:space="preserve">. The literal role is now </w:t>
      </w:r>
      <w:r w:rsidR="00112E3C">
        <w:rPr>
          <w:rFonts w:ascii="Calibri" w:eastAsia="Times New Roman" w:hAnsi="Calibri" w:cs="Times New Roman"/>
          <w:szCs w:val="21"/>
        </w:rPr>
        <w:t xml:space="preserve">out-dated </w:t>
      </w:r>
      <w:r w:rsidR="0004716C">
        <w:rPr>
          <w:rFonts w:ascii="Calibri" w:eastAsia="Times New Roman" w:hAnsi="Calibri" w:cs="Times New Roman"/>
          <w:szCs w:val="21"/>
        </w:rPr>
        <w:t xml:space="preserve">and </w:t>
      </w:r>
      <w:r w:rsidR="00914FBF">
        <w:rPr>
          <w:rFonts w:ascii="Calibri" w:eastAsia="Times New Roman" w:hAnsi="Calibri" w:cs="Times New Roman"/>
          <w:szCs w:val="21"/>
        </w:rPr>
        <w:t xml:space="preserve">has been </w:t>
      </w:r>
      <w:r w:rsidR="00E5654E" w:rsidRPr="00E5654E">
        <w:rPr>
          <w:rFonts w:ascii="Calibri" w:eastAsia="Times New Roman" w:hAnsi="Calibri" w:cs="Times New Roman"/>
          <w:szCs w:val="21"/>
          <w:highlight w:val="yellow"/>
        </w:rPr>
        <w:t>outshined</w:t>
      </w:r>
      <w:r w:rsidR="00E5654E">
        <w:rPr>
          <w:rFonts w:ascii="Calibri" w:eastAsia="Times New Roman" w:hAnsi="Calibri" w:cs="Times New Roman"/>
          <w:szCs w:val="21"/>
        </w:rPr>
        <w:t xml:space="preserve"> by the other </w:t>
      </w:r>
      <w:r w:rsidR="00AA1CCC">
        <w:rPr>
          <w:rFonts w:ascii="Calibri" w:eastAsia="Times New Roman" w:hAnsi="Calibri" w:cs="Times New Roman"/>
          <w:szCs w:val="21"/>
        </w:rPr>
        <w:t>rules</w:t>
      </w:r>
      <w:r w:rsidR="00134188">
        <w:rPr>
          <w:rFonts w:ascii="Calibri" w:eastAsia="Times New Roman" w:hAnsi="Calibri" w:cs="Times New Roman"/>
          <w:szCs w:val="21"/>
        </w:rPr>
        <w:t xml:space="preserve"> (the </w:t>
      </w:r>
      <w:r w:rsidR="005E30B5">
        <w:rPr>
          <w:rFonts w:ascii="Calibri" w:eastAsia="Times New Roman" w:hAnsi="Calibri" w:cs="Times New Roman"/>
          <w:szCs w:val="21"/>
        </w:rPr>
        <w:t>golden and the mischief rule)</w:t>
      </w:r>
      <w:r w:rsidR="00204BE1">
        <w:rPr>
          <w:rFonts w:ascii="Calibri" w:eastAsia="Times New Roman" w:hAnsi="Calibri" w:cs="Times New Roman"/>
          <w:szCs w:val="21"/>
        </w:rPr>
        <w:t>.</w:t>
      </w:r>
    </w:p>
    <w:p w14:paraId="1648E99F" w14:textId="64476F34" w:rsidR="00EA7274" w:rsidRPr="0043466B" w:rsidRDefault="00752F07" w:rsidP="5042B2DC">
      <w:pPr>
        <w:rPr>
          <w:rFonts w:ascii="Calibri" w:eastAsia="Times New Roman" w:hAnsi="Calibri" w:cs="Times New Roman"/>
        </w:rPr>
      </w:pPr>
      <w:commentRangeStart w:id="11"/>
      <w:commentRangeStart w:id="12"/>
      <w:commentRangeStart w:id="13"/>
      <w:r w:rsidRPr="5042B2DC">
        <w:rPr>
          <w:rFonts w:ascii="Calibri" w:eastAsia="Times New Roman" w:hAnsi="Calibri" w:cs="Times New Roman"/>
        </w:rPr>
        <w:t xml:space="preserve">A case which involves the Literal </w:t>
      </w:r>
      <w:r w:rsidR="00586400" w:rsidRPr="5042B2DC">
        <w:rPr>
          <w:rFonts w:ascii="Calibri" w:eastAsia="Times New Roman" w:hAnsi="Calibri" w:cs="Times New Roman"/>
        </w:rPr>
        <w:t>rule, is the Fisher v Bell [1961] 1 QB 394</w:t>
      </w:r>
      <w:r w:rsidR="008B02C9" w:rsidRPr="5042B2DC">
        <w:rPr>
          <w:rFonts w:ascii="Calibri" w:eastAsia="Times New Roman" w:hAnsi="Calibri" w:cs="Times New Roman"/>
        </w:rPr>
        <w:t xml:space="preserve">. The case involved a shopkeeper having a </w:t>
      </w:r>
      <w:r w:rsidR="008B49C8" w:rsidRPr="5042B2DC">
        <w:rPr>
          <w:rFonts w:ascii="Calibri" w:eastAsia="Times New Roman" w:hAnsi="Calibri" w:cs="Times New Roman"/>
        </w:rPr>
        <w:t xml:space="preserve">display in the window a ‘flick knife </w:t>
      </w:r>
      <w:r w:rsidR="00AC2E1E" w:rsidRPr="5042B2DC">
        <w:rPr>
          <w:rFonts w:ascii="Calibri" w:eastAsia="Times New Roman" w:hAnsi="Calibri" w:cs="Times New Roman"/>
        </w:rPr>
        <w:t xml:space="preserve">with a ticket </w:t>
      </w:r>
      <w:proofErr w:type="gramStart"/>
      <w:r w:rsidR="00AC2E1E" w:rsidRPr="5042B2DC">
        <w:rPr>
          <w:rFonts w:ascii="Calibri" w:eastAsia="Times New Roman" w:hAnsi="Calibri" w:cs="Times New Roman"/>
        </w:rPr>
        <w:t>stating</w:t>
      </w:r>
      <w:proofErr w:type="gramEnd"/>
      <w:r w:rsidR="00AC2E1E" w:rsidRPr="5042B2DC">
        <w:rPr>
          <w:rFonts w:ascii="Calibri" w:eastAsia="Times New Roman" w:hAnsi="Calibri" w:cs="Times New Roman"/>
        </w:rPr>
        <w:t xml:space="preserve"> “Ejector knife-4s”</w:t>
      </w:r>
      <w:r w:rsidR="0005406F" w:rsidRPr="5042B2DC">
        <w:rPr>
          <w:rFonts w:ascii="Calibri" w:eastAsia="Times New Roman" w:hAnsi="Calibri" w:cs="Times New Roman"/>
        </w:rPr>
        <w:t>’.</w:t>
      </w:r>
      <w:r w:rsidR="00652E93" w:rsidRPr="5042B2DC">
        <w:rPr>
          <w:rFonts w:ascii="Calibri" w:eastAsia="Times New Roman" w:hAnsi="Calibri" w:cs="Times New Roman"/>
        </w:rPr>
        <w:t xml:space="preserve"> The shopkeeper was arrested </w:t>
      </w:r>
      <w:r w:rsidR="00A77002" w:rsidRPr="5042B2DC">
        <w:rPr>
          <w:rFonts w:ascii="Calibri" w:eastAsia="Times New Roman" w:hAnsi="Calibri" w:cs="Times New Roman"/>
        </w:rPr>
        <w:t>for breaking</w:t>
      </w:r>
      <w:r w:rsidR="0005406F" w:rsidRPr="5042B2DC">
        <w:rPr>
          <w:rFonts w:ascii="Calibri" w:eastAsia="Times New Roman" w:hAnsi="Calibri" w:cs="Times New Roman"/>
        </w:rPr>
        <w:t xml:space="preserve"> the Restriction of Offensive Weapons Act 1959 </w:t>
      </w:r>
      <w:r w:rsidR="007E687B" w:rsidRPr="5042B2DC">
        <w:rPr>
          <w:rFonts w:ascii="Calibri" w:eastAsia="Times New Roman" w:hAnsi="Calibri" w:cs="Times New Roman"/>
        </w:rPr>
        <w:t>s.1</w:t>
      </w:r>
      <w:r w:rsidR="00A77002" w:rsidRPr="5042B2DC">
        <w:rPr>
          <w:rFonts w:ascii="Calibri" w:eastAsia="Times New Roman" w:hAnsi="Calibri" w:cs="Times New Roman"/>
        </w:rPr>
        <w:t>, where</w:t>
      </w:r>
      <w:r w:rsidR="007E687B" w:rsidRPr="5042B2DC">
        <w:rPr>
          <w:rFonts w:ascii="Calibri" w:eastAsia="Times New Roman" w:hAnsi="Calibri" w:cs="Times New Roman"/>
        </w:rPr>
        <w:t xml:space="preserve"> it says “provided </w:t>
      </w:r>
      <w:r w:rsidR="00137D53" w:rsidRPr="5042B2DC">
        <w:rPr>
          <w:rFonts w:ascii="Calibri" w:eastAsia="Times New Roman" w:hAnsi="Calibri" w:cs="Times New Roman"/>
        </w:rPr>
        <w:t xml:space="preserve">that any person who manufactures, </w:t>
      </w:r>
      <w:r w:rsidR="004349CD" w:rsidRPr="5042B2DC">
        <w:rPr>
          <w:rFonts w:ascii="Calibri" w:eastAsia="Times New Roman" w:hAnsi="Calibri" w:cs="Times New Roman"/>
        </w:rPr>
        <w:t>sells,</w:t>
      </w:r>
      <w:r w:rsidR="00137D53" w:rsidRPr="5042B2DC">
        <w:rPr>
          <w:rFonts w:ascii="Calibri" w:eastAsia="Times New Roman" w:hAnsi="Calibri" w:cs="Times New Roman"/>
        </w:rPr>
        <w:t xml:space="preserve"> or hires or offers for sale or hire</w:t>
      </w:r>
      <w:r w:rsidR="00E16DDD" w:rsidRPr="5042B2DC">
        <w:rPr>
          <w:rFonts w:ascii="Calibri" w:eastAsia="Times New Roman" w:hAnsi="Calibri" w:cs="Times New Roman"/>
        </w:rPr>
        <w:t xml:space="preserve"> a flick knife should be guilty of an offence</w:t>
      </w:r>
      <w:r w:rsidR="00652E93" w:rsidRPr="5042B2DC">
        <w:rPr>
          <w:rFonts w:ascii="Calibri" w:eastAsia="Times New Roman" w:hAnsi="Calibri" w:cs="Times New Roman"/>
        </w:rPr>
        <w:t>.</w:t>
      </w:r>
      <w:r w:rsidR="00F83026" w:rsidRPr="5042B2DC">
        <w:rPr>
          <w:rFonts w:ascii="Calibri" w:eastAsia="Times New Roman" w:hAnsi="Calibri" w:cs="Times New Roman"/>
        </w:rPr>
        <w:t xml:space="preserve"> It was held by the Divisional Court of the </w:t>
      </w:r>
      <w:proofErr w:type="spellStart"/>
      <w:r w:rsidR="00F83026" w:rsidRPr="5042B2DC">
        <w:rPr>
          <w:rFonts w:ascii="Calibri" w:eastAsia="Times New Roman" w:hAnsi="Calibri" w:cs="Times New Roman"/>
        </w:rPr>
        <w:t>Queens</w:t>
      </w:r>
      <w:proofErr w:type="spellEnd"/>
      <w:r w:rsidR="00F83026" w:rsidRPr="5042B2DC">
        <w:rPr>
          <w:rFonts w:ascii="Calibri" w:eastAsia="Times New Roman" w:hAnsi="Calibri" w:cs="Times New Roman"/>
        </w:rPr>
        <w:t xml:space="preserve"> Bench Division </w:t>
      </w:r>
      <w:r w:rsidR="00E44422" w:rsidRPr="5042B2DC">
        <w:rPr>
          <w:rFonts w:ascii="Calibri" w:eastAsia="Times New Roman" w:hAnsi="Calibri" w:cs="Times New Roman"/>
        </w:rPr>
        <w:t xml:space="preserve">that an </w:t>
      </w:r>
      <w:r w:rsidR="001B4AA9" w:rsidRPr="5042B2DC">
        <w:rPr>
          <w:rFonts w:ascii="Calibri" w:eastAsia="Times New Roman" w:hAnsi="Calibri" w:cs="Times New Roman"/>
        </w:rPr>
        <w:t>“</w:t>
      </w:r>
      <w:r w:rsidR="00E44422" w:rsidRPr="5042B2DC">
        <w:rPr>
          <w:rFonts w:ascii="Calibri" w:eastAsia="Times New Roman" w:hAnsi="Calibri" w:cs="Times New Roman"/>
        </w:rPr>
        <w:t>offer</w:t>
      </w:r>
      <w:r w:rsidR="001B4AA9" w:rsidRPr="5042B2DC">
        <w:rPr>
          <w:rFonts w:ascii="Calibri" w:eastAsia="Times New Roman" w:hAnsi="Calibri" w:cs="Times New Roman"/>
        </w:rPr>
        <w:t>”</w:t>
      </w:r>
      <w:r w:rsidR="00E44422" w:rsidRPr="5042B2DC">
        <w:rPr>
          <w:rFonts w:ascii="Calibri" w:eastAsia="Times New Roman" w:hAnsi="Calibri" w:cs="Times New Roman"/>
        </w:rPr>
        <w:t xml:space="preserve"> had not been made. </w:t>
      </w:r>
      <w:r w:rsidR="004D58C5" w:rsidRPr="5042B2DC">
        <w:rPr>
          <w:rFonts w:ascii="Calibri" w:eastAsia="Times New Roman" w:hAnsi="Calibri" w:cs="Times New Roman"/>
        </w:rPr>
        <w:t xml:space="preserve">Through further talk, the Court </w:t>
      </w:r>
      <w:r w:rsidR="001B4AA9" w:rsidRPr="5042B2DC">
        <w:rPr>
          <w:rFonts w:ascii="Calibri" w:eastAsia="Times New Roman" w:hAnsi="Calibri" w:cs="Times New Roman"/>
        </w:rPr>
        <w:t>g</w:t>
      </w:r>
      <w:r w:rsidR="001443AC" w:rsidRPr="5042B2DC">
        <w:rPr>
          <w:rFonts w:ascii="Calibri" w:eastAsia="Times New Roman" w:hAnsi="Calibri" w:cs="Times New Roman"/>
        </w:rPr>
        <w:t>ave</w:t>
      </w:r>
      <w:r w:rsidR="001B4AA9" w:rsidRPr="5042B2DC">
        <w:rPr>
          <w:rFonts w:ascii="Calibri" w:eastAsia="Times New Roman" w:hAnsi="Calibri" w:cs="Times New Roman"/>
        </w:rPr>
        <w:t xml:space="preserve"> a </w:t>
      </w:r>
      <w:r w:rsidR="001016B3" w:rsidRPr="5042B2DC">
        <w:rPr>
          <w:rFonts w:ascii="Calibri" w:eastAsia="Times New Roman" w:hAnsi="Calibri" w:cs="Times New Roman"/>
        </w:rPr>
        <w:t xml:space="preserve">new definition on what the </w:t>
      </w:r>
      <w:r w:rsidR="001016B3" w:rsidRPr="5042B2DC">
        <w:rPr>
          <w:rFonts w:ascii="Calibri" w:eastAsia="Times New Roman" w:hAnsi="Calibri" w:cs="Times New Roman"/>
        </w:rPr>
        <w:lastRenderedPageBreak/>
        <w:t>w</w:t>
      </w:r>
      <w:r w:rsidR="00C21E6D" w:rsidRPr="5042B2DC">
        <w:rPr>
          <w:rFonts w:ascii="Calibri" w:eastAsia="Times New Roman" w:hAnsi="Calibri" w:cs="Times New Roman"/>
        </w:rPr>
        <w:t xml:space="preserve">ord “offer” </w:t>
      </w:r>
      <w:r w:rsidR="00275E4C" w:rsidRPr="5042B2DC">
        <w:rPr>
          <w:rFonts w:ascii="Calibri" w:eastAsia="Times New Roman" w:hAnsi="Calibri" w:cs="Times New Roman"/>
        </w:rPr>
        <w:t>meant;</w:t>
      </w:r>
      <w:r w:rsidR="00DD6854" w:rsidRPr="5042B2DC">
        <w:rPr>
          <w:rFonts w:ascii="Calibri" w:eastAsia="Times New Roman" w:hAnsi="Calibri" w:cs="Times New Roman"/>
        </w:rPr>
        <w:t xml:space="preserve"> </w:t>
      </w:r>
      <w:r w:rsidR="00275E4C" w:rsidRPr="5042B2DC">
        <w:rPr>
          <w:rFonts w:ascii="Calibri" w:eastAsia="Times New Roman" w:hAnsi="Calibri" w:cs="Times New Roman"/>
        </w:rPr>
        <w:t>therefore,</w:t>
      </w:r>
      <w:r w:rsidR="00DD6854" w:rsidRPr="5042B2DC">
        <w:rPr>
          <w:rFonts w:ascii="Calibri" w:eastAsia="Times New Roman" w:hAnsi="Calibri" w:cs="Times New Roman"/>
        </w:rPr>
        <w:t xml:space="preserve"> the shopkeeper was found not </w:t>
      </w:r>
      <w:proofErr w:type="gramStart"/>
      <w:r w:rsidR="00DD6854" w:rsidRPr="5042B2DC">
        <w:rPr>
          <w:rFonts w:ascii="Calibri" w:eastAsia="Times New Roman" w:hAnsi="Calibri" w:cs="Times New Roman"/>
        </w:rPr>
        <w:t>guilty</w:t>
      </w:r>
      <w:proofErr w:type="gramEnd"/>
      <w:r w:rsidR="00DD6854" w:rsidRPr="5042B2DC">
        <w:rPr>
          <w:rFonts w:ascii="Calibri" w:eastAsia="Times New Roman" w:hAnsi="Calibri" w:cs="Times New Roman"/>
        </w:rPr>
        <w:t xml:space="preserve"> and </w:t>
      </w:r>
      <w:r w:rsidR="00993E8A" w:rsidRPr="5042B2DC">
        <w:rPr>
          <w:rFonts w:ascii="Calibri" w:eastAsia="Times New Roman" w:hAnsi="Calibri" w:cs="Times New Roman"/>
        </w:rPr>
        <w:t>the offence was not committed. Lord Parker CJ said that</w:t>
      </w:r>
      <w:r w:rsidR="000F135C" w:rsidRPr="5042B2DC">
        <w:rPr>
          <w:rFonts w:ascii="Calibri" w:eastAsia="Times New Roman" w:hAnsi="Calibri" w:cs="Times New Roman"/>
        </w:rPr>
        <w:t xml:space="preserve"> </w:t>
      </w:r>
      <w:r w:rsidR="008C5D9F" w:rsidRPr="5042B2DC">
        <w:rPr>
          <w:rFonts w:ascii="Calibri" w:eastAsia="Times New Roman" w:hAnsi="Calibri" w:cs="Times New Roman"/>
        </w:rPr>
        <w:t>under the common law</w:t>
      </w:r>
      <w:r w:rsidR="009E2246" w:rsidRPr="5042B2DC">
        <w:rPr>
          <w:rFonts w:ascii="Calibri" w:eastAsia="Times New Roman" w:hAnsi="Calibri" w:cs="Times New Roman"/>
        </w:rPr>
        <w:t xml:space="preserve">, having a display </w:t>
      </w:r>
      <w:r w:rsidR="00672795" w:rsidRPr="5042B2DC">
        <w:rPr>
          <w:rFonts w:ascii="Calibri" w:eastAsia="Times New Roman" w:hAnsi="Calibri" w:cs="Times New Roman"/>
        </w:rPr>
        <w:t xml:space="preserve">on a </w:t>
      </w:r>
      <w:r w:rsidR="00023234" w:rsidRPr="5042B2DC">
        <w:rPr>
          <w:rFonts w:ascii="Calibri" w:eastAsia="Times New Roman" w:hAnsi="Calibri" w:cs="Times New Roman"/>
        </w:rPr>
        <w:t xml:space="preserve">shop window with a price on it is an ‘invitation </w:t>
      </w:r>
      <w:r w:rsidR="00474D46" w:rsidRPr="5042B2DC">
        <w:rPr>
          <w:rFonts w:ascii="Calibri" w:eastAsia="Times New Roman" w:hAnsi="Calibri" w:cs="Times New Roman"/>
        </w:rPr>
        <w:t xml:space="preserve">to treat’ and not a legal offer. </w:t>
      </w:r>
      <w:r w:rsidR="00C25374" w:rsidRPr="5042B2DC">
        <w:rPr>
          <w:rFonts w:ascii="Calibri" w:eastAsia="Times New Roman" w:hAnsi="Calibri" w:cs="Times New Roman"/>
        </w:rPr>
        <w:t xml:space="preserve">In </w:t>
      </w:r>
      <w:r w:rsidR="00D218FC" w:rsidRPr="5042B2DC">
        <w:rPr>
          <w:rFonts w:ascii="Calibri" w:eastAsia="Times New Roman" w:hAnsi="Calibri" w:cs="Times New Roman"/>
        </w:rPr>
        <w:t xml:space="preserve">the </w:t>
      </w:r>
      <w:r w:rsidR="00C25374" w:rsidRPr="5042B2DC">
        <w:rPr>
          <w:rFonts w:ascii="Calibri" w:eastAsia="Times New Roman" w:hAnsi="Calibri" w:cs="Times New Roman"/>
        </w:rPr>
        <w:t>1959</w:t>
      </w:r>
      <w:r w:rsidR="00D218FC" w:rsidRPr="5042B2DC">
        <w:rPr>
          <w:rFonts w:ascii="Calibri" w:eastAsia="Times New Roman" w:hAnsi="Calibri" w:cs="Times New Roman"/>
        </w:rPr>
        <w:t xml:space="preserve"> Act, it was later changed </w:t>
      </w:r>
      <w:r w:rsidR="00E64A32" w:rsidRPr="5042B2DC">
        <w:rPr>
          <w:rFonts w:ascii="Calibri" w:eastAsia="Times New Roman" w:hAnsi="Calibri" w:cs="Times New Roman"/>
        </w:rPr>
        <w:t xml:space="preserve">by the Restriction of Offensive Weapons Act [1961] </w:t>
      </w:r>
      <w:r w:rsidR="001865D2" w:rsidRPr="5042B2DC">
        <w:rPr>
          <w:rFonts w:ascii="Calibri" w:eastAsia="Times New Roman" w:hAnsi="Calibri" w:cs="Times New Roman"/>
        </w:rPr>
        <w:t xml:space="preserve">s.1, that the </w:t>
      </w:r>
      <w:r w:rsidR="008716F6" w:rsidRPr="5042B2DC">
        <w:rPr>
          <w:rFonts w:ascii="Calibri" w:eastAsia="Times New Roman" w:hAnsi="Calibri" w:cs="Times New Roman"/>
        </w:rPr>
        <w:t xml:space="preserve">offence was expanded to “include where a </w:t>
      </w:r>
      <w:proofErr w:type="gramStart"/>
      <w:r w:rsidR="008716F6" w:rsidRPr="5042B2DC">
        <w:rPr>
          <w:rFonts w:ascii="Calibri" w:eastAsia="Times New Roman" w:hAnsi="Calibri" w:cs="Times New Roman"/>
        </w:rPr>
        <w:t>person</w:t>
      </w:r>
      <w:r w:rsidR="00FC7D79" w:rsidRPr="5042B2DC">
        <w:rPr>
          <w:rFonts w:ascii="Calibri" w:eastAsia="Times New Roman" w:hAnsi="Calibri" w:cs="Times New Roman"/>
        </w:rPr>
        <w:t xml:space="preserve"> exposes</w:t>
      </w:r>
      <w:proofErr w:type="gramEnd"/>
      <w:r w:rsidR="00FC7D79" w:rsidRPr="5042B2DC">
        <w:rPr>
          <w:rFonts w:ascii="Calibri" w:eastAsia="Times New Roman" w:hAnsi="Calibri" w:cs="Times New Roman"/>
        </w:rPr>
        <w:t>… for the purpose of sale’ a flick knife.”</w:t>
      </w:r>
      <w:r w:rsidR="00C25374" w:rsidRPr="5042B2DC">
        <w:rPr>
          <w:rFonts w:ascii="Calibri" w:eastAsia="Times New Roman" w:hAnsi="Calibri" w:cs="Times New Roman"/>
        </w:rPr>
        <w:t xml:space="preserve"> </w:t>
      </w:r>
      <w:commentRangeEnd w:id="11"/>
      <w:r>
        <w:rPr>
          <w:rStyle w:val="CommentReference"/>
        </w:rPr>
        <w:commentReference w:id="11"/>
      </w:r>
      <w:commentRangeEnd w:id="12"/>
      <w:r>
        <w:rPr>
          <w:rStyle w:val="CommentReference"/>
        </w:rPr>
        <w:commentReference w:id="12"/>
      </w:r>
      <w:commentRangeEnd w:id="13"/>
      <w:r>
        <w:rPr>
          <w:rStyle w:val="CommentReference"/>
        </w:rPr>
        <w:commentReference w:id="13"/>
      </w:r>
    </w:p>
    <w:p w14:paraId="56F6BF29" w14:textId="3C92BEAF" w:rsidR="00B6041C" w:rsidRDefault="00B6041C" w:rsidP="009D2562">
      <w:r>
        <w:t>The Golden rule</w:t>
      </w:r>
    </w:p>
    <w:p w14:paraId="75CD32D7" w14:textId="7C5EFC5B" w:rsidR="0010538B" w:rsidRDefault="00824601" w:rsidP="009D2562">
      <w:r>
        <w:t xml:space="preserve">The golden rule </w:t>
      </w:r>
      <w:r w:rsidR="00832C42">
        <w:t xml:space="preserve">is used </w:t>
      </w:r>
      <w:r w:rsidR="00CC4D90">
        <w:t xml:space="preserve">where a literal interpretation of the words of a statute </w:t>
      </w:r>
      <w:r w:rsidR="000270A7">
        <w:t xml:space="preserve">leads to an absurdity or to an inconsistency or repugnance with the rest </w:t>
      </w:r>
      <w:r w:rsidR="000E57A7">
        <w:t>of the statute.</w:t>
      </w:r>
      <w:r w:rsidR="00DE0846">
        <w:t xml:space="preserve"> </w:t>
      </w:r>
      <w:r w:rsidR="00860310">
        <w:t>(</w:t>
      </w:r>
      <w:r w:rsidR="00860310" w:rsidRPr="00F73C82">
        <w:rPr>
          <w:color w:val="FF0000"/>
        </w:rPr>
        <w:t xml:space="preserve">Wilson Steve, Rutherford Helen, Storey Tony, Wortley Natalie, Kotecha </w:t>
      </w:r>
      <w:proofErr w:type="spellStart"/>
      <w:r w:rsidR="00860310" w:rsidRPr="00F73C82">
        <w:rPr>
          <w:color w:val="FF0000"/>
        </w:rPr>
        <w:t>Birju</w:t>
      </w:r>
      <w:proofErr w:type="spellEnd"/>
      <w:r w:rsidR="00860310" w:rsidRPr="00F73C82">
        <w:rPr>
          <w:color w:val="FF0000"/>
        </w:rPr>
        <w:t xml:space="preserve"> (2020) English Legal System. Fourth Edition. Oxford University Press. New York</w:t>
      </w:r>
      <w:r w:rsidR="00F73C82" w:rsidRPr="00F73C82">
        <w:rPr>
          <w:color w:val="FF0000"/>
        </w:rPr>
        <w:t>)</w:t>
      </w:r>
    </w:p>
    <w:p w14:paraId="64AA1B0F" w14:textId="1106CEA6" w:rsidR="00275E4C" w:rsidRDefault="0010538B" w:rsidP="009D2562">
      <w:r>
        <w:t xml:space="preserve">The golden rule is an extension to the literal rule </w:t>
      </w:r>
      <w:r w:rsidR="001526CF">
        <w:t xml:space="preserve">and under it the words of a statute </w:t>
      </w:r>
      <w:r w:rsidR="005236F8">
        <w:t xml:space="preserve">will go as far as possible be constructed according to their ordinary plan and natural </w:t>
      </w:r>
      <w:r w:rsidR="000369F6">
        <w:t>meaning unless</w:t>
      </w:r>
      <w:r w:rsidR="00DE0846">
        <w:t xml:space="preserve"> this leads to an absurd result</w:t>
      </w:r>
      <w:r w:rsidR="004E1F92">
        <w:t xml:space="preserve"> </w:t>
      </w:r>
      <w:r w:rsidR="00F73C82" w:rsidRPr="000369F6">
        <w:rPr>
          <w:color w:val="FF0000"/>
        </w:rPr>
        <w:t>(</w:t>
      </w:r>
      <w:r w:rsidR="000369F6" w:rsidRPr="000369F6">
        <w:rPr>
          <w:color w:val="FF0000"/>
        </w:rPr>
        <w:t>Keenan Denis (2007) English Law. Fifteenth edition. Pearson Education Limited. United Kingdom (page 201 onwards)</w:t>
      </w:r>
    </w:p>
    <w:p w14:paraId="31C82A62" w14:textId="212F84FE" w:rsidR="00B6041C" w:rsidRDefault="0007160D" w:rsidP="00A042FA">
      <w:r>
        <w:t xml:space="preserve">The golden is used when a statute which has </w:t>
      </w:r>
      <w:commentRangeStart w:id="14"/>
      <w:r w:rsidR="00F369C5">
        <w:t>words</w:t>
      </w:r>
      <w:commentRangeEnd w:id="14"/>
      <w:r w:rsidR="00965B60">
        <w:rPr>
          <w:rStyle w:val="CommentReference"/>
        </w:rPr>
        <w:commentReference w:id="14"/>
      </w:r>
      <w:r w:rsidR="00F369C5">
        <w:t xml:space="preserve"> </w:t>
      </w:r>
    </w:p>
    <w:p w14:paraId="7A7972B4" w14:textId="20325330" w:rsidR="00B6041C" w:rsidRDefault="00B6041C" w:rsidP="00B6041C"/>
    <w:p w14:paraId="45AE0C37" w14:textId="2B2AA704" w:rsidR="00B6041C" w:rsidRPr="00B6041C" w:rsidRDefault="00B6041C" w:rsidP="00B6041C">
      <w:pPr>
        <w:pStyle w:val="Heading2"/>
      </w:pPr>
      <w:r>
        <w:t>Conclusion</w:t>
      </w:r>
    </w:p>
    <w:sectPr w:rsidR="00B6041C" w:rsidRPr="00B6041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ian Turvey" w:date="2022-04-26T13:25:00Z" w:initials="ST">
    <w:p w14:paraId="52826006" w14:textId="261A41F5" w:rsidR="000601F5" w:rsidRDefault="000601F5">
      <w:pPr>
        <w:pStyle w:val="CommentText"/>
      </w:pPr>
      <w:r>
        <w:rPr>
          <w:rStyle w:val="CommentReference"/>
        </w:rPr>
        <w:annotationRef/>
      </w:r>
      <w:r>
        <w:t xml:space="preserve">Is it really? Explain how and why you think this. A statute is not made by a judge and its meaning has already been determined by parliament. Judges only interpret in certain circumstances – explain these. </w:t>
      </w:r>
    </w:p>
  </w:comment>
  <w:comment w:id="1" w:author="Claire Edwards" w:date="2022-04-27T11:14:00Z" w:initials="CE">
    <w:p w14:paraId="7D732548" w14:textId="4DA7C800" w:rsidR="5EA902AF" w:rsidRDefault="5EA902AF">
      <w:pPr>
        <w:pStyle w:val="CommentText"/>
      </w:pPr>
      <w:r>
        <w:t>explain it in much more detail and then make the claim that statute can be influenced by judiciary in the conclusion</w:t>
      </w:r>
      <w:r>
        <w:rPr>
          <w:rStyle w:val="CommentReference"/>
        </w:rPr>
        <w:annotationRef/>
      </w:r>
    </w:p>
  </w:comment>
  <w:comment w:id="2" w:author="Sian Turvey" w:date="2022-04-26T13:27:00Z" w:initials="ST">
    <w:p w14:paraId="0A1F9F19" w14:textId="78146D2E" w:rsidR="000601F5" w:rsidRDefault="000601F5">
      <w:pPr>
        <w:pStyle w:val="CommentText"/>
      </w:pPr>
      <w:r>
        <w:rPr>
          <w:rStyle w:val="CommentReference"/>
        </w:rPr>
        <w:annotationRef/>
      </w:r>
      <w:r>
        <w:t xml:space="preserve">Citation needed. Do not make unsubstantiated claims. </w:t>
      </w:r>
    </w:p>
  </w:comment>
  <w:comment w:id="3" w:author="Sian Turvey" w:date="2022-04-26T13:23:00Z" w:initials="ST">
    <w:p w14:paraId="49C8B651" w14:textId="77777777" w:rsidR="000601F5" w:rsidRDefault="000601F5">
      <w:pPr>
        <w:pStyle w:val="CommentText"/>
      </w:pPr>
      <w:r>
        <w:rPr>
          <w:rStyle w:val="CommentReference"/>
        </w:rPr>
        <w:annotationRef/>
      </w:r>
    </w:p>
    <w:p w14:paraId="01A42E55" w14:textId="082FDFD7" w:rsidR="000601F5" w:rsidRDefault="000601F5">
      <w:pPr>
        <w:pStyle w:val="CommentText"/>
      </w:pPr>
      <w:r>
        <w:t xml:space="preserve">Remember that you should not include sub-headings in an academic essay. </w:t>
      </w:r>
    </w:p>
  </w:comment>
  <w:comment w:id="4" w:author="Sian Turvey" w:date="2022-04-26T13:28:00Z" w:initials="ST">
    <w:p w14:paraId="42AD79B8" w14:textId="1113EF82" w:rsidR="000601F5" w:rsidRDefault="000601F5">
      <w:pPr>
        <w:pStyle w:val="CommentText"/>
      </w:pPr>
      <w:r>
        <w:rPr>
          <w:rStyle w:val="CommentReference"/>
        </w:rPr>
        <w:annotationRef/>
      </w:r>
      <w:r>
        <w:t xml:space="preserve">It is too early in your essay to reach this conclusion. </w:t>
      </w:r>
    </w:p>
  </w:comment>
  <w:comment w:id="5" w:author="Claire Edwards" w:date="2022-04-27T11:21:00Z" w:initials="CE">
    <w:p w14:paraId="20DFF1A2" w14:textId="23F2E414" w:rsidR="5EA902AF" w:rsidRDefault="5EA902AF">
      <w:pPr>
        <w:pStyle w:val="CommentText"/>
      </w:pPr>
      <w:r>
        <w:t>use cautious language</w:t>
      </w:r>
      <w:r>
        <w:rPr>
          <w:rStyle w:val="CommentReference"/>
        </w:rPr>
        <w:annotationRef/>
      </w:r>
    </w:p>
  </w:comment>
  <w:comment w:id="6" w:author="Claire Edwards" w:date="2022-04-27T11:48:00Z" w:initials="CE">
    <w:p w14:paraId="3702232C" w14:textId="10264E52" w:rsidR="5EA902AF" w:rsidRDefault="5EA902AF">
      <w:pPr>
        <w:pStyle w:val="CommentText"/>
      </w:pPr>
      <w:r>
        <w:t>double check meaning from original book</w:t>
      </w:r>
      <w:r>
        <w:rPr>
          <w:rStyle w:val="CommentReference"/>
        </w:rPr>
        <w:annotationRef/>
      </w:r>
    </w:p>
  </w:comment>
  <w:comment w:id="7" w:author="Sian Turvey" w:date="2022-04-26T13:29:00Z" w:initials="ST">
    <w:p w14:paraId="7E352B0A" w14:textId="43DD05E2" w:rsidR="00965B60" w:rsidRDefault="00965B60">
      <w:pPr>
        <w:pStyle w:val="CommentText"/>
      </w:pPr>
      <w:r>
        <w:rPr>
          <w:rStyle w:val="CommentReference"/>
        </w:rPr>
        <w:annotationRef/>
      </w:r>
      <w:r>
        <w:t xml:space="preserve">How does this contribute to the point you are making? Remember to always link with the essay question. </w:t>
      </w:r>
    </w:p>
  </w:comment>
  <w:comment w:id="8" w:author="Sian Turvey" w:date="2022-04-26T13:30:00Z" w:initials="ST">
    <w:p w14:paraId="1137953B" w14:textId="1CA40FE6" w:rsidR="00965B60" w:rsidRDefault="00965B60">
      <w:pPr>
        <w:pStyle w:val="CommentText"/>
      </w:pPr>
      <w:r>
        <w:rPr>
          <w:rStyle w:val="CommentReference"/>
        </w:rPr>
        <w:annotationRef/>
      </w:r>
      <w:r>
        <w:t xml:space="preserve">Again, link this point back to the central argument. </w:t>
      </w:r>
      <w:r>
        <w:rPr>
          <w:rStyle w:val="CommentReference"/>
        </w:rPr>
        <w:annotationRef/>
      </w:r>
    </w:p>
  </w:comment>
  <w:comment w:id="9" w:author="Sian Turvey" w:date="2022-04-26T13:23:00Z" w:initials="ST">
    <w:p w14:paraId="2FAAEC7C" w14:textId="3893F35D" w:rsidR="000601F5" w:rsidRDefault="000601F5">
      <w:pPr>
        <w:pStyle w:val="CommentText"/>
      </w:pPr>
      <w:r>
        <w:rPr>
          <w:rStyle w:val="CommentReference"/>
        </w:rPr>
        <w:annotationRef/>
      </w:r>
      <w:r>
        <w:t xml:space="preserve">Remember to delete sub-headings. </w:t>
      </w:r>
    </w:p>
  </w:comment>
  <w:comment w:id="10" w:author="Sian Turvey" w:date="2022-04-26T13:30:00Z" w:initials="ST">
    <w:p w14:paraId="5D02A2F9" w14:textId="4518588C" w:rsidR="00965B60" w:rsidRDefault="00965B60">
      <w:pPr>
        <w:pStyle w:val="CommentText"/>
      </w:pPr>
      <w:r>
        <w:rPr>
          <w:rStyle w:val="CommentReference"/>
        </w:rPr>
        <w:annotationRef/>
      </w:r>
      <w:r>
        <w:t xml:space="preserve">You should explain that stat interpretation is underpinned by three rules. Explain them and how this links to the central argument. </w:t>
      </w:r>
    </w:p>
  </w:comment>
  <w:comment w:id="11" w:author="Jamie Dick (2103999)" w:date="2022-04-22T23:12:00Z" w:initials="JD(">
    <w:p w14:paraId="3EB6AB1B" w14:textId="77777777" w:rsidR="00FC6CA5" w:rsidRDefault="00FC6CA5" w:rsidP="009A2534">
      <w:pPr>
        <w:pStyle w:val="CommentText"/>
      </w:pPr>
      <w:r>
        <w:rPr>
          <w:rStyle w:val="CommentReference"/>
        </w:rPr>
        <w:annotationRef/>
      </w:r>
      <w:r>
        <w:t>Is repeating the same case law, i.e. The Fisher v Bell case allowed</w:t>
      </w:r>
    </w:p>
  </w:comment>
  <w:comment w:id="12" w:author="Sian Turvey" w:date="2022-04-26T13:31:00Z" w:initials="ST">
    <w:p w14:paraId="5B49D45B" w14:textId="0013C8D2" w:rsidR="00965B60" w:rsidRDefault="00965B60">
      <w:pPr>
        <w:pStyle w:val="CommentText"/>
      </w:pPr>
      <w:r>
        <w:rPr>
          <w:rStyle w:val="CommentReference"/>
        </w:rPr>
        <w:annotationRef/>
      </w:r>
      <w:r>
        <w:t xml:space="preserve">Do not repeat the circumstances as you have talked about them earlier in the essay. </w:t>
      </w:r>
    </w:p>
  </w:comment>
  <w:comment w:id="13" w:author="Jamie Dick (2103999)" w:date="2022-04-29T01:38:00Z" w:initials="J(">
    <w:p w14:paraId="17BE9428" w14:textId="6A825B5E" w:rsidR="5042B2DC" w:rsidRDefault="5042B2DC">
      <w:pPr>
        <w:pStyle w:val="CommentText"/>
      </w:pPr>
      <w:r>
        <w:t>Change case law</w:t>
      </w:r>
      <w:r>
        <w:rPr>
          <w:rStyle w:val="CommentReference"/>
        </w:rPr>
        <w:annotationRef/>
      </w:r>
    </w:p>
  </w:comment>
  <w:comment w:id="14" w:author="Sian Turvey" w:date="2022-04-26T13:31:00Z" w:initials="ST">
    <w:p w14:paraId="120BDCC2" w14:textId="2A89754B" w:rsidR="00965B60" w:rsidRDefault="00965B60">
      <w:pPr>
        <w:pStyle w:val="CommentText"/>
      </w:pPr>
      <w:r>
        <w:rPr>
          <w:rStyle w:val="CommentReference"/>
        </w:rPr>
        <w:annotationRef/>
      </w:r>
      <w:r>
        <w:t xml:space="preserve">You do make valid points but you must always link them to the central argument. Can anything really challenge or diminish the status of legislation? Does stat interpretation override it? Remember that judges cannot rewrite the law.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826006" w15:done="0"/>
  <w15:commentEx w15:paraId="7D732548" w15:paraIdParent="52826006" w15:done="0"/>
  <w15:commentEx w15:paraId="0A1F9F19" w15:done="0"/>
  <w15:commentEx w15:paraId="01A42E55" w15:done="0"/>
  <w15:commentEx w15:paraId="42AD79B8" w15:done="0"/>
  <w15:commentEx w15:paraId="20DFF1A2" w15:paraIdParent="42AD79B8" w15:done="0"/>
  <w15:commentEx w15:paraId="3702232C" w15:done="0"/>
  <w15:commentEx w15:paraId="7E352B0A" w15:done="0"/>
  <w15:commentEx w15:paraId="1137953B" w15:done="0"/>
  <w15:commentEx w15:paraId="2FAAEC7C" w15:done="0"/>
  <w15:commentEx w15:paraId="5D02A2F9" w15:done="0"/>
  <w15:commentEx w15:paraId="3EB6AB1B" w15:done="0"/>
  <w15:commentEx w15:paraId="5B49D45B" w15:paraIdParent="3EB6AB1B" w15:done="0"/>
  <w15:commentEx w15:paraId="17BE9428" w15:done="0"/>
  <w15:commentEx w15:paraId="120BDC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27151" w16cex:dateUtc="2022-04-26T12:25:00Z"/>
  <w16cex:commentExtensible w16cex:durableId="4F32904A" w16cex:dateUtc="2022-04-27T10:14:00Z"/>
  <w16cex:commentExtensible w16cex:durableId="261271D1" w16cex:dateUtc="2022-04-26T12:27:00Z"/>
  <w16cex:commentExtensible w16cex:durableId="261270BE" w16cex:dateUtc="2022-04-26T12:23:00Z"/>
  <w16cex:commentExtensible w16cex:durableId="261271E0" w16cex:dateUtc="2022-04-26T12:28:00Z"/>
  <w16cex:commentExtensible w16cex:durableId="0AF3070E" w16cex:dateUtc="2022-04-27T10:21:00Z"/>
  <w16cex:commentExtensible w16cex:durableId="0FEB6CEF" w16cex:dateUtc="2022-04-27T10:48:00Z"/>
  <w16cex:commentExtensible w16cex:durableId="2612722F" w16cex:dateUtc="2022-04-26T12:29:00Z"/>
  <w16cex:commentExtensible w16cex:durableId="26127258" w16cex:dateUtc="2022-04-26T12:30:00Z"/>
  <w16cex:commentExtensible w16cex:durableId="261270D9" w16cex:dateUtc="2022-04-26T12:23:00Z"/>
  <w16cex:commentExtensible w16cex:durableId="26127281" w16cex:dateUtc="2022-04-26T12:30:00Z"/>
  <w16cex:commentExtensible w16cex:durableId="260DB4F4" w16cex:dateUtc="2022-04-22T22:12:00Z"/>
  <w16cex:commentExtensible w16cex:durableId="261272A4" w16cex:dateUtc="2022-04-26T12:31:00Z"/>
  <w16cex:commentExtensible w16cex:durableId="527B16B6" w16cex:dateUtc="2022-04-29T00:38:00Z"/>
  <w16cex:commentExtensible w16cex:durableId="261272CA" w16cex:dateUtc="2022-04-26T12: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826006" w16cid:durableId="26127151"/>
  <w16cid:commentId w16cid:paraId="7D732548" w16cid:durableId="4F32904A"/>
  <w16cid:commentId w16cid:paraId="0A1F9F19" w16cid:durableId="261271D1"/>
  <w16cid:commentId w16cid:paraId="01A42E55" w16cid:durableId="261270BE"/>
  <w16cid:commentId w16cid:paraId="42AD79B8" w16cid:durableId="261271E0"/>
  <w16cid:commentId w16cid:paraId="20DFF1A2" w16cid:durableId="0AF3070E"/>
  <w16cid:commentId w16cid:paraId="3702232C" w16cid:durableId="0FEB6CEF"/>
  <w16cid:commentId w16cid:paraId="7E352B0A" w16cid:durableId="2612722F"/>
  <w16cid:commentId w16cid:paraId="1137953B" w16cid:durableId="26127258"/>
  <w16cid:commentId w16cid:paraId="2FAAEC7C" w16cid:durableId="261270D9"/>
  <w16cid:commentId w16cid:paraId="5D02A2F9" w16cid:durableId="26127281"/>
  <w16cid:commentId w16cid:paraId="3EB6AB1B" w16cid:durableId="260DB4F4"/>
  <w16cid:commentId w16cid:paraId="5B49D45B" w16cid:durableId="261272A4"/>
  <w16cid:commentId w16cid:paraId="17BE9428" w16cid:durableId="527B16B6"/>
  <w16cid:commentId w16cid:paraId="120BDCC2" w16cid:durableId="261272C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an Turvey">
    <w15:presenceInfo w15:providerId="AD" w15:userId="S::sian.turvey@uwtsd.ac.uk::9a374997-2901-41ac-b51e-a8948a26085a"/>
  </w15:person>
  <w15:person w15:author="Claire Edwards">
    <w15:presenceInfo w15:providerId="AD" w15:userId="S::claire.edwards@uwtsd.ac.uk::3db0fa68-b7e9-49aa-b061-667812fe1493"/>
  </w15:person>
  <w15:person w15:author="Jamie Dick (2103999)">
    <w15:presenceInfo w15:providerId="AD" w15:userId="S::2103999@student.uwtsd.ac.uk::f81e0233-bc43-4f1e-8528-5da6b94f79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62"/>
    <w:rsid w:val="0001248B"/>
    <w:rsid w:val="000124B8"/>
    <w:rsid w:val="00020774"/>
    <w:rsid w:val="00023234"/>
    <w:rsid w:val="00024E0C"/>
    <w:rsid w:val="000270A7"/>
    <w:rsid w:val="00027532"/>
    <w:rsid w:val="00032044"/>
    <w:rsid w:val="0003440A"/>
    <w:rsid w:val="000369F6"/>
    <w:rsid w:val="00046504"/>
    <w:rsid w:val="0004716C"/>
    <w:rsid w:val="0005406F"/>
    <w:rsid w:val="000601F5"/>
    <w:rsid w:val="00066232"/>
    <w:rsid w:val="0007160D"/>
    <w:rsid w:val="0007681B"/>
    <w:rsid w:val="00080776"/>
    <w:rsid w:val="000929C6"/>
    <w:rsid w:val="000B27D6"/>
    <w:rsid w:val="000B2CD3"/>
    <w:rsid w:val="000D1985"/>
    <w:rsid w:val="000D56D9"/>
    <w:rsid w:val="000D6DD4"/>
    <w:rsid w:val="000E1EB4"/>
    <w:rsid w:val="000E57A7"/>
    <w:rsid w:val="000F135C"/>
    <w:rsid w:val="001016B3"/>
    <w:rsid w:val="0010538B"/>
    <w:rsid w:val="0011079C"/>
    <w:rsid w:val="00112E3C"/>
    <w:rsid w:val="00116D02"/>
    <w:rsid w:val="00122D73"/>
    <w:rsid w:val="00134188"/>
    <w:rsid w:val="0013669A"/>
    <w:rsid w:val="00137D53"/>
    <w:rsid w:val="001443AC"/>
    <w:rsid w:val="001526CF"/>
    <w:rsid w:val="001576C2"/>
    <w:rsid w:val="001661A5"/>
    <w:rsid w:val="00167206"/>
    <w:rsid w:val="0017122E"/>
    <w:rsid w:val="00185C30"/>
    <w:rsid w:val="001865D2"/>
    <w:rsid w:val="00187946"/>
    <w:rsid w:val="001A2552"/>
    <w:rsid w:val="001B29AF"/>
    <w:rsid w:val="001B4AA9"/>
    <w:rsid w:val="001D4364"/>
    <w:rsid w:val="00204BE1"/>
    <w:rsid w:val="002316F5"/>
    <w:rsid w:val="0024254F"/>
    <w:rsid w:val="00263A66"/>
    <w:rsid w:val="00275E4C"/>
    <w:rsid w:val="00276780"/>
    <w:rsid w:val="00290735"/>
    <w:rsid w:val="00294FB8"/>
    <w:rsid w:val="002A3A19"/>
    <w:rsid w:val="002A3D47"/>
    <w:rsid w:val="002A4084"/>
    <w:rsid w:val="002B2602"/>
    <w:rsid w:val="002B2C80"/>
    <w:rsid w:val="002D733B"/>
    <w:rsid w:val="002E74D5"/>
    <w:rsid w:val="00310B70"/>
    <w:rsid w:val="00326E3F"/>
    <w:rsid w:val="003836F2"/>
    <w:rsid w:val="003B632D"/>
    <w:rsid w:val="003D6DD2"/>
    <w:rsid w:val="003E362E"/>
    <w:rsid w:val="003E429A"/>
    <w:rsid w:val="00420186"/>
    <w:rsid w:val="00422A1B"/>
    <w:rsid w:val="00427A27"/>
    <w:rsid w:val="0043466B"/>
    <w:rsid w:val="004349CD"/>
    <w:rsid w:val="004576D8"/>
    <w:rsid w:val="00474D46"/>
    <w:rsid w:val="00491B71"/>
    <w:rsid w:val="004A1CE3"/>
    <w:rsid w:val="004A3CCD"/>
    <w:rsid w:val="004B2DA2"/>
    <w:rsid w:val="004D1108"/>
    <w:rsid w:val="004D58C5"/>
    <w:rsid w:val="004D60AE"/>
    <w:rsid w:val="004E1F92"/>
    <w:rsid w:val="004F67F5"/>
    <w:rsid w:val="00503315"/>
    <w:rsid w:val="005104F1"/>
    <w:rsid w:val="00510CBE"/>
    <w:rsid w:val="005236F8"/>
    <w:rsid w:val="00523C56"/>
    <w:rsid w:val="005258D7"/>
    <w:rsid w:val="005360CF"/>
    <w:rsid w:val="00546496"/>
    <w:rsid w:val="005678BA"/>
    <w:rsid w:val="00576EF5"/>
    <w:rsid w:val="0058107E"/>
    <w:rsid w:val="00586400"/>
    <w:rsid w:val="00586CDA"/>
    <w:rsid w:val="005920D7"/>
    <w:rsid w:val="0059596C"/>
    <w:rsid w:val="005C0408"/>
    <w:rsid w:val="005D4E46"/>
    <w:rsid w:val="005E30B5"/>
    <w:rsid w:val="00602A6D"/>
    <w:rsid w:val="00610BF0"/>
    <w:rsid w:val="0062600E"/>
    <w:rsid w:val="00636DD4"/>
    <w:rsid w:val="00652E93"/>
    <w:rsid w:val="00666628"/>
    <w:rsid w:val="00672795"/>
    <w:rsid w:val="00691D1F"/>
    <w:rsid w:val="00696308"/>
    <w:rsid w:val="006A49C3"/>
    <w:rsid w:val="006C334C"/>
    <w:rsid w:val="006C4541"/>
    <w:rsid w:val="006C6B37"/>
    <w:rsid w:val="006D28EB"/>
    <w:rsid w:val="00701B54"/>
    <w:rsid w:val="0071002C"/>
    <w:rsid w:val="007416CD"/>
    <w:rsid w:val="00752F07"/>
    <w:rsid w:val="00761907"/>
    <w:rsid w:val="00762121"/>
    <w:rsid w:val="00767BB3"/>
    <w:rsid w:val="00771D9A"/>
    <w:rsid w:val="00784695"/>
    <w:rsid w:val="00790A62"/>
    <w:rsid w:val="00797D7C"/>
    <w:rsid w:val="007B1168"/>
    <w:rsid w:val="007D3D04"/>
    <w:rsid w:val="007E687B"/>
    <w:rsid w:val="007F7347"/>
    <w:rsid w:val="008055B3"/>
    <w:rsid w:val="008168AC"/>
    <w:rsid w:val="00824601"/>
    <w:rsid w:val="00832C42"/>
    <w:rsid w:val="00841919"/>
    <w:rsid w:val="0085599B"/>
    <w:rsid w:val="00860310"/>
    <w:rsid w:val="00864092"/>
    <w:rsid w:val="008716F6"/>
    <w:rsid w:val="00871C54"/>
    <w:rsid w:val="00896B82"/>
    <w:rsid w:val="008B02C9"/>
    <w:rsid w:val="008B0F64"/>
    <w:rsid w:val="008B49C8"/>
    <w:rsid w:val="008C3668"/>
    <w:rsid w:val="008C5D9F"/>
    <w:rsid w:val="008D0C0F"/>
    <w:rsid w:val="008D0F0E"/>
    <w:rsid w:val="008D130D"/>
    <w:rsid w:val="008E0EA7"/>
    <w:rsid w:val="008E5948"/>
    <w:rsid w:val="0090078E"/>
    <w:rsid w:val="00901994"/>
    <w:rsid w:val="0091318D"/>
    <w:rsid w:val="00914FBF"/>
    <w:rsid w:val="00922592"/>
    <w:rsid w:val="009368D2"/>
    <w:rsid w:val="00965B60"/>
    <w:rsid w:val="00970F1C"/>
    <w:rsid w:val="009800FC"/>
    <w:rsid w:val="009908EB"/>
    <w:rsid w:val="00993E8A"/>
    <w:rsid w:val="009A2534"/>
    <w:rsid w:val="009A2864"/>
    <w:rsid w:val="009D2562"/>
    <w:rsid w:val="009D2AB5"/>
    <w:rsid w:val="009D6093"/>
    <w:rsid w:val="009D7094"/>
    <w:rsid w:val="009E2246"/>
    <w:rsid w:val="009E5B17"/>
    <w:rsid w:val="009F4F92"/>
    <w:rsid w:val="009F52DB"/>
    <w:rsid w:val="00A042FA"/>
    <w:rsid w:val="00A07E3D"/>
    <w:rsid w:val="00A1718C"/>
    <w:rsid w:val="00A326F9"/>
    <w:rsid w:val="00A46A39"/>
    <w:rsid w:val="00A5052F"/>
    <w:rsid w:val="00A64AEA"/>
    <w:rsid w:val="00A67F73"/>
    <w:rsid w:val="00A77002"/>
    <w:rsid w:val="00AA1CCC"/>
    <w:rsid w:val="00AB448A"/>
    <w:rsid w:val="00AB6783"/>
    <w:rsid w:val="00AB7C66"/>
    <w:rsid w:val="00AC2E1E"/>
    <w:rsid w:val="00AD4A86"/>
    <w:rsid w:val="00AE0261"/>
    <w:rsid w:val="00AF6C7E"/>
    <w:rsid w:val="00B140AC"/>
    <w:rsid w:val="00B32655"/>
    <w:rsid w:val="00B35928"/>
    <w:rsid w:val="00B6041C"/>
    <w:rsid w:val="00B60843"/>
    <w:rsid w:val="00B641B6"/>
    <w:rsid w:val="00B84108"/>
    <w:rsid w:val="00B879FE"/>
    <w:rsid w:val="00B90216"/>
    <w:rsid w:val="00BB31CE"/>
    <w:rsid w:val="00BB54CA"/>
    <w:rsid w:val="00BB6649"/>
    <w:rsid w:val="00BC26EB"/>
    <w:rsid w:val="00BC516C"/>
    <w:rsid w:val="00BC6D17"/>
    <w:rsid w:val="00BF45ED"/>
    <w:rsid w:val="00C02706"/>
    <w:rsid w:val="00C1532E"/>
    <w:rsid w:val="00C17855"/>
    <w:rsid w:val="00C21E6D"/>
    <w:rsid w:val="00C25374"/>
    <w:rsid w:val="00C57DCA"/>
    <w:rsid w:val="00C63082"/>
    <w:rsid w:val="00C66E9E"/>
    <w:rsid w:val="00C7049F"/>
    <w:rsid w:val="00C8627D"/>
    <w:rsid w:val="00CC4D90"/>
    <w:rsid w:val="00CC7088"/>
    <w:rsid w:val="00CD3097"/>
    <w:rsid w:val="00CD4B84"/>
    <w:rsid w:val="00CE0FA7"/>
    <w:rsid w:val="00D13A5F"/>
    <w:rsid w:val="00D218FC"/>
    <w:rsid w:val="00D255EF"/>
    <w:rsid w:val="00D276EF"/>
    <w:rsid w:val="00D32D1B"/>
    <w:rsid w:val="00D53459"/>
    <w:rsid w:val="00D54FA3"/>
    <w:rsid w:val="00D82440"/>
    <w:rsid w:val="00D8750C"/>
    <w:rsid w:val="00DB59ED"/>
    <w:rsid w:val="00DC1A78"/>
    <w:rsid w:val="00DD3AEA"/>
    <w:rsid w:val="00DD6854"/>
    <w:rsid w:val="00DE0846"/>
    <w:rsid w:val="00DE69D2"/>
    <w:rsid w:val="00E14281"/>
    <w:rsid w:val="00E16DDD"/>
    <w:rsid w:val="00E21E22"/>
    <w:rsid w:val="00E44422"/>
    <w:rsid w:val="00E44433"/>
    <w:rsid w:val="00E45DCF"/>
    <w:rsid w:val="00E53B63"/>
    <w:rsid w:val="00E5654E"/>
    <w:rsid w:val="00E64A32"/>
    <w:rsid w:val="00E83A73"/>
    <w:rsid w:val="00E859CA"/>
    <w:rsid w:val="00EA7274"/>
    <w:rsid w:val="00ED0E8F"/>
    <w:rsid w:val="00EE3E35"/>
    <w:rsid w:val="00EE4510"/>
    <w:rsid w:val="00EE6C50"/>
    <w:rsid w:val="00EF5447"/>
    <w:rsid w:val="00F00724"/>
    <w:rsid w:val="00F24111"/>
    <w:rsid w:val="00F24195"/>
    <w:rsid w:val="00F369C5"/>
    <w:rsid w:val="00F502DD"/>
    <w:rsid w:val="00F54CAF"/>
    <w:rsid w:val="00F570D6"/>
    <w:rsid w:val="00F615DA"/>
    <w:rsid w:val="00F64D71"/>
    <w:rsid w:val="00F73C82"/>
    <w:rsid w:val="00F83026"/>
    <w:rsid w:val="00FA0302"/>
    <w:rsid w:val="00FB2FFF"/>
    <w:rsid w:val="00FC6CA5"/>
    <w:rsid w:val="00FC7D79"/>
    <w:rsid w:val="00FD0D82"/>
    <w:rsid w:val="00FF32E1"/>
    <w:rsid w:val="056F042C"/>
    <w:rsid w:val="065AD999"/>
    <w:rsid w:val="0B4E6385"/>
    <w:rsid w:val="0E0007E0"/>
    <w:rsid w:val="0E006C87"/>
    <w:rsid w:val="0F9589E5"/>
    <w:rsid w:val="0FB4CDCD"/>
    <w:rsid w:val="104C37DC"/>
    <w:rsid w:val="1383D89E"/>
    <w:rsid w:val="178DC1C9"/>
    <w:rsid w:val="183DBCBD"/>
    <w:rsid w:val="1AC5628B"/>
    <w:rsid w:val="1D204F17"/>
    <w:rsid w:val="23C5DC69"/>
    <w:rsid w:val="24FA2EBE"/>
    <w:rsid w:val="28D287DB"/>
    <w:rsid w:val="2C753D16"/>
    <w:rsid w:val="2DF90396"/>
    <w:rsid w:val="2E14C641"/>
    <w:rsid w:val="2F9DBCA1"/>
    <w:rsid w:val="3024B622"/>
    <w:rsid w:val="303CE165"/>
    <w:rsid w:val="3139F1A9"/>
    <w:rsid w:val="3148AE39"/>
    <w:rsid w:val="32933393"/>
    <w:rsid w:val="32D5C20A"/>
    <w:rsid w:val="34804EFB"/>
    <w:rsid w:val="34F82745"/>
    <w:rsid w:val="3711C91E"/>
    <w:rsid w:val="37B7EFBD"/>
    <w:rsid w:val="3A4969E0"/>
    <w:rsid w:val="3AD7869E"/>
    <w:rsid w:val="3AE0D3EF"/>
    <w:rsid w:val="3B4B0EA6"/>
    <w:rsid w:val="3C7CA450"/>
    <w:rsid w:val="3DD5E63A"/>
    <w:rsid w:val="3E42E27D"/>
    <w:rsid w:val="412D9FC5"/>
    <w:rsid w:val="467FDF7A"/>
    <w:rsid w:val="479CE149"/>
    <w:rsid w:val="4962B037"/>
    <w:rsid w:val="4982094F"/>
    <w:rsid w:val="4ABC56C8"/>
    <w:rsid w:val="4C783FF2"/>
    <w:rsid w:val="4F8FC7EB"/>
    <w:rsid w:val="50175EC0"/>
    <w:rsid w:val="5042B2DC"/>
    <w:rsid w:val="512B984C"/>
    <w:rsid w:val="5198948F"/>
    <w:rsid w:val="51A782F5"/>
    <w:rsid w:val="54EACFE3"/>
    <w:rsid w:val="55E2AF4C"/>
    <w:rsid w:val="56280AE2"/>
    <w:rsid w:val="5BC5406B"/>
    <w:rsid w:val="5BFE602F"/>
    <w:rsid w:val="5D9A3090"/>
    <w:rsid w:val="5EA902AF"/>
    <w:rsid w:val="5FC6047E"/>
    <w:rsid w:val="60D1D152"/>
    <w:rsid w:val="63FAB584"/>
    <w:rsid w:val="6A47815A"/>
    <w:rsid w:val="6A699261"/>
    <w:rsid w:val="6BEC3A65"/>
    <w:rsid w:val="73D53B43"/>
    <w:rsid w:val="77745A11"/>
    <w:rsid w:val="7C5F1B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8AACC"/>
  <w15:chartTrackingRefBased/>
  <w15:docId w15:val="{B8D359F9-4790-47CD-A1A4-84C6AADF6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5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25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49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5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D256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A49C3"/>
    <w:rPr>
      <w:rFonts w:asciiTheme="majorHAnsi" w:eastAsiaTheme="majorEastAsia" w:hAnsiTheme="majorHAnsi" w:cstheme="majorBidi"/>
      <w:color w:val="1F3763" w:themeColor="accent1" w:themeShade="7F"/>
      <w:sz w:val="24"/>
      <w:szCs w:val="24"/>
    </w:rPr>
  </w:style>
  <w:style w:type="character" w:styleId="LineNumber">
    <w:name w:val="line number"/>
    <w:basedOn w:val="DefaultParagraphFont"/>
    <w:uiPriority w:val="99"/>
    <w:semiHidden/>
    <w:unhideWhenUsed/>
    <w:rsid w:val="006A49C3"/>
  </w:style>
  <w:style w:type="character" w:styleId="CommentReference">
    <w:name w:val="annotation reference"/>
    <w:basedOn w:val="DefaultParagraphFont"/>
    <w:uiPriority w:val="99"/>
    <w:semiHidden/>
    <w:unhideWhenUsed/>
    <w:rsid w:val="00FC6CA5"/>
    <w:rPr>
      <w:sz w:val="16"/>
      <w:szCs w:val="16"/>
    </w:rPr>
  </w:style>
  <w:style w:type="paragraph" w:styleId="CommentText">
    <w:name w:val="annotation text"/>
    <w:basedOn w:val="Normal"/>
    <w:link w:val="CommentTextChar"/>
    <w:uiPriority w:val="99"/>
    <w:unhideWhenUsed/>
    <w:rsid w:val="00FC6CA5"/>
    <w:pPr>
      <w:spacing w:line="240" w:lineRule="auto"/>
    </w:pPr>
    <w:rPr>
      <w:sz w:val="20"/>
      <w:szCs w:val="20"/>
    </w:rPr>
  </w:style>
  <w:style w:type="character" w:customStyle="1" w:styleId="CommentTextChar">
    <w:name w:val="Comment Text Char"/>
    <w:basedOn w:val="DefaultParagraphFont"/>
    <w:link w:val="CommentText"/>
    <w:uiPriority w:val="99"/>
    <w:rsid w:val="00FC6CA5"/>
    <w:rPr>
      <w:sz w:val="20"/>
      <w:szCs w:val="20"/>
    </w:rPr>
  </w:style>
  <w:style w:type="paragraph" w:styleId="CommentSubject">
    <w:name w:val="annotation subject"/>
    <w:basedOn w:val="CommentText"/>
    <w:next w:val="CommentText"/>
    <w:link w:val="CommentSubjectChar"/>
    <w:uiPriority w:val="99"/>
    <w:semiHidden/>
    <w:unhideWhenUsed/>
    <w:rsid w:val="00FC6CA5"/>
    <w:rPr>
      <w:b/>
      <w:bCs/>
    </w:rPr>
  </w:style>
  <w:style w:type="character" w:customStyle="1" w:styleId="CommentSubjectChar">
    <w:name w:val="Comment Subject Char"/>
    <w:basedOn w:val="CommentTextChar"/>
    <w:link w:val="CommentSubject"/>
    <w:uiPriority w:val="99"/>
    <w:semiHidden/>
    <w:rsid w:val="00FC6CA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microsoft.com/office/2018/08/relationships/commentsExtensible" Target="commentsExtensible.xml"/><Relationship Id="rId4" Type="http://schemas.openxmlformats.org/officeDocument/2006/relationships/styles" Target="style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EB90FDF-A383-4085-A6DB-422EB87482E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4" ma:contentTypeDescription="Create a new document." ma:contentTypeScope="" ma:versionID="36671e06b5010c6a48b84269a8ae35b1">
  <xsd:schema xmlns:xsd="http://www.w3.org/2001/XMLSchema" xmlns:xs="http://www.w3.org/2001/XMLSchema" xmlns:p="http://schemas.microsoft.com/office/2006/metadata/properties" xmlns:ns2="4c9d9f85-2581-457a-b162-7e5491a2c746" targetNamespace="http://schemas.microsoft.com/office/2006/metadata/properties" ma:root="true" ma:fieldsID="f222d2610021eb1e2f74c83ba91fafc7"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D3AA34-32AD-4335-AB5A-6582B3C09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20362F-B547-44B8-8B7A-440D3968766C}">
  <ds:schemaRefs>
    <ds:schemaRef ds:uri="http://schemas.microsoft.com/office/2006/documentManagement/types"/>
    <ds:schemaRef ds:uri="http://purl.org/dc/terms/"/>
    <ds:schemaRef ds:uri="http://www.w3.org/XML/1998/namespace"/>
    <ds:schemaRef ds:uri="4c9d9f85-2581-457a-b162-7e5491a2c746"/>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E0F8D0AE-458C-41AD-9447-03F6931044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1419</Words>
  <Characters>8094</Characters>
  <Application>Microsoft Office Word</Application>
  <DocSecurity>0</DocSecurity>
  <Lines>67</Lines>
  <Paragraphs>18</Paragraphs>
  <ScaleCrop>false</ScaleCrop>
  <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Dick (2103999)</dc:creator>
  <cp:keywords/>
  <dc:description/>
  <cp:lastModifiedBy>Jamie Dick (2103999)</cp:lastModifiedBy>
  <cp:revision>2</cp:revision>
  <dcterms:created xsi:type="dcterms:W3CDTF">2022-04-29T13:35:00Z</dcterms:created>
  <dcterms:modified xsi:type="dcterms:W3CDTF">2022-04-29T13:35:00Z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