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580BD" w14:textId="29442BB0" w:rsidR="006A660C" w:rsidRPr="00012FA3" w:rsidRDefault="006A660C" w:rsidP="00E139C5">
      <w:pPr>
        <w:jc w:val="center"/>
        <w:rPr>
          <w:rFonts w:ascii="Times New Roman" w:hAnsi="Times New Roman" w:cs="Times New Roman"/>
          <w:bCs/>
          <w:sz w:val="36"/>
          <w:szCs w:val="36"/>
        </w:rPr>
      </w:pPr>
      <w:bookmarkStart w:id="0" w:name="_Hlk39031805"/>
      <w:r w:rsidRPr="00012FA3">
        <w:rPr>
          <w:rFonts w:ascii="Times New Roman" w:hAnsi="Times New Roman" w:cs="Times New Roman"/>
          <w:bCs/>
          <w:sz w:val="36"/>
          <w:szCs w:val="36"/>
        </w:rPr>
        <w:t xml:space="preserve">UNIVERSITY OF WALES TRINITY SAINT DAVID </w:t>
      </w:r>
      <w:r w:rsidR="00D95A48" w:rsidRPr="00012FA3">
        <w:rPr>
          <w:rFonts w:ascii="Times New Roman" w:hAnsi="Times New Roman" w:cs="Times New Roman"/>
          <w:bCs/>
          <w:sz w:val="36"/>
          <w:szCs w:val="36"/>
        </w:rPr>
        <w:t xml:space="preserve">           </w:t>
      </w:r>
      <w:r w:rsidR="00BC59C1" w:rsidRPr="00012FA3">
        <w:rPr>
          <w:rFonts w:ascii="Times New Roman" w:hAnsi="Times New Roman" w:cs="Times New Roman"/>
          <w:bCs/>
          <w:sz w:val="36"/>
          <w:szCs w:val="36"/>
        </w:rPr>
        <w:t>(</w:t>
      </w:r>
      <w:r w:rsidRPr="00012FA3">
        <w:rPr>
          <w:rFonts w:ascii="Times New Roman" w:hAnsi="Times New Roman" w:cs="Times New Roman"/>
          <w:bCs/>
          <w:sz w:val="36"/>
          <w:szCs w:val="36"/>
        </w:rPr>
        <w:t>LONDON CAMPUS)</w:t>
      </w:r>
    </w:p>
    <w:p w14:paraId="6B58A348" w14:textId="0011CE4E" w:rsidR="006A660C" w:rsidRPr="00012FA3" w:rsidRDefault="006A660C" w:rsidP="00E139C5">
      <w:pPr>
        <w:jc w:val="center"/>
        <w:rPr>
          <w:rFonts w:ascii="Times New Roman" w:hAnsi="Times New Roman" w:cs="Times New Roman"/>
          <w:bCs/>
          <w:sz w:val="36"/>
          <w:szCs w:val="36"/>
        </w:rPr>
      </w:pPr>
      <w:r w:rsidRPr="00012FA3">
        <w:rPr>
          <w:rFonts w:ascii="Times New Roman" w:hAnsi="Times New Roman" w:cs="Times New Roman"/>
          <w:bCs/>
          <w:sz w:val="36"/>
          <w:szCs w:val="36"/>
        </w:rPr>
        <w:t>COURSE CODE LCMB700</w:t>
      </w:r>
      <w:r w:rsidR="00700CCA" w:rsidRPr="00012FA3">
        <w:rPr>
          <w:rFonts w:ascii="Times New Roman" w:hAnsi="Times New Roman" w:cs="Times New Roman"/>
          <w:bCs/>
          <w:sz w:val="36"/>
          <w:szCs w:val="36"/>
        </w:rPr>
        <w:t>5</w:t>
      </w:r>
    </w:p>
    <w:p w14:paraId="427CEC14" w14:textId="77777777" w:rsidR="006A660C" w:rsidRPr="00012FA3" w:rsidRDefault="006A660C" w:rsidP="00E139C5">
      <w:pPr>
        <w:jc w:val="center"/>
        <w:rPr>
          <w:rFonts w:ascii="Times New Roman" w:hAnsi="Times New Roman" w:cs="Times New Roman"/>
          <w:bCs/>
          <w:sz w:val="36"/>
          <w:szCs w:val="36"/>
        </w:rPr>
      </w:pPr>
      <w:r w:rsidRPr="00012FA3">
        <w:rPr>
          <w:rFonts w:ascii="Times New Roman" w:hAnsi="Times New Roman" w:cs="Times New Roman"/>
          <w:bCs/>
          <w:sz w:val="36"/>
          <w:szCs w:val="36"/>
        </w:rPr>
        <w:t>LEVEL 7</w:t>
      </w:r>
    </w:p>
    <w:p w14:paraId="4D799CE6" w14:textId="16B7D750" w:rsidR="006A660C" w:rsidRPr="00012FA3" w:rsidRDefault="006A660C" w:rsidP="00E139C5">
      <w:pPr>
        <w:jc w:val="center"/>
        <w:rPr>
          <w:rFonts w:ascii="Times New Roman" w:hAnsi="Times New Roman" w:cs="Times New Roman"/>
          <w:bCs/>
          <w:sz w:val="36"/>
          <w:szCs w:val="36"/>
        </w:rPr>
      </w:pPr>
      <w:r w:rsidRPr="00012FA3">
        <w:rPr>
          <w:rFonts w:ascii="Times New Roman" w:hAnsi="Times New Roman" w:cs="Times New Roman"/>
          <w:bCs/>
          <w:sz w:val="36"/>
          <w:szCs w:val="36"/>
        </w:rPr>
        <w:t>S</w:t>
      </w:r>
      <w:r w:rsidR="00700CCA" w:rsidRPr="00012FA3">
        <w:rPr>
          <w:rFonts w:ascii="Times New Roman" w:hAnsi="Times New Roman" w:cs="Times New Roman"/>
          <w:bCs/>
          <w:sz w:val="36"/>
          <w:szCs w:val="36"/>
        </w:rPr>
        <w:t xml:space="preserve">trategic Change and Organisation </w:t>
      </w:r>
    </w:p>
    <w:p w14:paraId="4D84F108" w14:textId="77777777" w:rsidR="006A660C" w:rsidRPr="00012FA3" w:rsidRDefault="006A660C" w:rsidP="00E139C5">
      <w:pPr>
        <w:jc w:val="center"/>
        <w:rPr>
          <w:rFonts w:ascii="Times New Roman" w:hAnsi="Times New Roman" w:cs="Times New Roman"/>
          <w:bCs/>
          <w:sz w:val="36"/>
          <w:szCs w:val="36"/>
        </w:rPr>
      </w:pPr>
      <w:r w:rsidRPr="00012FA3">
        <w:rPr>
          <w:rFonts w:ascii="Times New Roman" w:hAnsi="Times New Roman" w:cs="Times New Roman"/>
          <w:bCs/>
          <w:sz w:val="36"/>
          <w:szCs w:val="36"/>
        </w:rPr>
        <w:t>ASSSIGNMENT 1</w:t>
      </w:r>
    </w:p>
    <w:p w14:paraId="7F3635C2" w14:textId="71263710" w:rsidR="0052019D" w:rsidRPr="00012FA3" w:rsidRDefault="006A660C" w:rsidP="00E139C5">
      <w:pPr>
        <w:jc w:val="center"/>
        <w:rPr>
          <w:rFonts w:ascii="Times New Roman" w:hAnsi="Times New Roman" w:cs="Times New Roman"/>
          <w:bCs/>
          <w:sz w:val="36"/>
          <w:szCs w:val="36"/>
        </w:rPr>
      </w:pPr>
      <w:r w:rsidRPr="00012FA3">
        <w:rPr>
          <w:rFonts w:ascii="Times New Roman" w:hAnsi="Times New Roman" w:cs="Times New Roman"/>
          <w:bCs/>
          <w:sz w:val="36"/>
          <w:szCs w:val="36"/>
        </w:rPr>
        <w:t>ASSISGNMENT TITLE</w:t>
      </w:r>
      <w:bookmarkEnd w:id="0"/>
      <w:r w:rsidRPr="00012FA3">
        <w:rPr>
          <w:rFonts w:ascii="Times New Roman" w:hAnsi="Times New Roman" w:cs="Times New Roman"/>
          <w:bCs/>
          <w:sz w:val="36"/>
          <w:szCs w:val="36"/>
        </w:rPr>
        <w:t>:</w:t>
      </w:r>
      <w:r w:rsidR="0018778F">
        <w:rPr>
          <w:rFonts w:ascii="Times New Roman" w:hAnsi="Times New Roman" w:cs="Times New Roman"/>
          <w:bCs/>
          <w:sz w:val="36"/>
          <w:szCs w:val="36"/>
        </w:rPr>
        <w:t xml:space="preserve"> Case Study: SoftBank acquisition of ARM Holdings</w:t>
      </w:r>
    </w:p>
    <w:p w14:paraId="341AA5BB" w14:textId="77777777" w:rsidR="00993E0F" w:rsidRPr="00012FA3" w:rsidRDefault="00993E0F" w:rsidP="00E139C5">
      <w:pPr>
        <w:widowControl w:val="0"/>
        <w:numPr>
          <w:ilvl w:val="2"/>
          <w:numId w:val="24"/>
        </w:numPr>
        <w:tabs>
          <w:tab w:val="left" w:pos="1301"/>
        </w:tabs>
        <w:autoSpaceDE w:val="0"/>
        <w:autoSpaceDN w:val="0"/>
        <w:spacing w:after="0" w:line="240" w:lineRule="auto"/>
        <w:ind w:right="1068"/>
        <w:jc w:val="center"/>
        <w:rPr>
          <w:rFonts w:ascii="Times New Roman" w:hAnsi="Times New Roman" w:cs="Times New Roman"/>
          <w:bCs/>
          <w:sz w:val="36"/>
          <w:szCs w:val="36"/>
        </w:rPr>
      </w:pPr>
      <w:r w:rsidRPr="00012FA3">
        <w:rPr>
          <w:rFonts w:ascii="Times New Roman" w:hAnsi="Times New Roman" w:cs="Times New Roman"/>
          <w:bCs/>
          <w:sz w:val="36"/>
          <w:szCs w:val="36"/>
        </w:rPr>
        <w:t>Evaluate and comment upon the strategic imperative behind the acquisition, from the view of</w:t>
      </w:r>
      <w:r w:rsidRPr="00012FA3">
        <w:rPr>
          <w:rFonts w:ascii="Times New Roman" w:hAnsi="Times New Roman" w:cs="Times New Roman"/>
          <w:bCs/>
          <w:spacing w:val="-2"/>
          <w:sz w:val="36"/>
          <w:szCs w:val="36"/>
        </w:rPr>
        <w:t xml:space="preserve"> </w:t>
      </w:r>
      <w:r w:rsidRPr="00012FA3">
        <w:rPr>
          <w:rFonts w:ascii="Times New Roman" w:hAnsi="Times New Roman" w:cs="Times New Roman"/>
          <w:bCs/>
          <w:sz w:val="36"/>
          <w:szCs w:val="36"/>
        </w:rPr>
        <w:t>Softbank?</w:t>
      </w:r>
    </w:p>
    <w:p w14:paraId="7D54BCEA" w14:textId="77777777" w:rsidR="00993E0F" w:rsidRPr="00012FA3" w:rsidRDefault="00993E0F" w:rsidP="00E139C5">
      <w:pPr>
        <w:tabs>
          <w:tab w:val="left" w:pos="1301"/>
        </w:tabs>
        <w:spacing w:line="256" w:lineRule="auto"/>
        <w:ind w:left="1300" w:right="1068"/>
        <w:contextualSpacing/>
        <w:jc w:val="center"/>
        <w:rPr>
          <w:rFonts w:ascii="Times New Roman" w:hAnsi="Times New Roman" w:cs="Times New Roman"/>
          <w:bCs/>
          <w:sz w:val="36"/>
          <w:szCs w:val="36"/>
        </w:rPr>
      </w:pPr>
    </w:p>
    <w:p w14:paraId="36E04FE0" w14:textId="77777777" w:rsidR="00993E0F" w:rsidRPr="00012FA3" w:rsidRDefault="00993E0F" w:rsidP="00E139C5">
      <w:pPr>
        <w:widowControl w:val="0"/>
        <w:numPr>
          <w:ilvl w:val="2"/>
          <w:numId w:val="24"/>
        </w:numPr>
        <w:tabs>
          <w:tab w:val="left" w:pos="1301"/>
        </w:tabs>
        <w:autoSpaceDE w:val="0"/>
        <w:autoSpaceDN w:val="0"/>
        <w:spacing w:after="0" w:line="240" w:lineRule="auto"/>
        <w:ind w:right="274"/>
        <w:jc w:val="center"/>
        <w:rPr>
          <w:rFonts w:ascii="Times New Roman" w:hAnsi="Times New Roman" w:cs="Times New Roman"/>
          <w:bCs/>
          <w:sz w:val="36"/>
          <w:szCs w:val="36"/>
        </w:rPr>
      </w:pPr>
      <w:r w:rsidRPr="00012FA3">
        <w:rPr>
          <w:rFonts w:ascii="Times New Roman" w:hAnsi="Times New Roman" w:cs="Times New Roman"/>
          <w:bCs/>
          <w:sz w:val="36"/>
          <w:szCs w:val="36"/>
        </w:rPr>
        <w:t xml:space="preserve">Compare and evaluate the change implications from the viewpoints of ARM, and Softbank? (include changes in strategy, structure, org. culture, and any other elemental changes that </w:t>
      </w:r>
      <w:r w:rsidRPr="00012FA3">
        <w:rPr>
          <w:rFonts w:ascii="Times New Roman" w:hAnsi="Times New Roman" w:cs="Times New Roman"/>
          <w:bCs/>
          <w:spacing w:val="-4"/>
          <w:sz w:val="36"/>
          <w:szCs w:val="36"/>
        </w:rPr>
        <w:t xml:space="preserve">you </w:t>
      </w:r>
      <w:r w:rsidRPr="00012FA3">
        <w:rPr>
          <w:rFonts w:ascii="Times New Roman" w:hAnsi="Times New Roman" w:cs="Times New Roman"/>
          <w:bCs/>
          <w:sz w:val="36"/>
          <w:szCs w:val="36"/>
        </w:rPr>
        <w:t>feel appropriate to consider)</w:t>
      </w:r>
    </w:p>
    <w:p w14:paraId="08E5A81F" w14:textId="77777777" w:rsidR="0052019D" w:rsidRPr="00012FA3" w:rsidRDefault="0052019D" w:rsidP="00E139C5">
      <w:pPr>
        <w:jc w:val="center"/>
        <w:rPr>
          <w:rFonts w:ascii="Times New Roman" w:hAnsi="Times New Roman" w:cs="Times New Roman"/>
          <w:bCs/>
          <w:sz w:val="36"/>
          <w:szCs w:val="36"/>
        </w:rPr>
      </w:pPr>
    </w:p>
    <w:p w14:paraId="6AA02D0A" w14:textId="19585EAB" w:rsidR="006A660C" w:rsidRPr="00012FA3" w:rsidRDefault="006A660C" w:rsidP="00E2242E">
      <w:pPr>
        <w:jc w:val="center"/>
        <w:rPr>
          <w:rFonts w:ascii="Times New Roman" w:hAnsi="Times New Roman" w:cs="Times New Roman"/>
          <w:bCs/>
          <w:sz w:val="36"/>
          <w:szCs w:val="36"/>
        </w:rPr>
      </w:pPr>
      <w:bookmarkStart w:id="1" w:name="_Hlk39031866"/>
      <w:r w:rsidRPr="00012FA3">
        <w:rPr>
          <w:rFonts w:ascii="Times New Roman" w:hAnsi="Times New Roman" w:cs="Times New Roman"/>
          <w:bCs/>
          <w:sz w:val="36"/>
          <w:szCs w:val="36"/>
        </w:rPr>
        <w:t>L</w:t>
      </w:r>
      <w:r w:rsidR="00012FA3">
        <w:rPr>
          <w:rFonts w:ascii="Times New Roman" w:hAnsi="Times New Roman" w:cs="Times New Roman"/>
          <w:bCs/>
          <w:sz w:val="36"/>
          <w:szCs w:val="36"/>
        </w:rPr>
        <w:t>ecture</w:t>
      </w:r>
      <w:r w:rsidRPr="00012FA3">
        <w:rPr>
          <w:rFonts w:ascii="Times New Roman" w:hAnsi="Times New Roman" w:cs="Times New Roman"/>
          <w:bCs/>
          <w:sz w:val="36"/>
          <w:szCs w:val="36"/>
        </w:rPr>
        <w:t>: Professor Amare Desta</w:t>
      </w:r>
    </w:p>
    <w:p w14:paraId="1DECBACB" w14:textId="01A3A6AF" w:rsidR="006A660C" w:rsidRPr="00012FA3" w:rsidRDefault="00012FA3" w:rsidP="00E2242E">
      <w:pPr>
        <w:jc w:val="center"/>
        <w:rPr>
          <w:rFonts w:ascii="Times New Roman" w:hAnsi="Times New Roman" w:cs="Times New Roman"/>
          <w:bCs/>
          <w:sz w:val="36"/>
          <w:szCs w:val="36"/>
        </w:rPr>
      </w:pPr>
      <w:r w:rsidRPr="00012FA3">
        <w:rPr>
          <w:rFonts w:ascii="Times New Roman" w:hAnsi="Times New Roman" w:cs="Times New Roman"/>
          <w:bCs/>
          <w:sz w:val="36"/>
          <w:szCs w:val="36"/>
        </w:rPr>
        <w:t>S</w:t>
      </w:r>
      <w:r>
        <w:rPr>
          <w:rFonts w:ascii="Times New Roman" w:hAnsi="Times New Roman" w:cs="Times New Roman"/>
          <w:bCs/>
          <w:sz w:val="36"/>
          <w:szCs w:val="36"/>
        </w:rPr>
        <w:t>tudent:</w:t>
      </w:r>
      <w:r w:rsidR="006A660C" w:rsidRPr="00012FA3">
        <w:rPr>
          <w:rFonts w:ascii="Times New Roman" w:hAnsi="Times New Roman" w:cs="Times New Roman"/>
          <w:bCs/>
          <w:sz w:val="36"/>
          <w:szCs w:val="36"/>
        </w:rPr>
        <w:t xml:space="preserve"> </w:t>
      </w:r>
      <w:r w:rsidR="00C36E51" w:rsidRPr="00012FA3">
        <w:rPr>
          <w:rFonts w:ascii="Times New Roman" w:hAnsi="Times New Roman" w:cs="Times New Roman"/>
          <w:bCs/>
          <w:sz w:val="36"/>
          <w:szCs w:val="36"/>
        </w:rPr>
        <w:t>Margaret Kyakunda</w:t>
      </w:r>
    </w:p>
    <w:p w14:paraId="1DC6AF47" w14:textId="05A8449B" w:rsidR="006A660C" w:rsidRPr="00012FA3" w:rsidRDefault="00012FA3" w:rsidP="00E2242E">
      <w:pPr>
        <w:jc w:val="center"/>
        <w:rPr>
          <w:rFonts w:ascii="Times New Roman" w:hAnsi="Times New Roman" w:cs="Times New Roman"/>
          <w:bCs/>
          <w:sz w:val="36"/>
          <w:szCs w:val="36"/>
        </w:rPr>
      </w:pPr>
      <w:r>
        <w:rPr>
          <w:rFonts w:ascii="Times New Roman" w:hAnsi="Times New Roman" w:cs="Times New Roman"/>
          <w:bCs/>
          <w:sz w:val="36"/>
          <w:szCs w:val="36"/>
        </w:rPr>
        <w:t>Student number</w:t>
      </w:r>
      <w:r w:rsidR="00C36E51" w:rsidRPr="00012FA3">
        <w:rPr>
          <w:rFonts w:ascii="Times New Roman" w:hAnsi="Times New Roman" w:cs="Times New Roman"/>
          <w:bCs/>
          <w:sz w:val="36"/>
          <w:szCs w:val="36"/>
        </w:rPr>
        <w:t>:</w:t>
      </w:r>
      <w:r w:rsidR="006A660C" w:rsidRPr="00012FA3">
        <w:rPr>
          <w:rFonts w:ascii="Times New Roman" w:hAnsi="Times New Roman" w:cs="Times New Roman"/>
          <w:bCs/>
          <w:sz w:val="36"/>
          <w:szCs w:val="36"/>
        </w:rPr>
        <w:t xml:space="preserve"> 17128</w:t>
      </w:r>
      <w:r w:rsidR="00BC59C1">
        <w:rPr>
          <w:rFonts w:ascii="Times New Roman" w:hAnsi="Times New Roman" w:cs="Times New Roman"/>
          <w:bCs/>
          <w:sz w:val="36"/>
          <w:szCs w:val="36"/>
        </w:rPr>
        <w:t>1</w:t>
      </w:r>
      <w:r w:rsidR="006A660C" w:rsidRPr="00012FA3">
        <w:rPr>
          <w:rFonts w:ascii="Times New Roman" w:hAnsi="Times New Roman" w:cs="Times New Roman"/>
          <w:bCs/>
          <w:sz w:val="36"/>
          <w:szCs w:val="36"/>
        </w:rPr>
        <w:t>6</w:t>
      </w:r>
    </w:p>
    <w:bookmarkEnd w:id="1"/>
    <w:p w14:paraId="63A8924C" w14:textId="77777777" w:rsidR="0052019D" w:rsidRPr="00012FA3" w:rsidRDefault="0052019D" w:rsidP="00E139C5">
      <w:pPr>
        <w:jc w:val="center"/>
        <w:rPr>
          <w:rFonts w:ascii="Times New Roman" w:hAnsi="Times New Roman" w:cs="Times New Roman"/>
          <w:bCs/>
          <w:sz w:val="36"/>
          <w:szCs w:val="36"/>
        </w:rPr>
      </w:pPr>
    </w:p>
    <w:p w14:paraId="7B6CA7B4" w14:textId="5630FAB5" w:rsidR="00B54AC2" w:rsidRPr="00E139C5" w:rsidRDefault="00B54AC2" w:rsidP="00E139C5">
      <w:pPr>
        <w:jc w:val="center"/>
        <w:rPr>
          <w:bCs/>
          <w:sz w:val="36"/>
          <w:szCs w:val="36"/>
        </w:rPr>
      </w:pPr>
    </w:p>
    <w:p w14:paraId="300ED9C1" w14:textId="44C49F73" w:rsidR="00C36E51" w:rsidRDefault="00C36E51" w:rsidP="00E139C5">
      <w:pPr>
        <w:jc w:val="center"/>
        <w:rPr>
          <w:b/>
          <w:bCs/>
        </w:rPr>
      </w:pPr>
    </w:p>
    <w:p w14:paraId="4625CC8E" w14:textId="33252BE5" w:rsidR="00C36E51" w:rsidRDefault="00C36E51" w:rsidP="00E139C5">
      <w:pPr>
        <w:jc w:val="center"/>
        <w:rPr>
          <w:b/>
          <w:bCs/>
        </w:rPr>
      </w:pPr>
    </w:p>
    <w:p w14:paraId="3411AE88" w14:textId="2561760B" w:rsidR="00C36E51" w:rsidRDefault="00C36E51">
      <w:pPr>
        <w:rPr>
          <w:b/>
          <w:bCs/>
        </w:rPr>
      </w:pPr>
    </w:p>
    <w:p w14:paraId="085CACA8" w14:textId="665858FC" w:rsidR="00C36E51" w:rsidRDefault="00C36E51">
      <w:pPr>
        <w:rPr>
          <w:b/>
          <w:bCs/>
        </w:rPr>
      </w:pPr>
    </w:p>
    <w:p w14:paraId="60627866" w14:textId="77777777" w:rsidR="00D95A48" w:rsidRPr="00E139C5" w:rsidRDefault="00D95A48" w:rsidP="00E139C5">
      <w:pPr>
        <w:spacing w:line="360" w:lineRule="auto"/>
        <w:jc w:val="both"/>
        <w:rPr>
          <w:rFonts w:ascii="Times New Roman" w:hAnsi="Times New Roman" w:cs="Times New Roman"/>
          <w:b/>
          <w:bCs/>
          <w:sz w:val="24"/>
          <w:szCs w:val="24"/>
        </w:rPr>
      </w:pPr>
    </w:p>
    <w:bookmarkStart w:id="2" w:name="_Hlk39038054" w:displacedByCustomXml="next"/>
    <w:sdt>
      <w:sdtPr>
        <w:rPr>
          <w:rFonts w:ascii="Times New Roman" w:eastAsiaTheme="minorEastAsia" w:hAnsi="Times New Roman" w:cs="Times New Roman"/>
          <w:sz w:val="24"/>
          <w:szCs w:val="24"/>
        </w:rPr>
        <w:id w:val="1694189604"/>
        <w:docPartObj>
          <w:docPartGallery w:val="Table of Contents"/>
          <w:docPartUnique/>
        </w:docPartObj>
      </w:sdtPr>
      <w:sdtEndPr>
        <w:rPr>
          <w:rFonts w:eastAsiaTheme="minorHAnsi"/>
        </w:rPr>
      </w:sdtEndPr>
      <w:sdtContent>
        <w:p w14:paraId="25BBAC8F" w14:textId="77777777" w:rsidR="0005472C" w:rsidRPr="00E139C5" w:rsidRDefault="0005472C" w:rsidP="00E139C5">
          <w:pPr>
            <w:spacing w:after="0"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t>Table of Contents</w:t>
          </w:r>
        </w:p>
        <w:p w14:paraId="2BD7AEE3" w14:textId="0873ADE2"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Introduction</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3</w:t>
          </w:r>
          <w:r w:rsidR="004F09BE">
            <w:rPr>
              <w:rFonts w:ascii="Times New Roman" w:hAnsi="Times New Roman" w:cs="Times New Roman"/>
              <w:sz w:val="24"/>
              <w:szCs w:val="24"/>
            </w:rPr>
            <w:t>-4</w:t>
          </w:r>
        </w:p>
        <w:p w14:paraId="0C5CF224"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Company overview Softbank Group Corp &amp; ARM</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4-5</w:t>
          </w:r>
        </w:p>
      </w:sdtContent>
    </w:sdt>
    <w:p w14:paraId="64C200FA"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Analysis &amp; Overview of the Technology Industry</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6</w:t>
      </w:r>
    </w:p>
    <w:p w14:paraId="01AC75FA" w14:textId="2F871E29"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External Environmenta</w:t>
      </w:r>
      <w:r w:rsidR="00700CCA">
        <w:rPr>
          <w:rFonts w:ascii="Times New Roman" w:hAnsi="Times New Roman" w:cs="Times New Roman"/>
          <w:sz w:val="24"/>
          <w:szCs w:val="24"/>
        </w:rPr>
        <w:t>l</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7</w:t>
      </w:r>
    </w:p>
    <w:p w14:paraId="5036B4A9" w14:textId="26224203"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PESTEL Framework</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7-9</w:t>
      </w:r>
    </w:p>
    <w:p w14:paraId="5DBDA41E"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Internal Analysis</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9</w:t>
      </w:r>
    </w:p>
    <w:p w14:paraId="4F4DF2E2" w14:textId="2B12D46D" w:rsidR="0005472C" w:rsidRPr="00E139C5" w:rsidRDefault="00BC59C1"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SWOT Analysis</w:t>
      </w:r>
      <w:r w:rsidR="0005472C" w:rsidRPr="00E139C5">
        <w:rPr>
          <w:rFonts w:ascii="Times New Roman" w:hAnsi="Times New Roman" w:cs="Times New Roman"/>
          <w:sz w:val="24"/>
          <w:szCs w:val="24"/>
        </w:rPr>
        <w:ptab w:relativeTo="margin" w:alignment="right" w:leader="dot"/>
      </w:r>
      <w:r w:rsidR="0005472C" w:rsidRPr="00E139C5">
        <w:rPr>
          <w:rFonts w:ascii="Times New Roman" w:hAnsi="Times New Roman" w:cs="Times New Roman"/>
          <w:sz w:val="24"/>
          <w:szCs w:val="24"/>
        </w:rPr>
        <w:t>9</w:t>
      </w:r>
    </w:p>
    <w:p w14:paraId="0771EA51" w14:textId="024D6C36" w:rsidR="00012FA3" w:rsidRPr="00E139C5" w:rsidRDefault="00012FA3" w:rsidP="00012FA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VRIO Framework</w:t>
      </w:r>
      <w:r w:rsidRPr="00E139C5">
        <w:rPr>
          <w:rFonts w:ascii="Times New Roman" w:hAnsi="Times New Roman" w:cs="Times New Roman"/>
          <w:sz w:val="24"/>
          <w:szCs w:val="24"/>
        </w:rPr>
        <w:t xml:space="preserve">  </w:t>
      </w:r>
      <w:r w:rsidRPr="00E139C5">
        <w:rPr>
          <w:rFonts w:ascii="Times New Roman" w:hAnsi="Times New Roman" w:cs="Times New Roman"/>
          <w:sz w:val="24"/>
          <w:szCs w:val="24"/>
        </w:rPr>
        <w:ptab w:relativeTo="margin" w:alignment="right" w:leader="dot"/>
      </w:r>
      <w:r>
        <w:rPr>
          <w:rFonts w:ascii="Times New Roman" w:hAnsi="Times New Roman" w:cs="Times New Roman"/>
          <w:sz w:val="24"/>
          <w:szCs w:val="24"/>
        </w:rPr>
        <w:t>1</w:t>
      </w:r>
      <w:r w:rsidRPr="00E139C5">
        <w:rPr>
          <w:rFonts w:ascii="Times New Roman" w:hAnsi="Times New Roman" w:cs="Times New Roman"/>
          <w:sz w:val="24"/>
          <w:szCs w:val="24"/>
        </w:rPr>
        <w:t>0-</w:t>
      </w:r>
      <w:r>
        <w:rPr>
          <w:rFonts w:ascii="Times New Roman" w:hAnsi="Times New Roman" w:cs="Times New Roman"/>
          <w:sz w:val="24"/>
          <w:szCs w:val="24"/>
        </w:rPr>
        <w:t>1</w:t>
      </w:r>
      <w:r w:rsidRPr="00E139C5">
        <w:rPr>
          <w:rFonts w:ascii="Times New Roman" w:hAnsi="Times New Roman" w:cs="Times New Roman"/>
          <w:sz w:val="24"/>
          <w:szCs w:val="24"/>
        </w:rPr>
        <w:t>1</w:t>
      </w:r>
    </w:p>
    <w:p w14:paraId="465BE14D"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Strategic Imperatives of the Acquisition Softbank &amp; ARM </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12-17</w:t>
      </w:r>
    </w:p>
    <w:p w14:paraId="4DDF33FE"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Change Implications from viewpoints of Softbank &amp; ARM </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1-8-19</w:t>
      </w:r>
    </w:p>
    <w:p w14:paraId="06DA7C21" w14:textId="77777777" w:rsidR="0005472C" w:rsidRPr="00E139C5" w:rsidRDefault="0005472C" w:rsidP="00E139C5">
      <w:pPr>
        <w:spacing w:after="0" w:line="360" w:lineRule="auto"/>
        <w:jc w:val="both"/>
        <w:rPr>
          <w:rFonts w:ascii="Times New Roman" w:hAnsi="Times New Roman" w:cs="Times New Roman"/>
          <w:sz w:val="24"/>
          <w:szCs w:val="24"/>
        </w:rPr>
      </w:pPr>
      <w:bookmarkStart w:id="3" w:name="_Hlk39441035"/>
      <w:r w:rsidRPr="00E139C5">
        <w:rPr>
          <w:rFonts w:ascii="Times New Roman" w:hAnsi="Times New Roman" w:cs="Times New Roman"/>
          <w:sz w:val="24"/>
          <w:szCs w:val="24"/>
        </w:rPr>
        <w:t xml:space="preserve">Post-Acquisition performance  </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20-21</w:t>
      </w:r>
    </w:p>
    <w:bookmarkEnd w:id="3"/>
    <w:p w14:paraId="06D8C433"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Conclusion </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22</w:t>
      </w:r>
    </w:p>
    <w:p w14:paraId="44EB9392" w14:textId="77777777"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Appendices</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23-29</w:t>
      </w:r>
    </w:p>
    <w:p w14:paraId="1C8926FA" w14:textId="1B15F308" w:rsidR="0005472C" w:rsidRPr="00E139C5" w:rsidRDefault="0005472C" w:rsidP="00E139C5">
      <w:pPr>
        <w:spacing w:after="0" w:line="360" w:lineRule="auto"/>
        <w:jc w:val="both"/>
        <w:rPr>
          <w:rFonts w:ascii="Times New Roman" w:hAnsi="Times New Roman" w:cs="Times New Roman"/>
          <w:sz w:val="24"/>
          <w:szCs w:val="24"/>
        </w:rPr>
      </w:pPr>
      <w:r w:rsidRPr="00E139C5">
        <w:rPr>
          <w:rFonts w:ascii="Times New Roman" w:hAnsi="Times New Roman" w:cs="Times New Roman"/>
          <w:sz w:val="24"/>
          <w:szCs w:val="24"/>
        </w:rPr>
        <w:t>References</w:t>
      </w:r>
      <w:r w:rsidRPr="00E139C5">
        <w:rPr>
          <w:rFonts w:ascii="Times New Roman" w:hAnsi="Times New Roman" w:cs="Times New Roman"/>
          <w:sz w:val="24"/>
          <w:szCs w:val="24"/>
        </w:rPr>
        <w:ptab w:relativeTo="margin" w:alignment="right" w:leader="dot"/>
      </w:r>
      <w:r w:rsidRPr="00E139C5">
        <w:rPr>
          <w:rFonts w:ascii="Times New Roman" w:hAnsi="Times New Roman" w:cs="Times New Roman"/>
          <w:sz w:val="24"/>
          <w:szCs w:val="24"/>
        </w:rPr>
        <w:t>30</w:t>
      </w:r>
      <w:r w:rsidR="00993E0F" w:rsidRPr="00E139C5">
        <w:rPr>
          <w:rFonts w:ascii="Times New Roman" w:hAnsi="Times New Roman" w:cs="Times New Roman"/>
          <w:sz w:val="24"/>
          <w:szCs w:val="24"/>
        </w:rPr>
        <w:t>-3</w:t>
      </w:r>
      <w:r w:rsidR="00C36E51" w:rsidRPr="00E139C5">
        <w:rPr>
          <w:rFonts w:ascii="Times New Roman" w:hAnsi="Times New Roman" w:cs="Times New Roman"/>
          <w:sz w:val="24"/>
          <w:szCs w:val="24"/>
        </w:rPr>
        <w:t>9</w:t>
      </w:r>
    </w:p>
    <w:p w14:paraId="54A8FD9D" w14:textId="77777777" w:rsidR="0005472C" w:rsidRPr="00E139C5" w:rsidRDefault="0005472C" w:rsidP="00E139C5">
      <w:pPr>
        <w:spacing w:line="360" w:lineRule="auto"/>
        <w:jc w:val="both"/>
        <w:rPr>
          <w:rFonts w:ascii="Times New Roman" w:hAnsi="Times New Roman" w:cs="Times New Roman"/>
          <w:sz w:val="24"/>
          <w:szCs w:val="24"/>
        </w:rPr>
      </w:pPr>
    </w:p>
    <w:bookmarkEnd w:id="2"/>
    <w:p w14:paraId="52BB82E9" w14:textId="77777777" w:rsidR="0052019D" w:rsidRPr="00E139C5" w:rsidRDefault="0052019D" w:rsidP="00E139C5">
      <w:pPr>
        <w:spacing w:line="360" w:lineRule="auto"/>
        <w:jc w:val="both"/>
        <w:rPr>
          <w:rFonts w:ascii="Times New Roman" w:hAnsi="Times New Roman" w:cs="Times New Roman"/>
          <w:b/>
          <w:bCs/>
          <w:sz w:val="24"/>
          <w:szCs w:val="24"/>
        </w:rPr>
      </w:pPr>
    </w:p>
    <w:p w14:paraId="757CA470" w14:textId="77777777" w:rsidR="0052019D" w:rsidRPr="00E139C5" w:rsidRDefault="0052019D" w:rsidP="00E139C5">
      <w:pPr>
        <w:spacing w:line="360" w:lineRule="auto"/>
        <w:jc w:val="both"/>
        <w:rPr>
          <w:rFonts w:ascii="Times New Roman" w:hAnsi="Times New Roman" w:cs="Times New Roman"/>
          <w:b/>
          <w:bCs/>
          <w:sz w:val="24"/>
          <w:szCs w:val="24"/>
        </w:rPr>
      </w:pPr>
    </w:p>
    <w:p w14:paraId="014DE0D2" w14:textId="77777777" w:rsidR="0052019D" w:rsidRPr="00E139C5" w:rsidRDefault="0052019D" w:rsidP="00E139C5">
      <w:pPr>
        <w:spacing w:line="360" w:lineRule="auto"/>
        <w:jc w:val="both"/>
        <w:rPr>
          <w:rFonts w:ascii="Times New Roman" w:hAnsi="Times New Roman" w:cs="Times New Roman"/>
          <w:b/>
          <w:bCs/>
          <w:sz w:val="24"/>
          <w:szCs w:val="24"/>
        </w:rPr>
      </w:pPr>
    </w:p>
    <w:p w14:paraId="2B87621D" w14:textId="77777777" w:rsidR="0052019D" w:rsidRPr="00E139C5" w:rsidRDefault="0052019D" w:rsidP="00E139C5">
      <w:pPr>
        <w:spacing w:line="360" w:lineRule="auto"/>
        <w:jc w:val="both"/>
        <w:rPr>
          <w:rFonts w:ascii="Times New Roman" w:hAnsi="Times New Roman" w:cs="Times New Roman"/>
          <w:b/>
          <w:bCs/>
          <w:sz w:val="24"/>
          <w:szCs w:val="24"/>
        </w:rPr>
      </w:pPr>
    </w:p>
    <w:p w14:paraId="392C25FD" w14:textId="77777777" w:rsidR="0052019D" w:rsidRPr="00E139C5" w:rsidRDefault="0052019D" w:rsidP="00E139C5">
      <w:pPr>
        <w:spacing w:line="360" w:lineRule="auto"/>
        <w:jc w:val="both"/>
        <w:rPr>
          <w:rFonts w:ascii="Times New Roman" w:hAnsi="Times New Roman" w:cs="Times New Roman"/>
          <w:b/>
          <w:bCs/>
          <w:sz w:val="24"/>
          <w:szCs w:val="24"/>
        </w:rPr>
      </w:pPr>
    </w:p>
    <w:p w14:paraId="192686BD" w14:textId="77777777" w:rsidR="0052019D" w:rsidRPr="00E139C5" w:rsidRDefault="0052019D" w:rsidP="00E139C5">
      <w:pPr>
        <w:spacing w:line="360" w:lineRule="auto"/>
        <w:jc w:val="both"/>
        <w:rPr>
          <w:rFonts w:ascii="Times New Roman" w:hAnsi="Times New Roman" w:cs="Times New Roman"/>
          <w:b/>
          <w:bCs/>
          <w:sz w:val="24"/>
          <w:szCs w:val="24"/>
        </w:rPr>
      </w:pPr>
    </w:p>
    <w:p w14:paraId="3D96CB85" w14:textId="77777777" w:rsidR="0052019D" w:rsidRPr="00E139C5" w:rsidRDefault="0052019D" w:rsidP="00E139C5">
      <w:pPr>
        <w:spacing w:line="360" w:lineRule="auto"/>
        <w:jc w:val="both"/>
        <w:rPr>
          <w:rFonts w:ascii="Times New Roman" w:hAnsi="Times New Roman" w:cs="Times New Roman"/>
          <w:b/>
          <w:bCs/>
          <w:sz w:val="24"/>
          <w:szCs w:val="24"/>
        </w:rPr>
      </w:pPr>
    </w:p>
    <w:p w14:paraId="7834D819" w14:textId="77777777" w:rsidR="0052019D" w:rsidRPr="00E139C5" w:rsidRDefault="0052019D" w:rsidP="00E139C5">
      <w:pPr>
        <w:spacing w:line="360" w:lineRule="auto"/>
        <w:jc w:val="both"/>
        <w:rPr>
          <w:rFonts w:ascii="Times New Roman" w:hAnsi="Times New Roman" w:cs="Times New Roman"/>
          <w:b/>
          <w:bCs/>
          <w:sz w:val="24"/>
          <w:szCs w:val="24"/>
        </w:rPr>
      </w:pPr>
    </w:p>
    <w:p w14:paraId="7618A452" w14:textId="73E50273" w:rsidR="0052019D" w:rsidRDefault="0052019D" w:rsidP="00E139C5">
      <w:pPr>
        <w:spacing w:line="360" w:lineRule="auto"/>
        <w:jc w:val="both"/>
        <w:rPr>
          <w:rFonts w:ascii="Times New Roman" w:hAnsi="Times New Roman" w:cs="Times New Roman"/>
          <w:b/>
          <w:bCs/>
          <w:sz w:val="24"/>
          <w:szCs w:val="24"/>
        </w:rPr>
      </w:pPr>
    </w:p>
    <w:p w14:paraId="339BE99E" w14:textId="7F5E2557" w:rsidR="004F09BE" w:rsidRDefault="004F09BE" w:rsidP="00E139C5">
      <w:pPr>
        <w:spacing w:line="360" w:lineRule="auto"/>
        <w:jc w:val="both"/>
        <w:rPr>
          <w:rFonts w:ascii="Times New Roman" w:hAnsi="Times New Roman" w:cs="Times New Roman"/>
          <w:b/>
          <w:bCs/>
          <w:sz w:val="24"/>
          <w:szCs w:val="24"/>
        </w:rPr>
      </w:pPr>
    </w:p>
    <w:p w14:paraId="59CB7DBB" w14:textId="77777777" w:rsidR="004F09BE" w:rsidRPr="00E139C5" w:rsidRDefault="004F09BE" w:rsidP="00E139C5">
      <w:pPr>
        <w:spacing w:line="360" w:lineRule="auto"/>
        <w:jc w:val="both"/>
        <w:rPr>
          <w:rFonts w:ascii="Times New Roman" w:hAnsi="Times New Roman" w:cs="Times New Roman"/>
          <w:b/>
          <w:bCs/>
          <w:sz w:val="24"/>
          <w:szCs w:val="24"/>
        </w:rPr>
      </w:pPr>
    </w:p>
    <w:p w14:paraId="786924AE" w14:textId="77777777" w:rsidR="0052019D" w:rsidRPr="00E139C5" w:rsidRDefault="0052019D" w:rsidP="00E139C5">
      <w:pPr>
        <w:spacing w:line="360" w:lineRule="auto"/>
        <w:jc w:val="both"/>
        <w:rPr>
          <w:rFonts w:ascii="Times New Roman" w:hAnsi="Times New Roman" w:cs="Times New Roman"/>
          <w:b/>
          <w:bCs/>
          <w:sz w:val="24"/>
          <w:szCs w:val="24"/>
        </w:rPr>
      </w:pPr>
    </w:p>
    <w:p w14:paraId="0CE8418E" w14:textId="77777777" w:rsidR="00394AE2" w:rsidRDefault="00394AE2" w:rsidP="00E139C5">
      <w:pPr>
        <w:spacing w:line="360" w:lineRule="auto"/>
        <w:jc w:val="both"/>
        <w:rPr>
          <w:rFonts w:ascii="Times New Roman" w:hAnsi="Times New Roman" w:cs="Times New Roman"/>
          <w:b/>
          <w:bCs/>
          <w:sz w:val="24"/>
          <w:szCs w:val="24"/>
        </w:rPr>
      </w:pPr>
    </w:p>
    <w:p w14:paraId="7A9AC4D8" w14:textId="152022EB" w:rsidR="00993E0F" w:rsidRPr="00E139C5" w:rsidRDefault="00993E0F"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t xml:space="preserve">Introduction </w:t>
      </w:r>
    </w:p>
    <w:p w14:paraId="1E7E943F" w14:textId="1DF32285" w:rsidR="00993E0F" w:rsidRPr="00E139C5" w:rsidRDefault="00993E0F" w:rsidP="00E139C5">
      <w:pPr>
        <w:spacing w:line="360" w:lineRule="auto"/>
        <w:contextualSpacing/>
        <w:jc w:val="both"/>
        <w:rPr>
          <w:rFonts w:ascii="Times New Roman" w:hAnsi="Times New Roman" w:cs="Times New Roman"/>
          <w:sz w:val="24"/>
          <w:szCs w:val="24"/>
        </w:rPr>
      </w:pPr>
      <w:r w:rsidRPr="00E139C5">
        <w:rPr>
          <w:rFonts w:ascii="Times New Roman" w:hAnsi="Times New Roman" w:cs="Times New Roman"/>
          <w:sz w:val="24"/>
          <w:szCs w:val="24"/>
        </w:rPr>
        <w:t>In the competitive landscape</w:t>
      </w:r>
      <w:r w:rsidR="004A675C">
        <w:rPr>
          <w:rFonts w:ascii="Times New Roman" w:hAnsi="Times New Roman" w:cs="Times New Roman"/>
          <w:sz w:val="24"/>
          <w:szCs w:val="24"/>
        </w:rPr>
        <w:t>,</w:t>
      </w:r>
      <w:r w:rsidRPr="00E139C5">
        <w:rPr>
          <w:rFonts w:ascii="Times New Roman" w:hAnsi="Times New Roman" w:cs="Times New Roman"/>
          <w:sz w:val="24"/>
          <w:szCs w:val="24"/>
        </w:rPr>
        <w:t xml:space="preserve"> contemporary organisation environment of today has changed and new technologies have merged and emerging. Globalisation perspectives and industry boundary are blurrier than ever. Globalisation brought about the boost for cross- broader mergers and acquisition especially in the telecommunication sector pushing many Asian countries global</w:t>
      </w:r>
      <w:r w:rsidRPr="00E139C5">
        <w:rPr>
          <w:rFonts w:ascii="Times New Roman" w:hAnsi="Times New Roman" w:cs="Times New Roman"/>
          <w:i/>
          <w:iCs/>
          <w:sz w:val="24"/>
          <w:szCs w:val="24"/>
        </w:rPr>
        <w:t xml:space="preserve">. </w:t>
      </w:r>
      <w:r w:rsidRPr="00E139C5">
        <w:rPr>
          <w:rFonts w:ascii="Times New Roman" w:hAnsi="Times New Roman" w:cs="Times New Roman"/>
          <w:sz w:val="24"/>
          <w:szCs w:val="24"/>
        </w:rPr>
        <w:t>“Globalisation has played a factor for such companies as Softbank, a Japanese company emerge in markets that have traditionally been dominated by US</w:t>
      </w:r>
      <w:r w:rsidR="004A675C">
        <w:rPr>
          <w:rFonts w:ascii="Times New Roman" w:hAnsi="Times New Roman" w:cs="Times New Roman"/>
          <w:sz w:val="24"/>
          <w:szCs w:val="24"/>
        </w:rPr>
        <w:t xml:space="preserve"> </w:t>
      </w:r>
      <w:r w:rsidRPr="00E139C5">
        <w:rPr>
          <w:rFonts w:ascii="Times New Roman" w:hAnsi="Times New Roman" w:cs="Times New Roman"/>
          <w:sz w:val="24"/>
          <w:szCs w:val="24"/>
        </w:rPr>
        <w:t xml:space="preserve">and European competitors, the organisation adopted a global approach for international expansion”. </w:t>
      </w:r>
      <w:bookmarkStart w:id="4" w:name="_Hlk39286068"/>
      <w:r w:rsidRPr="00E139C5">
        <w:rPr>
          <w:rFonts w:ascii="Times New Roman" w:hAnsi="Times New Roman" w:cs="Times New Roman"/>
          <w:sz w:val="24"/>
          <w:szCs w:val="24"/>
        </w:rPr>
        <w:t>(</w:t>
      </w:r>
      <w:r w:rsidR="00BC59C1" w:rsidRPr="00E139C5">
        <w:rPr>
          <w:rFonts w:ascii="Times New Roman" w:hAnsi="Times New Roman" w:cs="Times New Roman"/>
          <w:sz w:val="24"/>
          <w:szCs w:val="24"/>
        </w:rPr>
        <w:t>Lasserre, 2003</w:t>
      </w:r>
      <w:r w:rsidRPr="00E139C5">
        <w:rPr>
          <w:rFonts w:ascii="Times New Roman" w:hAnsi="Times New Roman" w:cs="Times New Roman"/>
          <w:sz w:val="24"/>
          <w:szCs w:val="24"/>
        </w:rPr>
        <w:t>, p. 17).</w:t>
      </w:r>
    </w:p>
    <w:bookmarkEnd w:id="4"/>
    <w:p w14:paraId="7909FF70" w14:textId="0B054F3C" w:rsidR="00993E0F" w:rsidRPr="00E139C5" w:rsidRDefault="00993E0F" w:rsidP="00E139C5">
      <w:pPr>
        <w:spacing w:line="360" w:lineRule="auto"/>
        <w:contextualSpacing/>
        <w:jc w:val="both"/>
        <w:rPr>
          <w:rFonts w:ascii="Times New Roman" w:hAnsi="Times New Roman" w:cs="Times New Roman"/>
          <w:sz w:val="24"/>
          <w:szCs w:val="24"/>
        </w:rPr>
      </w:pPr>
      <w:r w:rsidRPr="00E139C5">
        <w:rPr>
          <w:rFonts w:ascii="Times New Roman" w:hAnsi="Times New Roman" w:cs="Times New Roman"/>
          <w:sz w:val="24"/>
          <w:szCs w:val="24"/>
        </w:rPr>
        <w:t xml:space="preserve">Japanese companies are using </w:t>
      </w:r>
      <w:r w:rsidR="00700CCA" w:rsidRPr="00E139C5">
        <w:rPr>
          <w:rFonts w:ascii="Times New Roman" w:hAnsi="Times New Roman" w:cs="Times New Roman"/>
          <w:sz w:val="24"/>
          <w:szCs w:val="24"/>
        </w:rPr>
        <w:t xml:space="preserve">acquisition </w:t>
      </w:r>
      <w:r w:rsidR="00700CCA">
        <w:rPr>
          <w:rFonts w:ascii="Times New Roman" w:hAnsi="Times New Roman" w:cs="Times New Roman"/>
          <w:sz w:val="24"/>
          <w:szCs w:val="24"/>
        </w:rPr>
        <w:t>strategy</w:t>
      </w:r>
      <w:r w:rsidRPr="00E139C5">
        <w:rPr>
          <w:rFonts w:ascii="Times New Roman" w:hAnsi="Times New Roman" w:cs="Times New Roman"/>
          <w:sz w:val="24"/>
          <w:szCs w:val="24"/>
        </w:rPr>
        <w:t xml:space="preserve"> to </w:t>
      </w:r>
      <w:r w:rsidR="00700CCA" w:rsidRPr="00E139C5">
        <w:rPr>
          <w:rFonts w:ascii="Times New Roman" w:hAnsi="Times New Roman" w:cs="Times New Roman"/>
          <w:sz w:val="24"/>
          <w:szCs w:val="24"/>
        </w:rPr>
        <w:t>move into</w:t>
      </w:r>
      <w:r w:rsidRPr="00E139C5">
        <w:rPr>
          <w:rFonts w:ascii="Times New Roman" w:hAnsi="Times New Roman" w:cs="Times New Roman"/>
          <w:sz w:val="24"/>
          <w:szCs w:val="24"/>
        </w:rPr>
        <w:t xml:space="preserve"> new markets and strengthen their global presence. Research done by Anon, (2020</w:t>
      </w:r>
      <w:r w:rsidR="00BC59C1" w:rsidRPr="00E139C5">
        <w:rPr>
          <w:rFonts w:ascii="Times New Roman" w:hAnsi="Times New Roman" w:cs="Times New Roman"/>
          <w:sz w:val="24"/>
          <w:szCs w:val="24"/>
        </w:rPr>
        <w:t>). available</w:t>
      </w:r>
      <w:r w:rsidRPr="00E139C5">
        <w:rPr>
          <w:rFonts w:ascii="Times New Roman" w:hAnsi="Times New Roman" w:cs="Times New Roman"/>
          <w:sz w:val="24"/>
          <w:szCs w:val="24"/>
        </w:rPr>
        <w:t xml:space="preserve">: www.pwc.com.au </w:t>
      </w:r>
      <w:r w:rsidR="00BC59C1" w:rsidRPr="00E139C5">
        <w:rPr>
          <w:rFonts w:ascii="Times New Roman" w:hAnsi="Times New Roman" w:cs="Times New Roman"/>
          <w:sz w:val="24"/>
          <w:szCs w:val="24"/>
        </w:rPr>
        <w:t>‘unlocking</w:t>
      </w:r>
      <w:r w:rsidRPr="00E139C5">
        <w:rPr>
          <w:rFonts w:ascii="Times New Roman" w:hAnsi="Times New Roman" w:cs="Times New Roman"/>
          <w:sz w:val="24"/>
          <w:szCs w:val="24"/>
        </w:rPr>
        <w:t xml:space="preserve"> Japans potential. Shows that in recent years, corporate Japan has been gradually accounting for a greater share of global mergers and acquisition due to the stagnate domestic market, and this trend of overseas acquisition is still growing due to the need of strong synergies.</w:t>
      </w:r>
    </w:p>
    <w:p w14:paraId="7F123AE5" w14:textId="7683E7DA" w:rsidR="00700CCA" w:rsidRDefault="00993E0F" w:rsidP="00E139C5">
      <w:pPr>
        <w:shd w:val="clear" w:color="auto" w:fill="FFFFFF"/>
        <w:spacing w:after="0" w:line="360" w:lineRule="auto"/>
        <w:jc w:val="both"/>
        <w:rPr>
          <w:rFonts w:ascii="Times New Roman" w:eastAsia="Times New Roman" w:hAnsi="Times New Roman" w:cs="Times New Roman"/>
          <w:sz w:val="24"/>
          <w:szCs w:val="24"/>
          <w:shd w:val="clear" w:color="auto" w:fill="FFFFFF"/>
          <w:lang w:eastAsia="en-GB"/>
        </w:rPr>
      </w:pPr>
      <w:r w:rsidRPr="00E139C5">
        <w:rPr>
          <w:rFonts w:ascii="Times New Roman" w:eastAsia="Times New Roman" w:hAnsi="Times New Roman" w:cs="Times New Roman"/>
          <w:sz w:val="24"/>
          <w:szCs w:val="24"/>
          <w:lang w:eastAsia="en-GB"/>
        </w:rPr>
        <w:t xml:space="preserve"> SoftBank used acquisition as an instrument to double its global reach and competitiveness, in the pacific the doors opened in the 1997. (</w:t>
      </w:r>
      <w:r w:rsidR="00BC59C1" w:rsidRPr="00E139C5">
        <w:rPr>
          <w:rFonts w:ascii="Times New Roman" w:eastAsia="Times New Roman" w:hAnsi="Times New Roman" w:cs="Times New Roman"/>
          <w:sz w:val="24"/>
          <w:szCs w:val="24"/>
          <w:lang w:eastAsia="en-GB"/>
        </w:rPr>
        <w:t>Lasserre, 2003</w:t>
      </w:r>
      <w:r w:rsidRPr="00E139C5">
        <w:rPr>
          <w:rFonts w:ascii="Times New Roman" w:eastAsia="Times New Roman" w:hAnsi="Times New Roman" w:cs="Times New Roman"/>
          <w:sz w:val="24"/>
          <w:szCs w:val="24"/>
          <w:lang w:eastAsia="en-GB"/>
        </w:rPr>
        <w:t xml:space="preserve">, p. 134). The period between 1985-1990’s the largest amounts of </w:t>
      </w:r>
      <w:r w:rsidR="00700CCA">
        <w:rPr>
          <w:rFonts w:ascii="Times New Roman" w:eastAsia="Times New Roman" w:hAnsi="Times New Roman" w:cs="Times New Roman"/>
          <w:sz w:val="24"/>
          <w:szCs w:val="24"/>
          <w:lang w:eastAsia="en-GB"/>
        </w:rPr>
        <w:t xml:space="preserve">overseas </w:t>
      </w:r>
      <w:r w:rsidRPr="00E139C5">
        <w:rPr>
          <w:rFonts w:ascii="Times New Roman" w:eastAsia="Times New Roman" w:hAnsi="Times New Roman" w:cs="Times New Roman"/>
          <w:sz w:val="24"/>
          <w:szCs w:val="24"/>
          <w:lang w:eastAsia="en-GB"/>
        </w:rPr>
        <w:t xml:space="preserve">investment in the UK, was </w:t>
      </w:r>
      <w:r w:rsidR="00700CCA" w:rsidRPr="00E139C5">
        <w:rPr>
          <w:rFonts w:ascii="Times New Roman" w:eastAsia="Times New Roman" w:hAnsi="Times New Roman" w:cs="Times New Roman"/>
          <w:sz w:val="24"/>
          <w:szCs w:val="24"/>
          <w:lang w:eastAsia="en-GB"/>
        </w:rPr>
        <w:t>controlled</w:t>
      </w:r>
      <w:r w:rsidRPr="00E139C5">
        <w:rPr>
          <w:rFonts w:ascii="Times New Roman" w:eastAsia="Times New Roman" w:hAnsi="Times New Roman" w:cs="Times New Roman"/>
          <w:sz w:val="24"/>
          <w:szCs w:val="24"/>
          <w:lang w:eastAsia="en-GB"/>
        </w:rPr>
        <w:t xml:space="preserve"> by USA, </w:t>
      </w:r>
      <w:r w:rsidRPr="00E139C5">
        <w:rPr>
          <w:rFonts w:ascii="Times New Roman" w:eastAsia="Times New Roman" w:hAnsi="Times New Roman" w:cs="Times New Roman"/>
          <w:color w:val="000000"/>
          <w:sz w:val="24"/>
          <w:szCs w:val="24"/>
          <w:shd w:val="clear" w:color="auto" w:fill="FFFFFF"/>
          <w:lang w:eastAsia="en-GB"/>
        </w:rPr>
        <w:t xml:space="preserve">Japanese, French, and German companies, who used mergers and acquisitions as a vehicle for investment, </w:t>
      </w:r>
      <w:r w:rsidR="00700CCA">
        <w:rPr>
          <w:rFonts w:ascii="Times New Roman" w:eastAsia="Times New Roman" w:hAnsi="Times New Roman" w:cs="Times New Roman"/>
          <w:color w:val="000000"/>
          <w:sz w:val="24"/>
          <w:szCs w:val="24"/>
          <w:shd w:val="clear" w:color="auto" w:fill="FFFFFF"/>
          <w:lang w:eastAsia="en-GB"/>
        </w:rPr>
        <w:t xml:space="preserve">especially the technology industry </w:t>
      </w:r>
      <w:r w:rsidRPr="00E139C5">
        <w:rPr>
          <w:rFonts w:ascii="Times New Roman" w:eastAsia="Times New Roman" w:hAnsi="Times New Roman" w:cs="Times New Roman"/>
          <w:color w:val="000000"/>
          <w:sz w:val="24"/>
          <w:szCs w:val="24"/>
          <w:shd w:val="clear" w:color="auto" w:fill="FFFFFF"/>
          <w:lang w:eastAsia="en-GB"/>
        </w:rPr>
        <w:t>ha</w:t>
      </w:r>
      <w:r w:rsidR="00700CCA">
        <w:rPr>
          <w:rFonts w:ascii="Times New Roman" w:eastAsia="Times New Roman" w:hAnsi="Times New Roman" w:cs="Times New Roman"/>
          <w:color w:val="000000"/>
          <w:sz w:val="24"/>
          <w:szCs w:val="24"/>
          <w:shd w:val="clear" w:color="auto" w:fill="FFFFFF"/>
          <w:lang w:eastAsia="en-GB"/>
        </w:rPr>
        <w:t xml:space="preserve">s </w:t>
      </w:r>
      <w:r w:rsidRPr="00E139C5">
        <w:rPr>
          <w:rFonts w:ascii="Times New Roman" w:eastAsia="Times New Roman" w:hAnsi="Times New Roman" w:cs="Times New Roman"/>
          <w:color w:val="000000"/>
          <w:sz w:val="24"/>
          <w:szCs w:val="24"/>
          <w:shd w:val="clear" w:color="auto" w:fill="FFFFFF"/>
          <w:lang w:eastAsia="en-GB"/>
        </w:rPr>
        <w:t xml:space="preserve"> been the most popular industries for FDI in the UK as  (</w:t>
      </w:r>
      <w:bookmarkStart w:id="5" w:name="_Hlk39286139"/>
      <w:r w:rsidRPr="00E139C5">
        <w:rPr>
          <w:rFonts w:ascii="Times New Roman" w:eastAsia="Times New Roman" w:hAnsi="Times New Roman" w:cs="Times New Roman"/>
          <w:sz w:val="24"/>
          <w:szCs w:val="24"/>
          <w:shd w:val="clear" w:color="auto" w:fill="FFFFFF"/>
          <w:lang w:eastAsia="en-GB"/>
        </w:rPr>
        <w:t>Child et al. </w:t>
      </w:r>
      <w:hyperlink r:id="rId8" w:anchor="acprof-9780199601462-bibItem-1456" w:history="1">
        <w:r w:rsidRPr="00E139C5">
          <w:rPr>
            <w:rFonts w:ascii="Times New Roman" w:eastAsia="Times New Roman" w:hAnsi="Times New Roman" w:cs="Times New Roman"/>
            <w:sz w:val="24"/>
            <w:szCs w:val="24"/>
            <w:u w:val="single"/>
            <w:shd w:val="clear" w:color="auto" w:fill="FFFFFF"/>
            <w:lang w:eastAsia="en-GB"/>
          </w:rPr>
          <w:t>2000</w:t>
        </w:r>
      </w:hyperlink>
      <w:r w:rsidRPr="00E139C5">
        <w:rPr>
          <w:rFonts w:ascii="Times New Roman" w:eastAsia="Times New Roman" w:hAnsi="Times New Roman" w:cs="Times New Roman"/>
          <w:sz w:val="24"/>
          <w:szCs w:val="24"/>
          <w:shd w:val="clear" w:color="auto" w:fill="FFFFFF"/>
          <w:lang w:eastAsia="en-GB"/>
        </w:rPr>
        <w:t>) cited by</w:t>
      </w:r>
      <w:r w:rsidRPr="00E139C5">
        <w:rPr>
          <w:rFonts w:ascii="Times New Roman" w:eastAsia="Times New Roman" w:hAnsi="Times New Roman" w:cs="Times New Roman"/>
          <w:color w:val="000000"/>
          <w:sz w:val="24"/>
          <w:szCs w:val="24"/>
          <w:shd w:val="clear" w:color="auto" w:fill="FFFFFF"/>
          <w:lang w:eastAsia="en-GB"/>
        </w:rPr>
        <w:t xml:space="preserve"> Faulkner, D., Pitkethly, R., &amp; Child, J. (2012-06-07). </w:t>
      </w:r>
      <w:r w:rsidRPr="00E139C5">
        <w:rPr>
          <w:rFonts w:ascii="Times New Roman" w:eastAsia="Times New Roman" w:hAnsi="Times New Roman" w:cs="Times New Roman"/>
          <w:sz w:val="24"/>
          <w:szCs w:val="24"/>
          <w:shd w:val="clear" w:color="auto" w:fill="FFFFFF"/>
          <w:lang w:eastAsia="en-GB"/>
        </w:rPr>
        <w:t> </w:t>
      </w:r>
      <w:bookmarkEnd w:id="5"/>
    </w:p>
    <w:p w14:paraId="7E1B51F9" w14:textId="77777777" w:rsidR="00700CCA" w:rsidRDefault="00700CCA" w:rsidP="00E139C5">
      <w:pPr>
        <w:shd w:val="clear" w:color="auto" w:fill="FFFFFF"/>
        <w:spacing w:after="0" w:line="360" w:lineRule="auto"/>
        <w:jc w:val="both"/>
        <w:rPr>
          <w:rFonts w:ascii="Times New Roman" w:eastAsia="Times New Roman" w:hAnsi="Times New Roman" w:cs="Times New Roman"/>
          <w:sz w:val="24"/>
          <w:szCs w:val="24"/>
          <w:shd w:val="clear" w:color="auto" w:fill="FFFFFF"/>
          <w:lang w:eastAsia="en-GB"/>
        </w:rPr>
      </w:pPr>
    </w:p>
    <w:p w14:paraId="0F9961A1" w14:textId="1951791B" w:rsidR="00993E0F" w:rsidRPr="00700CCA" w:rsidRDefault="00993E0F" w:rsidP="00E139C5">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en-GB"/>
        </w:rPr>
      </w:pPr>
      <w:r w:rsidRPr="00E139C5">
        <w:rPr>
          <w:rFonts w:ascii="Times New Roman" w:eastAsia="Times New Roman" w:hAnsi="Times New Roman" w:cs="Times New Roman"/>
          <w:sz w:val="24"/>
          <w:szCs w:val="24"/>
          <w:shd w:val="clear" w:color="auto" w:fill="FFFFFF"/>
          <w:lang w:eastAsia="en-GB"/>
        </w:rPr>
        <w:t xml:space="preserve">Further suggestions of how it is </w:t>
      </w:r>
      <w:r w:rsidR="00700CCA" w:rsidRPr="00E139C5">
        <w:rPr>
          <w:rFonts w:ascii="Times New Roman" w:eastAsia="Times New Roman" w:hAnsi="Times New Roman" w:cs="Times New Roman"/>
          <w:color w:val="000000"/>
          <w:sz w:val="24"/>
          <w:szCs w:val="24"/>
          <w:shd w:val="clear" w:color="auto" w:fill="FFFFFF"/>
          <w:lang w:eastAsia="en-GB"/>
        </w:rPr>
        <w:t>reliable</w:t>
      </w:r>
      <w:r w:rsidRPr="00E139C5">
        <w:rPr>
          <w:rFonts w:ascii="Times New Roman" w:eastAsia="Times New Roman" w:hAnsi="Times New Roman" w:cs="Times New Roman"/>
          <w:color w:val="000000"/>
          <w:sz w:val="24"/>
          <w:szCs w:val="24"/>
          <w:shd w:val="clear" w:color="auto" w:fill="FFFFFF"/>
          <w:lang w:eastAsia="en-GB"/>
        </w:rPr>
        <w:t xml:space="preserve"> with a global strategy, </w:t>
      </w:r>
      <w:r w:rsidR="007801C8">
        <w:rPr>
          <w:rFonts w:ascii="Times New Roman" w:eastAsia="Times New Roman" w:hAnsi="Times New Roman" w:cs="Times New Roman"/>
          <w:color w:val="000000"/>
          <w:sz w:val="24"/>
          <w:szCs w:val="24"/>
          <w:shd w:val="clear" w:color="auto" w:fill="FFFFFF"/>
          <w:lang w:eastAsia="en-GB"/>
        </w:rPr>
        <w:t xml:space="preserve">overseas </w:t>
      </w:r>
      <w:r w:rsidR="007801C8" w:rsidRPr="00E139C5">
        <w:rPr>
          <w:rFonts w:ascii="Times New Roman" w:eastAsia="Times New Roman" w:hAnsi="Times New Roman" w:cs="Times New Roman"/>
          <w:color w:val="000000"/>
          <w:sz w:val="24"/>
          <w:szCs w:val="24"/>
          <w:shd w:val="clear" w:color="auto" w:fill="FFFFFF"/>
          <w:lang w:eastAsia="en-GB"/>
        </w:rPr>
        <w:t>acquisitions</w:t>
      </w:r>
      <w:r w:rsidRPr="00E139C5">
        <w:rPr>
          <w:rFonts w:ascii="Times New Roman" w:eastAsia="Times New Roman" w:hAnsi="Times New Roman" w:cs="Times New Roman"/>
          <w:color w:val="000000"/>
          <w:sz w:val="24"/>
          <w:szCs w:val="24"/>
          <w:shd w:val="clear" w:color="auto" w:fill="FFFFFF"/>
          <w:lang w:eastAsia="en-GB"/>
        </w:rPr>
        <w:t xml:space="preserve"> increased </w:t>
      </w:r>
      <w:r w:rsidR="007801C8" w:rsidRPr="00E139C5">
        <w:rPr>
          <w:rFonts w:ascii="Times New Roman" w:eastAsia="Times New Roman" w:hAnsi="Times New Roman" w:cs="Times New Roman"/>
          <w:color w:val="000000"/>
          <w:sz w:val="24"/>
          <w:szCs w:val="24"/>
          <w:shd w:val="clear" w:color="auto" w:fill="FFFFFF"/>
          <w:lang w:eastAsia="en-GB"/>
        </w:rPr>
        <w:t>drastically</w:t>
      </w:r>
      <w:r w:rsidRPr="00E139C5">
        <w:rPr>
          <w:rFonts w:ascii="Times New Roman" w:eastAsia="Times New Roman" w:hAnsi="Times New Roman" w:cs="Times New Roman"/>
          <w:color w:val="000000"/>
          <w:sz w:val="24"/>
          <w:szCs w:val="24"/>
          <w:shd w:val="clear" w:color="auto" w:fill="FFFFFF"/>
          <w:lang w:eastAsia="en-GB"/>
        </w:rPr>
        <w:t xml:space="preserve"> and helped </w:t>
      </w:r>
      <w:r w:rsidR="007801C8">
        <w:rPr>
          <w:rFonts w:ascii="Times New Roman" w:eastAsia="Times New Roman" w:hAnsi="Times New Roman" w:cs="Times New Roman"/>
          <w:color w:val="000000"/>
          <w:sz w:val="24"/>
          <w:szCs w:val="24"/>
          <w:shd w:val="clear" w:color="auto" w:fill="FFFFFF"/>
          <w:lang w:eastAsia="en-GB"/>
        </w:rPr>
        <w:t>local</w:t>
      </w:r>
      <w:r w:rsidRPr="00E139C5">
        <w:rPr>
          <w:rFonts w:ascii="Times New Roman" w:eastAsia="Times New Roman" w:hAnsi="Times New Roman" w:cs="Times New Roman"/>
          <w:color w:val="000000"/>
          <w:sz w:val="24"/>
          <w:szCs w:val="24"/>
          <w:shd w:val="clear" w:color="auto" w:fill="FFFFFF"/>
          <w:lang w:eastAsia="en-GB"/>
        </w:rPr>
        <w:t xml:space="preserve"> companies better </w:t>
      </w:r>
      <w:r w:rsidR="007801C8" w:rsidRPr="00E139C5">
        <w:rPr>
          <w:rFonts w:ascii="Times New Roman" w:eastAsia="Times New Roman" w:hAnsi="Times New Roman" w:cs="Times New Roman"/>
          <w:color w:val="000000"/>
          <w:sz w:val="24"/>
          <w:szCs w:val="24"/>
          <w:shd w:val="clear" w:color="auto" w:fill="FFFFFF"/>
          <w:lang w:eastAsia="en-GB"/>
        </w:rPr>
        <w:t>fight</w:t>
      </w:r>
      <w:r w:rsidRPr="00E139C5">
        <w:rPr>
          <w:rFonts w:ascii="Times New Roman" w:eastAsia="Times New Roman" w:hAnsi="Times New Roman" w:cs="Times New Roman"/>
          <w:color w:val="000000"/>
          <w:sz w:val="24"/>
          <w:szCs w:val="24"/>
          <w:shd w:val="clear" w:color="auto" w:fill="FFFFFF"/>
          <w:lang w:eastAsia="en-GB"/>
        </w:rPr>
        <w:t xml:space="preserve"> against international rivals. </w:t>
      </w:r>
      <w:r w:rsidR="007801C8">
        <w:rPr>
          <w:rFonts w:ascii="Times New Roman" w:eastAsia="Times New Roman" w:hAnsi="Times New Roman" w:cs="Times New Roman"/>
          <w:color w:val="000000"/>
          <w:sz w:val="24"/>
          <w:szCs w:val="24"/>
          <w:shd w:val="clear" w:color="auto" w:fill="FFFFFF"/>
          <w:lang w:eastAsia="en-GB"/>
        </w:rPr>
        <w:t>“</w:t>
      </w:r>
      <w:r w:rsidRPr="00E139C5">
        <w:rPr>
          <w:rFonts w:ascii="Times New Roman" w:eastAsia="Times New Roman" w:hAnsi="Times New Roman" w:cs="Times New Roman"/>
          <w:color w:val="000000"/>
          <w:sz w:val="24"/>
          <w:szCs w:val="24"/>
          <w:lang w:eastAsia="en-GB"/>
        </w:rPr>
        <w:t>The acquisition strategy wave coincided with an increased economic globalisation and the technological revolution</w:t>
      </w:r>
      <w:bookmarkStart w:id="6" w:name="_Hlk39286172"/>
      <w:r w:rsidR="007801C8">
        <w:rPr>
          <w:rFonts w:ascii="Times New Roman" w:eastAsia="Times New Roman" w:hAnsi="Times New Roman" w:cs="Times New Roman"/>
          <w:color w:val="000000"/>
          <w:sz w:val="24"/>
          <w:szCs w:val="24"/>
          <w:lang w:eastAsia="en-GB"/>
        </w:rPr>
        <w:t>”</w:t>
      </w:r>
      <w:r w:rsidRPr="00E139C5">
        <w:rPr>
          <w:rFonts w:ascii="Times New Roman" w:hAnsi="Times New Roman" w:cs="Times New Roman"/>
          <w:color w:val="000000"/>
          <w:sz w:val="24"/>
          <w:szCs w:val="24"/>
          <w:shd w:val="clear" w:color="auto" w:fill="FFFFFF"/>
        </w:rPr>
        <w:t>(Martynova and Renneboog </w:t>
      </w:r>
      <w:hyperlink r:id="rId9" w:anchor="acprof-9780199601462-bibItem-72" w:history="1">
        <w:r w:rsidRPr="00E139C5">
          <w:rPr>
            <w:rFonts w:ascii="Times New Roman" w:hAnsi="Times New Roman" w:cs="Times New Roman"/>
            <w:sz w:val="24"/>
            <w:szCs w:val="24"/>
            <w:u w:val="single"/>
            <w:shd w:val="clear" w:color="auto" w:fill="FFFFFF"/>
          </w:rPr>
          <w:t>2008</w:t>
        </w:r>
      </w:hyperlink>
      <w:r w:rsidRPr="00E139C5">
        <w:rPr>
          <w:rFonts w:ascii="Times New Roman" w:hAnsi="Times New Roman" w:cs="Times New Roman"/>
          <w:sz w:val="24"/>
          <w:szCs w:val="24"/>
        </w:rPr>
        <w:t>)</w:t>
      </w:r>
      <w:r w:rsidRPr="00E139C5">
        <w:rPr>
          <w:rFonts w:ascii="Times New Roman" w:eastAsia="Times New Roman" w:hAnsi="Times New Roman" w:cs="Times New Roman"/>
          <w:sz w:val="24"/>
          <w:szCs w:val="24"/>
          <w:shd w:val="clear" w:color="auto" w:fill="FFFFFF"/>
          <w:lang w:eastAsia="en-GB"/>
        </w:rPr>
        <w:t xml:space="preserve"> (p.25) cited by Kolev, K., Haleblian, J., &amp; McNamara, G. (2012-06-07). </w:t>
      </w:r>
    </w:p>
    <w:bookmarkEnd w:id="6"/>
    <w:p w14:paraId="0A430D5F" w14:textId="77777777" w:rsidR="00993E0F" w:rsidRPr="00E139C5" w:rsidRDefault="00993E0F"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sz w:val="24"/>
          <w:szCs w:val="24"/>
        </w:rPr>
        <w:t>The acquisition of Arm limited well known top British designer of  semiconductor chips was Europe’s biggest ever technology deal and to many business and technology insiders was the first time they have heard  of SoftBank , an unknown Japanese telco a heavy weight global investor.</w:t>
      </w:r>
      <w:r w:rsidRPr="00E139C5">
        <w:rPr>
          <w:rFonts w:ascii="Times New Roman" w:hAnsi="Times New Roman" w:cs="Times New Roman"/>
          <w:b/>
          <w:bCs/>
          <w:sz w:val="24"/>
          <w:szCs w:val="24"/>
        </w:rPr>
        <w:t xml:space="preserve"> </w:t>
      </w:r>
    </w:p>
    <w:p w14:paraId="53FA57C1" w14:textId="77777777" w:rsidR="007801C8" w:rsidRDefault="007801C8" w:rsidP="00E139C5">
      <w:pPr>
        <w:spacing w:line="360" w:lineRule="auto"/>
        <w:jc w:val="both"/>
        <w:rPr>
          <w:rFonts w:ascii="Times New Roman" w:hAnsi="Times New Roman" w:cs="Times New Roman"/>
          <w:b/>
          <w:bCs/>
          <w:sz w:val="24"/>
          <w:szCs w:val="24"/>
        </w:rPr>
      </w:pPr>
    </w:p>
    <w:p w14:paraId="5A08C3EB" w14:textId="77777777" w:rsidR="007801C8" w:rsidRDefault="007801C8" w:rsidP="00E139C5">
      <w:pPr>
        <w:spacing w:line="360" w:lineRule="auto"/>
        <w:jc w:val="both"/>
        <w:rPr>
          <w:rFonts w:ascii="Times New Roman" w:hAnsi="Times New Roman" w:cs="Times New Roman"/>
          <w:b/>
          <w:bCs/>
          <w:sz w:val="24"/>
          <w:szCs w:val="24"/>
        </w:rPr>
      </w:pPr>
    </w:p>
    <w:p w14:paraId="4964AB9C" w14:textId="53EBC97F"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b/>
          <w:bCs/>
          <w:sz w:val="24"/>
          <w:szCs w:val="24"/>
        </w:rPr>
        <w:t>S</w:t>
      </w:r>
      <w:r w:rsidRPr="00E139C5">
        <w:rPr>
          <w:rFonts w:ascii="Times New Roman" w:hAnsi="Times New Roman" w:cs="Times New Roman"/>
          <w:sz w:val="24"/>
          <w:szCs w:val="24"/>
        </w:rPr>
        <w:t xml:space="preserve">oftbank foresaw a paradigm shift in </w:t>
      </w:r>
      <w:r w:rsidR="004A675C" w:rsidRPr="00E139C5">
        <w:rPr>
          <w:rFonts w:ascii="Times New Roman" w:hAnsi="Times New Roman" w:cs="Times New Roman"/>
          <w:sz w:val="24"/>
          <w:szCs w:val="24"/>
        </w:rPr>
        <w:t>techn</w:t>
      </w:r>
      <w:r w:rsidR="004A675C">
        <w:rPr>
          <w:rFonts w:ascii="Times New Roman" w:hAnsi="Times New Roman" w:cs="Times New Roman"/>
          <w:sz w:val="24"/>
          <w:szCs w:val="24"/>
        </w:rPr>
        <w:t>o</w:t>
      </w:r>
      <w:r w:rsidR="004A675C" w:rsidRPr="00E139C5">
        <w:rPr>
          <w:rFonts w:ascii="Times New Roman" w:hAnsi="Times New Roman" w:cs="Times New Roman"/>
          <w:sz w:val="24"/>
          <w:szCs w:val="24"/>
        </w:rPr>
        <w:t>logy</w:t>
      </w:r>
      <w:r w:rsidRPr="00E139C5">
        <w:rPr>
          <w:rFonts w:ascii="Times New Roman" w:hAnsi="Times New Roman" w:cs="Times New Roman"/>
          <w:sz w:val="24"/>
          <w:szCs w:val="24"/>
        </w:rPr>
        <w:t xml:space="preserve">, and with the organisations desire to </w:t>
      </w:r>
      <w:r w:rsidR="00BF5670" w:rsidRPr="00E139C5">
        <w:rPr>
          <w:rFonts w:ascii="Times New Roman" w:hAnsi="Times New Roman" w:cs="Times New Roman"/>
          <w:sz w:val="24"/>
          <w:szCs w:val="24"/>
        </w:rPr>
        <w:t>maintain</w:t>
      </w:r>
      <w:r w:rsidRPr="00E139C5">
        <w:rPr>
          <w:rFonts w:ascii="Times New Roman" w:hAnsi="Times New Roman" w:cs="Times New Roman"/>
          <w:sz w:val="24"/>
          <w:szCs w:val="24"/>
        </w:rPr>
        <w:t xml:space="preserve"> its </w:t>
      </w:r>
      <w:r w:rsidR="00BF5670" w:rsidRPr="00E139C5">
        <w:rPr>
          <w:rFonts w:ascii="Times New Roman" w:hAnsi="Times New Roman" w:cs="Times New Roman"/>
          <w:sz w:val="24"/>
          <w:szCs w:val="24"/>
        </w:rPr>
        <w:t>evolution</w:t>
      </w:r>
      <w:r w:rsidRPr="00E139C5">
        <w:rPr>
          <w:rFonts w:ascii="Times New Roman" w:hAnsi="Times New Roman" w:cs="Times New Roman"/>
          <w:sz w:val="24"/>
          <w:szCs w:val="24"/>
        </w:rPr>
        <w:t xml:space="preserve"> by </w:t>
      </w:r>
      <w:r w:rsidR="00BF5670" w:rsidRPr="00E139C5">
        <w:rPr>
          <w:rFonts w:ascii="Times New Roman" w:hAnsi="Times New Roman" w:cs="Times New Roman"/>
          <w:sz w:val="24"/>
          <w:szCs w:val="24"/>
        </w:rPr>
        <w:t>building ahead</w:t>
      </w:r>
      <w:r w:rsidRPr="00E139C5">
        <w:rPr>
          <w:rFonts w:ascii="Times New Roman" w:hAnsi="Times New Roman" w:cs="Times New Roman"/>
          <w:sz w:val="24"/>
          <w:szCs w:val="24"/>
        </w:rPr>
        <w:t xml:space="preserve"> of potential competitors a</w:t>
      </w:r>
      <w:r w:rsidR="00BF5670">
        <w:rPr>
          <w:rFonts w:ascii="Times New Roman" w:hAnsi="Times New Roman" w:cs="Times New Roman"/>
          <w:sz w:val="24"/>
          <w:szCs w:val="24"/>
        </w:rPr>
        <w:t>nd SBG</w:t>
      </w:r>
      <w:r w:rsidRPr="00E139C5">
        <w:rPr>
          <w:rFonts w:ascii="Times New Roman" w:hAnsi="Times New Roman" w:cs="Times New Roman"/>
          <w:sz w:val="24"/>
          <w:szCs w:val="24"/>
        </w:rPr>
        <w:t xml:space="preserve"> will pre-empt the </w:t>
      </w:r>
      <w:r w:rsidR="002E2A87" w:rsidRPr="00E139C5">
        <w:rPr>
          <w:rFonts w:ascii="Times New Roman" w:hAnsi="Times New Roman" w:cs="Times New Roman"/>
          <w:sz w:val="24"/>
          <w:szCs w:val="24"/>
        </w:rPr>
        <w:t>imminent</w:t>
      </w:r>
      <w:r w:rsidRPr="00E139C5">
        <w:rPr>
          <w:rFonts w:ascii="Times New Roman" w:hAnsi="Times New Roman" w:cs="Times New Roman"/>
          <w:sz w:val="24"/>
          <w:szCs w:val="24"/>
        </w:rPr>
        <w:t xml:space="preserve"> era of the internet of things (I</w:t>
      </w:r>
      <w:r w:rsidR="00BF5670">
        <w:rPr>
          <w:rFonts w:ascii="Times New Roman" w:hAnsi="Times New Roman" w:cs="Times New Roman"/>
          <w:sz w:val="24"/>
          <w:szCs w:val="24"/>
        </w:rPr>
        <w:t>o</w:t>
      </w:r>
      <w:r w:rsidRPr="00E139C5">
        <w:rPr>
          <w:rFonts w:ascii="Times New Roman" w:hAnsi="Times New Roman" w:cs="Times New Roman"/>
          <w:sz w:val="24"/>
          <w:szCs w:val="24"/>
        </w:rPr>
        <w:t>T).  SBG firmly believes in singularity and believes that Artificial Intelligence (AI</w:t>
      </w:r>
      <w:r w:rsidR="00BF5670" w:rsidRPr="00E139C5">
        <w:rPr>
          <w:rFonts w:ascii="Times New Roman" w:hAnsi="Times New Roman" w:cs="Times New Roman"/>
          <w:sz w:val="24"/>
          <w:szCs w:val="24"/>
        </w:rPr>
        <w:t>), will</w:t>
      </w:r>
      <w:r w:rsidRPr="00E139C5">
        <w:rPr>
          <w:rFonts w:ascii="Times New Roman" w:hAnsi="Times New Roman" w:cs="Times New Roman"/>
          <w:sz w:val="24"/>
          <w:szCs w:val="24"/>
        </w:rPr>
        <w:t xml:space="preserve"> surpass human intelligence and will occur in this century and in its wake the greatest paradigm in history.  </w:t>
      </w:r>
      <w:r w:rsidR="00BF5670">
        <w:rPr>
          <w:rFonts w:ascii="Times New Roman" w:hAnsi="Times New Roman" w:cs="Times New Roman"/>
          <w:sz w:val="24"/>
          <w:szCs w:val="24"/>
        </w:rPr>
        <w:t>www.softbank.com</w:t>
      </w:r>
      <w:r w:rsidR="008E6FD9">
        <w:rPr>
          <w:rFonts w:ascii="Times New Roman" w:hAnsi="Times New Roman" w:cs="Times New Roman"/>
          <w:sz w:val="24"/>
          <w:szCs w:val="24"/>
        </w:rPr>
        <w:t>,(2020)</w:t>
      </w:r>
    </w:p>
    <w:p w14:paraId="36185F0E" w14:textId="3A2D8F32" w:rsidR="00993E0F" w:rsidRPr="009A583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The first part of the case </w:t>
      </w:r>
      <w:r w:rsidR="00BF5670" w:rsidRPr="00E139C5">
        <w:rPr>
          <w:rFonts w:ascii="Times New Roman" w:hAnsi="Times New Roman" w:cs="Times New Roman"/>
          <w:sz w:val="24"/>
          <w:szCs w:val="24"/>
        </w:rPr>
        <w:t>study will</w:t>
      </w:r>
      <w:r w:rsidRPr="00E139C5">
        <w:rPr>
          <w:rFonts w:ascii="Times New Roman" w:hAnsi="Times New Roman" w:cs="Times New Roman"/>
          <w:sz w:val="24"/>
          <w:szCs w:val="24"/>
        </w:rPr>
        <w:t xml:space="preserve"> look at the background  history of the two organisation</w:t>
      </w:r>
      <w:r w:rsidR="0002487C">
        <w:rPr>
          <w:rFonts w:ascii="Times New Roman" w:hAnsi="Times New Roman" w:cs="Times New Roman"/>
          <w:sz w:val="24"/>
          <w:szCs w:val="24"/>
        </w:rPr>
        <w:t>’</w:t>
      </w:r>
      <w:r w:rsidRPr="00E139C5">
        <w:rPr>
          <w:rFonts w:ascii="Times New Roman" w:hAnsi="Times New Roman" w:cs="Times New Roman"/>
          <w:sz w:val="24"/>
          <w:szCs w:val="24"/>
        </w:rPr>
        <w:t xml:space="preserve">s  ARM </w:t>
      </w:r>
      <w:r w:rsidR="00BF5670">
        <w:rPr>
          <w:rFonts w:ascii="Times New Roman" w:hAnsi="Times New Roman" w:cs="Times New Roman"/>
          <w:sz w:val="24"/>
          <w:szCs w:val="24"/>
        </w:rPr>
        <w:t xml:space="preserve"> </w:t>
      </w:r>
      <w:r w:rsidRPr="00E139C5">
        <w:rPr>
          <w:rFonts w:ascii="Times New Roman" w:hAnsi="Times New Roman" w:cs="Times New Roman"/>
          <w:sz w:val="24"/>
          <w:szCs w:val="24"/>
        </w:rPr>
        <w:t>and Soft</w:t>
      </w:r>
      <w:r w:rsidR="00BF5670">
        <w:rPr>
          <w:rFonts w:ascii="Times New Roman" w:hAnsi="Times New Roman" w:cs="Times New Roman"/>
          <w:sz w:val="24"/>
          <w:szCs w:val="24"/>
        </w:rPr>
        <w:t>Bank</w:t>
      </w:r>
      <w:r w:rsidRPr="00E139C5">
        <w:rPr>
          <w:rFonts w:ascii="Times New Roman" w:hAnsi="Times New Roman" w:cs="Times New Roman"/>
          <w:sz w:val="24"/>
          <w:szCs w:val="24"/>
        </w:rPr>
        <w:t xml:space="preserve"> Group</w:t>
      </w:r>
      <w:r w:rsidR="00BF5670">
        <w:rPr>
          <w:rFonts w:ascii="Times New Roman" w:hAnsi="Times New Roman" w:cs="Times New Roman"/>
          <w:sz w:val="24"/>
          <w:szCs w:val="24"/>
        </w:rPr>
        <w:t xml:space="preserve"> (SBG)</w:t>
      </w:r>
      <w:r w:rsidR="0002487C">
        <w:rPr>
          <w:rFonts w:ascii="Times New Roman" w:hAnsi="Times New Roman" w:cs="Times New Roman"/>
          <w:sz w:val="24"/>
          <w:szCs w:val="24"/>
        </w:rPr>
        <w:t>,</w:t>
      </w:r>
      <w:r w:rsidRPr="00E139C5">
        <w:rPr>
          <w:rFonts w:ascii="Times New Roman" w:hAnsi="Times New Roman" w:cs="Times New Roman"/>
          <w:sz w:val="24"/>
          <w:szCs w:val="24"/>
        </w:rPr>
        <w:t xml:space="preserve">overview of the Technology Industry,  Internal &amp; External environment analysis, Softbank’s </w:t>
      </w:r>
      <w:r w:rsidR="009A5835">
        <w:rPr>
          <w:rFonts w:ascii="Times New Roman" w:hAnsi="Times New Roman" w:cs="Times New Roman"/>
          <w:sz w:val="24"/>
          <w:szCs w:val="24"/>
        </w:rPr>
        <w:t xml:space="preserve">strategic imperatives </w:t>
      </w:r>
      <w:r w:rsidRPr="00E139C5">
        <w:rPr>
          <w:rFonts w:ascii="Times New Roman" w:hAnsi="Times New Roman" w:cs="Times New Roman"/>
          <w:sz w:val="24"/>
          <w:szCs w:val="24"/>
        </w:rPr>
        <w:t>behind the acquisition, followed by the change implications from viewpoints of</w:t>
      </w:r>
      <w:r w:rsidR="009A5835">
        <w:rPr>
          <w:rFonts w:ascii="Times New Roman" w:hAnsi="Times New Roman" w:cs="Times New Roman"/>
          <w:sz w:val="24"/>
          <w:szCs w:val="24"/>
        </w:rPr>
        <w:t xml:space="preserve"> both organisations</w:t>
      </w:r>
      <w:r w:rsidRPr="00E139C5">
        <w:rPr>
          <w:rFonts w:ascii="Times New Roman" w:hAnsi="Times New Roman" w:cs="Times New Roman"/>
          <w:sz w:val="24"/>
          <w:szCs w:val="24"/>
        </w:rPr>
        <w:t xml:space="preserve"> and finally the post-acquisition performance for both organisations.  </w:t>
      </w:r>
    </w:p>
    <w:p w14:paraId="60037EB1" w14:textId="77777777" w:rsidR="00993E0F" w:rsidRPr="00E139C5" w:rsidRDefault="00993E0F" w:rsidP="00E139C5">
      <w:pPr>
        <w:spacing w:line="360" w:lineRule="auto"/>
        <w:jc w:val="both"/>
        <w:rPr>
          <w:rFonts w:ascii="Times New Roman" w:hAnsi="Times New Roman" w:cs="Times New Roman"/>
          <w:b/>
          <w:bCs/>
          <w:sz w:val="24"/>
          <w:szCs w:val="24"/>
        </w:rPr>
      </w:pPr>
    </w:p>
    <w:p w14:paraId="012027A4" w14:textId="77777777" w:rsidR="00993E0F" w:rsidRPr="00E139C5" w:rsidRDefault="00993E0F" w:rsidP="00E139C5">
      <w:pPr>
        <w:spacing w:line="360" w:lineRule="auto"/>
        <w:jc w:val="both"/>
        <w:rPr>
          <w:rFonts w:ascii="Times New Roman" w:hAnsi="Times New Roman" w:cs="Times New Roman"/>
          <w:b/>
          <w:bCs/>
          <w:sz w:val="24"/>
          <w:szCs w:val="24"/>
        </w:rPr>
      </w:pPr>
    </w:p>
    <w:p w14:paraId="499D822A" w14:textId="77777777" w:rsidR="00993E0F" w:rsidRPr="00E139C5" w:rsidRDefault="00993E0F" w:rsidP="00E139C5">
      <w:pPr>
        <w:spacing w:line="360" w:lineRule="auto"/>
        <w:jc w:val="both"/>
        <w:rPr>
          <w:rFonts w:ascii="Times New Roman" w:hAnsi="Times New Roman" w:cs="Times New Roman"/>
          <w:b/>
          <w:bCs/>
          <w:sz w:val="24"/>
          <w:szCs w:val="24"/>
        </w:rPr>
      </w:pPr>
    </w:p>
    <w:p w14:paraId="3A9758F4" w14:textId="77777777" w:rsidR="00993E0F" w:rsidRPr="00E139C5" w:rsidRDefault="00993E0F" w:rsidP="00E139C5">
      <w:pPr>
        <w:spacing w:line="360" w:lineRule="auto"/>
        <w:jc w:val="both"/>
        <w:rPr>
          <w:rFonts w:ascii="Times New Roman" w:hAnsi="Times New Roman" w:cs="Times New Roman"/>
          <w:b/>
          <w:bCs/>
          <w:sz w:val="24"/>
          <w:szCs w:val="24"/>
        </w:rPr>
      </w:pPr>
    </w:p>
    <w:p w14:paraId="5B3C69D2" w14:textId="77777777" w:rsidR="00993E0F" w:rsidRPr="00E139C5" w:rsidRDefault="00993E0F" w:rsidP="00E139C5">
      <w:pPr>
        <w:spacing w:line="360" w:lineRule="auto"/>
        <w:jc w:val="both"/>
        <w:rPr>
          <w:rFonts w:ascii="Times New Roman" w:hAnsi="Times New Roman" w:cs="Times New Roman"/>
          <w:b/>
          <w:bCs/>
          <w:sz w:val="24"/>
          <w:szCs w:val="24"/>
        </w:rPr>
      </w:pPr>
    </w:p>
    <w:p w14:paraId="37B48DAF" w14:textId="77777777" w:rsidR="00993E0F" w:rsidRPr="00E139C5" w:rsidRDefault="00993E0F" w:rsidP="00E139C5">
      <w:pPr>
        <w:spacing w:line="360" w:lineRule="auto"/>
        <w:jc w:val="both"/>
        <w:rPr>
          <w:rFonts w:ascii="Times New Roman" w:hAnsi="Times New Roman" w:cs="Times New Roman"/>
          <w:b/>
          <w:bCs/>
          <w:sz w:val="24"/>
          <w:szCs w:val="24"/>
        </w:rPr>
      </w:pPr>
    </w:p>
    <w:p w14:paraId="24AC37BC" w14:textId="77777777" w:rsidR="00993E0F" w:rsidRPr="00E139C5" w:rsidRDefault="00993E0F" w:rsidP="00E139C5">
      <w:pPr>
        <w:spacing w:line="360" w:lineRule="auto"/>
        <w:jc w:val="both"/>
        <w:rPr>
          <w:rFonts w:ascii="Times New Roman" w:hAnsi="Times New Roman" w:cs="Times New Roman"/>
          <w:b/>
          <w:bCs/>
          <w:sz w:val="24"/>
          <w:szCs w:val="24"/>
        </w:rPr>
      </w:pPr>
    </w:p>
    <w:p w14:paraId="479BA95C" w14:textId="77777777" w:rsidR="0052019D" w:rsidRPr="00E139C5" w:rsidRDefault="0052019D" w:rsidP="00E139C5">
      <w:pPr>
        <w:spacing w:line="360" w:lineRule="auto"/>
        <w:jc w:val="both"/>
        <w:rPr>
          <w:rFonts w:ascii="Times New Roman" w:hAnsi="Times New Roman" w:cs="Times New Roman"/>
          <w:b/>
          <w:bCs/>
          <w:sz w:val="24"/>
          <w:szCs w:val="24"/>
        </w:rPr>
      </w:pPr>
    </w:p>
    <w:p w14:paraId="298B198A" w14:textId="77777777" w:rsidR="00D95A48" w:rsidRPr="00E139C5" w:rsidRDefault="00D95A48" w:rsidP="00E139C5">
      <w:pPr>
        <w:spacing w:line="360" w:lineRule="auto"/>
        <w:jc w:val="both"/>
        <w:rPr>
          <w:rFonts w:ascii="Times New Roman" w:hAnsi="Times New Roman" w:cs="Times New Roman"/>
          <w:b/>
          <w:bCs/>
          <w:sz w:val="24"/>
          <w:szCs w:val="24"/>
        </w:rPr>
      </w:pPr>
    </w:p>
    <w:p w14:paraId="6C4E52A2" w14:textId="77777777" w:rsidR="0005472C" w:rsidRPr="00E139C5" w:rsidRDefault="0005472C" w:rsidP="00E139C5">
      <w:pPr>
        <w:spacing w:line="360" w:lineRule="auto"/>
        <w:jc w:val="both"/>
        <w:rPr>
          <w:rFonts w:ascii="Times New Roman" w:hAnsi="Times New Roman" w:cs="Times New Roman"/>
          <w:b/>
          <w:bCs/>
          <w:sz w:val="24"/>
          <w:szCs w:val="24"/>
        </w:rPr>
      </w:pPr>
    </w:p>
    <w:p w14:paraId="05FEC7F2" w14:textId="77777777" w:rsidR="0005472C" w:rsidRPr="00E139C5" w:rsidRDefault="0005472C" w:rsidP="00E139C5">
      <w:pPr>
        <w:spacing w:line="360" w:lineRule="auto"/>
        <w:jc w:val="both"/>
        <w:rPr>
          <w:rFonts w:ascii="Times New Roman" w:hAnsi="Times New Roman" w:cs="Times New Roman"/>
          <w:b/>
          <w:bCs/>
          <w:sz w:val="24"/>
          <w:szCs w:val="24"/>
        </w:rPr>
      </w:pPr>
    </w:p>
    <w:p w14:paraId="44137B66" w14:textId="77777777" w:rsidR="00D95A48" w:rsidRPr="00E139C5" w:rsidRDefault="00D95A48" w:rsidP="00E139C5">
      <w:pPr>
        <w:spacing w:line="360" w:lineRule="auto"/>
        <w:jc w:val="both"/>
        <w:rPr>
          <w:rFonts w:ascii="Times New Roman" w:hAnsi="Times New Roman" w:cs="Times New Roman"/>
          <w:b/>
          <w:bCs/>
          <w:sz w:val="24"/>
          <w:szCs w:val="24"/>
        </w:rPr>
      </w:pPr>
    </w:p>
    <w:p w14:paraId="70980543" w14:textId="77777777" w:rsidR="00993E0F" w:rsidRPr="00E139C5" w:rsidRDefault="00993E0F" w:rsidP="00E139C5">
      <w:pPr>
        <w:spacing w:line="360" w:lineRule="auto"/>
        <w:jc w:val="both"/>
        <w:rPr>
          <w:rFonts w:ascii="Times New Roman" w:hAnsi="Times New Roman" w:cs="Times New Roman"/>
          <w:b/>
          <w:bCs/>
          <w:sz w:val="24"/>
          <w:szCs w:val="24"/>
        </w:rPr>
      </w:pPr>
    </w:p>
    <w:p w14:paraId="3ABBC43F" w14:textId="77777777" w:rsidR="00993E0F" w:rsidRPr="00E139C5" w:rsidRDefault="00993E0F" w:rsidP="00E139C5">
      <w:pPr>
        <w:spacing w:line="360" w:lineRule="auto"/>
        <w:jc w:val="both"/>
        <w:rPr>
          <w:rFonts w:ascii="Times New Roman" w:hAnsi="Times New Roman" w:cs="Times New Roman"/>
          <w:b/>
          <w:bCs/>
          <w:sz w:val="24"/>
          <w:szCs w:val="24"/>
        </w:rPr>
      </w:pPr>
    </w:p>
    <w:p w14:paraId="383F2FAF" w14:textId="77777777" w:rsidR="00993E0F" w:rsidRPr="00E139C5" w:rsidRDefault="00993E0F" w:rsidP="00E139C5">
      <w:pPr>
        <w:spacing w:line="360" w:lineRule="auto"/>
        <w:jc w:val="both"/>
        <w:rPr>
          <w:rFonts w:ascii="Times New Roman" w:hAnsi="Times New Roman" w:cs="Times New Roman"/>
          <w:b/>
          <w:bCs/>
          <w:sz w:val="24"/>
          <w:szCs w:val="24"/>
        </w:rPr>
      </w:pPr>
    </w:p>
    <w:p w14:paraId="271BCEE9" w14:textId="77777777" w:rsidR="00993E0F" w:rsidRPr="00E139C5" w:rsidRDefault="00993E0F" w:rsidP="00E139C5">
      <w:pPr>
        <w:spacing w:line="360" w:lineRule="auto"/>
        <w:jc w:val="both"/>
        <w:rPr>
          <w:rFonts w:ascii="Times New Roman" w:hAnsi="Times New Roman" w:cs="Times New Roman"/>
          <w:b/>
          <w:bCs/>
          <w:sz w:val="24"/>
          <w:szCs w:val="24"/>
        </w:rPr>
      </w:pPr>
    </w:p>
    <w:p w14:paraId="006559C2" w14:textId="77777777" w:rsidR="00993E0F" w:rsidRPr="00E139C5" w:rsidRDefault="00993E0F" w:rsidP="00E139C5">
      <w:pPr>
        <w:spacing w:line="360" w:lineRule="auto"/>
        <w:jc w:val="both"/>
        <w:rPr>
          <w:rFonts w:ascii="Times New Roman" w:hAnsi="Times New Roman" w:cs="Times New Roman"/>
          <w:b/>
          <w:bCs/>
          <w:sz w:val="24"/>
          <w:szCs w:val="24"/>
        </w:rPr>
      </w:pPr>
    </w:p>
    <w:p w14:paraId="65DDF655" w14:textId="66009B7E" w:rsidR="001B39B1" w:rsidRPr="00E139C5" w:rsidRDefault="00993E0F"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t xml:space="preserve">Company Overview of Softbank Group Corp </w:t>
      </w:r>
      <w:r w:rsidR="001B39B1" w:rsidRPr="00E139C5">
        <w:rPr>
          <w:rFonts w:ascii="Times New Roman" w:hAnsi="Times New Roman" w:cs="Times New Roman"/>
          <w:b/>
          <w:bCs/>
          <w:sz w:val="24"/>
          <w:szCs w:val="24"/>
        </w:rPr>
        <w:t xml:space="preserve">Softbank Group Corp </w:t>
      </w:r>
    </w:p>
    <w:p w14:paraId="67165AEB" w14:textId="4800EB3E" w:rsidR="00993E0F" w:rsidRPr="00E139C5" w:rsidRDefault="00211DC0" w:rsidP="00E139C5">
      <w:pPr>
        <w:spacing w:line="360" w:lineRule="auto"/>
        <w:jc w:val="both"/>
        <w:rPr>
          <w:rFonts w:ascii="Times New Roman" w:hAnsi="Times New Roman" w:cs="Times New Roman"/>
          <w:sz w:val="24"/>
          <w:szCs w:val="24"/>
        </w:rPr>
      </w:pPr>
      <w:r w:rsidRPr="00E139C5">
        <w:rPr>
          <w:rFonts w:ascii="Times New Roman" w:hAnsi="Times New Roman" w:cs="Times New Roman"/>
          <w:noProof/>
          <w:sz w:val="24"/>
          <w:szCs w:val="24"/>
        </w:rPr>
        <w:drawing>
          <wp:inline distT="0" distB="0" distL="0" distR="0" wp14:anchorId="1F0A6F96" wp14:editId="6E679486">
            <wp:extent cx="807085" cy="807085"/>
            <wp:effectExtent l="0" t="0" r="0" b="0"/>
            <wp:docPr id="12" name="Picture 12" descr="Logo of Soft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f SoftBa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7085" cy="807085"/>
                    </a:xfrm>
                    <a:prstGeom prst="rect">
                      <a:avLst/>
                    </a:prstGeom>
                    <a:noFill/>
                    <a:ln>
                      <a:noFill/>
                    </a:ln>
                  </pic:spPr>
                </pic:pic>
              </a:graphicData>
            </a:graphic>
          </wp:inline>
        </w:drawing>
      </w:r>
      <w:r w:rsidR="00EC075C" w:rsidRPr="00E139C5">
        <w:rPr>
          <w:rFonts w:ascii="Times New Roman" w:hAnsi="Times New Roman" w:cs="Times New Roman"/>
          <w:sz w:val="24"/>
          <w:szCs w:val="24"/>
        </w:rPr>
        <w:t>SoftBank Group Corporation</w:t>
      </w:r>
      <w:r w:rsidR="00900C59" w:rsidRPr="00E139C5">
        <w:rPr>
          <w:rFonts w:ascii="Times New Roman" w:hAnsi="Times New Roman" w:cs="Times New Roman"/>
          <w:sz w:val="24"/>
          <w:szCs w:val="24"/>
        </w:rPr>
        <w:t xml:space="preserve"> is</w:t>
      </w:r>
      <w:r w:rsidR="001A3A99">
        <w:rPr>
          <w:rFonts w:ascii="Times New Roman" w:hAnsi="Times New Roman" w:cs="Times New Roman"/>
          <w:sz w:val="24"/>
          <w:szCs w:val="24"/>
        </w:rPr>
        <w:t xml:space="preserve"> owned by Masayoshi Son </w:t>
      </w:r>
      <w:r w:rsidR="001A3A99" w:rsidRPr="00E139C5">
        <w:rPr>
          <w:rFonts w:ascii="Times New Roman" w:hAnsi="Times New Roman" w:cs="Times New Roman"/>
          <w:sz w:val="24"/>
          <w:szCs w:val="24"/>
        </w:rPr>
        <w:t xml:space="preserve">a Japanese </w:t>
      </w:r>
      <w:r w:rsidR="001A3A99">
        <w:rPr>
          <w:rFonts w:ascii="Times New Roman" w:hAnsi="Times New Roman" w:cs="Times New Roman"/>
          <w:sz w:val="24"/>
          <w:szCs w:val="24"/>
        </w:rPr>
        <w:t xml:space="preserve">tech entrepreneur who is chairman and CEO of SoftBank Group Corp. (SBG). </w:t>
      </w:r>
      <w:r w:rsidR="005A385E">
        <w:rPr>
          <w:rFonts w:ascii="Times New Roman" w:hAnsi="Times New Roman" w:cs="Times New Roman"/>
          <w:sz w:val="24"/>
          <w:szCs w:val="24"/>
        </w:rPr>
        <w:t xml:space="preserve">It is </w:t>
      </w:r>
      <w:r w:rsidR="001A3A99">
        <w:rPr>
          <w:rFonts w:ascii="Times New Roman" w:hAnsi="Times New Roman" w:cs="Times New Roman"/>
          <w:sz w:val="24"/>
          <w:szCs w:val="24"/>
        </w:rPr>
        <w:t xml:space="preserve"> strategic holding company tha</w:t>
      </w:r>
      <w:r w:rsidR="004A675C">
        <w:rPr>
          <w:rFonts w:ascii="Times New Roman" w:hAnsi="Times New Roman" w:cs="Times New Roman"/>
          <w:sz w:val="24"/>
          <w:szCs w:val="24"/>
        </w:rPr>
        <w:t xml:space="preserve">t </w:t>
      </w:r>
      <w:r w:rsidR="001A3A99">
        <w:rPr>
          <w:rFonts w:ascii="Times New Roman" w:hAnsi="Times New Roman" w:cs="Times New Roman"/>
          <w:sz w:val="24"/>
          <w:szCs w:val="24"/>
        </w:rPr>
        <w:t xml:space="preserve">invests in AI and other transformative technologies for the betterment of humanity. SBG invests in </w:t>
      </w:r>
      <w:r w:rsidR="005A385E">
        <w:rPr>
          <w:rFonts w:ascii="Times New Roman" w:hAnsi="Times New Roman" w:cs="Times New Roman"/>
          <w:sz w:val="24"/>
          <w:szCs w:val="24"/>
        </w:rPr>
        <w:t>a</w:t>
      </w:r>
      <w:r w:rsidR="001A3A99">
        <w:rPr>
          <w:rFonts w:ascii="Times New Roman" w:hAnsi="Times New Roman" w:cs="Times New Roman"/>
          <w:sz w:val="24"/>
          <w:szCs w:val="24"/>
        </w:rPr>
        <w:t xml:space="preserve"> partner with innovators that are building a more connected, efficient and joyful world. </w:t>
      </w:r>
      <w:r w:rsidR="005A385E">
        <w:rPr>
          <w:rFonts w:ascii="Times New Roman" w:hAnsi="Times New Roman" w:cs="Times New Roman"/>
          <w:sz w:val="24"/>
          <w:szCs w:val="24"/>
        </w:rPr>
        <w:t xml:space="preserve">With its Vision Fund of $100 billion the conglomerate and the world largest technology investor, has a </w:t>
      </w:r>
      <w:r w:rsidR="00900C59" w:rsidRPr="00E139C5">
        <w:rPr>
          <w:rFonts w:ascii="Times New Roman" w:hAnsi="Times New Roman" w:cs="Times New Roman"/>
          <w:sz w:val="24"/>
          <w:szCs w:val="24"/>
        </w:rPr>
        <w:t xml:space="preserve">range of investment portfolios in internet-related companies which fit its strategic strong growth </w:t>
      </w:r>
      <w:r w:rsidR="005A385E" w:rsidRPr="00E139C5">
        <w:rPr>
          <w:rFonts w:ascii="Times New Roman" w:hAnsi="Times New Roman" w:cs="Times New Roman"/>
          <w:sz w:val="24"/>
          <w:szCs w:val="24"/>
        </w:rPr>
        <w:t>potential.</w:t>
      </w:r>
      <w:r w:rsidR="005A385E">
        <w:rPr>
          <w:rFonts w:ascii="Times New Roman" w:hAnsi="Times New Roman" w:cs="Times New Roman"/>
          <w:sz w:val="24"/>
          <w:szCs w:val="24"/>
        </w:rPr>
        <w:t xml:space="preserve"> (see figure 1).</w:t>
      </w:r>
    </w:p>
    <w:p w14:paraId="087C1BAD" w14:textId="77777777" w:rsidR="00993E0F" w:rsidRPr="00E139C5" w:rsidRDefault="00993E0F"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t xml:space="preserve">Softbank Business Model </w:t>
      </w:r>
    </w:p>
    <w:p w14:paraId="1C3E72EC" w14:textId="2F01747D"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The company operates two business </w:t>
      </w:r>
      <w:r w:rsidR="00BC59C1" w:rsidRPr="00E139C5">
        <w:rPr>
          <w:rFonts w:ascii="Times New Roman" w:hAnsi="Times New Roman" w:cs="Times New Roman"/>
          <w:sz w:val="24"/>
          <w:szCs w:val="24"/>
        </w:rPr>
        <w:t>models:</w:t>
      </w:r>
    </w:p>
    <w:p w14:paraId="22CB8E9E" w14:textId="060CBA3E" w:rsidR="00993E0F" w:rsidRPr="00E139C5" w:rsidRDefault="00993E0F" w:rsidP="00E139C5">
      <w:pPr>
        <w:numPr>
          <w:ilvl w:val="0"/>
          <w:numId w:val="22"/>
        </w:numPr>
        <w:spacing w:after="200" w:line="360" w:lineRule="auto"/>
        <w:contextualSpacing/>
        <w:jc w:val="both"/>
        <w:rPr>
          <w:rFonts w:ascii="Times New Roman" w:eastAsiaTheme="minorEastAsia" w:hAnsi="Times New Roman" w:cs="Times New Roman"/>
          <w:b/>
          <w:bCs/>
          <w:sz w:val="24"/>
          <w:szCs w:val="24"/>
          <w:lang w:eastAsia="tr-TR"/>
        </w:rPr>
      </w:pPr>
      <w:r w:rsidRPr="00E139C5">
        <w:rPr>
          <w:rFonts w:ascii="Times New Roman" w:eastAsiaTheme="minorEastAsia" w:hAnsi="Times New Roman" w:cs="Times New Roman"/>
          <w:b/>
          <w:bCs/>
          <w:sz w:val="24"/>
          <w:szCs w:val="24"/>
          <w:lang w:eastAsia="tr-TR"/>
        </w:rPr>
        <w:t xml:space="preserve">Operating Assets </w:t>
      </w:r>
      <w:r w:rsidR="00BC59C1" w:rsidRPr="00E139C5">
        <w:rPr>
          <w:rFonts w:ascii="Times New Roman" w:eastAsiaTheme="minorEastAsia" w:hAnsi="Times New Roman" w:cs="Times New Roman"/>
          <w:b/>
          <w:bCs/>
          <w:sz w:val="24"/>
          <w:szCs w:val="24"/>
          <w:lang w:eastAsia="tr-TR"/>
        </w:rPr>
        <w:t>(chairman</w:t>
      </w:r>
      <w:r w:rsidRPr="00E139C5">
        <w:rPr>
          <w:rFonts w:ascii="Times New Roman" w:eastAsiaTheme="minorEastAsia" w:hAnsi="Times New Roman" w:cs="Times New Roman"/>
          <w:sz w:val="24"/>
          <w:szCs w:val="24"/>
          <w:lang w:eastAsia="tr-TR"/>
        </w:rPr>
        <w:t xml:space="preserve"> and support those companies’ operations)</w:t>
      </w:r>
      <w:r w:rsidRPr="00E139C5">
        <w:rPr>
          <w:rFonts w:ascii="Times New Roman" w:eastAsiaTheme="minorEastAsia" w:hAnsi="Times New Roman" w:cs="Times New Roman"/>
          <w:b/>
          <w:bCs/>
          <w:sz w:val="24"/>
          <w:szCs w:val="24"/>
          <w:lang w:eastAsia="tr-TR"/>
        </w:rPr>
        <w:t xml:space="preserve"> </w:t>
      </w:r>
    </w:p>
    <w:p w14:paraId="70A91233" w14:textId="1ED7F7A0" w:rsidR="005A385E" w:rsidRDefault="00993E0F" w:rsidP="00E139C5">
      <w:pPr>
        <w:numPr>
          <w:ilvl w:val="0"/>
          <w:numId w:val="22"/>
        </w:numPr>
        <w:spacing w:after="200" w:line="360" w:lineRule="auto"/>
        <w:contextualSpacing/>
        <w:jc w:val="both"/>
        <w:rPr>
          <w:rFonts w:ascii="Times New Roman" w:eastAsiaTheme="minorEastAsia" w:hAnsi="Times New Roman" w:cs="Times New Roman"/>
          <w:sz w:val="24"/>
          <w:szCs w:val="24"/>
          <w:lang w:eastAsia="tr-TR"/>
        </w:rPr>
      </w:pPr>
      <w:r w:rsidRPr="00E139C5">
        <w:rPr>
          <w:rFonts w:ascii="Times New Roman" w:eastAsiaTheme="minorEastAsia" w:hAnsi="Times New Roman" w:cs="Times New Roman"/>
          <w:b/>
          <w:bCs/>
          <w:sz w:val="24"/>
          <w:szCs w:val="24"/>
          <w:lang w:eastAsia="tr-TR"/>
        </w:rPr>
        <w:t>Investment Assets</w:t>
      </w:r>
      <w:r w:rsidRPr="00E139C5">
        <w:rPr>
          <w:rFonts w:ascii="Times New Roman" w:eastAsiaTheme="minorEastAsia" w:hAnsi="Times New Roman" w:cs="Times New Roman"/>
          <w:sz w:val="24"/>
          <w:szCs w:val="24"/>
          <w:lang w:eastAsia="tr-TR"/>
        </w:rPr>
        <w:t xml:space="preserve"> </w:t>
      </w:r>
      <w:r w:rsidR="005A385E" w:rsidRPr="00E139C5">
        <w:rPr>
          <w:rFonts w:ascii="Times New Roman" w:eastAsiaTheme="minorEastAsia" w:hAnsi="Times New Roman" w:cs="Times New Roman"/>
          <w:sz w:val="24"/>
          <w:szCs w:val="24"/>
          <w:lang w:eastAsia="tr-TR"/>
        </w:rPr>
        <w:t>(</w:t>
      </w:r>
      <w:r w:rsidR="005A385E">
        <w:rPr>
          <w:rFonts w:ascii="Times New Roman" w:eastAsiaTheme="minorEastAsia" w:hAnsi="Times New Roman" w:cs="Times New Roman"/>
          <w:sz w:val="24"/>
          <w:szCs w:val="24"/>
          <w:lang w:eastAsia="tr-TR"/>
        </w:rPr>
        <w:t xml:space="preserve">SBG), </w:t>
      </w:r>
      <w:r w:rsidRPr="00E139C5">
        <w:rPr>
          <w:rFonts w:ascii="Times New Roman" w:eastAsiaTheme="minorEastAsia" w:hAnsi="Times New Roman" w:cs="Times New Roman"/>
          <w:sz w:val="24"/>
          <w:szCs w:val="24"/>
          <w:lang w:eastAsia="tr-TR"/>
        </w:rPr>
        <w:t>does</w:t>
      </w:r>
      <w:r w:rsidR="005A385E">
        <w:rPr>
          <w:rFonts w:ascii="Times New Roman" w:eastAsiaTheme="minorEastAsia" w:hAnsi="Times New Roman" w:cs="Times New Roman"/>
          <w:sz w:val="24"/>
          <w:szCs w:val="24"/>
          <w:lang w:eastAsia="tr-TR"/>
        </w:rPr>
        <w:t xml:space="preserve"> not</w:t>
      </w:r>
      <w:r w:rsidRPr="00E139C5">
        <w:rPr>
          <w:rFonts w:ascii="Times New Roman" w:eastAsiaTheme="minorEastAsia" w:hAnsi="Times New Roman" w:cs="Times New Roman"/>
          <w:sz w:val="24"/>
          <w:szCs w:val="24"/>
          <w:lang w:eastAsia="tr-TR"/>
        </w:rPr>
        <w:t xml:space="preserve"> own control but the largest shareholders and</w:t>
      </w:r>
    </w:p>
    <w:p w14:paraId="581AF640" w14:textId="5C3CCCD2" w:rsidR="00993E0F" w:rsidRPr="00E139C5" w:rsidRDefault="00993E0F" w:rsidP="00E139C5">
      <w:pPr>
        <w:numPr>
          <w:ilvl w:val="0"/>
          <w:numId w:val="22"/>
        </w:numPr>
        <w:spacing w:after="200" w:line="360" w:lineRule="auto"/>
        <w:contextualSpacing/>
        <w:jc w:val="both"/>
        <w:rPr>
          <w:rFonts w:ascii="Times New Roman" w:eastAsiaTheme="minorEastAsia" w:hAnsi="Times New Roman" w:cs="Times New Roman"/>
          <w:sz w:val="24"/>
          <w:szCs w:val="24"/>
          <w:lang w:eastAsia="tr-TR"/>
        </w:rPr>
      </w:pPr>
      <w:r w:rsidRPr="00E139C5">
        <w:rPr>
          <w:rFonts w:ascii="Times New Roman" w:eastAsiaTheme="minorEastAsia" w:hAnsi="Times New Roman" w:cs="Times New Roman"/>
          <w:sz w:val="24"/>
          <w:szCs w:val="24"/>
          <w:lang w:eastAsia="tr-TR"/>
        </w:rPr>
        <w:t xml:space="preserve">involved in long-term </w:t>
      </w:r>
      <w:r w:rsidR="005A385E" w:rsidRPr="00E139C5">
        <w:rPr>
          <w:rFonts w:ascii="Times New Roman" w:eastAsiaTheme="minorEastAsia" w:hAnsi="Times New Roman" w:cs="Times New Roman"/>
          <w:sz w:val="24"/>
          <w:szCs w:val="24"/>
          <w:lang w:eastAsia="tr-TR"/>
        </w:rPr>
        <w:t>strategy refer</w:t>
      </w:r>
      <w:r w:rsidRPr="00E139C5">
        <w:rPr>
          <w:rFonts w:ascii="Times New Roman" w:eastAsiaTheme="minorEastAsia" w:hAnsi="Times New Roman" w:cs="Times New Roman"/>
          <w:sz w:val="24"/>
          <w:szCs w:val="24"/>
          <w:lang w:eastAsia="tr-TR"/>
        </w:rPr>
        <w:t xml:space="preserve"> to appendices for business segments in the group.</w:t>
      </w:r>
    </w:p>
    <w:p w14:paraId="551EB169" w14:textId="0B21750E" w:rsidR="00884366" w:rsidRPr="00E139C5" w:rsidRDefault="00AD065D" w:rsidP="00E139C5">
      <w:pPr>
        <w:spacing w:after="200" w:line="360" w:lineRule="auto"/>
        <w:contextualSpacing/>
        <w:jc w:val="both"/>
        <w:rPr>
          <w:rFonts w:ascii="Times New Roman" w:eastAsiaTheme="minorEastAsia" w:hAnsi="Times New Roman" w:cs="Times New Roman"/>
          <w:sz w:val="24"/>
          <w:szCs w:val="24"/>
          <w:lang w:eastAsia="tr-TR"/>
        </w:rPr>
      </w:pPr>
      <w:r w:rsidRPr="00E139C5">
        <w:rPr>
          <w:rFonts w:ascii="Times New Roman" w:hAnsi="Times New Roman" w:cs="Times New Roman"/>
          <w:sz w:val="24"/>
          <w:szCs w:val="24"/>
        </w:rPr>
        <w:t>.</w:t>
      </w:r>
    </w:p>
    <w:p w14:paraId="328E43BB" w14:textId="3C3C5004" w:rsidR="00334D54" w:rsidRPr="00E139C5" w:rsidRDefault="008312D5" w:rsidP="00E139C5">
      <w:pPr>
        <w:spacing w:line="360" w:lineRule="auto"/>
        <w:jc w:val="both"/>
        <w:rPr>
          <w:rFonts w:ascii="Times New Roman" w:hAnsi="Times New Roman" w:cs="Times New Roman"/>
          <w:sz w:val="24"/>
          <w:szCs w:val="24"/>
        </w:rPr>
      </w:pPr>
      <w:r w:rsidRPr="00E139C5">
        <w:rPr>
          <w:rFonts w:ascii="Times New Roman" w:hAnsi="Times New Roman" w:cs="Times New Roman"/>
          <w:noProof/>
          <w:sz w:val="24"/>
          <w:szCs w:val="24"/>
        </w:rPr>
        <w:drawing>
          <wp:inline distT="0" distB="0" distL="0" distR="0" wp14:anchorId="70D66B9D" wp14:editId="63A8AFAD">
            <wp:extent cx="5635746" cy="1963711"/>
            <wp:effectExtent l="0" t="0" r="3175" b="0"/>
            <wp:docPr id="17" name="Picture 17" descr="SoftBank: An overstretched telco or a unique innovator? - STL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ftBank: An overstretched telco or a unique innovator? - STL Partn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8153" cy="1975003"/>
                    </a:xfrm>
                    <a:prstGeom prst="rect">
                      <a:avLst/>
                    </a:prstGeom>
                    <a:noFill/>
                    <a:ln>
                      <a:noFill/>
                    </a:ln>
                  </pic:spPr>
                </pic:pic>
              </a:graphicData>
            </a:graphic>
          </wp:inline>
        </w:drawing>
      </w:r>
    </w:p>
    <w:p w14:paraId="030083BA" w14:textId="40800A8C" w:rsidR="009530B3" w:rsidRPr="00E139C5" w:rsidRDefault="00AD065D"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t>Fig</w:t>
      </w:r>
      <w:r w:rsidR="005A385E">
        <w:rPr>
          <w:rFonts w:ascii="Times New Roman" w:hAnsi="Times New Roman" w:cs="Times New Roman"/>
          <w:b/>
          <w:bCs/>
          <w:sz w:val="24"/>
          <w:szCs w:val="24"/>
        </w:rPr>
        <w:t xml:space="preserve">.1 </w:t>
      </w:r>
      <w:r w:rsidR="009530B3" w:rsidRPr="00E139C5">
        <w:rPr>
          <w:rFonts w:ascii="Times New Roman" w:hAnsi="Times New Roman" w:cs="Times New Roman"/>
          <w:b/>
          <w:bCs/>
          <w:sz w:val="24"/>
          <w:szCs w:val="24"/>
        </w:rPr>
        <w:t xml:space="preserve"> </w:t>
      </w:r>
      <w:r w:rsidR="00FB4060" w:rsidRPr="00E139C5">
        <w:rPr>
          <w:rFonts w:ascii="Times New Roman" w:hAnsi="Times New Roman" w:cs="Times New Roman"/>
          <w:sz w:val="24"/>
          <w:szCs w:val="24"/>
        </w:rPr>
        <w:t xml:space="preserve">      </w:t>
      </w:r>
      <w:r w:rsidR="005A385E">
        <w:rPr>
          <w:rFonts w:ascii="Times New Roman" w:hAnsi="Times New Roman" w:cs="Times New Roman"/>
          <w:sz w:val="24"/>
          <w:szCs w:val="24"/>
        </w:rPr>
        <w:t xml:space="preserve">SoftBank </w:t>
      </w:r>
      <w:r w:rsidR="005A385E" w:rsidRPr="00E139C5">
        <w:rPr>
          <w:rFonts w:ascii="Times New Roman" w:hAnsi="Times New Roman" w:cs="Times New Roman"/>
          <w:sz w:val="24"/>
          <w:szCs w:val="24"/>
        </w:rPr>
        <w:t>diverse</w:t>
      </w:r>
      <w:r w:rsidR="005A385E">
        <w:rPr>
          <w:rFonts w:ascii="Times New Roman" w:hAnsi="Times New Roman" w:cs="Times New Roman"/>
          <w:sz w:val="24"/>
          <w:szCs w:val="24"/>
        </w:rPr>
        <w:t xml:space="preserve"> investment portfolio and evolution  </w:t>
      </w:r>
      <w:r w:rsidR="00FB4060" w:rsidRPr="00E139C5">
        <w:rPr>
          <w:rFonts w:ascii="Times New Roman" w:hAnsi="Times New Roman" w:cs="Times New Roman"/>
          <w:sz w:val="24"/>
          <w:szCs w:val="24"/>
        </w:rPr>
        <w:t xml:space="preserve">         </w:t>
      </w:r>
      <w:r w:rsidR="005A385E">
        <w:rPr>
          <w:rFonts w:ascii="Times New Roman" w:hAnsi="Times New Roman" w:cs="Times New Roman"/>
          <w:sz w:val="24"/>
          <w:szCs w:val="24"/>
        </w:rPr>
        <w:t>Source: www.softbank.com</w:t>
      </w:r>
    </w:p>
    <w:p w14:paraId="71B30963" w14:textId="77777777" w:rsidR="005A385E" w:rsidRDefault="005A385E" w:rsidP="00E139C5">
      <w:pPr>
        <w:spacing w:line="360" w:lineRule="auto"/>
        <w:jc w:val="both"/>
        <w:rPr>
          <w:rFonts w:ascii="Times New Roman" w:hAnsi="Times New Roman" w:cs="Times New Roman"/>
          <w:b/>
          <w:bCs/>
          <w:sz w:val="24"/>
          <w:szCs w:val="24"/>
        </w:rPr>
      </w:pPr>
    </w:p>
    <w:p w14:paraId="7178FDE1" w14:textId="77777777" w:rsidR="003E6B45" w:rsidRDefault="003E6B45" w:rsidP="00E139C5">
      <w:pPr>
        <w:spacing w:line="360" w:lineRule="auto"/>
        <w:jc w:val="both"/>
        <w:rPr>
          <w:rFonts w:ascii="Times New Roman" w:hAnsi="Times New Roman" w:cs="Times New Roman"/>
          <w:b/>
          <w:bCs/>
          <w:sz w:val="24"/>
          <w:szCs w:val="24"/>
        </w:rPr>
      </w:pPr>
    </w:p>
    <w:p w14:paraId="7CB9A92C" w14:textId="77777777" w:rsidR="007712C0" w:rsidRDefault="007712C0" w:rsidP="00E139C5">
      <w:pPr>
        <w:spacing w:line="360" w:lineRule="auto"/>
        <w:jc w:val="both"/>
        <w:rPr>
          <w:rFonts w:ascii="Times New Roman" w:hAnsi="Times New Roman" w:cs="Times New Roman"/>
          <w:b/>
          <w:bCs/>
          <w:sz w:val="24"/>
          <w:szCs w:val="24"/>
        </w:rPr>
      </w:pPr>
    </w:p>
    <w:p w14:paraId="3F1F6124" w14:textId="0229128F" w:rsidR="00993E0F" w:rsidRPr="00E139C5" w:rsidRDefault="00993E0F"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lastRenderedPageBreak/>
        <w:t xml:space="preserve">Company </w:t>
      </w:r>
      <w:r w:rsidR="003E6B45" w:rsidRPr="00E139C5">
        <w:rPr>
          <w:rFonts w:ascii="Times New Roman" w:hAnsi="Times New Roman" w:cs="Times New Roman"/>
          <w:b/>
          <w:bCs/>
          <w:sz w:val="24"/>
          <w:szCs w:val="24"/>
        </w:rPr>
        <w:t>Overview:</w:t>
      </w:r>
      <w:r w:rsidRPr="00E139C5">
        <w:rPr>
          <w:rFonts w:ascii="Times New Roman" w:hAnsi="Times New Roman" w:cs="Times New Roman"/>
          <w:b/>
          <w:bCs/>
          <w:sz w:val="24"/>
          <w:szCs w:val="24"/>
        </w:rPr>
        <w:t xml:space="preserve">  ARM</w:t>
      </w:r>
    </w:p>
    <w:p w14:paraId="0D5C9962" w14:textId="09D999B8" w:rsidR="009E5B81" w:rsidRDefault="00211DC0" w:rsidP="00E139C5">
      <w:pPr>
        <w:spacing w:line="360" w:lineRule="auto"/>
        <w:jc w:val="both"/>
        <w:rPr>
          <w:rFonts w:ascii="Times New Roman" w:hAnsi="Times New Roman" w:cs="Times New Roman"/>
          <w:sz w:val="24"/>
          <w:szCs w:val="24"/>
        </w:rPr>
      </w:pPr>
      <w:r w:rsidRPr="00E139C5">
        <w:rPr>
          <w:rFonts w:ascii="Times New Roman" w:hAnsi="Times New Roman" w:cs="Times New Roman"/>
          <w:noProof/>
          <w:sz w:val="24"/>
          <w:szCs w:val="24"/>
        </w:rPr>
        <w:drawing>
          <wp:inline distT="0" distB="0" distL="0" distR="0" wp14:anchorId="29D55F9D" wp14:editId="79C1DC74">
            <wp:extent cx="807085" cy="807085"/>
            <wp:effectExtent l="0" t="0" r="0" b="0"/>
            <wp:docPr id="3" name="Picture 3" descr="Logo of Arm Ho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of Arm Holding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7085" cy="807085"/>
                    </a:xfrm>
                    <a:prstGeom prst="rect">
                      <a:avLst/>
                    </a:prstGeom>
                    <a:noFill/>
                    <a:ln>
                      <a:noFill/>
                    </a:ln>
                  </pic:spPr>
                </pic:pic>
              </a:graphicData>
            </a:graphic>
          </wp:inline>
        </w:drawing>
      </w:r>
      <w:r w:rsidR="006F156A" w:rsidRPr="00E139C5">
        <w:rPr>
          <w:rFonts w:ascii="Times New Roman" w:hAnsi="Times New Roman" w:cs="Times New Roman"/>
          <w:sz w:val="24"/>
          <w:szCs w:val="24"/>
        </w:rPr>
        <w:t>Arm</w:t>
      </w:r>
      <w:r w:rsidR="005A52C8" w:rsidRPr="00E139C5">
        <w:rPr>
          <w:rFonts w:ascii="Times New Roman" w:hAnsi="Times New Roman" w:cs="Times New Roman"/>
          <w:sz w:val="24"/>
          <w:szCs w:val="24"/>
        </w:rPr>
        <w:t xml:space="preserve"> </w:t>
      </w:r>
      <w:r w:rsidR="00172A89" w:rsidRPr="00E139C5">
        <w:rPr>
          <w:rFonts w:ascii="Times New Roman" w:hAnsi="Times New Roman" w:cs="Times New Roman"/>
          <w:sz w:val="24"/>
          <w:szCs w:val="24"/>
        </w:rPr>
        <w:t>created in 1990 was a joint venture between Acorn Computer, Apple and a semiconductor manufacture VLSI Technology. The past 26 years ha</w:t>
      </w:r>
      <w:r w:rsidR="0002487C">
        <w:rPr>
          <w:rFonts w:ascii="Times New Roman" w:hAnsi="Times New Roman" w:cs="Times New Roman"/>
          <w:sz w:val="24"/>
          <w:szCs w:val="24"/>
        </w:rPr>
        <w:t xml:space="preserve">ve </w:t>
      </w:r>
      <w:r w:rsidR="00172A89" w:rsidRPr="00E139C5">
        <w:rPr>
          <w:rFonts w:ascii="Times New Roman" w:hAnsi="Times New Roman" w:cs="Times New Roman"/>
          <w:sz w:val="24"/>
          <w:szCs w:val="24"/>
        </w:rPr>
        <w:t>seen A</w:t>
      </w:r>
      <w:r w:rsidR="0002487C">
        <w:rPr>
          <w:rFonts w:ascii="Times New Roman" w:hAnsi="Times New Roman" w:cs="Times New Roman"/>
          <w:sz w:val="24"/>
          <w:szCs w:val="24"/>
        </w:rPr>
        <w:t>rm</w:t>
      </w:r>
      <w:r w:rsidR="00172A89" w:rsidRPr="00E139C5">
        <w:rPr>
          <w:rFonts w:ascii="Times New Roman" w:hAnsi="Times New Roman" w:cs="Times New Roman"/>
          <w:sz w:val="24"/>
          <w:szCs w:val="24"/>
        </w:rPr>
        <w:t xml:space="preserve"> turn int a </w:t>
      </w:r>
      <w:r w:rsidR="00FA11ED" w:rsidRPr="00E139C5">
        <w:rPr>
          <w:rFonts w:ascii="Times New Roman" w:hAnsi="Times New Roman" w:cs="Times New Roman"/>
          <w:sz w:val="24"/>
          <w:szCs w:val="24"/>
        </w:rPr>
        <w:t>billion-dollar</w:t>
      </w:r>
      <w:r w:rsidR="00172A89" w:rsidRPr="00E139C5">
        <w:rPr>
          <w:rFonts w:ascii="Times New Roman" w:hAnsi="Times New Roman" w:cs="Times New Roman"/>
          <w:sz w:val="24"/>
          <w:szCs w:val="24"/>
        </w:rPr>
        <w:t xml:space="preserve"> company on the forefront of semiconductor industry worldwide. </w:t>
      </w:r>
      <w:r w:rsidR="00884366" w:rsidRPr="00E139C5">
        <w:rPr>
          <w:rFonts w:ascii="Times New Roman" w:hAnsi="Times New Roman" w:cs="Times New Roman"/>
          <w:sz w:val="24"/>
          <w:szCs w:val="24"/>
        </w:rPr>
        <w:t xml:space="preserve"> Refer to the </w:t>
      </w:r>
      <w:r w:rsidR="00BC59C1" w:rsidRPr="00E139C5">
        <w:rPr>
          <w:rFonts w:ascii="Times New Roman" w:hAnsi="Times New Roman" w:cs="Times New Roman"/>
          <w:sz w:val="24"/>
          <w:szCs w:val="24"/>
        </w:rPr>
        <w:t>Appendix.</w:t>
      </w:r>
      <w:r w:rsidR="008312D5" w:rsidRPr="00E139C5">
        <w:rPr>
          <w:rFonts w:ascii="Times New Roman" w:hAnsi="Times New Roman" w:cs="Times New Roman"/>
          <w:b/>
          <w:bCs/>
          <w:sz w:val="24"/>
          <w:szCs w:val="24"/>
        </w:rPr>
        <w:t xml:space="preserve"> </w:t>
      </w:r>
      <w:r w:rsidR="00172A89" w:rsidRPr="00E139C5">
        <w:rPr>
          <w:rFonts w:ascii="Times New Roman" w:hAnsi="Times New Roman" w:cs="Times New Roman"/>
          <w:sz w:val="24"/>
          <w:szCs w:val="24"/>
        </w:rPr>
        <w:t>It should be noted that Arm does not manufacture semiconductors but designs and earns revenue by licencing the chips for a fee and earning royalty on each chip sold</w:t>
      </w:r>
      <w:r w:rsidR="00AD065D" w:rsidRPr="00E139C5">
        <w:rPr>
          <w:rFonts w:ascii="Times New Roman" w:hAnsi="Times New Roman" w:cs="Times New Roman"/>
          <w:sz w:val="24"/>
          <w:szCs w:val="24"/>
        </w:rPr>
        <w:t xml:space="preserve"> this makes the company unique and very efficient. </w:t>
      </w:r>
      <w:r w:rsidR="00172A89" w:rsidRPr="00E139C5">
        <w:rPr>
          <w:rFonts w:ascii="Times New Roman" w:hAnsi="Times New Roman" w:cs="Times New Roman"/>
          <w:sz w:val="24"/>
          <w:szCs w:val="24"/>
        </w:rPr>
        <w:t xml:space="preserve">Over the years </w:t>
      </w:r>
      <w:r w:rsidR="009E5B81">
        <w:rPr>
          <w:rFonts w:ascii="Times New Roman" w:hAnsi="Times New Roman" w:cs="Times New Roman"/>
          <w:sz w:val="24"/>
          <w:szCs w:val="24"/>
        </w:rPr>
        <w:t>there is an increase in Arm</w:t>
      </w:r>
      <w:r w:rsidR="0002487C">
        <w:rPr>
          <w:rFonts w:ascii="Times New Roman" w:hAnsi="Times New Roman" w:cs="Times New Roman"/>
          <w:sz w:val="24"/>
          <w:szCs w:val="24"/>
        </w:rPr>
        <w:t xml:space="preserve">- </w:t>
      </w:r>
      <w:r w:rsidR="009E5B81">
        <w:rPr>
          <w:rFonts w:ascii="Times New Roman" w:hAnsi="Times New Roman" w:cs="Times New Roman"/>
          <w:sz w:val="24"/>
          <w:szCs w:val="24"/>
        </w:rPr>
        <w:t>based processors chips across the world and estimated to reach 1trillion by 2030. (refer to Figure 2)</w:t>
      </w:r>
    </w:p>
    <w:p w14:paraId="52EE4DCF" w14:textId="2123BB3F" w:rsidR="00FA11ED" w:rsidRPr="00E139C5" w:rsidRDefault="009E5B81" w:rsidP="00E139C5">
      <w:pPr>
        <w:spacing w:line="360" w:lineRule="auto"/>
        <w:jc w:val="both"/>
        <w:rPr>
          <w:rFonts w:ascii="Times New Roman" w:hAnsi="Times New Roman" w:cs="Times New Roman"/>
          <w:sz w:val="24"/>
          <w:szCs w:val="24"/>
        </w:rPr>
      </w:pPr>
      <w:r>
        <w:rPr>
          <w:noProof/>
        </w:rPr>
        <w:drawing>
          <wp:inline distT="0" distB="0" distL="0" distR="0" wp14:anchorId="5318C087" wp14:editId="11091E0E">
            <wp:extent cx="5731510" cy="2305050"/>
            <wp:effectExtent l="0" t="0" r="2540" b="0"/>
            <wp:docPr id="2" name="Picture 2" descr="46&#10;20171991 2013&#10;50bn&#10;100bn&#10;1t&#10;(CY)2030 *Cumulative number of Arm-based chips&#10;The graph was created based on Arm's rec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6&#10;20171991 2013&#10;50bn&#10;100bn&#10;1t&#10;(CY)2030 *Cumulative number of Arm-based chips&#10;The graph was created based on Arm's recen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305050"/>
                    </a:xfrm>
                    <a:prstGeom prst="rect">
                      <a:avLst/>
                    </a:prstGeom>
                    <a:noFill/>
                    <a:ln>
                      <a:noFill/>
                    </a:ln>
                  </pic:spPr>
                </pic:pic>
              </a:graphicData>
            </a:graphic>
          </wp:inline>
        </w:drawing>
      </w:r>
      <w:r w:rsidR="009530B3" w:rsidRPr="00E139C5">
        <w:rPr>
          <w:rFonts w:ascii="Times New Roman" w:hAnsi="Times New Roman" w:cs="Times New Roman"/>
          <w:sz w:val="24"/>
          <w:szCs w:val="24"/>
        </w:rPr>
        <w:t>Fi</w:t>
      </w:r>
      <w:r w:rsidR="00C24A71" w:rsidRPr="00E139C5">
        <w:rPr>
          <w:rFonts w:ascii="Times New Roman" w:hAnsi="Times New Roman" w:cs="Times New Roman"/>
          <w:sz w:val="24"/>
          <w:szCs w:val="24"/>
        </w:rPr>
        <w:t>g. 2</w:t>
      </w:r>
      <w:r>
        <w:rPr>
          <w:rFonts w:ascii="Times New Roman" w:hAnsi="Times New Roman" w:cs="Times New Roman"/>
          <w:sz w:val="24"/>
          <w:szCs w:val="24"/>
        </w:rPr>
        <w:t xml:space="preserve">   Source. www.softbank.com</w:t>
      </w:r>
    </w:p>
    <w:p w14:paraId="05F12EE7" w14:textId="5F92A3F4" w:rsidR="009E5B81" w:rsidRDefault="009E5B81"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Arm is now a subsidiary of SoftBank Group, after the historical acquisition in September 2016. (refer to figure 3) </w:t>
      </w:r>
    </w:p>
    <w:p w14:paraId="09305206" w14:textId="77777777" w:rsidR="00B533ED" w:rsidRDefault="008312D5" w:rsidP="00E139C5">
      <w:pPr>
        <w:spacing w:line="360" w:lineRule="auto"/>
        <w:jc w:val="both"/>
        <w:rPr>
          <w:rFonts w:ascii="Times New Roman" w:hAnsi="Times New Roman" w:cs="Times New Roman"/>
          <w:sz w:val="24"/>
          <w:szCs w:val="24"/>
        </w:rPr>
      </w:pPr>
      <w:r w:rsidRPr="00E139C5">
        <w:rPr>
          <w:rFonts w:ascii="Times New Roman" w:hAnsi="Times New Roman" w:cs="Times New Roman"/>
          <w:noProof/>
          <w:sz w:val="24"/>
          <w:szCs w:val="24"/>
        </w:rPr>
        <w:drawing>
          <wp:inline distT="0" distB="0" distL="0" distR="0" wp14:anchorId="2DFC8DE3" wp14:editId="0F10868F">
            <wp:extent cx="4359910" cy="1581150"/>
            <wp:effectExtent l="0" t="0" r="2540" b="0"/>
            <wp:docPr id="16" name="Picture 16" descr="SoftBank acquires ARM for $31.4bn, to leverage Io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tBank acquires ARM for $31.4bn, to leverage IoT wav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8081" cy="1602246"/>
                    </a:xfrm>
                    <a:prstGeom prst="rect">
                      <a:avLst/>
                    </a:prstGeom>
                    <a:noFill/>
                    <a:ln>
                      <a:noFill/>
                    </a:ln>
                  </pic:spPr>
                </pic:pic>
              </a:graphicData>
            </a:graphic>
          </wp:inline>
        </w:drawing>
      </w:r>
    </w:p>
    <w:p w14:paraId="71675703" w14:textId="42351340" w:rsidR="00F7788E" w:rsidRPr="00E139C5" w:rsidRDefault="009530B3"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Fig</w:t>
      </w:r>
      <w:r w:rsidR="00C24A71" w:rsidRPr="00E139C5">
        <w:rPr>
          <w:rFonts w:ascii="Times New Roman" w:hAnsi="Times New Roman" w:cs="Times New Roman"/>
          <w:sz w:val="24"/>
          <w:szCs w:val="24"/>
        </w:rPr>
        <w:t xml:space="preserve"> 3</w:t>
      </w:r>
      <w:r w:rsidR="00993E0F" w:rsidRPr="00E139C5">
        <w:rPr>
          <w:rFonts w:ascii="Times New Roman" w:hAnsi="Times New Roman" w:cs="Times New Roman"/>
          <w:sz w:val="24"/>
          <w:szCs w:val="24"/>
        </w:rPr>
        <w:t xml:space="preserve">                                                                                                      www.arm.com</w:t>
      </w:r>
    </w:p>
    <w:p w14:paraId="5B4E2D2B" w14:textId="77777777" w:rsidR="009E5B81" w:rsidRDefault="009E5B81" w:rsidP="00E139C5">
      <w:pPr>
        <w:spacing w:line="360" w:lineRule="auto"/>
        <w:jc w:val="both"/>
        <w:rPr>
          <w:rFonts w:ascii="Times New Roman" w:hAnsi="Times New Roman" w:cs="Times New Roman"/>
          <w:b/>
          <w:bCs/>
          <w:sz w:val="24"/>
          <w:szCs w:val="24"/>
        </w:rPr>
      </w:pPr>
    </w:p>
    <w:p w14:paraId="54A86931" w14:textId="360AE70A"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b/>
          <w:bCs/>
          <w:sz w:val="24"/>
          <w:szCs w:val="24"/>
        </w:rPr>
        <w:lastRenderedPageBreak/>
        <w:t>Overview of the Technology Industry</w:t>
      </w:r>
    </w:p>
    <w:p w14:paraId="5BD86147" w14:textId="4B912A05"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The technology industry is known for its volatility than any other sector in the business environment.  Businesses in this group must deal with effects of the broader economic cycle, due to fierce competition and new entrants and ever-changing customer behaviours in this sector shorten product cycles in the industry, leading too many to change company business models due to change in market needs. “SoftBank belongs to an industry characterized by extremely high-paced technological evolution. In the past 20 years, the ICT industry has seen the emergence of a series of new technologies for PCs, the internet, mobile phones, and smartphones, all of which have spread worldwide with an explosive speed</w:t>
      </w:r>
      <w:bookmarkStart w:id="7" w:name="_Hlk39388947"/>
      <w:r w:rsidR="00BC59C1" w:rsidRPr="00E139C5">
        <w:rPr>
          <w:rFonts w:ascii="Times New Roman" w:hAnsi="Times New Roman" w:cs="Times New Roman"/>
          <w:sz w:val="24"/>
          <w:szCs w:val="24"/>
        </w:rPr>
        <w:t>”.</w:t>
      </w:r>
      <w:r w:rsidR="00BC59C1" w:rsidRPr="00394AE2">
        <w:rPr>
          <w:rFonts w:ascii="Times New Roman" w:hAnsi="Times New Roman" w:cs="Times New Roman"/>
          <w:sz w:val="24"/>
          <w:szCs w:val="24"/>
          <w:u w:val="single"/>
        </w:rPr>
        <w:t xml:space="preserve"> cdn.softbank.jp</w:t>
      </w:r>
      <w:r w:rsidRPr="00394AE2">
        <w:rPr>
          <w:rFonts w:ascii="Times New Roman" w:hAnsi="Times New Roman" w:cs="Times New Roman"/>
          <w:sz w:val="24"/>
          <w:szCs w:val="24"/>
          <w:u w:val="single"/>
        </w:rPr>
        <w:t xml:space="preserve">/en/ </w:t>
      </w:r>
      <w:r w:rsidRPr="00394AE2">
        <w:rPr>
          <w:rFonts w:ascii="Times New Roman" w:hAnsi="Times New Roman" w:cs="Times New Roman"/>
          <w:sz w:val="24"/>
          <w:szCs w:val="24"/>
        </w:rPr>
        <w:t xml:space="preserve">  </w:t>
      </w:r>
      <w:bookmarkEnd w:id="7"/>
    </w:p>
    <w:p w14:paraId="1718D0E3" w14:textId="2887B087"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The semiconductor company market is a prospective market </w:t>
      </w:r>
      <w:r w:rsidR="002E2A87">
        <w:rPr>
          <w:rFonts w:ascii="Times New Roman" w:hAnsi="Times New Roman" w:cs="Times New Roman"/>
          <w:sz w:val="24"/>
          <w:szCs w:val="24"/>
        </w:rPr>
        <w:t xml:space="preserve"> with an </w:t>
      </w:r>
      <w:r w:rsidRPr="00E139C5">
        <w:rPr>
          <w:rFonts w:ascii="Times New Roman" w:hAnsi="Times New Roman" w:cs="Times New Roman"/>
          <w:sz w:val="24"/>
          <w:szCs w:val="24"/>
        </w:rPr>
        <w:t xml:space="preserve">expected </w:t>
      </w:r>
      <w:r w:rsidR="002E2A87">
        <w:rPr>
          <w:rFonts w:ascii="Times New Roman" w:hAnsi="Times New Roman" w:cs="Times New Roman"/>
          <w:sz w:val="24"/>
          <w:szCs w:val="24"/>
        </w:rPr>
        <w:t>revenue of</w:t>
      </w:r>
      <w:r w:rsidRPr="00E139C5">
        <w:rPr>
          <w:rFonts w:ascii="Times New Roman" w:hAnsi="Times New Roman" w:cs="Times New Roman"/>
          <w:sz w:val="24"/>
          <w:szCs w:val="24"/>
        </w:rPr>
        <w:t xml:space="preserve"> </w:t>
      </w:r>
      <w:r w:rsidR="002E2A87">
        <w:rPr>
          <w:rFonts w:ascii="Times New Roman" w:hAnsi="Times New Roman" w:cs="Times New Roman"/>
          <w:sz w:val="24"/>
          <w:szCs w:val="24"/>
        </w:rPr>
        <w:t xml:space="preserve">over  $800 billion by 2023. </w:t>
      </w:r>
      <w:r w:rsidRPr="00E139C5">
        <w:rPr>
          <w:rFonts w:ascii="Times New Roman" w:hAnsi="Times New Roman" w:cs="Times New Roman"/>
          <w:sz w:val="24"/>
          <w:szCs w:val="24"/>
        </w:rPr>
        <w:t>In the past</w:t>
      </w:r>
      <w:r w:rsidR="007E4409">
        <w:rPr>
          <w:rFonts w:ascii="Times New Roman" w:hAnsi="Times New Roman" w:cs="Times New Roman"/>
          <w:sz w:val="24"/>
          <w:szCs w:val="24"/>
        </w:rPr>
        <w:t xml:space="preserve"> </w:t>
      </w:r>
      <w:r w:rsidRPr="00E139C5">
        <w:rPr>
          <w:rFonts w:ascii="Times New Roman" w:hAnsi="Times New Roman" w:cs="Times New Roman"/>
          <w:sz w:val="24"/>
          <w:szCs w:val="24"/>
        </w:rPr>
        <w:t>years</w:t>
      </w:r>
      <w:r w:rsidR="007E4409">
        <w:rPr>
          <w:rFonts w:ascii="Times New Roman" w:hAnsi="Times New Roman" w:cs="Times New Roman"/>
          <w:sz w:val="24"/>
          <w:szCs w:val="24"/>
        </w:rPr>
        <w:t>,</w:t>
      </w:r>
      <w:r w:rsidRPr="00E139C5">
        <w:rPr>
          <w:rFonts w:ascii="Times New Roman" w:hAnsi="Times New Roman" w:cs="Times New Roman"/>
          <w:sz w:val="24"/>
          <w:szCs w:val="24"/>
        </w:rPr>
        <w:t xml:space="preserve"> the smartphone industry has grown very fast and right now it’s in the mature phase, and the driving force in the semiconductor market shifts to IoT market.  With a huge demand for semiconductors ARM manufactures will be able to power-efficient systems on chips for smartphone and any other device that’s its them. With this big market. ARM could not have done it alone as its needs a lot of support and with accepting the deal from SBG which has the same vision was the best thing for the company to move forward.</w:t>
      </w:r>
    </w:p>
    <w:p w14:paraId="2E12641D" w14:textId="6204FD6C"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This then leads to many opportunities, and most companies invest heavily to capture diverse growth and be ahead of their competitors. SoftBank Group. saw the opportunity for market growth in the internet of things (IoT)and positioned itself by acquiring ARM a leading semiconductor company to fulfil his dream and company strategy on singularity.</w:t>
      </w:r>
    </w:p>
    <w:p w14:paraId="12978999" w14:textId="73AD3994" w:rsidR="00993E0F"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The technology industry in 2016 was experiencing a new trend of IoT, and this presented both new challenges and growth opportunities for telecommunication companies who had capabilities and need speed to market,  SBGC seized this opportunity to invest in a business that was a strategic fit.  Softbank invested in </w:t>
      </w:r>
      <w:r w:rsidR="00B26586" w:rsidRPr="00E139C5">
        <w:rPr>
          <w:rFonts w:ascii="Times New Roman" w:hAnsi="Times New Roman" w:cs="Times New Roman"/>
          <w:sz w:val="24"/>
          <w:szCs w:val="24"/>
        </w:rPr>
        <w:t>ARM</w:t>
      </w:r>
      <w:r w:rsidR="007E4409">
        <w:rPr>
          <w:rFonts w:ascii="Times New Roman" w:hAnsi="Times New Roman" w:cs="Times New Roman"/>
          <w:sz w:val="24"/>
          <w:szCs w:val="24"/>
        </w:rPr>
        <w:t xml:space="preserve">, </w:t>
      </w:r>
      <w:r w:rsidRPr="00E139C5">
        <w:rPr>
          <w:rFonts w:ascii="Times New Roman" w:hAnsi="Times New Roman" w:cs="Times New Roman"/>
          <w:sz w:val="24"/>
          <w:szCs w:val="24"/>
        </w:rPr>
        <w:t xml:space="preserve">a leading global manufacturer of chips and licences to the big players in the telecom market </w:t>
      </w:r>
      <w:r w:rsidR="007E4409">
        <w:rPr>
          <w:rFonts w:ascii="Times New Roman" w:hAnsi="Times New Roman" w:cs="Times New Roman"/>
          <w:sz w:val="24"/>
          <w:szCs w:val="24"/>
        </w:rPr>
        <w:t xml:space="preserve">e.g., </w:t>
      </w:r>
      <w:r w:rsidRPr="00E139C5">
        <w:rPr>
          <w:rFonts w:ascii="Times New Roman" w:hAnsi="Times New Roman" w:cs="Times New Roman"/>
          <w:sz w:val="24"/>
          <w:szCs w:val="24"/>
        </w:rPr>
        <w:t>Apple and Samsung.  (Balogun &amp; Hailey, 2008, p.18)</w:t>
      </w:r>
      <w:r w:rsidRPr="00E139C5">
        <w:rPr>
          <w:rFonts w:ascii="Times New Roman" w:hAnsi="Times New Roman" w:cs="Times New Roman"/>
          <w:i/>
          <w:iCs/>
          <w:sz w:val="24"/>
          <w:szCs w:val="24"/>
        </w:rPr>
        <w:t xml:space="preserve">.  </w:t>
      </w:r>
      <w:r w:rsidRPr="00E139C5">
        <w:rPr>
          <w:rFonts w:ascii="Times New Roman" w:hAnsi="Times New Roman" w:cs="Times New Roman"/>
          <w:sz w:val="24"/>
          <w:szCs w:val="24"/>
        </w:rPr>
        <w:t>point out that</w:t>
      </w:r>
      <w:r w:rsidRPr="00E139C5">
        <w:rPr>
          <w:rFonts w:ascii="Times New Roman" w:hAnsi="Times New Roman" w:cs="Times New Roman"/>
          <w:i/>
          <w:iCs/>
          <w:sz w:val="24"/>
          <w:szCs w:val="24"/>
        </w:rPr>
        <w:t xml:space="preserve"> “</w:t>
      </w:r>
      <w:r w:rsidRPr="00E139C5">
        <w:rPr>
          <w:rFonts w:ascii="Times New Roman" w:hAnsi="Times New Roman" w:cs="Times New Roman"/>
          <w:sz w:val="24"/>
          <w:szCs w:val="24"/>
        </w:rPr>
        <w:t xml:space="preserve">Rapid technological change is forcing organisations to adopt new technologies and change the way they both work and interface with their suppliers and customers”. </w:t>
      </w:r>
    </w:p>
    <w:p w14:paraId="6B0BC8D5" w14:textId="77777777" w:rsidR="00C36E51" w:rsidRPr="00E139C5" w:rsidRDefault="00993E0F"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t xml:space="preserve">Next section will analyse the external environment and focus on the strategic capability of SoftBank.  </w:t>
      </w:r>
    </w:p>
    <w:p w14:paraId="1CFA54E4" w14:textId="77777777" w:rsidR="00673104" w:rsidRDefault="00673104" w:rsidP="00E139C5">
      <w:pPr>
        <w:spacing w:line="360" w:lineRule="auto"/>
        <w:jc w:val="both"/>
        <w:rPr>
          <w:rFonts w:ascii="Times New Roman" w:hAnsi="Times New Roman" w:cs="Times New Roman"/>
          <w:b/>
          <w:bCs/>
          <w:sz w:val="24"/>
          <w:szCs w:val="24"/>
        </w:rPr>
      </w:pPr>
    </w:p>
    <w:p w14:paraId="1A381A40" w14:textId="5C17ED60"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lastRenderedPageBreak/>
        <w:t xml:space="preserve">External Environmental Analysis </w:t>
      </w:r>
    </w:p>
    <w:p w14:paraId="29B7E1A9" w14:textId="6AD9C335" w:rsidR="00673104"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t>(</w:t>
      </w:r>
      <w:r w:rsidRPr="00C36E51">
        <w:rPr>
          <w:rFonts w:ascii="Times New Roman" w:hAnsi="Times New Roman" w:cs="Times New Roman"/>
          <w:sz w:val="24"/>
          <w:szCs w:val="24"/>
        </w:rPr>
        <w:t xml:space="preserve">Lynch 2009 </w:t>
      </w:r>
      <w:r w:rsidR="00BC59C1" w:rsidRPr="00C36E51">
        <w:rPr>
          <w:rFonts w:ascii="Times New Roman" w:hAnsi="Times New Roman" w:cs="Times New Roman"/>
          <w:sz w:val="24"/>
          <w:szCs w:val="24"/>
        </w:rPr>
        <w:t>p.73) argues</w:t>
      </w:r>
      <w:r w:rsidRPr="00C36E51">
        <w:rPr>
          <w:rFonts w:ascii="Times New Roman" w:hAnsi="Times New Roman" w:cs="Times New Roman"/>
          <w:sz w:val="24"/>
          <w:szCs w:val="24"/>
        </w:rPr>
        <w:t xml:space="preserve"> th</w:t>
      </w:r>
      <w:r w:rsidR="00673104">
        <w:rPr>
          <w:rFonts w:ascii="Times New Roman" w:hAnsi="Times New Roman" w:cs="Times New Roman"/>
          <w:sz w:val="24"/>
          <w:szCs w:val="24"/>
        </w:rPr>
        <w:t xml:space="preserve">at when an organisation is assessing its external environment should consider, competitors, distributers, suppliers and customers with this view when the environment is disrupted </w:t>
      </w:r>
      <w:r w:rsidRPr="00C36E51">
        <w:rPr>
          <w:rFonts w:ascii="Times New Roman" w:hAnsi="Times New Roman" w:cs="Times New Roman"/>
          <w:sz w:val="24"/>
          <w:szCs w:val="24"/>
        </w:rPr>
        <w:t xml:space="preserve">organisations need to adjust its strategy </w:t>
      </w:r>
      <w:r w:rsidR="00673104">
        <w:rPr>
          <w:rFonts w:ascii="Times New Roman" w:hAnsi="Times New Roman" w:cs="Times New Roman"/>
          <w:sz w:val="24"/>
          <w:szCs w:val="24"/>
        </w:rPr>
        <w:t>and achieve competitive advantage.</w:t>
      </w:r>
    </w:p>
    <w:p w14:paraId="2CA38D65" w14:textId="30383E6B" w:rsidR="00C36E51" w:rsidRPr="00C36E51" w:rsidRDefault="00673104" w:rsidP="00CE4FB6">
      <w:pPr>
        <w:shd w:val="clear" w:color="auto" w:fill="FFFFFF"/>
        <w:spacing w:after="0" w:line="360" w:lineRule="auto"/>
        <w:ind w:hanging="120"/>
        <w:jc w:val="both"/>
        <w:rPr>
          <w:rFonts w:ascii="Times New Roman" w:eastAsia="Times New Roman" w:hAnsi="Times New Roman" w:cs="Times New Roman"/>
          <w:color w:val="000000"/>
          <w:sz w:val="24"/>
          <w:szCs w:val="24"/>
          <w:shd w:val="clear" w:color="auto" w:fill="FFFFFF"/>
          <w:lang w:eastAsia="en-GB"/>
        </w:rPr>
      </w:pPr>
      <w:r>
        <w:rPr>
          <w:rFonts w:ascii="Times New Roman" w:eastAsia="Times New Roman" w:hAnsi="Times New Roman" w:cs="Times New Roman"/>
          <w:sz w:val="24"/>
          <w:szCs w:val="24"/>
          <w:lang w:eastAsia="en-GB"/>
        </w:rPr>
        <w:t xml:space="preserve">  </w:t>
      </w:r>
      <w:r w:rsidR="00C36E51" w:rsidRPr="00C36E51">
        <w:rPr>
          <w:rFonts w:ascii="Times New Roman" w:eastAsia="Times New Roman" w:hAnsi="Times New Roman" w:cs="Times New Roman"/>
          <w:sz w:val="24"/>
          <w:szCs w:val="24"/>
          <w:lang w:eastAsia="en-GB"/>
        </w:rPr>
        <w:t>Furthermore, literature tell</w:t>
      </w:r>
      <w:r w:rsidR="00F60A46">
        <w:rPr>
          <w:rFonts w:ascii="Times New Roman" w:eastAsia="Times New Roman" w:hAnsi="Times New Roman" w:cs="Times New Roman"/>
          <w:sz w:val="24"/>
          <w:szCs w:val="24"/>
          <w:lang w:eastAsia="en-GB"/>
        </w:rPr>
        <w:t>s</w:t>
      </w:r>
      <w:r w:rsidR="00C36E51" w:rsidRPr="00C36E51">
        <w:rPr>
          <w:rFonts w:ascii="Times New Roman" w:eastAsia="Times New Roman" w:hAnsi="Times New Roman" w:cs="Times New Roman"/>
          <w:sz w:val="24"/>
          <w:szCs w:val="24"/>
          <w:lang w:eastAsia="en-GB"/>
        </w:rPr>
        <w:t xml:space="preserve"> us that</w:t>
      </w:r>
      <w:r w:rsidR="00C36E51" w:rsidRPr="00C36E51">
        <w:rPr>
          <w:rFonts w:ascii="Times New Roman" w:eastAsia="Times New Roman" w:hAnsi="Times New Roman" w:cs="Times New Roman"/>
          <w:color w:val="000000"/>
          <w:sz w:val="24"/>
          <w:szCs w:val="24"/>
          <w:shd w:val="clear" w:color="auto" w:fill="FFFFFF"/>
          <w:lang w:eastAsia="en-GB"/>
        </w:rPr>
        <w:t xml:space="preserve"> </w:t>
      </w:r>
      <w:r w:rsidR="00F46BDB" w:rsidRPr="00C36E51">
        <w:rPr>
          <w:rFonts w:ascii="Times New Roman" w:eastAsia="Times New Roman" w:hAnsi="Times New Roman" w:cs="Times New Roman"/>
          <w:color w:val="000000"/>
          <w:sz w:val="24"/>
          <w:szCs w:val="24"/>
          <w:shd w:val="clear" w:color="auto" w:fill="FFFFFF"/>
          <w:lang w:eastAsia="en-GB"/>
        </w:rPr>
        <w:t>“</w:t>
      </w:r>
      <w:r w:rsidR="00F46BDB">
        <w:rPr>
          <w:rFonts w:ascii="Times New Roman" w:eastAsia="Times New Roman" w:hAnsi="Times New Roman" w:cs="Times New Roman"/>
          <w:color w:val="000000"/>
          <w:sz w:val="24"/>
          <w:szCs w:val="24"/>
          <w:shd w:val="clear" w:color="auto" w:fill="FFFFFF"/>
          <w:lang w:eastAsia="en-GB"/>
        </w:rPr>
        <w:t>due</w:t>
      </w:r>
      <w:r w:rsidR="00CE4FB6">
        <w:rPr>
          <w:rFonts w:ascii="Times New Roman" w:eastAsia="Times New Roman" w:hAnsi="Times New Roman" w:cs="Times New Roman"/>
          <w:color w:val="000000"/>
          <w:sz w:val="24"/>
          <w:szCs w:val="24"/>
          <w:shd w:val="clear" w:color="auto" w:fill="FFFFFF"/>
          <w:lang w:eastAsia="en-GB"/>
        </w:rPr>
        <w:t xml:space="preserve"> to environment or industry constant changes lead to organisations strategic changes and reassign or locate assets by adopting the acquisition strategy for competitive advantage.</w:t>
      </w:r>
      <w:r w:rsidR="00C36E51" w:rsidRPr="00C36E51">
        <w:rPr>
          <w:rFonts w:ascii="Times New Roman" w:eastAsia="Times New Roman" w:hAnsi="Times New Roman" w:cs="Times New Roman"/>
          <w:color w:val="000000"/>
          <w:sz w:val="24"/>
          <w:szCs w:val="24"/>
          <w:shd w:val="clear" w:color="auto" w:fill="FFFFFF"/>
          <w:lang w:eastAsia="en-GB"/>
        </w:rPr>
        <w:t xml:space="preserve"> </w:t>
      </w:r>
      <w:bookmarkStart w:id="8" w:name="_Hlk39286566"/>
      <w:r w:rsidR="00C36E51" w:rsidRPr="00C36E51">
        <w:rPr>
          <w:rFonts w:ascii="Times New Roman" w:eastAsia="Times New Roman" w:hAnsi="Times New Roman" w:cs="Times New Roman"/>
          <w:color w:val="000000"/>
          <w:sz w:val="24"/>
          <w:szCs w:val="24"/>
          <w:shd w:val="clear" w:color="auto" w:fill="FFFFFF"/>
          <w:lang w:eastAsia="en-GB"/>
        </w:rPr>
        <w:t>(Harford </w:t>
      </w:r>
      <w:hyperlink r:id="rId15" w:anchor="acprof-9780199601462-bibItem-58" w:history="1">
        <w:r w:rsidR="00C36E51" w:rsidRPr="00C36E51">
          <w:rPr>
            <w:rFonts w:ascii="Times New Roman" w:eastAsia="Times New Roman" w:hAnsi="Times New Roman" w:cs="Times New Roman"/>
            <w:sz w:val="24"/>
            <w:szCs w:val="24"/>
            <w:u w:val="single"/>
            <w:shd w:val="clear" w:color="auto" w:fill="FFFFFF"/>
            <w:lang w:eastAsia="en-GB"/>
          </w:rPr>
          <w:t>2005</w:t>
        </w:r>
      </w:hyperlink>
      <w:r w:rsidR="00C36E51" w:rsidRPr="00C36E51">
        <w:rPr>
          <w:rFonts w:ascii="Times New Roman" w:eastAsia="Times New Roman" w:hAnsi="Times New Roman" w:cs="Times New Roman"/>
          <w:sz w:val="24"/>
          <w:szCs w:val="24"/>
          <w:shd w:val="clear" w:color="auto" w:fill="FFFFFF"/>
          <w:lang w:eastAsia="en-GB"/>
        </w:rPr>
        <w:t xml:space="preserve">) </w:t>
      </w:r>
      <w:r w:rsidR="00C36E51" w:rsidRPr="00C36E51">
        <w:rPr>
          <w:rFonts w:ascii="Times New Roman" w:eastAsia="Times New Roman" w:hAnsi="Times New Roman" w:cs="Times New Roman"/>
          <w:color w:val="000000"/>
          <w:sz w:val="24"/>
          <w:szCs w:val="24"/>
          <w:shd w:val="clear" w:color="auto" w:fill="FFFFFF"/>
          <w:lang w:eastAsia="en-GB"/>
        </w:rPr>
        <w:t xml:space="preserve">cited by Kolev, K., Haleblian, J., &amp; McNamara, G. (2012-06-07, </w:t>
      </w:r>
      <w:r w:rsidR="00C36E51" w:rsidRPr="00C36E51">
        <w:rPr>
          <w:rFonts w:ascii="Times New Roman" w:eastAsia="Times New Roman" w:hAnsi="Times New Roman" w:cs="Times New Roman"/>
          <w:sz w:val="24"/>
          <w:szCs w:val="24"/>
          <w:shd w:val="clear" w:color="auto" w:fill="FFFFFF"/>
          <w:lang w:eastAsia="en-GB"/>
        </w:rPr>
        <w:t>p.26)</w:t>
      </w:r>
      <w:bookmarkEnd w:id="8"/>
      <w:r w:rsidR="00C36E51" w:rsidRPr="00C36E51">
        <w:rPr>
          <w:rFonts w:ascii="Times New Roman" w:eastAsia="Times New Roman" w:hAnsi="Times New Roman" w:cs="Times New Roman"/>
          <w:sz w:val="24"/>
          <w:szCs w:val="24"/>
          <w:shd w:val="clear" w:color="auto" w:fill="FFFFFF"/>
          <w:lang w:eastAsia="en-GB"/>
        </w:rPr>
        <w:t xml:space="preserve">. </w:t>
      </w:r>
      <w:r w:rsidR="00C36E51" w:rsidRPr="00C36E51">
        <w:rPr>
          <w:rFonts w:ascii="Times New Roman" w:eastAsia="Times New Roman" w:hAnsi="Times New Roman" w:cs="Times New Roman"/>
          <w:color w:val="000000"/>
          <w:sz w:val="24"/>
          <w:szCs w:val="24"/>
          <w:shd w:val="clear" w:color="auto" w:fill="FFFFFF"/>
          <w:lang w:eastAsia="en-GB"/>
        </w:rPr>
        <w:t>these shocks ranging from</w:t>
      </w:r>
      <w:r w:rsidR="00F60A46">
        <w:rPr>
          <w:rFonts w:ascii="Times New Roman" w:eastAsia="Times New Roman" w:hAnsi="Times New Roman" w:cs="Times New Roman"/>
          <w:color w:val="000000"/>
          <w:sz w:val="24"/>
          <w:szCs w:val="24"/>
          <w:shd w:val="clear" w:color="auto" w:fill="FFFFFF"/>
          <w:lang w:eastAsia="en-GB"/>
        </w:rPr>
        <w:t xml:space="preserve"> a</w:t>
      </w:r>
      <w:r w:rsidR="00C36E51" w:rsidRPr="00C36E51">
        <w:rPr>
          <w:rFonts w:ascii="Times New Roman" w:eastAsia="Times New Roman" w:hAnsi="Times New Roman" w:cs="Times New Roman"/>
          <w:color w:val="000000"/>
          <w:sz w:val="24"/>
          <w:szCs w:val="24"/>
          <w:shd w:val="clear" w:color="auto" w:fill="FFFFFF"/>
          <w:lang w:eastAsia="en-GB"/>
        </w:rPr>
        <w:t xml:space="preserve"> change in demand conditions, gaps in technology, economy, political, social or legal, </w:t>
      </w:r>
      <w:r w:rsidR="00CE4FB6">
        <w:rPr>
          <w:rFonts w:ascii="Times New Roman" w:eastAsia="Times New Roman" w:hAnsi="Times New Roman" w:cs="Times New Roman"/>
          <w:color w:val="000000"/>
          <w:sz w:val="24"/>
          <w:szCs w:val="24"/>
          <w:shd w:val="clear" w:color="auto" w:fill="FFFFFF"/>
          <w:lang w:eastAsia="en-GB"/>
        </w:rPr>
        <w:t xml:space="preserve">impact the external environment for firms. </w:t>
      </w:r>
      <w:r w:rsidR="00CE4FB6" w:rsidRPr="00C36E51">
        <w:rPr>
          <w:rFonts w:ascii="Times New Roman" w:eastAsia="Times New Roman" w:hAnsi="Times New Roman" w:cs="Times New Roman"/>
          <w:color w:val="000000"/>
          <w:sz w:val="24"/>
          <w:szCs w:val="24"/>
          <w:shd w:val="clear" w:color="auto" w:fill="FFFFFF"/>
          <w:lang w:eastAsia="en-GB"/>
        </w:rPr>
        <w:t>Here</w:t>
      </w:r>
      <w:r w:rsidR="00C36E51" w:rsidRPr="00C36E51">
        <w:rPr>
          <w:rFonts w:ascii="Times New Roman" w:eastAsia="Times New Roman" w:hAnsi="Times New Roman" w:cs="Times New Roman"/>
          <w:color w:val="000000"/>
          <w:sz w:val="24"/>
          <w:szCs w:val="24"/>
          <w:shd w:val="clear" w:color="auto" w:fill="FFFFFF"/>
          <w:lang w:eastAsia="en-GB"/>
        </w:rPr>
        <w:t xml:space="preserve"> </w:t>
      </w:r>
      <w:r w:rsidR="00C36E51" w:rsidRPr="00C36E51">
        <w:rPr>
          <w:rFonts w:ascii="Times New Roman" w:eastAsia="Times New Roman" w:hAnsi="Times New Roman" w:cs="Times New Roman"/>
          <w:sz w:val="24"/>
          <w:szCs w:val="24"/>
          <w:lang w:eastAsia="en-GB"/>
        </w:rPr>
        <w:t xml:space="preserve">PESTEL </w:t>
      </w:r>
      <w:r w:rsidR="00CE4FB6" w:rsidRPr="00C36E51">
        <w:rPr>
          <w:rFonts w:ascii="Times New Roman" w:eastAsia="Times New Roman" w:hAnsi="Times New Roman" w:cs="Times New Roman"/>
          <w:sz w:val="24"/>
          <w:szCs w:val="24"/>
          <w:lang w:eastAsia="en-GB"/>
        </w:rPr>
        <w:t>framework is</w:t>
      </w:r>
      <w:r w:rsidR="00C36E51" w:rsidRPr="00C36E51">
        <w:rPr>
          <w:rFonts w:ascii="Times New Roman" w:eastAsia="Times New Roman" w:hAnsi="Times New Roman" w:cs="Times New Roman"/>
          <w:sz w:val="24"/>
          <w:szCs w:val="24"/>
          <w:lang w:eastAsia="en-GB"/>
        </w:rPr>
        <w:t xml:space="preserve"> a useful tool </w:t>
      </w:r>
      <w:r w:rsidR="00F46BDB">
        <w:rPr>
          <w:rFonts w:ascii="Times New Roman" w:eastAsia="Times New Roman" w:hAnsi="Times New Roman" w:cs="Times New Roman"/>
          <w:sz w:val="24"/>
          <w:szCs w:val="24"/>
          <w:lang w:eastAsia="en-GB"/>
        </w:rPr>
        <w:t xml:space="preserve">in </w:t>
      </w:r>
      <w:r w:rsidR="00394AE2" w:rsidRPr="00C36E51">
        <w:rPr>
          <w:rFonts w:ascii="Times New Roman" w:eastAsia="Times New Roman" w:hAnsi="Times New Roman" w:cs="Times New Roman"/>
          <w:sz w:val="24"/>
          <w:szCs w:val="24"/>
          <w:lang w:eastAsia="en-GB"/>
        </w:rPr>
        <w:t>identifying</w:t>
      </w:r>
      <w:r w:rsidR="00394AE2">
        <w:rPr>
          <w:rFonts w:ascii="Times New Roman" w:eastAsia="Times New Roman" w:hAnsi="Times New Roman" w:cs="Times New Roman"/>
          <w:sz w:val="24"/>
          <w:szCs w:val="24"/>
          <w:lang w:eastAsia="en-GB"/>
        </w:rPr>
        <w:t xml:space="preserve"> </w:t>
      </w:r>
      <w:r w:rsidR="00394AE2" w:rsidRPr="00C36E51">
        <w:rPr>
          <w:rFonts w:ascii="Times New Roman" w:eastAsia="Times New Roman" w:hAnsi="Times New Roman" w:cs="Times New Roman"/>
          <w:sz w:val="24"/>
          <w:szCs w:val="24"/>
          <w:lang w:eastAsia="en-GB"/>
        </w:rPr>
        <w:t>how</w:t>
      </w:r>
      <w:r w:rsidR="00C36E51" w:rsidRPr="00C36E51">
        <w:rPr>
          <w:rFonts w:ascii="Times New Roman" w:eastAsia="Times New Roman" w:hAnsi="Times New Roman" w:cs="Times New Roman"/>
          <w:sz w:val="24"/>
          <w:szCs w:val="24"/>
          <w:lang w:eastAsia="en-GB"/>
        </w:rPr>
        <w:t xml:space="preserve"> the future trends might impact an organisation</w:t>
      </w:r>
      <w:r w:rsidR="00CE4FB6">
        <w:rPr>
          <w:rFonts w:ascii="Times New Roman" w:eastAsia="Times New Roman" w:hAnsi="Times New Roman" w:cs="Times New Roman"/>
          <w:sz w:val="24"/>
          <w:szCs w:val="24"/>
          <w:lang w:eastAsia="en-GB"/>
        </w:rPr>
        <w:t xml:space="preserve"> given that the external environment of which the organisation operates in </w:t>
      </w:r>
      <w:r w:rsidR="00F46BDB">
        <w:rPr>
          <w:rFonts w:ascii="Times New Roman" w:eastAsia="Times New Roman" w:hAnsi="Times New Roman" w:cs="Times New Roman"/>
          <w:sz w:val="24"/>
          <w:szCs w:val="24"/>
          <w:lang w:eastAsia="en-GB"/>
        </w:rPr>
        <w:t xml:space="preserve">can create both strategic opportunities and threats.  </w:t>
      </w:r>
      <w:r w:rsidR="00C36E51" w:rsidRPr="00C36E51">
        <w:rPr>
          <w:rFonts w:ascii="Times New Roman" w:eastAsia="Times New Roman" w:hAnsi="Times New Roman" w:cs="Times New Roman"/>
          <w:sz w:val="24"/>
          <w:szCs w:val="24"/>
          <w:lang w:eastAsia="en-GB"/>
        </w:rPr>
        <w:t xml:space="preserve"> The framework relies on history to forecast the future. </w:t>
      </w:r>
      <w:bookmarkStart w:id="9" w:name="_Hlk38922048"/>
      <w:r w:rsidR="00C36E51" w:rsidRPr="00C36E51">
        <w:rPr>
          <w:rFonts w:ascii="Times New Roman" w:eastAsia="Times New Roman" w:hAnsi="Times New Roman" w:cs="Times New Roman"/>
          <w:sz w:val="24"/>
          <w:szCs w:val="24"/>
          <w:lang w:eastAsia="en-GB"/>
        </w:rPr>
        <w:t>“Strategic management is concerned with future action but the best evidence about the future is derived from the past”. (Lynch, 2012, p.83</w:t>
      </w:r>
      <w:bookmarkEnd w:id="9"/>
      <w:r w:rsidR="00C36E51" w:rsidRPr="00C36E51">
        <w:rPr>
          <w:rFonts w:ascii="Times New Roman" w:eastAsia="Times New Roman" w:hAnsi="Times New Roman" w:cs="Times New Roman"/>
          <w:b/>
          <w:bCs/>
          <w:sz w:val="24"/>
          <w:szCs w:val="24"/>
          <w:lang w:eastAsia="en-GB"/>
        </w:rPr>
        <w:t>)</w:t>
      </w:r>
      <w:r w:rsidR="00C36E51" w:rsidRPr="00C36E51">
        <w:rPr>
          <w:rFonts w:ascii="Times New Roman" w:eastAsia="Times New Roman" w:hAnsi="Times New Roman" w:cs="Times New Roman"/>
          <w:sz w:val="24"/>
          <w:szCs w:val="24"/>
          <w:lang w:eastAsia="en-GB"/>
        </w:rPr>
        <w:t>.  SoftBank Group Corp, to remain vigilant, it has to be aware of the external environment, in a flash</w:t>
      </w:r>
      <w:r w:rsidR="00595102">
        <w:rPr>
          <w:rFonts w:ascii="Times New Roman" w:eastAsia="Times New Roman" w:hAnsi="Times New Roman" w:cs="Times New Roman"/>
          <w:sz w:val="24"/>
          <w:szCs w:val="24"/>
          <w:lang w:eastAsia="en-GB"/>
        </w:rPr>
        <w:t xml:space="preserve">, </w:t>
      </w:r>
      <w:r w:rsidR="00C36E51" w:rsidRPr="00C36E51">
        <w:rPr>
          <w:rFonts w:ascii="Times New Roman" w:eastAsia="Times New Roman" w:hAnsi="Times New Roman" w:cs="Times New Roman"/>
          <w:sz w:val="24"/>
          <w:szCs w:val="24"/>
          <w:lang w:eastAsia="en-GB"/>
        </w:rPr>
        <w:t>the group can miss a shift in industry trends that may occur especially in the semiconductor industry which is experiences a lot of changes</w:t>
      </w:r>
      <w:r w:rsidR="00C36E51" w:rsidRPr="00C36E51">
        <w:rPr>
          <w:rFonts w:ascii="Times New Roman" w:eastAsia="Times New Roman" w:hAnsi="Times New Roman" w:cs="Times New Roman"/>
          <w:b/>
          <w:bCs/>
          <w:sz w:val="24"/>
          <w:szCs w:val="24"/>
          <w:lang w:eastAsia="en-GB"/>
        </w:rPr>
        <w:t>.</w:t>
      </w:r>
    </w:p>
    <w:p w14:paraId="15DB2642" w14:textId="774CC769"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Political </w:t>
      </w:r>
    </w:p>
    <w:p w14:paraId="13577F15" w14:textId="2D0DEBF0" w:rsidR="00C36E51" w:rsidRPr="00C36E51" w:rsidRDefault="00BB0C86"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36E51" w:rsidRPr="00C36E51">
        <w:rPr>
          <w:rFonts w:ascii="Times New Roman" w:hAnsi="Times New Roman" w:cs="Times New Roman"/>
          <w:sz w:val="24"/>
          <w:szCs w:val="24"/>
        </w:rPr>
        <w:t xml:space="preserve">United Kingdom was experiencing uncertainty of Brexit, many businesses were already planning to move their business to many this was not a conducive environment for investment, but the technology industry was in for a surprise when Softbank a Japanese company announced its acquisition of  ARM a semiconductor British firm many considered a gem of the nation. </w:t>
      </w:r>
    </w:p>
    <w:p w14:paraId="1EB2F896" w14:textId="2D798603"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The Groups </w:t>
      </w:r>
      <w:r w:rsidR="00BC59C1" w:rsidRPr="00C36E51">
        <w:rPr>
          <w:rFonts w:ascii="Times New Roman" w:hAnsi="Times New Roman" w:cs="Times New Roman"/>
          <w:sz w:val="24"/>
          <w:szCs w:val="24"/>
        </w:rPr>
        <w:t>owner Masayoshi</w:t>
      </w:r>
      <w:r w:rsidRPr="00C36E51">
        <w:rPr>
          <w:rFonts w:ascii="Times New Roman" w:hAnsi="Times New Roman" w:cs="Times New Roman"/>
          <w:sz w:val="24"/>
          <w:szCs w:val="24"/>
        </w:rPr>
        <w:t xml:space="preserve"> Son is a tech entrepreneur, risk is his game,  a visionary who  invests in technology next paradigm and next disruption in technology is the Internet of Things.  This move to buy at uncertain times, signalled confidence to other global businesses that Britain was still a contender to do business.   In this emergent </w:t>
      </w:r>
      <w:r w:rsidR="00BC59C1" w:rsidRPr="00C36E51">
        <w:rPr>
          <w:rFonts w:ascii="Times New Roman" w:hAnsi="Times New Roman" w:cs="Times New Roman"/>
          <w:sz w:val="24"/>
          <w:szCs w:val="24"/>
        </w:rPr>
        <w:t>environment,</w:t>
      </w:r>
      <w:r w:rsidRPr="00C36E51">
        <w:rPr>
          <w:rFonts w:ascii="Times New Roman" w:hAnsi="Times New Roman" w:cs="Times New Roman"/>
          <w:sz w:val="24"/>
          <w:szCs w:val="24"/>
        </w:rPr>
        <w:t xml:space="preserve"> the strategic management teams have to and must assess their strategies before replacing any existing strategy especially if It is to invest across borders.</w:t>
      </w:r>
    </w:p>
    <w:p w14:paraId="05A0D1A1" w14:textId="77777777" w:rsidR="00115001" w:rsidRDefault="00115001" w:rsidP="00E139C5">
      <w:pPr>
        <w:spacing w:line="360" w:lineRule="auto"/>
        <w:jc w:val="both"/>
        <w:rPr>
          <w:rFonts w:ascii="Times New Roman" w:hAnsi="Times New Roman" w:cs="Times New Roman"/>
          <w:b/>
          <w:bCs/>
          <w:sz w:val="24"/>
          <w:szCs w:val="24"/>
        </w:rPr>
      </w:pPr>
    </w:p>
    <w:p w14:paraId="52F74F8F" w14:textId="02294DF8"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lastRenderedPageBreak/>
        <w:t xml:space="preserve">Economic </w:t>
      </w:r>
    </w:p>
    <w:p w14:paraId="3B870BB6" w14:textId="16C7FF48" w:rsidR="00F46BDB" w:rsidRDefault="00F46BDB" w:rsidP="00F46BDB">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en-GB"/>
        </w:rPr>
      </w:pPr>
      <w:r w:rsidRPr="00C36E51">
        <w:rPr>
          <w:rFonts w:ascii="Times New Roman" w:eastAsia="Times New Roman" w:hAnsi="Times New Roman" w:cs="Times New Roman"/>
          <w:color w:val="000000"/>
          <w:sz w:val="24"/>
          <w:szCs w:val="24"/>
          <w:shd w:val="clear" w:color="auto" w:fill="FFFFFF"/>
          <w:lang w:eastAsia="en-GB"/>
        </w:rPr>
        <w:t>(Balogum</w:t>
      </w:r>
      <w:r w:rsidR="00C36E51" w:rsidRPr="00C36E51">
        <w:rPr>
          <w:rFonts w:ascii="Times New Roman" w:eastAsia="Times New Roman" w:hAnsi="Times New Roman" w:cs="Times New Roman"/>
          <w:color w:val="000000"/>
          <w:sz w:val="24"/>
          <w:szCs w:val="24"/>
          <w:shd w:val="clear" w:color="auto" w:fill="FFFFFF"/>
          <w:lang w:eastAsia="en-GB"/>
        </w:rPr>
        <w:t xml:space="preserve"> et al 2008, p.55)</w:t>
      </w:r>
      <w:r>
        <w:rPr>
          <w:rFonts w:ascii="Times New Roman" w:eastAsia="Times New Roman" w:hAnsi="Times New Roman" w:cs="Times New Roman"/>
          <w:color w:val="000000"/>
          <w:sz w:val="24"/>
          <w:szCs w:val="24"/>
          <w:shd w:val="clear" w:color="auto" w:fill="FFFFFF"/>
          <w:lang w:eastAsia="en-GB"/>
        </w:rPr>
        <w:t xml:space="preserve"> implies that exchange rates, business cycle and various economic growth rates globally are all relate</w:t>
      </w:r>
      <w:r w:rsidR="00485B78">
        <w:rPr>
          <w:rFonts w:ascii="Times New Roman" w:eastAsia="Times New Roman" w:hAnsi="Times New Roman" w:cs="Times New Roman"/>
          <w:color w:val="000000"/>
          <w:sz w:val="24"/>
          <w:szCs w:val="24"/>
          <w:shd w:val="clear" w:color="auto" w:fill="FFFFFF"/>
          <w:lang w:eastAsia="en-GB"/>
        </w:rPr>
        <w:t>d</w:t>
      </w:r>
      <w:r>
        <w:rPr>
          <w:rFonts w:ascii="Times New Roman" w:eastAsia="Times New Roman" w:hAnsi="Times New Roman" w:cs="Times New Roman"/>
          <w:color w:val="000000"/>
          <w:sz w:val="24"/>
          <w:szCs w:val="24"/>
          <w:shd w:val="clear" w:color="auto" w:fill="FFFFFF"/>
          <w:lang w:eastAsia="en-GB"/>
        </w:rPr>
        <w:t xml:space="preserve"> to changes that impact the business environment of firms, leading to sales growth, employment changes, market boon and increased demand. </w:t>
      </w:r>
    </w:p>
    <w:p w14:paraId="74B3FC36" w14:textId="2F41BB7D" w:rsidR="00C36E51" w:rsidRPr="00C36E51" w:rsidRDefault="00C36E51" w:rsidP="008367D7">
      <w:pPr>
        <w:shd w:val="clear" w:color="auto" w:fill="FFFFFF"/>
        <w:spacing w:after="0" w:line="360" w:lineRule="auto"/>
        <w:jc w:val="both"/>
        <w:rPr>
          <w:rFonts w:ascii="Times New Roman" w:eastAsia="Times New Roman" w:hAnsi="Times New Roman" w:cs="Times New Roman"/>
          <w:color w:val="000000"/>
          <w:sz w:val="24"/>
          <w:szCs w:val="24"/>
          <w:shd w:val="clear" w:color="auto" w:fill="FFFFFF"/>
          <w:lang w:eastAsia="en-GB"/>
        </w:rPr>
      </w:pPr>
      <w:r w:rsidRPr="00C36E51">
        <w:rPr>
          <w:rFonts w:ascii="Times New Roman" w:eastAsia="Times New Roman" w:hAnsi="Times New Roman" w:cs="Times New Roman"/>
          <w:color w:val="000000"/>
          <w:sz w:val="24"/>
          <w:szCs w:val="24"/>
          <w:shd w:val="clear" w:color="auto" w:fill="FFFFFF"/>
          <w:lang w:eastAsia="en-GB"/>
        </w:rPr>
        <w:t xml:space="preserve">In a comprehensive study of the 1980s merger and acquisition wave, </w:t>
      </w:r>
      <w:bookmarkStart w:id="10" w:name="_Hlk39286624"/>
      <w:r w:rsidRPr="00C36E51">
        <w:rPr>
          <w:rFonts w:ascii="Times New Roman" w:eastAsia="Times New Roman" w:hAnsi="Times New Roman" w:cs="Times New Roman"/>
          <w:color w:val="000000"/>
          <w:sz w:val="24"/>
          <w:szCs w:val="24"/>
          <w:shd w:val="clear" w:color="auto" w:fill="FFFFFF"/>
          <w:lang w:eastAsia="en-GB"/>
        </w:rPr>
        <w:t xml:space="preserve">Mitchell and Mulherin </w:t>
      </w:r>
      <w:r w:rsidRPr="00C36E51">
        <w:rPr>
          <w:rFonts w:ascii="Times New Roman" w:eastAsia="Times New Roman" w:hAnsi="Times New Roman" w:cs="Times New Roman"/>
          <w:sz w:val="24"/>
          <w:szCs w:val="24"/>
          <w:shd w:val="clear" w:color="auto" w:fill="FFFFFF"/>
          <w:lang w:eastAsia="en-GB"/>
        </w:rPr>
        <w:t>(</w:t>
      </w:r>
      <w:hyperlink r:id="rId16" w:anchor="acprof-9780199601462-bibItem-75" w:history="1">
        <w:r w:rsidRPr="00C36E51">
          <w:rPr>
            <w:rFonts w:ascii="Times New Roman" w:eastAsia="Times New Roman" w:hAnsi="Times New Roman" w:cs="Times New Roman"/>
            <w:sz w:val="24"/>
            <w:szCs w:val="24"/>
            <w:u w:val="single"/>
            <w:shd w:val="clear" w:color="auto" w:fill="FFFFFF"/>
            <w:lang w:eastAsia="en-GB"/>
          </w:rPr>
          <w:t>1996</w:t>
        </w:r>
      </w:hyperlink>
      <w:bookmarkEnd w:id="10"/>
      <w:r w:rsidRPr="00C36E51">
        <w:rPr>
          <w:rFonts w:ascii="Times New Roman" w:eastAsia="Times New Roman" w:hAnsi="Times New Roman" w:cs="Times New Roman"/>
          <w:sz w:val="24"/>
          <w:szCs w:val="24"/>
          <w:shd w:val="clear" w:color="auto" w:fill="FFFFFF"/>
          <w:lang w:eastAsia="en-GB"/>
        </w:rPr>
        <w:t>) cited by</w:t>
      </w:r>
      <w:r w:rsidRPr="00C36E51">
        <w:rPr>
          <w:rFonts w:ascii="Times New Roman" w:hAnsi="Times New Roman" w:cs="Times New Roman"/>
          <w:color w:val="000000"/>
          <w:sz w:val="24"/>
          <w:szCs w:val="24"/>
          <w:shd w:val="clear" w:color="auto" w:fill="FFFFFF"/>
        </w:rPr>
        <w:t xml:space="preserve"> Kolev, K., Haleblian, J., &amp; McNamara, G. (2012-06-07),</w:t>
      </w:r>
      <w:r w:rsidRPr="00C36E51">
        <w:rPr>
          <w:rFonts w:ascii="Times New Roman" w:eastAsia="Times New Roman" w:hAnsi="Times New Roman" w:cs="Times New Roman"/>
          <w:sz w:val="24"/>
          <w:szCs w:val="24"/>
          <w:shd w:val="clear" w:color="auto" w:fill="FFFFFF"/>
          <w:lang w:eastAsia="en-GB"/>
        </w:rPr>
        <w:t xml:space="preserve"> </w:t>
      </w:r>
      <w:r w:rsidRPr="00C36E51">
        <w:rPr>
          <w:rFonts w:ascii="Times New Roman" w:eastAsia="Times New Roman" w:hAnsi="Times New Roman" w:cs="Times New Roman"/>
          <w:color w:val="000000"/>
          <w:sz w:val="24"/>
          <w:szCs w:val="24"/>
          <w:shd w:val="clear" w:color="auto" w:fill="FFFFFF"/>
          <w:lang w:eastAsia="en-GB"/>
        </w:rPr>
        <w:t xml:space="preserve">provides strong evidence for the role of economic factors and shocks on acquisition intensity other economic global factor </w:t>
      </w:r>
      <w:r w:rsidRPr="00C36E51">
        <w:rPr>
          <w:rFonts w:ascii="Times New Roman" w:hAnsi="Times New Roman" w:cs="Times New Roman"/>
          <w:sz w:val="24"/>
          <w:szCs w:val="24"/>
        </w:rPr>
        <w:t>global factors such as recession, access to credit and increased consumer selecting and buying decisions in the technology industry.</w:t>
      </w:r>
    </w:p>
    <w:p w14:paraId="4BDCC27C" w14:textId="77777777" w:rsidR="008367D7" w:rsidRDefault="00C36E51" w:rsidP="00E139C5">
      <w:pPr>
        <w:shd w:val="clear" w:color="auto" w:fill="FFFFFF"/>
        <w:spacing w:after="0" w:line="360" w:lineRule="auto"/>
        <w:ind w:hanging="120"/>
        <w:jc w:val="both"/>
        <w:rPr>
          <w:rFonts w:ascii="Times New Roman" w:eastAsia="Times New Roman" w:hAnsi="Times New Roman" w:cs="Times New Roman"/>
          <w:color w:val="000000"/>
          <w:sz w:val="24"/>
          <w:szCs w:val="24"/>
          <w:shd w:val="clear" w:color="auto" w:fill="FFFFFF"/>
          <w:lang w:eastAsia="en-GB"/>
        </w:rPr>
      </w:pPr>
      <w:r w:rsidRPr="00C36E51">
        <w:rPr>
          <w:rFonts w:ascii="Times New Roman" w:eastAsia="Times New Roman" w:hAnsi="Times New Roman" w:cs="Times New Roman"/>
          <w:color w:val="000000"/>
          <w:sz w:val="24"/>
          <w:szCs w:val="24"/>
          <w:shd w:val="clear" w:color="auto" w:fill="FFFFFF"/>
          <w:lang w:eastAsia="en-GB"/>
        </w:rPr>
        <w:t xml:space="preserve">  </w:t>
      </w:r>
    </w:p>
    <w:p w14:paraId="153B737A" w14:textId="31B95596" w:rsidR="00C36E51" w:rsidRPr="00C36E51" w:rsidRDefault="00B533ED" w:rsidP="0099670A">
      <w:pPr>
        <w:shd w:val="clear" w:color="auto" w:fill="FFFFFF"/>
        <w:spacing w:after="0" w:line="360" w:lineRule="auto"/>
        <w:ind w:hanging="120"/>
        <w:jc w:val="both"/>
        <w:rPr>
          <w:rFonts w:ascii="Times New Roman" w:eastAsia="Times New Roman" w:hAnsi="Times New Roman" w:cs="Times New Roman"/>
          <w:color w:val="000000"/>
          <w:sz w:val="24"/>
          <w:szCs w:val="24"/>
          <w:shd w:val="clear" w:color="auto" w:fill="FFFFFF"/>
          <w:lang w:eastAsia="en-GB"/>
        </w:rPr>
      </w:pPr>
      <w:r>
        <w:rPr>
          <w:rFonts w:ascii="Times New Roman" w:eastAsia="Times New Roman" w:hAnsi="Times New Roman" w:cs="Times New Roman"/>
          <w:color w:val="000000"/>
          <w:sz w:val="24"/>
          <w:szCs w:val="24"/>
          <w:shd w:val="clear" w:color="auto" w:fill="FFFFFF"/>
          <w:lang w:eastAsia="en-GB"/>
        </w:rPr>
        <w:t xml:space="preserve">  </w:t>
      </w:r>
      <w:r w:rsidR="008367D7">
        <w:rPr>
          <w:rFonts w:ascii="Times New Roman" w:eastAsia="Times New Roman" w:hAnsi="Times New Roman" w:cs="Times New Roman"/>
          <w:color w:val="000000"/>
          <w:sz w:val="24"/>
          <w:szCs w:val="24"/>
          <w:shd w:val="clear" w:color="auto" w:fill="FFFFFF"/>
          <w:lang w:eastAsia="en-GB"/>
        </w:rPr>
        <w:t xml:space="preserve">By organisations pursuing synergies and economies of scale organisation resort to </w:t>
      </w:r>
      <w:r w:rsidR="0099670A">
        <w:rPr>
          <w:rFonts w:ascii="Times New Roman" w:eastAsia="Times New Roman" w:hAnsi="Times New Roman" w:cs="Times New Roman"/>
          <w:color w:val="000000"/>
          <w:sz w:val="24"/>
          <w:szCs w:val="24"/>
          <w:shd w:val="clear" w:color="auto" w:fill="FFFFFF"/>
          <w:lang w:eastAsia="en-GB"/>
        </w:rPr>
        <w:t>acquisitions always</w:t>
      </w:r>
      <w:r w:rsidR="008367D7">
        <w:rPr>
          <w:rFonts w:ascii="Times New Roman" w:eastAsia="Times New Roman" w:hAnsi="Times New Roman" w:cs="Times New Roman"/>
          <w:color w:val="000000"/>
          <w:sz w:val="24"/>
          <w:szCs w:val="24"/>
          <w:shd w:val="clear" w:color="auto" w:fill="FFFFFF"/>
          <w:lang w:eastAsia="en-GB"/>
        </w:rPr>
        <w:t xml:space="preserve"> get an increased demand of products or services </w:t>
      </w:r>
      <w:r w:rsidR="0099670A">
        <w:rPr>
          <w:rFonts w:ascii="Times New Roman" w:eastAsia="Times New Roman" w:hAnsi="Times New Roman" w:cs="Times New Roman"/>
          <w:color w:val="000000"/>
          <w:sz w:val="24"/>
          <w:szCs w:val="24"/>
          <w:shd w:val="clear" w:color="auto" w:fill="FFFFFF"/>
          <w:lang w:eastAsia="en-GB"/>
        </w:rPr>
        <w:t xml:space="preserve">due to economic growth especially across rising product market, </w:t>
      </w:r>
      <w:r w:rsidR="00C36E51" w:rsidRPr="00C36E51">
        <w:rPr>
          <w:rFonts w:ascii="Times New Roman" w:eastAsia="Times New Roman" w:hAnsi="Times New Roman" w:cs="Times New Roman"/>
          <w:color w:val="000000"/>
          <w:sz w:val="24"/>
          <w:szCs w:val="24"/>
          <w:shd w:val="clear" w:color="auto" w:fill="FFFFFF"/>
          <w:lang w:eastAsia="en-GB"/>
        </w:rPr>
        <w:t xml:space="preserve"> </w:t>
      </w:r>
      <w:bookmarkStart w:id="11" w:name="_Hlk39286675"/>
      <w:r w:rsidR="00C36E51" w:rsidRPr="00C36E51">
        <w:rPr>
          <w:rFonts w:ascii="Times New Roman" w:eastAsia="Times New Roman" w:hAnsi="Times New Roman" w:cs="Times New Roman"/>
          <w:color w:val="000000"/>
          <w:sz w:val="24"/>
          <w:szCs w:val="24"/>
          <w:shd w:val="clear" w:color="auto" w:fill="FFFFFF"/>
          <w:lang w:eastAsia="en-GB"/>
        </w:rPr>
        <w:t>(Lambrecht </w:t>
      </w:r>
      <w:hyperlink r:id="rId17" w:anchor="acprof-9780199601462-bibItem-67" w:history="1">
        <w:r w:rsidR="00C36E51" w:rsidRPr="00C36E51">
          <w:rPr>
            <w:rFonts w:ascii="Times New Roman" w:eastAsia="Times New Roman" w:hAnsi="Times New Roman" w:cs="Times New Roman"/>
            <w:color w:val="444444"/>
            <w:sz w:val="24"/>
            <w:szCs w:val="24"/>
            <w:u w:val="single"/>
            <w:shd w:val="clear" w:color="auto" w:fill="FFFFFF"/>
            <w:lang w:eastAsia="en-GB"/>
          </w:rPr>
          <w:t>2004</w:t>
        </w:r>
      </w:hyperlink>
      <w:r w:rsidR="00C36E51" w:rsidRPr="00C36E51">
        <w:rPr>
          <w:rFonts w:ascii="Times New Roman" w:eastAsia="Times New Roman" w:hAnsi="Times New Roman" w:cs="Times New Roman"/>
          <w:sz w:val="24"/>
          <w:szCs w:val="24"/>
          <w:lang w:eastAsia="en-GB"/>
        </w:rPr>
        <w:t>)</w:t>
      </w:r>
      <w:bookmarkEnd w:id="11"/>
      <w:r w:rsidR="00C36E51" w:rsidRPr="00C36E51">
        <w:rPr>
          <w:rFonts w:ascii="Times New Roman" w:eastAsia="Times New Roman" w:hAnsi="Times New Roman" w:cs="Times New Roman"/>
          <w:sz w:val="24"/>
          <w:szCs w:val="24"/>
          <w:lang w:eastAsia="en-GB"/>
        </w:rPr>
        <w:t xml:space="preserve"> cited by</w:t>
      </w:r>
      <w:r w:rsidR="00C36E51" w:rsidRPr="00C36E51">
        <w:rPr>
          <w:rFonts w:ascii="Times New Roman" w:hAnsi="Times New Roman" w:cs="Times New Roman"/>
          <w:sz w:val="24"/>
          <w:szCs w:val="24"/>
          <w:shd w:val="clear" w:color="auto" w:fill="FFFFFF"/>
        </w:rPr>
        <w:t xml:space="preserve"> Kolev, K., Haleblian, J., &amp; McNamara, G. (2012-06-07). </w:t>
      </w:r>
    </w:p>
    <w:p w14:paraId="6BA1B983" w14:textId="024D99B8" w:rsidR="00C36E51" w:rsidRPr="00C36E51" w:rsidRDefault="00C36E51" w:rsidP="00E139C5">
      <w:pPr>
        <w:shd w:val="clear" w:color="auto" w:fill="FFFFFF"/>
        <w:spacing w:after="0" w:line="360" w:lineRule="auto"/>
        <w:jc w:val="both"/>
        <w:rPr>
          <w:rFonts w:ascii="Times New Roman" w:eastAsia="Times New Roman" w:hAnsi="Times New Roman" w:cs="Times New Roman"/>
          <w:sz w:val="24"/>
          <w:szCs w:val="24"/>
          <w:lang w:eastAsia="en-GB"/>
        </w:rPr>
      </w:pPr>
      <w:r w:rsidRPr="00C36E51">
        <w:rPr>
          <w:rFonts w:ascii="Times New Roman" w:eastAsia="Times New Roman" w:hAnsi="Times New Roman" w:cs="Times New Roman"/>
          <w:sz w:val="24"/>
          <w:szCs w:val="24"/>
          <w:lang w:eastAsia="en-GB"/>
        </w:rPr>
        <w:t xml:space="preserve"> </w:t>
      </w:r>
      <w:r w:rsidRPr="00C36E51">
        <w:rPr>
          <w:rFonts w:ascii="Times New Roman" w:eastAsia="Times New Roman" w:hAnsi="Times New Roman" w:cs="Times New Roman"/>
          <w:color w:val="000000"/>
          <w:sz w:val="24"/>
          <w:szCs w:val="24"/>
          <w:shd w:val="clear" w:color="auto" w:fill="FFFFFF"/>
          <w:lang w:eastAsia="en-GB"/>
        </w:rPr>
        <w:t xml:space="preserve">Deregulation is another underlying cause for the emergence of merger and acquisition waves.  </w:t>
      </w:r>
      <w:bookmarkStart w:id="12" w:name="_Hlk39286688"/>
      <w:r w:rsidRPr="00C36E51">
        <w:rPr>
          <w:rFonts w:ascii="Times New Roman" w:eastAsia="Times New Roman" w:hAnsi="Times New Roman" w:cs="Times New Roman"/>
          <w:color w:val="000000"/>
          <w:sz w:val="24"/>
          <w:szCs w:val="24"/>
          <w:shd w:val="clear" w:color="auto" w:fill="FFFFFF"/>
          <w:lang w:eastAsia="en-GB"/>
        </w:rPr>
        <w:t xml:space="preserve">Mitchell and Mulherin </w:t>
      </w:r>
      <w:r w:rsidRPr="00C36E51">
        <w:rPr>
          <w:rFonts w:ascii="Times New Roman" w:eastAsia="Times New Roman" w:hAnsi="Times New Roman" w:cs="Times New Roman"/>
          <w:sz w:val="24"/>
          <w:szCs w:val="24"/>
          <w:shd w:val="clear" w:color="auto" w:fill="FFFFFF"/>
          <w:lang w:eastAsia="en-GB"/>
        </w:rPr>
        <w:t>(</w:t>
      </w:r>
      <w:hyperlink r:id="rId18" w:anchor="acprof-9780199601462-bibItem-75" w:history="1">
        <w:r w:rsidRPr="00C36E51">
          <w:rPr>
            <w:rFonts w:ascii="Times New Roman" w:eastAsia="Times New Roman" w:hAnsi="Times New Roman" w:cs="Times New Roman"/>
            <w:sz w:val="24"/>
            <w:szCs w:val="24"/>
            <w:u w:val="single"/>
            <w:shd w:val="clear" w:color="auto" w:fill="FFFFFF"/>
            <w:lang w:eastAsia="en-GB"/>
          </w:rPr>
          <w:t>1996</w:t>
        </w:r>
      </w:hyperlink>
      <w:r w:rsidRPr="00C36E51">
        <w:rPr>
          <w:rFonts w:ascii="Times New Roman" w:eastAsia="Times New Roman" w:hAnsi="Times New Roman" w:cs="Times New Roman"/>
          <w:sz w:val="24"/>
          <w:szCs w:val="24"/>
          <w:shd w:val="clear" w:color="auto" w:fill="FFFFFF"/>
          <w:lang w:eastAsia="en-GB"/>
        </w:rPr>
        <w:t>) cited by</w:t>
      </w:r>
      <w:r w:rsidRPr="00C36E51">
        <w:rPr>
          <w:rFonts w:ascii="Times New Roman" w:hAnsi="Times New Roman" w:cs="Times New Roman"/>
          <w:color w:val="000000"/>
          <w:sz w:val="24"/>
          <w:szCs w:val="24"/>
          <w:shd w:val="clear" w:color="auto" w:fill="FFFFFF"/>
        </w:rPr>
        <w:t xml:space="preserve"> Kolev, K., Haleblian, J., &amp; McNamara, G. (</w:t>
      </w:r>
      <w:r w:rsidRPr="00C36E51">
        <w:rPr>
          <w:rFonts w:ascii="Times New Roman" w:hAnsi="Times New Roman" w:cs="Times New Roman"/>
          <w:sz w:val="24"/>
          <w:szCs w:val="24"/>
          <w:shd w:val="clear" w:color="auto" w:fill="FFFFFF"/>
        </w:rPr>
        <w:t>2012-06-07)</w:t>
      </w:r>
      <w:bookmarkEnd w:id="12"/>
      <w:r w:rsidRPr="00C36E51">
        <w:rPr>
          <w:rFonts w:ascii="Times New Roman" w:eastAsia="Times New Roman" w:hAnsi="Times New Roman" w:cs="Times New Roman"/>
          <w:sz w:val="24"/>
          <w:szCs w:val="24"/>
          <w:shd w:val="clear" w:color="auto" w:fill="FFFFFF"/>
          <w:lang w:eastAsia="en-GB"/>
        </w:rPr>
        <w:t xml:space="preserve">, </w:t>
      </w:r>
      <w:r w:rsidRPr="00C36E51">
        <w:rPr>
          <w:rFonts w:ascii="Times New Roman" w:eastAsia="Times New Roman" w:hAnsi="Times New Roman" w:cs="Times New Roman"/>
          <w:color w:val="000000"/>
          <w:sz w:val="24"/>
          <w:szCs w:val="24"/>
          <w:shd w:val="clear" w:color="auto" w:fill="FFFFFF"/>
          <w:lang w:eastAsia="en-GB"/>
        </w:rPr>
        <w:t xml:space="preserve">outlines the </w:t>
      </w:r>
      <w:r w:rsidR="00115001" w:rsidRPr="00C36E51">
        <w:rPr>
          <w:rFonts w:ascii="Times New Roman" w:eastAsia="Times New Roman" w:hAnsi="Times New Roman" w:cs="Times New Roman"/>
          <w:color w:val="000000"/>
          <w:sz w:val="24"/>
          <w:szCs w:val="24"/>
          <w:shd w:val="clear" w:color="auto" w:fill="FFFFFF"/>
          <w:lang w:eastAsia="en-GB"/>
        </w:rPr>
        <w:t>effect</w:t>
      </w:r>
      <w:r w:rsidRPr="00C36E51">
        <w:rPr>
          <w:rFonts w:ascii="Times New Roman" w:eastAsia="Times New Roman" w:hAnsi="Times New Roman" w:cs="Times New Roman"/>
          <w:color w:val="000000"/>
          <w:sz w:val="24"/>
          <w:szCs w:val="24"/>
          <w:shd w:val="clear" w:color="auto" w:fill="FFFFFF"/>
          <w:lang w:eastAsia="en-GB"/>
        </w:rPr>
        <w:t xml:space="preserve"> of deregulation and show empirical support for its positive influence on total takeover activity.</w:t>
      </w:r>
      <w:r w:rsidRPr="00C36E51">
        <w:rPr>
          <w:rFonts w:ascii="Times New Roman" w:hAnsi="Times New Roman" w:cs="Times New Roman"/>
          <w:sz w:val="24"/>
          <w:szCs w:val="24"/>
        </w:rPr>
        <w:t xml:space="preserve"> </w:t>
      </w:r>
      <w:r w:rsidR="00BC59C1" w:rsidRPr="00C36E51">
        <w:rPr>
          <w:rFonts w:ascii="Times New Roman" w:hAnsi="Times New Roman" w:cs="Times New Roman"/>
          <w:sz w:val="24"/>
          <w:szCs w:val="24"/>
        </w:rPr>
        <w:t>SoftBank grabbed</w:t>
      </w:r>
      <w:r w:rsidRPr="00C36E51">
        <w:rPr>
          <w:rFonts w:ascii="Times New Roman" w:hAnsi="Times New Roman" w:cs="Times New Roman"/>
          <w:sz w:val="24"/>
          <w:szCs w:val="24"/>
        </w:rPr>
        <w:t xml:space="preserve"> this opportunity to buy due </w:t>
      </w:r>
      <w:r w:rsidR="00485B78">
        <w:rPr>
          <w:rFonts w:ascii="Times New Roman" w:hAnsi="Times New Roman" w:cs="Times New Roman"/>
          <w:sz w:val="24"/>
          <w:szCs w:val="24"/>
        </w:rPr>
        <w:t xml:space="preserve">to </w:t>
      </w:r>
      <w:r w:rsidRPr="00C36E51">
        <w:rPr>
          <w:rFonts w:ascii="Times New Roman" w:hAnsi="Times New Roman" w:cs="Times New Roman"/>
          <w:sz w:val="24"/>
          <w:szCs w:val="24"/>
        </w:rPr>
        <w:t xml:space="preserve">the deregulation of the markets and the pound sterling being at its weakest/lowest point due to currency exchange rate and fluctuations, the deal </w:t>
      </w:r>
      <w:r w:rsidR="00BC59C1" w:rsidRPr="00C36E51">
        <w:rPr>
          <w:rFonts w:ascii="Times New Roman" w:hAnsi="Times New Roman" w:cs="Times New Roman"/>
          <w:sz w:val="24"/>
          <w:szCs w:val="24"/>
        </w:rPr>
        <w:t>was buying</w:t>
      </w:r>
      <w:r w:rsidRPr="00C36E51">
        <w:rPr>
          <w:rFonts w:ascii="Times New Roman" w:hAnsi="Times New Roman" w:cs="Times New Roman"/>
          <w:sz w:val="24"/>
          <w:szCs w:val="24"/>
        </w:rPr>
        <w:t xml:space="preserve"> cheap, but his response was that no</w:t>
      </w:r>
    </w:p>
    <w:p w14:paraId="3656C170"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Social </w:t>
      </w:r>
    </w:p>
    <w:p w14:paraId="3947C06D" w14:textId="6A5F0BCE"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Social influences include </w:t>
      </w:r>
      <w:r w:rsidR="0099670A">
        <w:rPr>
          <w:rFonts w:ascii="Times New Roman" w:hAnsi="Times New Roman" w:cs="Times New Roman"/>
          <w:sz w:val="24"/>
          <w:szCs w:val="24"/>
        </w:rPr>
        <w:t xml:space="preserve">due to </w:t>
      </w:r>
      <w:r w:rsidRPr="00C36E51">
        <w:rPr>
          <w:rFonts w:ascii="Times New Roman" w:hAnsi="Times New Roman" w:cs="Times New Roman"/>
          <w:sz w:val="24"/>
          <w:szCs w:val="24"/>
        </w:rPr>
        <w:t>chang</w:t>
      </w:r>
      <w:r w:rsidR="0099670A">
        <w:rPr>
          <w:rFonts w:ascii="Times New Roman" w:hAnsi="Times New Roman" w:cs="Times New Roman"/>
          <w:sz w:val="24"/>
          <w:szCs w:val="24"/>
        </w:rPr>
        <w:t>es in c</w:t>
      </w:r>
      <w:r w:rsidRPr="00C36E51">
        <w:rPr>
          <w:rFonts w:ascii="Times New Roman" w:hAnsi="Times New Roman" w:cs="Times New Roman"/>
          <w:sz w:val="24"/>
          <w:szCs w:val="24"/>
        </w:rPr>
        <w:t>ultures and demographics.</w:t>
      </w:r>
      <w:r w:rsidR="0099670A">
        <w:rPr>
          <w:rFonts w:ascii="Times New Roman" w:hAnsi="Times New Roman" w:cs="Times New Roman"/>
          <w:sz w:val="24"/>
          <w:szCs w:val="24"/>
        </w:rPr>
        <w:t xml:space="preserve"> The changes </w:t>
      </w:r>
      <w:r w:rsidRPr="00C36E51">
        <w:rPr>
          <w:rFonts w:ascii="Times New Roman" w:hAnsi="Times New Roman" w:cs="Times New Roman"/>
          <w:sz w:val="24"/>
          <w:szCs w:val="24"/>
        </w:rPr>
        <w:t xml:space="preserve">in </w:t>
      </w:r>
      <w:r w:rsidR="00444490" w:rsidRPr="00C36E51">
        <w:rPr>
          <w:rFonts w:ascii="Times New Roman" w:hAnsi="Times New Roman" w:cs="Times New Roman"/>
          <w:sz w:val="24"/>
          <w:szCs w:val="24"/>
        </w:rPr>
        <w:t>technolog</w:t>
      </w:r>
      <w:r w:rsidR="00444490">
        <w:rPr>
          <w:rFonts w:ascii="Times New Roman" w:hAnsi="Times New Roman" w:cs="Times New Roman"/>
          <w:sz w:val="24"/>
          <w:szCs w:val="24"/>
        </w:rPr>
        <w:t xml:space="preserve">y, </w:t>
      </w:r>
      <w:r w:rsidR="00444490" w:rsidRPr="00C36E51">
        <w:rPr>
          <w:rFonts w:ascii="Times New Roman" w:hAnsi="Times New Roman" w:cs="Times New Roman"/>
          <w:sz w:val="24"/>
          <w:szCs w:val="24"/>
        </w:rPr>
        <w:t>society</w:t>
      </w:r>
      <w:r w:rsidRPr="00C36E51">
        <w:rPr>
          <w:rFonts w:ascii="Times New Roman" w:hAnsi="Times New Roman" w:cs="Times New Roman"/>
          <w:sz w:val="24"/>
          <w:szCs w:val="24"/>
        </w:rPr>
        <w:t xml:space="preserve"> is impacted as the customer needs and demand change with it. The huge trends in digitalisation which is global, and this era of interconnection in </w:t>
      </w:r>
      <w:r w:rsidR="00BC59C1" w:rsidRPr="00C36E51">
        <w:rPr>
          <w:rFonts w:ascii="Times New Roman" w:hAnsi="Times New Roman" w:cs="Times New Roman"/>
          <w:sz w:val="24"/>
          <w:szCs w:val="24"/>
        </w:rPr>
        <w:t>technologies,</w:t>
      </w:r>
      <w:r w:rsidRPr="00C36E51">
        <w:rPr>
          <w:rFonts w:ascii="Times New Roman" w:hAnsi="Times New Roman" w:cs="Times New Roman"/>
          <w:sz w:val="24"/>
          <w:szCs w:val="24"/>
        </w:rPr>
        <w:t xml:space="preserve"> people are affected differently due to different lifestyle and regions. This will require Softbank/ARM to design their products accordingly.</w:t>
      </w:r>
    </w:p>
    <w:p w14:paraId="6438BB30" w14:textId="77777777" w:rsidR="00A3718E" w:rsidRDefault="00A3718E" w:rsidP="00E139C5">
      <w:pPr>
        <w:spacing w:line="360" w:lineRule="auto"/>
        <w:jc w:val="both"/>
        <w:rPr>
          <w:rFonts w:ascii="Times New Roman" w:hAnsi="Times New Roman" w:cs="Times New Roman"/>
          <w:b/>
          <w:bCs/>
          <w:sz w:val="24"/>
          <w:szCs w:val="24"/>
        </w:rPr>
      </w:pPr>
    </w:p>
    <w:p w14:paraId="0458D36C" w14:textId="77777777" w:rsidR="00A3718E" w:rsidRDefault="00A3718E" w:rsidP="00E139C5">
      <w:pPr>
        <w:spacing w:line="360" w:lineRule="auto"/>
        <w:jc w:val="both"/>
        <w:rPr>
          <w:rFonts w:ascii="Times New Roman" w:hAnsi="Times New Roman" w:cs="Times New Roman"/>
          <w:b/>
          <w:bCs/>
          <w:sz w:val="24"/>
          <w:szCs w:val="24"/>
        </w:rPr>
      </w:pPr>
    </w:p>
    <w:p w14:paraId="2AAB064A" w14:textId="77777777" w:rsidR="00A3718E" w:rsidRDefault="00A3718E" w:rsidP="00E139C5">
      <w:pPr>
        <w:spacing w:line="360" w:lineRule="auto"/>
        <w:jc w:val="both"/>
        <w:rPr>
          <w:rFonts w:ascii="Times New Roman" w:hAnsi="Times New Roman" w:cs="Times New Roman"/>
          <w:b/>
          <w:bCs/>
          <w:sz w:val="24"/>
          <w:szCs w:val="24"/>
        </w:rPr>
      </w:pPr>
    </w:p>
    <w:p w14:paraId="3A259F70" w14:textId="77777777" w:rsidR="00A3718E" w:rsidRDefault="00A3718E" w:rsidP="00E139C5">
      <w:pPr>
        <w:spacing w:line="360" w:lineRule="auto"/>
        <w:jc w:val="both"/>
        <w:rPr>
          <w:rFonts w:ascii="Times New Roman" w:hAnsi="Times New Roman" w:cs="Times New Roman"/>
          <w:b/>
          <w:bCs/>
          <w:sz w:val="24"/>
          <w:szCs w:val="24"/>
        </w:rPr>
      </w:pPr>
    </w:p>
    <w:p w14:paraId="67EF53F5" w14:textId="77777777" w:rsidR="00A3718E" w:rsidRDefault="00A3718E" w:rsidP="00E139C5">
      <w:pPr>
        <w:spacing w:line="360" w:lineRule="auto"/>
        <w:jc w:val="both"/>
        <w:rPr>
          <w:rFonts w:ascii="Times New Roman" w:hAnsi="Times New Roman" w:cs="Times New Roman"/>
          <w:b/>
          <w:bCs/>
          <w:sz w:val="24"/>
          <w:szCs w:val="24"/>
        </w:rPr>
      </w:pPr>
    </w:p>
    <w:p w14:paraId="7B968F8E" w14:textId="506258A3"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lastRenderedPageBreak/>
        <w:t xml:space="preserve">Technology </w:t>
      </w:r>
    </w:p>
    <w:p w14:paraId="54B95C3C" w14:textId="119E4E0B" w:rsidR="00480054" w:rsidRDefault="00C36E51" w:rsidP="00480054">
      <w:pPr>
        <w:spacing w:line="360" w:lineRule="auto"/>
        <w:jc w:val="both"/>
        <w:rPr>
          <w:rFonts w:ascii="Times New Roman" w:eastAsia="Times New Roman" w:hAnsi="Times New Roman" w:cs="Times New Roman"/>
          <w:color w:val="000000"/>
          <w:sz w:val="24"/>
          <w:szCs w:val="24"/>
          <w:shd w:val="clear" w:color="auto" w:fill="FFFFFF"/>
          <w:lang w:eastAsia="en-GB"/>
        </w:rPr>
      </w:pPr>
      <w:r w:rsidRPr="00C36E51">
        <w:rPr>
          <w:rFonts w:ascii="Times New Roman" w:eastAsia="Times New Roman" w:hAnsi="Times New Roman" w:cs="Times New Roman"/>
          <w:color w:val="000000"/>
          <w:sz w:val="24"/>
          <w:szCs w:val="24"/>
          <w:shd w:val="clear" w:color="auto" w:fill="FFFFFF"/>
          <w:lang w:eastAsia="en-GB"/>
        </w:rPr>
        <w:t xml:space="preserve">New technology leads to reallocation of capital and mergers and acquisitions appear as an efficient way to redistribute corporate asset. For example, the arrival of IoT, a technological shock in  2020 </w:t>
      </w:r>
      <w:r w:rsidR="00BC59C1" w:rsidRPr="00C36E51">
        <w:rPr>
          <w:rFonts w:ascii="Times New Roman" w:eastAsia="Times New Roman" w:hAnsi="Times New Roman" w:cs="Times New Roman"/>
          <w:color w:val="000000"/>
          <w:sz w:val="24"/>
          <w:szCs w:val="24"/>
          <w:shd w:val="clear" w:color="auto" w:fill="FFFFFF"/>
          <w:lang w:eastAsia="en-GB"/>
        </w:rPr>
        <w:t>and beyond</w:t>
      </w:r>
      <w:r w:rsidRPr="00C36E51">
        <w:rPr>
          <w:rFonts w:ascii="Times New Roman" w:eastAsia="Times New Roman" w:hAnsi="Times New Roman" w:cs="Times New Roman"/>
          <w:color w:val="000000"/>
          <w:sz w:val="24"/>
          <w:szCs w:val="24"/>
          <w:shd w:val="clear" w:color="auto" w:fill="FFFFFF"/>
          <w:lang w:eastAsia="en-GB"/>
        </w:rPr>
        <w:t xml:space="preserve"> spurs the acquisition activity. This points out that the arrival of new technology</w:t>
      </w:r>
      <w:r w:rsidR="00480054">
        <w:rPr>
          <w:rFonts w:ascii="Times New Roman" w:eastAsia="Times New Roman" w:hAnsi="Times New Roman" w:cs="Times New Roman"/>
          <w:color w:val="000000"/>
          <w:sz w:val="24"/>
          <w:szCs w:val="24"/>
          <w:shd w:val="clear" w:color="auto" w:fill="FFFFFF"/>
          <w:lang w:eastAsia="en-GB"/>
        </w:rPr>
        <w:t xml:space="preserve">, organisations have to </w:t>
      </w:r>
      <w:r w:rsidR="00955D9F">
        <w:rPr>
          <w:rFonts w:ascii="Times New Roman" w:eastAsia="Times New Roman" w:hAnsi="Times New Roman" w:cs="Times New Roman"/>
          <w:color w:val="000000"/>
          <w:sz w:val="24"/>
          <w:szCs w:val="24"/>
          <w:shd w:val="clear" w:color="auto" w:fill="FFFFFF"/>
          <w:lang w:eastAsia="en-GB"/>
        </w:rPr>
        <w:t>be</w:t>
      </w:r>
      <w:r w:rsidR="00480054">
        <w:rPr>
          <w:rFonts w:ascii="Times New Roman" w:eastAsia="Times New Roman" w:hAnsi="Times New Roman" w:cs="Times New Roman"/>
          <w:color w:val="000000"/>
          <w:sz w:val="24"/>
          <w:szCs w:val="24"/>
          <w:shd w:val="clear" w:color="auto" w:fill="FFFFFF"/>
          <w:lang w:eastAsia="en-GB"/>
        </w:rPr>
        <w:t xml:space="preserve"> aware of what’s happening around them and </w:t>
      </w:r>
      <w:r w:rsidR="00BC59C1">
        <w:rPr>
          <w:rFonts w:ascii="Times New Roman" w:eastAsia="Times New Roman" w:hAnsi="Times New Roman" w:cs="Times New Roman"/>
          <w:color w:val="000000"/>
          <w:sz w:val="24"/>
          <w:szCs w:val="24"/>
          <w:shd w:val="clear" w:color="auto" w:fill="FFFFFF"/>
          <w:lang w:eastAsia="en-GB"/>
        </w:rPr>
        <w:t>adopt a</w:t>
      </w:r>
      <w:r w:rsidR="00480054">
        <w:rPr>
          <w:rFonts w:ascii="Times New Roman" w:eastAsia="Times New Roman" w:hAnsi="Times New Roman" w:cs="Times New Roman"/>
          <w:color w:val="000000"/>
          <w:sz w:val="24"/>
          <w:szCs w:val="24"/>
          <w:shd w:val="clear" w:color="auto" w:fill="FFFFFF"/>
          <w:lang w:eastAsia="en-GB"/>
        </w:rPr>
        <w:t xml:space="preserve"> strategy that will give them </w:t>
      </w:r>
      <w:r w:rsidR="00485B78">
        <w:rPr>
          <w:rFonts w:ascii="Times New Roman" w:eastAsia="Times New Roman" w:hAnsi="Times New Roman" w:cs="Times New Roman"/>
          <w:color w:val="000000"/>
          <w:sz w:val="24"/>
          <w:szCs w:val="24"/>
          <w:shd w:val="clear" w:color="auto" w:fill="FFFFFF"/>
          <w:lang w:eastAsia="en-GB"/>
        </w:rPr>
        <w:t xml:space="preserve">a </w:t>
      </w:r>
      <w:r w:rsidR="00480054">
        <w:rPr>
          <w:rFonts w:ascii="Times New Roman" w:eastAsia="Times New Roman" w:hAnsi="Times New Roman" w:cs="Times New Roman"/>
          <w:color w:val="000000"/>
          <w:sz w:val="24"/>
          <w:szCs w:val="24"/>
          <w:shd w:val="clear" w:color="auto" w:fill="FFFFFF"/>
          <w:lang w:eastAsia="en-GB"/>
        </w:rPr>
        <w:t>competitive advantage.</w:t>
      </w:r>
    </w:p>
    <w:p w14:paraId="37E91645" w14:textId="45E8229A" w:rsidR="00480054" w:rsidRPr="00C36E51" w:rsidRDefault="00480054" w:rsidP="00480054">
      <w:pPr>
        <w:spacing w:line="36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shd w:val="clear" w:color="auto" w:fill="FFFFFF"/>
          <w:lang w:eastAsia="en-GB"/>
        </w:rPr>
        <w:t xml:space="preserve"> </w:t>
      </w:r>
      <w:r w:rsidR="00C36E51" w:rsidRPr="00C36E51">
        <w:rPr>
          <w:rFonts w:ascii="Times New Roman" w:hAnsi="Times New Roman" w:cs="Times New Roman"/>
          <w:sz w:val="24"/>
          <w:szCs w:val="24"/>
        </w:rPr>
        <w:t xml:space="preserve">As technology evolves the future will depend on the connectivity this connectivity the internet of things (IoT) </w:t>
      </w:r>
      <w:r>
        <w:rPr>
          <w:rFonts w:ascii="Times New Roman" w:hAnsi="Times New Roman" w:cs="Times New Roman"/>
          <w:sz w:val="24"/>
          <w:szCs w:val="24"/>
        </w:rPr>
        <w:t xml:space="preserve"> </w:t>
      </w:r>
      <w:r w:rsidRPr="00C36E51">
        <w:rPr>
          <w:rFonts w:ascii="Times New Roman" w:hAnsi="Times New Roman" w:cs="Times New Roman"/>
          <w:sz w:val="24"/>
          <w:szCs w:val="24"/>
        </w:rPr>
        <w:t xml:space="preserve">(5G) network </w:t>
      </w:r>
      <w:r>
        <w:rPr>
          <w:rFonts w:ascii="Times New Roman" w:hAnsi="Times New Roman" w:cs="Times New Roman"/>
          <w:sz w:val="24"/>
          <w:szCs w:val="24"/>
        </w:rPr>
        <w:t xml:space="preserve">will play a big role and </w:t>
      </w:r>
      <w:r w:rsidR="00C36E51" w:rsidRPr="00C36E51">
        <w:rPr>
          <w:rFonts w:ascii="Times New Roman" w:hAnsi="Times New Roman" w:cs="Times New Roman"/>
          <w:sz w:val="24"/>
          <w:szCs w:val="24"/>
        </w:rPr>
        <w:t>impact society as all devices ranging from mobile and broadband will be entwined</w:t>
      </w:r>
      <w:r w:rsidR="00705BB6">
        <w:rPr>
          <w:rFonts w:ascii="Times New Roman" w:hAnsi="Times New Roman" w:cs="Times New Roman"/>
          <w:sz w:val="24"/>
          <w:szCs w:val="24"/>
        </w:rPr>
        <w:t xml:space="preserve">, </w:t>
      </w:r>
      <w:r w:rsidR="003247E5" w:rsidRPr="00C36E51">
        <w:rPr>
          <w:rFonts w:ascii="Times New Roman" w:hAnsi="Times New Roman" w:cs="Times New Roman"/>
          <w:sz w:val="24"/>
          <w:szCs w:val="24"/>
        </w:rPr>
        <w:t>therefore</w:t>
      </w:r>
      <w:r w:rsidR="00C36E51" w:rsidRPr="00C36E51">
        <w:rPr>
          <w:rFonts w:ascii="Times New Roman" w:hAnsi="Times New Roman" w:cs="Times New Roman"/>
          <w:sz w:val="24"/>
          <w:szCs w:val="24"/>
        </w:rPr>
        <w:t xml:space="preserve"> Softbank has to keep an eye on competition to match any new product or service that emerges from this.</w:t>
      </w:r>
      <w:r w:rsidRPr="00480054">
        <w:rPr>
          <w:rFonts w:ascii="Times New Roman" w:hAnsi="Times New Roman" w:cs="Times New Roman"/>
          <w:sz w:val="24"/>
          <w:szCs w:val="24"/>
        </w:rPr>
        <w:t xml:space="preserve"> </w:t>
      </w:r>
      <w:r w:rsidR="003247E5">
        <w:rPr>
          <w:rFonts w:ascii="Times New Roman" w:hAnsi="Times New Roman" w:cs="Times New Roman"/>
          <w:sz w:val="24"/>
          <w:szCs w:val="24"/>
        </w:rPr>
        <w:t xml:space="preserve">With </w:t>
      </w:r>
      <w:r w:rsidRPr="00C36E51">
        <w:rPr>
          <w:rFonts w:ascii="Times New Roman" w:hAnsi="Times New Roman" w:cs="Times New Roman"/>
          <w:sz w:val="24"/>
          <w:szCs w:val="24"/>
        </w:rPr>
        <w:t>visionary leadership Masayoshi, knew that even though the technology is yet to have a big market presence,</w:t>
      </w:r>
      <w:r w:rsidR="003247E5">
        <w:rPr>
          <w:rFonts w:ascii="Times New Roman" w:hAnsi="Times New Roman" w:cs="Times New Roman"/>
          <w:sz w:val="24"/>
          <w:szCs w:val="24"/>
        </w:rPr>
        <w:t xml:space="preserve"> </w:t>
      </w:r>
      <w:r w:rsidRPr="00C36E51">
        <w:rPr>
          <w:rFonts w:ascii="Times New Roman" w:hAnsi="Times New Roman" w:cs="Times New Roman"/>
          <w:sz w:val="24"/>
          <w:szCs w:val="24"/>
        </w:rPr>
        <w:t>the potential of the technology supporting connected things in the future, for example</w:t>
      </w:r>
      <w:r w:rsidR="003247E5">
        <w:rPr>
          <w:rFonts w:ascii="Times New Roman" w:hAnsi="Times New Roman" w:cs="Times New Roman"/>
          <w:sz w:val="24"/>
          <w:szCs w:val="24"/>
        </w:rPr>
        <w:t xml:space="preserve">, </w:t>
      </w:r>
      <w:r w:rsidRPr="00C36E51">
        <w:rPr>
          <w:rFonts w:ascii="Times New Roman" w:hAnsi="Times New Roman" w:cs="Times New Roman"/>
          <w:sz w:val="24"/>
          <w:szCs w:val="24"/>
        </w:rPr>
        <w:t xml:space="preserve"> self-driving cars will be the next big thing and now is the time to invest heavily. With these technology developments will lead to creation of jobs and these are the complexes organisations </w:t>
      </w:r>
      <w:r w:rsidR="0071211B" w:rsidRPr="00C36E51">
        <w:rPr>
          <w:rFonts w:ascii="Times New Roman" w:hAnsi="Times New Roman" w:cs="Times New Roman"/>
          <w:sz w:val="24"/>
          <w:szCs w:val="24"/>
        </w:rPr>
        <w:t>must</w:t>
      </w:r>
      <w:r w:rsidRPr="00C36E51">
        <w:rPr>
          <w:rFonts w:ascii="Times New Roman" w:hAnsi="Times New Roman" w:cs="Times New Roman"/>
          <w:sz w:val="24"/>
          <w:szCs w:val="24"/>
        </w:rPr>
        <w:t xml:space="preserve"> consider in strategic changes.</w:t>
      </w:r>
    </w:p>
    <w:p w14:paraId="6EFC8BDC"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Environment </w:t>
      </w:r>
    </w:p>
    <w:p w14:paraId="698E6E6E" w14:textId="45A75DFA" w:rsidR="00C36E51" w:rsidRPr="00C36E51" w:rsidRDefault="0071211B"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t>Organisations must take lead in keeping the environment safer and by ‘environment</w:t>
      </w:r>
      <w:r w:rsidR="00BC59C1">
        <w:rPr>
          <w:rFonts w:ascii="Times New Roman" w:hAnsi="Times New Roman" w:cs="Times New Roman"/>
          <w:sz w:val="24"/>
          <w:szCs w:val="24"/>
        </w:rPr>
        <w:t>’</w:t>
      </w:r>
      <w:r w:rsidR="00BC59C1" w:rsidRPr="00C36E51">
        <w:rPr>
          <w:rFonts w:ascii="Times New Roman" w:hAnsi="Times New Roman" w:cs="Times New Roman"/>
          <w:sz w:val="24"/>
          <w:szCs w:val="24"/>
        </w:rPr>
        <w:t xml:space="preserve"> </w:t>
      </w:r>
      <w:r w:rsidR="00BC59C1">
        <w:rPr>
          <w:rFonts w:ascii="Times New Roman" w:hAnsi="Times New Roman" w:cs="Times New Roman"/>
          <w:sz w:val="24"/>
          <w:szCs w:val="24"/>
        </w:rPr>
        <w:t>is</w:t>
      </w:r>
      <w:r>
        <w:rPr>
          <w:rFonts w:ascii="Times New Roman" w:hAnsi="Times New Roman" w:cs="Times New Roman"/>
          <w:sz w:val="24"/>
          <w:szCs w:val="24"/>
        </w:rPr>
        <w:t xml:space="preserve"> th</w:t>
      </w:r>
      <w:r w:rsidR="00C82E6B">
        <w:rPr>
          <w:rFonts w:ascii="Times New Roman" w:hAnsi="Times New Roman" w:cs="Times New Roman"/>
          <w:sz w:val="24"/>
          <w:szCs w:val="24"/>
        </w:rPr>
        <w:t>e</w:t>
      </w:r>
      <w:r>
        <w:rPr>
          <w:rFonts w:ascii="Times New Roman" w:hAnsi="Times New Roman" w:cs="Times New Roman"/>
          <w:sz w:val="24"/>
          <w:szCs w:val="24"/>
        </w:rPr>
        <w:t xml:space="preserve"> green issues, and contemporary businesses should have a green strategy in its strategic formulations. SoftBank Group in its acquisition strategy had to consider the green issues in different </w:t>
      </w:r>
      <w:r w:rsidR="00146CDE">
        <w:rPr>
          <w:rFonts w:ascii="Times New Roman" w:hAnsi="Times New Roman" w:cs="Times New Roman"/>
          <w:sz w:val="24"/>
          <w:szCs w:val="24"/>
        </w:rPr>
        <w:t>countries</w:t>
      </w:r>
      <w:r w:rsidR="00C36E51" w:rsidRPr="00C36E51">
        <w:rPr>
          <w:rFonts w:ascii="Times New Roman" w:hAnsi="Times New Roman" w:cs="Times New Roman"/>
          <w:sz w:val="24"/>
          <w:szCs w:val="24"/>
        </w:rPr>
        <w:t xml:space="preserve">.  Catastrophes leading to mass </w:t>
      </w:r>
      <w:r w:rsidR="00146CDE" w:rsidRPr="00C36E51">
        <w:rPr>
          <w:rFonts w:ascii="Times New Roman" w:hAnsi="Times New Roman" w:cs="Times New Roman"/>
          <w:sz w:val="24"/>
          <w:szCs w:val="24"/>
        </w:rPr>
        <w:t>disruptions</w:t>
      </w:r>
      <w:r w:rsidR="00146CDE">
        <w:rPr>
          <w:rFonts w:ascii="Times New Roman" w:hAnsi="Times New Roman" w:cs="Times New Roman"/>
          <w:sz w:val="24"/>
          <w:szCs w:val="24"/>
        </w:rPr>
        <w:t xml:space="preserve">, </w:t>
      </w:r>
      <w:r w:rsidR="00146CDE" w:rsidRPr="00C36E51">
        <w:rPr>
          <w:rFonts w:ascii="Times New Roman" w:hAnsi="Times New Roman" w:cs="Times New Roman"/>
          <w:sz w:val="24"/>
          <w:szCs w:val="24"/>
        </w:rPr>
        <w:t>currently</w:t>
      </w:r>
      <w:r w:rsidR="00C36E51" w:rsidRPr="00C36E51">
        <w:rPr>
          <w:rFonts w:ascii="Times New Roman" w:hAnsi="Times New Roman" w:cs="Times New Roman"/>
          <w:sz w:val="24"/>
          <w:szCs w:val="24"/>
        </w:rPr>
        <w:t xml:space="preserve"> </w:t>
      </w:r>
      <w:r w:rsidR="00146CDE">
        <w:rPr>
          <w:rFonts w:ascii="Times New Roman" w:hAnsi="Times New Roman" w:cs="Times New Roman"/>
          <w:sz w:val="24"/>
          <w:szCs w:val="24"/>
        </w:rPr>
        <w:t xml:space="preserve">faced with </w:t>
      </w:r>
      <w:r w:rsidR="00C36E51" w:rsidRPr="00C36E51">
        <w:rPr>
          <w:rFonts w:ascii="Times New Roman" w:hAnsi="Times New Roman" w:cs="Times New Roman"/>
          <w:sz w:val="24"/>
          <w:szCs w:val="24"/>
        </w:rPr>
        <w:t xml:space="preserve">pandemic </w:t>
      </w:r>
      <w:r w:rsidR="00146CDE">
        <w:rPr>
          <w:rFonts w:ascii="Times New Roman" w:hAnsi="Times New Roman" w:cs="Times New Roman"/>
          <w:sz w:val="24"/>
          <w:szCs w:val="24"/>
        </w:rPr>
        <w:t xml:space="preserve">COVID-19, still is </w:t>
      </w:r>
      <w:r w:rsidR="00C36E51" w:rsidRPr="00C36E51">
        <w:rPr>
          <w:rFonts w:ascii="Times New Roman" w:hAnsi="Times New Roman" w:cs="Times New Roman"/>
          <w:sz w:val="24"/>
          <w:szCs w:val="24"/>
        </w:rPr>
        <w:t>disrup</w:t>
      </w:r>
      <w:r w:rsidR="00146CDE">
        <w:rPr>
          <w:rFonts w:ascii="Times New Roman" w:hAnsi="Times New Roman" w:cs="Times New Roman"/>
          <w:sz w:val="24"/>
          <w:szCs w:val="24"/>
        </w:rPr>
        <w:t xml:space="preserve">ting </w:t>
      </w:r>
      <w:r w:rsidR="00C36E51" w:rsidRPr="00C36E51">
        <w:rPr>
          <w:rFonts w:ascii="Times New Roman" w:hAnsi="Times New Roman" w:cs="Times New Roman"/>
          <w:sz w:val="24"/>
          <w:szCs w:val="24"/>
        </w:rPr>
        <w:t>the environment</w:t>
      </w:r>
      <w:r w:rsidR="00146CDE">
        <w:rPr>
          <w:rFonts w:ascii="Times New Roman" w:hAnsi="Times New Roman" w:cs="Times New Roman"/>
          <w:sz w:val="24"/>
          <w:szCs w:val="24"/>
        </w:rPr>
        <w:t xml:space="preserve">, coupled with </w:t>
      </w:r>
      <w:r w:rsidR="00C36E51" w:rsidRPr="00C36E51">
        <w:rPr>
          <w:rFonts w:ascii="Times New Roman" w:hAnsi="Times New Roman" w:cs="Times New Roman"/>
          <w:sz w:val="24"/>
          <w:szCs w:val="24"/>
        </w:rPr>
        <w:t>consumers  becoming more inquisitive and knowledge</w:t>
      </w:r>
      <w:r w:rsidR="00146CDE">
        <w:rPr>
          <w:rFonts w:ascii="Times New Roman" w:hAnsi="Times New Roman" w:cs="Times New Roman"/>
          <w:sz w:val="24"/>
          <w:szCs w:val="24"/>
        </w:rPr>
        <w:t>able</w:t>
      </w:r>
      <w:r w:rsidR="00C36E51" w:rsidRPr="00C36E51">
        <w:rPr>
          <w:rFonts w:ascii="Times New Roman" w:hAnsi="Times New Roman" w:cs="Times New Roman"/>
          <w:sz w:val="24"/>
          <w:szCs w:val="24"/>
        </w:rPr>
        <w:t xml:space="preserve"> and with more interest in 5G connection as little is known about</w:t>
      </w:r>
      <w:r w:rsidR="00146CDE">
        <w:rPr>
          <w:rFonts w:ascii="Times New Roman" w:hAnsi="Times New Roman" w:cs="Times New Roman"/>
          <w:sz w:val="24"/>
          <w:szCs w:val="24"/>
        </w:rPr>
        <w:t xml:space="preserve"> it</w:t>
      </w:r>
      <w:r w:rsidR="00C82E6B">
        <w:rPr>
          <w:rFonts w:ascii="Times New Roman" w:hAnsi="Times New Roman" w:cs="Times New Roman"/>
          <w:sz w:val="24"/>
          <w:szCs w:val="24"/>
        </w:rPr>
        <w:t xml:space="preserve">s </w:t>
      </w:r>
      <w:r w:rsidR="00C36E51" w:rsidRPr="00C36E51">
        <w:rPr>
          <w:rFonts w:ascii="Times New Roman" w:hAnsi="Times New Roman" w:cs="Times New Roman"/>
          <w:sz w:val="24"/>
          <w:szCs w:val="24"/>
        </w:rPr>
        <w:t xml:space="preserve">great impact on the environment  </w:t>
      </w:r>
      <w:r w:rsidR="00146CDE">
        <w:rPr>
          <w:rFonts w:ascii="Times New Roman" w:hAnsi="Times New Roman" w:cs="Times New Roman"/>
          <w:sz w:val="24"/>
          <w:szCs w:val="24"/>
        </w:rPr>
        <w:t>especially</w:t>
      </w:r>
      <w:r w:rsidR="00C82E6B">
        <w:rPr>
          <w:rFonts w:ascii="Times New Roman" w:hAnsi="Times New Roman" w:cs="Times New Roman"/>
          <w:sz w:val="24"/>
          <w:szCs w:val="24"/>
        </w:rPr>
        <w:t xml:space="preserve"> </w:t>
      </w:r>
      <w:r w:rsidR="00146CDE">
        <w:rPr>
          <w:rFonts w:ascii="Times New Roman" w:hAnsi="Times New Roman" w:cs="Times New Roman"/>
          <w:sz w:val="24"/>
          <w:szCs w:val="24"/>
        </w:rPr>
        <w:t xml:space="preserve">in the </w:t>
      </w:r>
      <w:r w:rsidR="00C36E51" w:rsidRPr="00C36E51">
        <w:rPr>
          <w:rFonts w:ascii="Times New Roman" w:hAnsi="Times New Roman" w:cs="Times New Roman"/>
          <w:sz w:val="24"/>
          <w:szCs w:val="24"/>
        </w:rPr>
        <w:t xml:space="preserve">technology </w:t>
      </w:r>
      <w:r w:rsidR="00146CDE">
        <w:rPr>
          <w:rFonts w:ascii="Times New Roman" w:hAnsi="Times New Roman" w:cs="Times New Roman"/>
          <w:sz w:val="24"/>
          <w:szCs w:val="24"/>
        </w:rPr>
        <w:t>industry</w:t>
      </w:r>
      <w:r w:rsidR="00C82E6B">
        <w:rPr>
          <w:rFonts w:ascii="Times New Roman" w:hAnsi="Times New Roman" w:cs="Times New Roman"/>
          <w:sz w:val="24"/>
          <w:szCs w:val="24"/>
        </w:rPr>
        <w:t>.</w:t>
      </w:r>
    </w:p>
    <w:p w14:paraId="182F6760"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t>Legal.</w:t>
      </w:r>
    </w:p>
    <w:p w14:paraId="6D9D998D" w14:textId="4942B8D4"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Embraces legislative constrains for this case restrictions on company mergers and acquisition.  Investments and acquisition of foreign companies bring about its advantages and disadvantages. The legal requirements in Japan are not the same as in the United Kingdom for different industries. This is a critical area in strategic management, due to different, cultures, customers, health and safety, a decision should not be made lightly. For instance, in its acquisition</w:t>
      </w:r>
      <w:r w:rsidR="00C82E6B">
        <w:rPr>
          <w:rFonts w:ascii="Times New Roman" w:hAnsi="Times New Roman" w:cs="Times New Roman"/>
          <w:sz w:val="24"/>
          <w:szCs w:val="24"/>
        </w:rPr>
        <w:t>,</w:t>
      </w:r>
      <w:r w:rsidRPr="00C36E51">
        <w:rPr>
          <w:rFonts w:ascii="Times New Roman" w:hAnsi="Times New Roman" w:cs="Times New Roman"/>
          <w:sz w:val="24"/>
          <w:szCs w:val="24"/>
        </w:rPr>
        <w:t xml:space="preserve"> Softbank had to justify the requirements and the good thing for this acquisition to </w:t>
      </w:r>
      <w:r w:rsidRPr="00C36E51">
        <w:rPr>
          <w:rFonts w:ascii="Times New Roman" w:hAnsi="Times New Roman" w:cs="Times New Roman"/>
          <w:sz w:val="24"/>
          <w:szCs w:val="24"/>
        </w:rPr>
        <w:lastRenderedPageBreak/>
        <w:t>be concluded withi</w:t>
      </w:r>
      <w:r w:rsidR="00C82E6B">
        <w:rPr>
          <w:rFonts w:ascii="Times New Roman" w:hAnsi="Times New Roman" w:cs="Times New Roman"/>
          <w:sz w:val="24"/>
          <w:szCs w:val="24"/>
        </w:rPr>
        <w:t xml:space="preserve">n </w:t>
      </w:r>
      <w:r w:rsidRPr="00C36E51">
        <w:rPr>
          <w:rFonts w:ascii="Times New Roman" w:hAnsi="Times New Roman" w:cs="Times New Roman"/>
          <w:sz w:val="24"/>
          <w:szCs w:val="24"/>
        </w:rPr>
        <w:t xml:space="preserve"> weeks it was because, there was no conflict of interest. www.softbank.com</w:t>
      </w:r>
    </w:p>
    <w:p w14:paraId="5218A198" w14:textId="400C3AB0"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Another legal aspect is the huge cost of legal </w:t>
      </w:r>
      <w:r w:rsidR="00BC59C1" w:rsidRPr="00C36E51">
        <w:rPr>
          <w:rFonts w:ascii="Times New Roman" w:hAnsi="Times New Roman" w:cs="Times New Roman"/>
          <w:sz w:val="24"/>
          <w:szCs w:val="24"/>
        </w:rPr>
        <w:t>proceedings.</w:t>
      </w:r>
      <w:r w:rsidRPr="00C36E51">
        <w:rPr>
          <w:rFonts w:ascii="Times New Roman" w:hAnsi="Times New Roman" w:cs="Times New Roman"/>
          <w:sz w:val="24"/>
          <w:szCs w:val="24"/>
        </w:rPr>
        <w:t xml:space="preserve"> This is a more complex area due to various jurisdictions with different laws.  Technology companies </w:t>
      </w:r>
      <w:r w:rsidR="00BC59C1" w:rsidRPr="00C36E51">
        <w:rPr>
          <w:rFonts w:ascii="Times New Roman" w:hAnsi="Times New Roman" w:cs="Times New Roman"/>
          <w:sz w:val="24"/>
          <w:szCs w:val="24"/>
        </w:rPr>
        <w:t>must</w:t>
      </w:r>
      <w:r w:rsidRPr="00C36E51">
        <w:rPr>
          <w:rFonts w:ascii="Times New Roman" w:hAnsi="Times New Roman" w:cs="Times New Roman"/>
          <w:sz w:val="24"/>
          <w:szCs w:val="24"/>
        </w:rPr>
        <w:t xml:space="preserve"> be on constant watch of any developments as they can pay the price for not doing so leading to penalties that can put a dent on brad reputation.</w:t>
      </w:r>
    </w:p>
    <w:p w14:paraId="15FC294D" w14:textId="2C5B202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Softbank being a technological company, must be aware of what’s happening as this industry is volatile. The industry faces a lot of challenges from hackers and breach of data. ARM was experiencing hacker who set out interfere with the software. Faced with such risks sometimes hits</w:t>
      </w:r>
      <w:r w:rsidR="007120FA">
        <w:rPr>
          <w:rFonts w:ascii="Times New Roman" w:hAnsi="Times New Roman" w:cs="Times New Roman"/>
          <w:sz w:val="24"/>
          <w:szCs w:val="24"/>
        </w:rPr>
        <w:t>.</w:t>
      </w:r>
    </w:p>
    <w:p w14:paraId="05C923BA" w14:textId="60CBCEB2"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To further understand</w:t>
      </w:r>
      <w:r w:rsidR="00C82E6B">
        <w:rPr>
          <w:rFonts w:ascii="Times New Roman" w:hAnsi="Times New Roman" w:cs="Times New Roman"/>
          <w:sz w:val="24"/>
          <w:szCs w:val="24"/>
        </w:rPr>
        <w:t xml:space="preserve"> </w:t>
      </w:r>
      <w:r w:rsidRPr="00C36E51">
        <w:rPr>
          <w:rFonts w:ascii="Times New Roman" w:hAnsi="Times New Roman" w:cs="Times New Roman"/>
          <w:sz w:val="24"/>
          <w:szCs w:val="24"/>
        </w:rPr>
        <w:t xml:space="preserve">SoftBank </w:t>
      </w:r>
      <w:r w:rsidR="00115001">
        <w:rPr>
          <w:rFonts w:ascii="Times New Roman" w:hAnsi="Times New Roman" w:cs="Times New Roman"/>
          <w:sz w:val="24"/>
          <w:szCs w:val="24"/>
        </w:rPr>
        <w:t xml:space="preserve">buy out </w:t>
      </w:r>
      <w:r w:rsidRPr="00C36E51">
        <w:rPr>
          <w:rFonts w:ascii="Times New Roman" w:hAnsi="Times New Roman" w:cs="Times New Roman"/>
          <w:sz w:val="24"/>
          <w:szCs w:val="24"/>
        </w:rPr>
        <w:t xml:space="preserve">of ARM, </w:t>
      </w:r>
      <w:r w:rsidR="002B72A2">
        <w:rPr>
          <w:rFonts w:ascii="Times New Roman" w:hAnsi="Times New Roman" w:cs="Times New Roman"/>
          <w:sz w:val="24"/>
          <w:szCs w:val="24"/>
        </w:rPr>
        <w:t>it is</w:t>
      </w:r>
      <w:r w:rsidRPr="00C36E51">
        <w:rPr>
          <w:rFonts w:ascii="Times New Roman" w:hAnsi="Times New Roman" w:cs="Times New Roman"/>
          <w:sz w:val="24"/>
          <w:szCs w:val="24"/>
        </w:rPr>
        <w:t xml:space="preserve"> very crucial to look at the internal environment of the company to better assess the strategic reasons.</w:t>
      </w:r>
    </w:p>
    <w:p w14:paraId="106C4541"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t xml:space="preserve">Internal Analysis </w:t>
      </w:r>
    </w:p>
    <w:p w14:paraId="24A9884F" w14:textId="198B4F6C"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color w:val="222222"/>
          <w:sz w:val="24"/>
          <w:szCs w:val="24"/>
          <w:shd w:val="clear" w:color="auto" w:fill="FFFFFF"/>
        </w:rPr>
        <w:t xml:space="preserve">SWOT analysis is a technique which used to </w:t>
      </w:r>
      <w:r w:rsidR="00D41C1E" w:rsidRPr="00C36E51">
        <w:rPr>
          <w:rFonts w:ascii="Times New Roman" w:hAnsi="Times New Roman" w:cs="Times New Roman"/>
          <w:color w:val="222222"/>
          <w:sz w:val="24"/>
          <w:szCs w:val="24"/>
          <w:shd w:val="clear" w:color="auto" w:fill="FFFFFF"/>
        </w:rPr>
        <w:t>recognise</w:t>
      </w:r>
      <w:r w:rsidRPr="00C36E51">
        <w:rPr>
          <w:rFonts w:ascii="Times New Roman" w:hAnsi="Times New Roman" w:cs="Times New Roman"/>
          <w:color w:val="222222"/>
          <w:sz w:val="24"/>
          <w:szCs w:val="24"/>
          <w:shd w:val="clear" w:color="auto" w:fill="FFFFFF"/>
        </w:rPr>
        <w:t xml:space="preserve"> the company's strength, weakness, opportunities and threats. (Johnson. G. et.al, 2009, p.83. </w:t>
      </w:r>
    </w:p>
    <w:p w14:paraId="16DF134C"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Acquisition SWOT analysis</w:t>
      </w:r>
    </w:p>
    <w:tbl>
      <w:tblPr>
        <w:tblStyle w:val="TableGrid2"/>
        <w:tblW w:w="0" w:type="auto"/>
        <w:tblLook w:val="04A0" w:firstRow="1" w:lastRow="0" w:firstColumn="1" w:lastColumn="0" w:noHBand="0" w:noVBand="1"/>
      </w:tblPr>
      <w:tblGrid>
        <w:gridCol w:w="4508"/>
        <w:gridCol w:w="4508"/>
      </w:tblGrid>
      <w:tr w:rsidR="00C36E51" w:rsidRPr="00C36E51" w14:paraId="4BC0B950" w14:textId="77777777" w:rsidTr="00E139C5">
        <w:tc>
          <w:tcPr>
            <w:tcW w:w="4508" w:type="dxa"/>
          </w:tcPr>
          <w:p w14:paraId="06F400DC"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Strength</w:t>
            </w:r>
          </w:p>
          <w:p w14:paraId="59D1BEE1" w14:textId="77777777" w:rsidR="00C36E51" w:rsidRPr="00C36E51" w:rsidRDefault="00C36E51" w:rsidP="00E139C5">
            <w:pPr>
              <w:spacing w:line="360" w:lineRule="auto"/>
              <w:jc w:val="both"/>
              <w:rPr>
                <w:rFonts w:ascii="Times New Roman" w:hAnsi="Times New Roman" w:cs="Times New Roman"/>
                <w:sz w:val="24"/>
                <w:szCs w:val="24"/>
              </w:rPr>
            </w:pPr>
          </w:p>
        </w:tc>
        <w:tc>
          <w:tcPr>
            <w:tcW w:w="4508" w:type="dxa"/>
          </w:tcPr>
          <w:p w14:paraId="5E94981A"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Weakness </w:t>
            </w:r>
          </w:p>
          <w:p w14:paraId="059BF989" w14:textId="77777777" w:rsidR="00C36E51" w:rsidRPr="00C36E51" w:rsidRDefault="00C36E51" w:rsidP="00E139C5">
            <w:pPr>
              <w:spacing w:line="360" w:lineRule="auto"/>
              <w:jc w:val="both"/>
              <w:rPr>
                <w:rFonts w:ascii="Times New Roman" w:hAnsi="Times New Roman" w:cs="Times New Roman"/>
                <w:sz w:val="24"/>
                <w:szCs w:val="24"/>
              </w:rPr>
            </w:pPr>
          </w:p>
        </w:tc>
      </w:tr>
      <w:tr w:rsidR="00C36E51" w:rsidRPr="00C36E51" w14:paraId="0EFBDA68" w14:textId="77777777" w:rsidTr="00E139C5">
        <w:tc>
          <w:tcPr>
            <w:tcW w:w="4508" w:type="dxa"/>
          </w:tcPr>
          <w:p w14:paraId="3B9202E9" w14:textId="77777777" w:rsidR="00C36E51" w:rsidRPr="00C36E51" w:rsidRDefault="00C36E51"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 xml:space="preserve">Finance ( Vision Fund)- Invents heavily in ARM new technologies and Human Capital </w:t>
            </w:r>
          </w:p>
          <w:p w14:paraId="6B867E1B" w14:textId="77777777" w:rsidR="00C36E51" w:rsidRPr="00C36E51" w:rsidRDefault="00C36E51"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Assets ( large portfolio) make it easier to strengthen ARM</w:t>
            </w:r>
          </w:p>
          <w:p w14:paraId="21A0CD5E" w14:textId="77777777" w:rsidR="00C36E51" w:rsidRPr="00C36E51" w:rsidRDefault="00C36E51"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Skilled labour force skilled engineers’ ecosystem at Cambridge and worldwide.</w:t>
            </w:r>
          </w:p>
          <w:p w14:paraId="30F356DB" w14:textId="77777777" w:rsidR="00C36E51" w:rsidRPr="00C36E51" w:rsidRDefault="00C36E51"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 xml:space="preserve">New Market Entry/growth: ARM’s multiple applications across a range of markets - </w:t>
            </w:r>
          </w:p>
          <w:p w14:paraId="0257E2E2" w14:textId="521E0127" w:rsidR="00C36E51" w:rsidRPr="00C36E51" w:rsidRDefault="00715CC2"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lastRenderedPageBreak/>
              <w:t>Partnerships;</w:t>
            </w:r>
            <w:r>
              <w:rPr>
                <w:rFonts w:ascii="Times New Roman" w:eastAsiaTheme="minorEastAsia" w:hAnsi="Times New Roman" w:cs="Times New Roman"/>
                <w:sz w:val="24"/>
                <w:szCs w:val="24"/>
                <w:lang w:eastAsia="tr-TR"/>
              </w:rPr>
              <w:t xml:space="preserve"> collaboration </w:t>
            </w:r>
            <w:r w:rsidR="00C36E51" w:rsidRPr="00C36E51">
              <w:rPr>
                <w:rFonts w:ascii="Times New Roman" w:eastAsiaTheme="minorEastAsia" w:hAnsi="Times New Roman" w:cs="Times New Roman"/>
                <w:sz w:val="24"/>
                <w:szCs w:val="24"/>
                <w:lang w:eastAsia="tr-TR"/>
              </w:rPr>
              <w:t xml:space="preserve">with </w:t>
            </w:r>
            <w:r>
              <w:rPr>
                <w:rFonts w:ascii="Times New Roman" w:eastAsiaTheme="minorEastAsia" w:hAnsi="Times New Roman" w:cs="Times New Roman"/>
                <w:sz w:val="24"/>
                <w:szCs w:val="24"/>
                <w:lang w:eastAsia="tr-TR"/>
              </w:rPr>
              <w:t xml:space="preserve">customers, </w:t>
            </w:r>
            <w:r w:rsidR="00C36E51" w:rsidRPr="00C36E51">
              <w:rPr>
                <w:rFonts w:ascii="Times New Roman" w:eastAsiaTheme="minorEastAsia" w:hAnsi="Times New Roman" w:cs="Times New Roman"/>
                <w:sz w:val="24"/>
                <w:szCs w:val="24"/>
                <w:lang w:eastAsia="tr-TR"/>
              </w:rPr>
              <w:t>suppliers, dealers,</w:t>
            </w:r>
            <w:r>
              <w:rPr>
                <w:rFonts w:ascii="Times New Roman" w:eastAsiaTheme="minorEastAsia" w:hAnsi="Times New Roman" w:cs="Times New Roman"/>
                <w:sz w:val="24"/>
                <w:szCs w:val="24"/>
                <w:lang w:eastAsia="tr-TR"/>
              </w:rPr>
              <w:t xml:space="preserve"> </w:t>
            </w:r>
            <w:r w:rsidR="00C36E51" w:rsidRPr="00C36E51">
              <w:rPr>
                <w:rFonts w:ascii="Times New Roman" w:eastAsiaTheme="minorEastAsia" w:hAnsi="Times New Roman" w:cs="Times New Roman"/>
                <w:sz w:val="24"/>
                <w:szCs w:val="24"/>
                <w:lang w:eastAsia="tr-TR"/>
              </w:rPr>
              <w:t>and other stakeholders. Good leverage in the future if a need</w:t>
            </w:r>
          </w:p>
          <w:p w14:paraId="00A7AAFB" w14:textId="2EB287F5" w:rsidR="00C36E51" w:rsidRPr="00C36E51" w:rsidRDefault="00C36E51"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Arm global leader: R&amp;D outsource to semiconductor companies</w:t>
            </w:r>
          </w:p>
          <w:p w14:paraId="3B571F7A" w14:textId="77777777" w:rsidR="00C36E51" w:rsidRPr="00C36E51" w:rsidRDefault="00C36E51" w:rsidP="00E139C5">
            <w:pPr>
              <w:numPr>
                <w:ilvl w:val="0"/>
                <w:numId w:val="20"/>
              </w:numPr>
              <w:spacing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Arms innovative model yields high margins- upfront licence fee and percentage per chip price.</w:t>
            </w:r>
          </w:p>
          <w:p w14:paraId="185F4FF4" w14:textId="77777777" w:rsidR="00C36E51" w:rsidRPr="00C36E51" w:rsidRDefault="00C36E51" w:rsidP="00E139C5">
            <w:pPr>
              <w:spacing w:line="360" w:lineRule="auto"/>
              <w:ind w:left="720"/>
              <w:jc w:val="both"/>
              <w:rPr>
                <w:rFonts w:ascii="Times New Roman" w:hAnsi="Times New Roman" w:cs="Times New Roman"/>
                <w:sz w:val="24"/>
                <w:szCs w:val="24"/>
              </w:rPr>
            </w:pPr>
          </w:p>
          <w:p w14:paraId="1B8AF2B3" w14:textId="77777777" w:rsidR="00C36E51" w:rsidRPr="00C36E51" w:rsidRDefault="00C36E51" w:rsidP="00E139C5">
            <w:pPr>
              <w:spacing w:line="360" w:lineRule="auto"/>
              <w:jc w:val="both"/>
              <w:rPr>
                <w:rFonts w:ascii="Times New Roman" w:hAnsi="Times New Roman" w:cs="Times New Roman"/>
                <w:sz w:val="24"/>
                <w:szCs w:val="24"/>
              </w:rPr>
            </w:pPr>
          </w:p>
        </w:tc>
        <w:tc>
          <w:tcPr>
            <w:tcW w:w="4508" w:type="dxa"/>
          </w:tcPr>
          <w:tbl>
            <w:tblPr>
              <w:tblW w:w="0" w:type="auto"/>
              <w:tblLook w:val="04A0" w:firstRow="1" w:lastRow="0" w:firstColumn="1" w:lastColumn="0" w:noHBand="0" w:noVBand="1"/>
            </w:tblPr>
            <w:tblGrid>
              <w:gridCol w:w="4292"/>
            </w:tblGrid>
            <w:tr w:rsidR="00C36E51" w:rsidRPr="00C36E51" w14:paraId="4F4F584C" w14:textId="77777777" w:rsidTr="00E139C5">
              <w:trPr>
                <w:trHeight w:val="2311"/>
              </w:trPr>
              <w:tc>
                <w:tcPr>
                  <w:tcW w:w="4433" w:type="dxa"/>
                </w:tcPr>
                <w:p w14:paraId="3C8D7333" w14:textId="77777777" w:rsidR="00C36E51" w:rsidRPr="00C36E51" w:rsidRDefault="00C36E51" w:rsidP="00E139C5">
                  <w:pPr>
                    <w:numPr>
                      <w:ilvl w:val="0"/>
                      <w:numId w:val="5"/>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lastRenderedPageBreak/>
                    <w:t>ARM needs a lot of attention</w:t>
                  </w:r>
                  <w:r w:rsidRPr="00C36E51">
                    <w:rPr>
                      <w:rFonts w:ascii="Times New Roman" w:hAnsi="Times New Roman" w:cs="Times New Roman"/>
                      <w:b/>
                      <w:bCs/>
                      <w:sz w:val="24"/>
                      <w:szCs w:val="24"/>
                    </w:rPr>
                    <w:t xml:space="preserve"> </w:t>
                  </w:r>
                  <w:r w:rsidRPr="00C36E51">
                    <w:rPr>
                      <w:rFonts w:ascii="Times New Roman" w:hAnsi="Times New Roman" w:cs="Times New Roman"/>
                      <w:sz w:val="24"/>
                      <w:szCs w:val="24"/>
                    </w:rPr>
                    <w:t>to a much of a handful for the already heavily leveraged soft bank.</w:t>
                  </w:r>
                </w:p>
                <w:p w14:paraId="198951E2" w14:textId="1C05CA4C" w:rsidR="00C36E51" w:rsidRPr="00C36E51" w:rsidRDefault="00C36E51" w:rsidP="00E139C5">
                  <w:pPr>
                    <w:numPr>
                      <w:ilvl w:val="0"/>
                      <w:numId w:val="5"/>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R&amp;D; spending less than its competitors within the industry that have </w:t>
                  </w:r>
                  <w:r w:rsidR="007120FA">
                    <w:rPr>
                      <w:rFonts w:ascii="Times New Roman" w:hAnsi="Times New Roman" w:cs="Times New Roman"/>
                      <w:sz w:val="24"/>
                      <w:szCs w:val="24"/>
                    </w:rPr>
                    <w:t xml:space="preserve">an </w:t>
                  </w:r>
                  <w:r w:rsidRPr="00C36E51">
                    <w:rPr>
                      <w:rFonts w:ascii="Times New Roman" w:hAnsi="Times New Roman" w:cs="Times New Roman"/>
                      <w:sz w:val="24"/>
                      <w:szCs w:val="24"/>
                    </w:rPr>
                    <w:t>advantage over Softbank e.g. Intel</w:t>
                  </w:r>
                </w:p>
                <w:p w14:paraId="44170339" w14:textId="77777777" w:rsidR="00C36E51" w:rsidRPr="00C36E51" w:rsidRDefault="00C36E51" w:rsidP="00E139C5">
                  <w:pPr>
                    <w:numPr>
                      <w:ilvl w:val="0"/>
                      <w:numId w:val="5"/>
                    </w:numPr>
                    <w:spacing w:line="360" w:lineRule="auto"/>
                    <w:jc w:val="both"/>
                    <w:rPr>
                      <w:rFonts w:ascii="Times New Roman" w:hAnsi="Times New Roman" w:cs="Times New Roman"/>
                      <w:b/>
                      <w:bCs/>
                      <w:sz w:val="24"/>
                      <w:szCs w:val="24"/>
                    </w:rPr>
                  </w:pPr>
                  <w:r w:rsidRPr="00C36E51">
                    <w:rPr>
                      <w:rFonts w:ascii="Times New Roman" w:hAnsi="Times New Roman" w:cs="Times New Roman"/>
                      <w:sz w:val="24"/>
                      <w:szCs w:val="24"/>
                    </w:rPr>
                    <w:t>Cash flow problems, sold supercell and some of its shares in Alibaba to pay cash for the acquisition of ARM, adds to its debt.</w:t>
                  </w:r>
                </w:p>
                <w:p w14:paraId="41E37D6B" w14:textId="77777777" w:rsidR="00C36E51" w:rsidRPr="00C36E51" w:rsidRDefault="00C36E51" w:rsidP="00E139C5">
                  <w:pPr>
                    <w:spacing w:line="360" w:lineRule="auto"/>
                    <w:ind w:left="360"/>
                    <w:jc w:val="both"/>
                    <w:rPr>
                      <w:rFonts w:ascii="Times New Roman" w:hAnsi="Times New Roman" w:cs="Times New Roman"/>
                      <w:b/>
                      <w:bCs/>
                      <w:sz w:val="24"/>
                      <w:szCs w:val="24"/>
                    </w:rPr>
                  </w:pPr>
                </w:p>
              </w:tc>
            </w:tr>
          </w:tbl>
          <w:p w14:paraId="31FB4110" w14:textId="77777777" w:rsidR="00C36E51" w:rsidRPr="00C36E51" w:rsidRDefault="00C36E51" w:rsidP="00E139C5">
            <w:pPr>
              <w:spacing w:line="360" w:lineRule="auto"/>
              <w:jc w:val="both"/>
              <w:rPr>
                <w:rFonts w:ascii="Times New Roman" w:hAnsi="Times New Roman" w:cs="Times New Roman"/>
                <w:sz w:val="24"/>
                <w:szCs w:val="24"/>
              </w:rPr>
            </w:pPr>
          </w:p>
        </w:tc>
      </w:tr>
      <w:tr w:rsidR="00C36E51" w:rsidRPr="00C36E51" w14:paraId="342E9CDB" w14:textId="77777777" w:rsidTr="00E139C5">
        <w:tc>
          <w:tcPr>
            <w:tcW w:w="4508" w:type="dxa"/>
          </w:tcPr>
          <w:p w14:paraId="6EF68838"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lastRenderedPageBreak/>
              <w:t xml:space="preserve">Opportunity </w:t>
            </w:r>
          </w:p>
        </w:tc>
        <w:tc>
          <w:tcPr>
            <w:tcW w:w="4508" w:type="dxa"/>
          </w:tcPr>
          <w:p w14:paraId="02D4AE47"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Threat</w:t>
            </w:r>
          </w:p>
        </w:tc>
      </w:tr>
      <w:tr w:rsidR="00C36E51" w:rsidRPr="00C36E51" w14:paraId="34060F5C" w14:textId="77777777" w:rsidTr="00E139C5">
        <w:tc>
          <w:tcPr>
            <w:tcW w:w="4508" w:type="dxa"/>
          </w:tcPr>
          <w:p w14:paraId="7B4446D6" w14:textId="77777777" w:rsidR="00C36E51" w:rsidRPr="00C36E51" w:rsidRDefault="00C36E51" w:rsidP="00E139C5">
            <w:pPr>
              <w:numPr>
                <w:ilvl w:val="0"/>
                <w:numId w:val="4"/>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Acquisitions from both Softbank and ARM in technological companies </w:t>
            </w:r>
          </w:p>
          <w:p w14:paraId="055E8950" w14:textId="77777777" w:rsidR="00C36E51" w:rsidRPr="00C36E51" w:rsidRDefault="00C36E51" w:rsidP="00E139C5">
            <w:pPr>
              <w:spacing w:line="360" w:lineRule="auto"/>
              <w:ind w:left="360"/>
              <w:jc w:val="both"/>
              <w:rPr>
                <w:rFonts w:ascii="Times New Roman" w:hAnsi="Times New Roman" w:cs="Times New Roman"/>
                <w:sz w:val="24"/>
                <w:szCs w:val="24"/>
              </w:rPr>
            </w:pPr>
          </w:p>
          <w:p w14:paraId="16C6886C" w14:textId="77777777" w:rsidR="00C36E51" w:rsidRPr="00C36E51" w:rsidRDefault="00C36E51" w:rsidP="00E139C5">
            <w:pPr>
              <w:numPr>
                <w:ilvl w:val="0"/>
                <w:numId w:val="4"/>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Technology new products and licencing </w:t>
            </w:r>
          </w:p>
          <w:p w14:paraId="596C6037" w14:textId="77777777" w:rsidR="00C36E51" w:rsidRPr="00C36E51" w:rsidRDefault="00C36E51" w:rsidP="00E139C5">
            <w:pPr>
              <w:numPr>
                <w:ilvl w:val="0"/>
                <w:numId w:val="4"/>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Automobile industry –new trend and will acquire lots of chips  </w:t>
            </w:r>
          </w:p>
          <w:p w14:paraId="2DB3F4AD" w14:textId="77777777" w:rsidR="00C36E51" w:rsidRPr="00C36E51" w:rsidRDefault="00C36E51" w:rsidP="00E139C5">
            <w:pPr>
              <w:spacing w:line="360" w:lineRule="auto"/>
              <w:jc w:val="both"/>
              <w:rPr>
                <w:rFonts w:ascii="Times New Roman" w:hAnsi="Times New Roman" w:cs="Times New Roman"/>
                <w:sz w:val="24"/>
                <w:szCs w:val="24"/>
              </w:rPr>
            </w:pPr>
          </w:p>
        </w:tc>
        <w:tc>
          <w:tcPr>
            <w:tcW w:w="4508" w:type="dxa"/>
          </w:tcPr>
          <w:p w14:paraId="6BBE4A64" w14:textId="77777777" w:rsidR="00C36E51" w:rsidRPr="00C36E51" w:rsidRDefault="00C36E51" w:rsidP="00E139C5">
            <w:pPr>
              <w:numPr>
                <w:ilvl w:val="0"/>
                <w:numId w:val="6"/>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Technological changes - decreased market share.</w:t>
            </w:r>
          </w:p>
          <w:p w14:paraId="7E38CB58" w14:textId="77777777" w:rsidR="00C36E51" w:rsidRPr="00C36E51" w:rsidRDefault="00C36E51" w:rsidP="00E139C5">
            <w:pPr>
              <w:numPr>
                <w:ilvl w:val="0"/>
                <w:numId w:val="6"/>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Intense competition – new entrants in the market </w:t>
            </w:r>
          </w:p>
          <w:p w14:paraId="63DDFA42" w14:textId="77777777" w:rsidR="00C36E51" w:rsidRPr="00C36E51" w:rsidRDefault="00C36E51" w:rsidP="00E139C5">
            <w:pPr>
              <w:numPr>
                <w:ilvl w:val="0"/>
                <w:numId w:val="6"/>
              </w:num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cost of inputs could increase for SB </w:t>
            </w:r>
          </w:p>
          <w:p w14:paraId="55D6A997" w14:textId="56980804" w:rsidR="00C36E51" w:rsidRPr="00C36E51" w:rsidRDefault="00FA3DC1" w:rsidP="00E139C5">
            <w:pPr>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The in</w:t>
            </w:r>
            <w:r w:rsidRPr="00C36E51">
              <w:rPr>
                <w:rFonts w:ascii="Times New Roman" w:hAnsi="Times New Roman" w:cs="Times New Roman"/>
                <w:sz w:val="24"/>
                <w:szCs w:val="24"/>
              </w:rPr>
              <w:t>creased</w:t>
            </w:r>
            <w:r w:rsidR="00C36E51" w:rsidRPr="00C36E51">
              <w:rPr>
                <w:rFonts w:ascii="Times New Roman" w:hAnsi="Times New Roman" w:cs="Times New Roman"/>
                <w:sz w:val="24"/>
                <w:szCs w:val="24"/>
              </w:rPr>
              <w:t xml:space="preserve"> cost of labour in </w:t>
            </w:r>
            <w:r>
              <w:rPr>
                <w:rFonts w:ascii="Times New Roman" w:hAnsi="Times New Roman" w:cs="Times New Roman"/>
                <w:sz w:val="24"/>
                <w:szCs w:val="24"/>
              </w:rPr>
              <w:t xml:space="preserve">the </w:t>
            </w:r>
            <w:r w:rsidR="00C36E51" w:rsidRPr="00C36E51">
              <w:rPr>
                <w:rFonts w:ascii="Times New Roman" w:hAnsi="Times New Roman" w:cs="Times New Roman"/>
                <w:sz w:val="24"/>
                <w:szCs w:val="24"/>
              </w:rPr>
              <w:t>UK</w:t>
            </w:r>
            <w:r>
              <w:rPr>
                <w:rFonts w:ascii="Times New Roman" w:hAnsi="Times New Roman" w:cs="Times New Roman"/>
                <w:sz w:val="24"/>
                <w:szCs w:val="24"/>
              </w:rPr>
              <w:t>.</w:t>
            </w:r>
          </w:p>
          <w:p w14:paraId="2734EA1D" w14:textId="77777777" w:rsidR="00C36E51" w:rsidRPr="00C36E51" w:rsidRDefault="00C36E51" w:rsidP="00E139C5">
            <w:pPr>
              <w:spacing w:line="360" w:lineRule="auto"/>
              <w:jc w:val="both"/>
              <w:rPr>
                <w:rFonts w:ascii="Times New Roman" w:hAnsi="Times New Roman" w:cs="Times New Roman"/>
                <w:sz w:val="24"/>
                <w:szCs w:val="24"/>
              </w:rPr>
            </w:pPr>
          </w:p>
        </w:tc>
      </w:tr>
    </w:tbl>
    <w:p w14:paraId="6788186F"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t xml:space="preserve">Fig 4                                                                                          </w:t>
      </w:r>
      <w:r w:rsidRPr="00C36E51">
        <w:rPr>
          <w:rFonts w:ascii="Times New Roman" w:hAnsi="Times New Roman" w:cs="Times New Roman"/>
          <w:sz w:val="24"/>
          <w:szCs w:val="24"/>
        </w:rPr>
        <w:t>Source @Margaret Kyakunda</w:t>
      </w:r>
    </w:p>
    <w:p w14:paraId="6B1E3642" w14:textId="77777777" w:rsidR="00C36E51" w:rsidRPr="00C36E51" w:rsidRDefault="00C36E51" w:rsidP="00E139C5">
      <w:pPr>
        <w:spacing w:line="360" w:lineRule="auto"/>
        <w:jc w:val="both"/>
        <w:rPr>
          <w:rFonts w:ascii="Times New Roman" w:hAnsi="Times New Roman" w:cs="Times New Roman"/>
          <w:sz w:val="24"/>
          <w:szCs w:val="24"/>
        </w:rPr>
      </w:pPr>
    </w:p>
    <w:p w14:paraId="01147D50" w14:textId="2F9E0AA4"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Another tool the VRIO framework analysis makes a good case of why SoftBank bought ARM and in my view, these are some of the reasons why the acquisition took place by SoftBank exercising its investment strategy</w:t>
      </w:r>
      <w:r w:rsidR="00394AE2">
        <w:rPr>
          <w:rFonts w:ascii="Times New Roman" w:hAnsi="Times New Roman" w:cs="Times New Roman"/>
          <w:sz w:val="24"/>
          <w:szCs w:val="24"/>
        </w:rPr>
        <w:t>.</w:t>
      </w:r>
    </w:p>
    <w:p w14:paraId="0CAEA9CC" w14:textId="77777777" w:rsidR="00394AE2" w:rsidRDefault="00394AE2" w:rsidP="00E139C5">
      <w:pPr>
        <w:spacing w:line="360" w:lineRule="auto"/>
        <w:jc w:val="both"/>
        <w:rPr>
          <w:rFonts w:ascii="Times New Roman" w:hAnsi="Times New Roman" w:cs="Times New Roman"/>
          <w:b/>
          <w:bCs/>
          <w:sz w:val="24"/>
          <w:szCs w:val="24"/>
        </w:rPr>
      </w:pPr>
    </w:p>
    <w:p w14:paraId="64463691" w14:textId="77777777" w:rsidR="00394AE2" w:rsidRDefault="00394AE2" w:rsidP="00E139C5">
      <w:pPr>
        <w:spacing w:line="360" w:lineRule="auto"/>
        <w:jc w:val="both"/>
        <w:rPr>
          <w:rFonts w:ascii="Times New Roman" w:hAnsi="Times New Roman" w:cs="Times New Roman"/>
          <w:b/>
          <w:bCs/>
          <w:sz w:val="24"/>
          <w:szCs w:val="24"/>
        </w:rPr>
      </w:pPr>
    </w:p>
    <w:p w14:paraId="793B6359" w14:textId="77777777" w:rsidR="00394AE2" w:rsidRDefault="00394AE2" w:rsidP="00E139C5">
      <w:pPr>
        <w:spacing w:line="360" w:lineRule="auto"/>
        <w:jc w:val="both"/>
        <w:rPr>
          <w:rFonts w:ascii="Times New Roman" w:hAnsi="Times New Roman" w:cs="Times New Roman"/>
          <w:b/>
          <w:bCs/>
          <w:sz w:val="24"/>
          <w:szCs w:val="24"/>
        </w:rPr>
      </w:pPr>
    </w:p>
    <w:p w14:paraId="7F8645B8" w14:textId="77777777" w:rsidR="00B533ED" w:rsidRDefault="00B533ED" w:rsidP="00E139C5">
      <w:pPr>
        <w:spacing w:line="360" w:lineRule="auto"/>
        <w:jc w:val="both"/>
        <w:rPr>
          <w:rFonts w:ascii="Times New Roman" w:hAnsi="Times New Roman" w:cs="Times New Roman"/>
          <w:b/>
          <w:bCs/>
          <w:sz w:val="24"/>
          <w:szCs w:val="24"/>
        </w:rPr>
      </w:pPr>
    </w:p>
    <w:p w14:paraId="39F87DBF" w14:textId="77777777" w:rsidR="00B533ED" w:rsidRDefault="00B533ED" w:rsidP="00E139C5">
      <w:pPr>
        <w:spacing w:line="360" w:lineRule="auto"/>
        <w:jc w:val="both"/>
        <w:rPr>
          <w:rFonts w:ascii="Times New Roman" w:hAnsi="Times New Roman" w:cs="Times New Roman"/>
          <w:b/>
          <w:bCs/>
          <w:sz w:val="24"/>
          <w:szCs w:val="24"/>
        </w:rPr>
      </w:pPr>
    </w:p>
    <w:p w14:paraId="0A1818F1" w14:textId="5D2D9D4D"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lastRenderedPageBreak/>
        <w:t>VRIO Framework for SoftBank</w:t>
      </w:r>
    </w:p>
    <w:tbl>
      <w:tblPr>
        <w:tblW w:w="9185"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90"/>
      </w:tblGrid>
      <w:tr w:rsidR="00C36E51" w:rsidRPr="00C36E51" w14:paraId="369658E2" w14:textId="77777777" w:rsidTr="00E139C5">
        <w:trPr>
          <w:trHeight w:val="729"/>
        </w:trPr>
        <w:tc>
          <w:tcPr>
            <w:tcW w:w="9185" w:type="dxa"/>
            <w:tcBorders>
              <w:left w:val="nil"/>
              <w:right w:val="nil"/>
            </w:tcBorders>
          </w:tcPr>
          <w:tbl>
            <w:tblPr>
              <w:tblW w:w="8964" w:type="dxa"/>
              <w:tblLook w:val="04A0" w:firstRow="1" w:lastRow="0" w:firstColumn="1" w:lastColumn="0" w:noHBand="0" w:noVBand="1"/>
            </w:tblPr>
            <w:tblGrid>
              <w:gridCol w:w="1615"/>
              <w:gridCol w:w="2530"/>
              <w:gridCol w:w="4819"/>
            </w:tblGrid>
            <w:tr w:rsidR="00C36E51" w:rsidRPr="00C36E51" w14:paraId="60BAE18F" w14:textId="77777777" w:rsidTr="00E139C5">
              <w:trPr>
                <w:trHeight w:val="433"/>
              </w:trPr>
              <w:tc>
                <w:tcPr>
                  <w:tcW w:w="1615" w:type="dxa"/>
                  <w:tcBorders>
                    <w:left w:val="single" w:sz="4" w:space="0" w:color="auto"/>
                    <w:bottom w:val="single" w:sz="4" w:space="0" w:color="auto"/>
                    <w:right w:val="single" w:sz="4" w:space="0" w:color="auto"/>
                  </w:tcBorders>
                </w:tcPr>
                <w:p w14:paraId="598195D7"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Value </w:t>
                  </w:r>
                </w:p>
              </w:tc>
              <w:tc>
                <w:tcPr>
                  <w:tcW w:w="2530" w:type="dxa"/>
                  <w:tcBorders>
                    <w:left w:val="single" w:sz="4" w:space="0" w:color="auto"/>
                    <w:bottom w:val="single" w:sz="4" w:space="0" w:color="auto"/>
                    <w:right w:val="single" w:sz="4" w:space="0" w:color="auto"/>
                  </w:tcBorders>
                </w:tcPr>
                <w:p w14:paraId="5B5E389A"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Yes </w:t>
                  </w:r>
                </w:p>
              </w:tc>
              <w:tc>
                <w:tcPr>
                  <w:tcW w:w="4819" w:type="dxa"/>
                  <w:tcBorders>
                    <w:left w:val="single" w:sz="4" w:space="0" w:color="auto"/>
                    <w:bottom w:val="single" w:sz="4" w:space="0" w:color="auto"/>
                    <w:right w:val="single" w:sz="4" w:space="0" w:color="auto"/>
                  </w:tcBorders>
                </w:tcPr>
                <w:p w14:paraId="48AE45DC"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Financial resources ( Vision Fund) – (Competitive advantage )</w:t>
                  </w:r>
                </w:p>
              </w:tc>
            </w:tr>
            <w:tr w:rsidR="00C36E51" w:rsidRPr="00C36E51" w14:paraId="61F94EDD" w14:textId="77777777" w:rsidTr="00E139C5">
              <w:trPr>
                <w:trHeight w:val="268"/>
              </w:trPr>
              <w:tc>
                <w:tcPr>
                  <w:tcW w:w="1615" w:type="dxa"/>
                  <w:tcBorders>
                    <w:top w:val="single" w:sz="4" w:space="0" w:color="auto"/>
                    <w:left w:val="single" w:sz="4" w:space="0" w:color="auto"/>
                    <w:bottom w:val="single" w:sz="4" w:space="0" w:color="auto"/>
                    <w:right w:val="single" w:sz="4" w:space="0" w:color="auto"/>
                  </w:tcBorders>
                </w:tcPr>
                <w:p w14:paraId="7C6C2694"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Rare</w:t>
                  </w:r>
                </w:p>
              </w:tc>
              <w:tc>
                <w:tcPr>
                  <w:tcW w:w="2530" w:type="dxa"/>
                  <w:tcBorders>
                    <w:top w:val="single" w:sz="4" w:space="0" w:color="auto"/>
                    <w:left w:val="single" w:sz="4" w:space="0" w:color="auto"/>
                    <w:bottom w:val="single" w:sz="4" w:space="0" w:color="auto"/>
                    <w:right w:val="single" w:sz="4" w:space="0" w:color="auto"/>
                  </w:tcBorders>
                </w:tcPr>
                <w:p w14:paraId="5C10F0BA"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Yes</w:t>
                  </w:r>
                </w:p>
              </w:tc>
              <w:tc>
                <w:tcPr>
                  <w:tcW w:w="4819" w:type="dxa"/>
                  <w:tcBorders>
                    <w:top w:val="single" w:sz="4" w:space="0" w:color="auto"/>
                    <w:left w:val="single" w:sz="4" w:space="0" w:color="auto"/>
                    <w:bottom w:val="single" w:sz="4" w:space="0" w:color="auto"/>
                    <w:right w:val="single" w:sz="4" w:space="0" w:color="auto"/>
                  </w:tcBorders>
                </w:tcPr>
                <w:p w14:paraId="10EFFE3E"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Patents &amp;IP - (competitive advantage )</w:t>
                  </w:r>
                </w:p>
              </w:tc>
            </w:tr>
            <w:tr w:rsidR="00C36E51" w:rsidRPr="00C36E51" w14:paraId="284ACF47" w14:textId="77777777" w:rsidTr="00E139C5">
              <w:trPr>
                <w:trHeight w:val="433"/>
              </w:trPr>
              <w:tc>
                <w:tcPr>
                  <w:tcW w:w="1615" w:type="dxa"/>
                  <w:tcBorders>
                    <w:top w:val="single" w:sz="4" w:space="0" w:color="auto"/>
                    <w:left w:val="single" w:sz="4" w:space="0" w:color="auto"/>
                    <w:bottom w:val="single" w:sz="4" w:space="0" w:color="auto"/>
                    <w:right w:val="single" w:sz="4" w:space="0" w:color="auto"/>
                  </w:tcBorders>
                </w:tcPr>
                <w:p w14:paraId="345352EC"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Imitable </w:t>
                  </w:r>
                </w:p>
              </w:tc>
              <w:tc>
                <w:tcPr>
                  <w:tcW w:w="2530" w:type="dxa"/>
                  <w:tcBorders>
                    <w:top w:val="single" w:sz="4" w:space="0" w:color="auto"/>
                    <w:left w:val="single" w:sz="4" w:space="0" w:color="auto"/>
                    <w:bottom w:val="single" w:sz="4" w:space="0" w:color="auto"/>
                    <w:right w:val="single" w:sz="4" w:space="0" w:color="auto"/>
                  </w:tcBorders>
                </w:tcPr>
                <w:p w14:paraId="7BA0EB04"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Yes </w:t>
                  </w:r>
                </w:p>
              </w:tc>
              <w:tc>
                <w:tcPr>
                  <w:tcW w:w="4819" w:type="dxa"/>
                  <w:tcBorders>
                    <w:top w:val="single" w:sz="4" w:space="0" w:color="auto"/>
                    <w:left w:val="single" w:sz="4" w:space="0" w:color="auto"/>
                    <w:bottom w:val="single" w:sz="4" w:space="0" w:color="auto"/>
                    <w:right w:val="single" w:sz="4" w:space="0" w:color="auto"/>
                  </w:tcBorders>
                </w:tcPr>
                <w:p w14:paraId="6764FD00"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Vision Fund, &amp; Distribution network -((Competitive advantage)</w:t>
                  </w:r>
                </w:p>
              </w:tc>
            </w:tr>
            <w:tr w:rsidR="00C36E51" w:rsidRPr="00C36E51" w14:paraId="546D887A" w14:textId="77777777" w:rsidTr="00E139C5">
              <w:trPr>
                <w:trHeight w:val="260"/>
              </w:trPr>
              <w:tc>
                <w:tcPr>
                  <w:tcW w:w="1615" w:type="dxa"/>
                  <w:tcBorders>
                    <w:top w:val="single" w:sz="4" w:space="0" w:color="auto"/>
                    <w:left w:val="single" w:sz="4" w:space="0" w:color="auto"/>
                    <w:right w:val="single" w:sz="4" w:space="0" w:color="auto"/>
                  </w:tcBorders>
                </w:tcPr>
                <w:p w14:paraId="58FEAE4F"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O</w:t>
                  </w:r>
                </w:p>
              </w:tc>
              <w:tc>
                <w:tcPr>
                  <w:tcW w:w="2530" w:type="dxa"/>
                  <w:tcBorders>
                    <w:top w:val="single" w:sz="4" w:space="0" w:color="auto"/>
                    <w:left w:val="single" w:sz="4" w:space="0" w:color="auto"/>
                    <w:right w:val="single" w:sz="4" w:space="0" w:color="auto"/>
                  </w:tcBorders>
                </w:tcPr>
                <w:p w14:paraId="3D71EC88"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Yes </w:t>
                  </w:r>
                </w:p>
              </w:tc>
              <w:tc>
                <w:tcPr>
                  <w:tcW w:w="4819" w:type="dxa"/>
                  <w:tcBorders>
                    <w:top w:val="single" w:sz="4" w:space="0" w:color="auto"/>
                    <w:left w:val="single" w:sz="4" w:space="0" w:color="auto"/>
                    <w:right w:val="single" w:sz="4" w:space="0" w:color="auto"/>
                  </w:tcBorders>
                </w:tcPr>
                <w:p w14:paraId="568C0375"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Conglomerate - (Competitive advantage)</w:t>
                  </w:r>
                </w:p>
              </w:tc>
            </w:tr>
          </w:tbl>
          <w:p w14:paraId="09199C85" w14:textId="77777777" w:rsidR="00C36E51" w:rsidRPr="00C36E51" w:rsidRDefault="00C36E51" w:rsidP="00E139C5">
            <w:pPr>
              <w:spacing w:line="360" w:lineRule="auto"/>
              <w:jc w:val="both"/>
              <w:rPr>
                <w:rFonts w:ascii="Times New Roman" w:hAnsi="Times New Roman" w:cs="Times New Roman"/>
                <w:sz w:val="24"/>
                <w:szCs w:val="24"/>
              </w:rPr>
            </w:pPr>
          </w:p>
        </w:tc>
      </w:tr>
      <w:tr w:rsidR="00C36E51" w:rsidRPr="00C36E51" w14:paraId="6B70B814" w14:textId="77777777" w:rsidTr="00E139C5">
        <w:trPr>
          <w:trHeight w:val="737"/>
        </w:trPr>
        <w:tc>
          <w:tcPr>
            <w:tcW w:w="9185" w:type="dxa"/>
            <w:tcBorders>
              <w:left w:val="nil"/>
              <w:bottom w:val="nil"/>
              <w:right w:val="nil"/>
            </w:tcBorders>
          </w:tcPr>
          <w:p w14:paraId="40DCA347" w14:textId="77777777" w:rsidR="00C36E51" w:rsidRPr="00C36E51" w:rsidRDefault="00C36E51" w:rsidP="00E139C5">
            <w:pPr>
              <w:spacing w:line="360" w:lineRule="auto"/>
              <w:jc w:val="both"/>
              <w:rPr>
                <w:rFonts w:ascii="Times New Roman" w:hAnsi="Times New Roman" w:cs="Times New Roman"/>
                <w:sz w:val="24"/>
                <w:szCs w:val="24"/>
              </w:rPr>
            </w:pPr>
            <w:r w:rsidRPr="008E6FD9">
              <w:rPr>
                <w:rFonts w:ascii="Times New Roman" w:hAnsi="Times New Roman" w:cs="Times New Roman"/>
                <w:sz w:val="24"/>
                <w:szCs w:val="24"/>
              </w:rPr>
              <w:t>Table</w:t>
            </w:r>
            <w:r w:rsidRPr="00C36E51">
              <w:rPr>
                <w:rFonts w:ascii="Times New Roman" w:hAnsi="Times New Roman" w:cs="Times New Roman"/>
                <w:b/>
                <w:bCs/>
                <w:sz w:val="24"/>
                <w:szCs w:val="24"/>
              </w:rPr>
              <w:t xml:space="preserve">. </w:t>
            </w:r>
            <w:r w:rsidRPr="008E6FD9">
              <w:rPr>
                <w:rFonts w:ascii="Times New Roman" w:hAnsi="Times New Roman" w:cs="Times New Roman"/>
                <w:sz w:val="24"/>
                <w:szCs w:val="24"/>
              </w:rPr>
              <w:t>1                                                                        Source: Margaret Kyakunda</w:t>
            </w:r>
            <w:r w:rsidRPr="00C36E51">
              <w:rPr>
                <w:rFonts w:ascii="Times New Roman" w:hAnsi="Times New Roman" w:cs="Times New Roman"/>
                <w:b/>
                <w:bCs/>
                <w:sz w:val="24"/>
                <w:szCs w:val="24"/>
              </w:rPr>
              <w:t xml:space="preserve">    </w:t>
            </w:r>
          </w:p>
        </w:tc>
      </w:tr>
    </w:tbl>
    <w:p w14:paraId="5E52B693" w14:textId="35350122"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Value:</w:t>
      </w:r>
    </w:p>
    <w:p w14:paraId="2633010B"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sz w:val="24"/>
          <w:szCs w:val="24"/>
        </w:rPr>
        <w:t xml:space="preserve">Financial resources make SoftBank a highly valuable company with its financial might its able to invest into external opportunities as they arise for example the acquisition of ARM, this was a huge investment and paid £24.3 billion and a cash acquisition.www.softbankgroup.com </w:t>
      </w:r>
    </w:p>
    <w:p w14:paraId="0DBBBC18" w14:textId="321BF4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Human capital is another valuable resource for the company as they are highly trained and more production output for the organisation</w:t>
      </w:r>
      <w:r w:rsidR="00FA3DC1">
        <w:rPr>
          <w:rFonts w:ascii="Times New Roman" w:hAnsi="Times New Roman" w:cs="Times New Roman"/>
          <w:sz w:val="24"/>
          <w:szCs w:val="24"/>
        </w:rPr>
        <w:t xml:space="preserve">. </w:t>
      </w:r>
      <w:r w:rsidRPr="00C36E51">
        <w:rPr>
          <w:rFonts w:ascii="Times New Roman" w:hAnsi="Times New Roman" w:cs="Times New Roman"/>
          <w:sz w:val="24"/>
          <w:szCs w:val="24"/>
        </w:rPr>
        <w:t xml:space="preserve"> they are loyal and the end products translate in greater value for the end consumers of the SoftBank products.</w:t>
      </w:r>
    </w:p>
    <w:p w14:paraId="762BA7ED" w14:textId="1326A9A1"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The company patents &amp; IP allows the firm to licens</w:t>
      </w:r>
      <w:r w:rsidR="00FA3DC1">
        <w:rPr>
          <w:rFonts w:ascii="Times New Roman" w:hAnsi="Times New Roman" w:cs="Times New Roman"/>
          <w:sz w:val="24"/>
          <w:szCs w:val="24"/>
        </w:rPr>
        <w:t>e</w:t>
      </w:r>
      <w:r w:rsidRPr="00C36E51">
        <w:rPr>
          <w:rFonts w:ascii="Times New Roman" w:hAnsi="Times New Roman" w:cs="Times New Roman"/>
          <w:sz w:val="24"/>
          <w:szCs w:val="24"/>
        </w:rPr>
        <w:t xml:space="preserve"> products without interference cumulating into greater revenue for the organisation.</w:t>
      </w:r>
    </w:p>
    <w:p w14:paraId="03D62CAE"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Distribution network makes in reaching out to more customers making revenue and sales for he puts as they are easily available in different markets  .</w:t>
      </w:r>
    </w:p>
    <w:p w14:paraId="4A7CD32C" w14:textId="2C404C4F"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Research and Development is one problem that did not give SoftBank competitive advantage and as costs where to hight and its one of the reasons it bought A</w:t>
      </w:r>
      <w:r w:rsidR="00955D9F">
        <w:rPr>
          <w:rFonts w:ascii="Times New Roman" w:hAnsi="Times New Roman" w:cs="Times New Roman"/>
          <w:sz w:val="24"/>
          <w:szCs w:val="24"/>
        </w:rPr>
        <w:t>rm</w:t>
      </w:r>
      <w:r w:rsidRPr="00C36E51">
        <w:rPr>
          <w:rFonts w:ascii="Times New Roman" w:hAnsi="Times New Roman" w:cs="Times New Roman"/>
          <w:sz w:val="24"/>
          <w:szCs w:val="24"/>
        </w:rPr>
        <w:t xml:space="preserve"> due to its reputable R&amp;D.</w:t>
      </w:r>
    </w:p>
    <w:p w14:paraId="31BE0F29"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Rare:</w:t>
      </w:r>
    </w:p>
    <w:p w14:paraId="63585901"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Very few companies have a financial might as SoftBank, its  visions fund worth billions set aside for investment is a rare thing not every company has this. ‘SoftBank Vision Fund plays a leading role by enabling large-scale investment activities over the long term”.</w:t>
      </w:r>
    </w:p>
    <w:p w14:paraId="4F5B75A5" w14:textId="02635E0E" w:rsidR="00C36E51" w:rsidRPr="00C36E51" w:rsidRDefault="000E5B98"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955D9F">
        <w:rPr>
          <w:rFonts w:ascii="Times New Roman" w:hAnsi="Times New Roman" w:cs="Times New Roman"/>
          <w:sz w:val="24"/>
          <w:szCs w:val="24"/>
        </w:rPr>
        <w:t>d</w:t>
      </w:r>
      <w:r w:rsidR="00955D9F" w:rsidRPr="00C36E51">
        <w:rPr>
          <w:rFonts w:ascii="Times New Roman" w:hAnsi="Times New Roman" w:cs="Times New Roman"/>
          <w:sz w:val="24"/>
          <w:szCs w:val="24"/>
        </w:rPr>
        <w:t>istribution</w:t>
      </w:r>
      <w:r w:rsidR="00C36E51" w:rsidRPr="00C36E51">
        <w:rPr>
          <w:rFonts w:ascii="Times New Roman" w:hAnsi="Times New Roman" w:cs="Times New Roman"/>
          <w:sz w:val="24"/>
          <w:szCs w:val="24"/>
        </w:rPr>
        <w:t xml:space="preserve"> network is one of the best due to the heavy investment it done with other business.</w:t>
      </w:r>
    </w:p>
    <w:p w14:paraId="73CCFDC1" w14:textId="77777777" w:rsidR="00394AE2" w:rsidRDefault="00394AE2" w:rsidP="00E139C5">
      <w:pPr>
        <w:spacing w:line="360" w:lineRule="auto"/>
        <w:jc w:val="both"/>
        <w:rPr>
          <w:rFonts w:ascii="Times New Roman" w:hAnsi="Times New Roman" w:cs="Times New Roman"/>
          <w:b/>
          <w:bCs/>
          <w:sz w:val="24"/>
          <w:szCs w:val="24"/>
        </w:rPr>
      </w:pPr>
    </w:p>
    <w:p w14:paraId="02BD2592" w14:textId="1E1702A4"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Imitable:</w:t>
      </w:r>
    </w:p>
    <w:p w14:paraId="2D56F15C"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SBGC Vision Fund financial resources: Competition will have to pay a high price to imitate, which new entrants and competitors don’t have.</w:t>
      </w:r>
    </w:p>
    <w:p w14:paraId="7B762D6A" w14:textId="2A2524D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Patents and intellectual property are hard to imitate as it</w:t>
      </w:r>
      <w:r w:rsidR="00115001">
        <w:rPr>
          <w:rFonts w:ascii="Times New Roman" w:hAnsi="Times New Roman" w:cs="Times New Roman"/>
          <w:sz w:val="24"/>
          <w:szCs w:val="24"/>
        </w:rPr>
        <w:t xml:space="preserve"> i</w:t>
      </w:r>
      <w:r w:rsidRPr="00C36E51">
        <w:rPr>
          <w:rFonts w:ascii="Times New Roman" w:hAnsi="Times New Roman" w:cs="Times New Roman"/>
          <w:sz w:val="24"/>
          <w:szCs w:val="24"/>
        </w:rPr>
        <w:t xml:space="preserve">s not </w:t>
      </w:r>
      <w:r w:rsidR="00115001">
        <w:rPr>
          <w:rFonts w:ascii="Times New Roman" w:hAnsi="Times New Roman" w:cs="Times New Roman"/>
          <w:sz w:val="24"/>
          <w:szCs w:val="24"/>
        </w:rPr>
        <w:t xml:space="preserve">lawful </w:t>
      </w:r>
      <w:r w:rsidRPr="00C36E51">
        <w:rPr>
          <w:rFonts w:ascii="Times New Roman" w:hAnsi="Times New Roman" w:cs="Times New Roman"/>
          <w:sz w:val="24"/>
          <w:szCs w:val="24"/>
        </w:rPr>
        <w:t>to imitate a patented product.</w:t>
      </w:r>
    </w:p>
    <w:p w14:paraId="7FB927ED" w14:textId="2D006A5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Organisation Capability</w:t>
      </w:r>
      <w:r w:rsidRPr="00C36E51">
        <w:rPr>
          <w:rFonts w:ascii="Times New Roman" w:hAnsi="Times New Roman" w:cs="Times New Roman"/>
          <w:sz w:val="24"/>
          <w:szCs w:val="24"/>
        </w:rPr>
        <w:t>:</w:t>
      </w:r>
      <w:r w:rsidRPr="00C36E51">
        <w:rPr>
          <w:rFonts w:ascii="Times New Roman" w:hAnsi="Times New Roman" w:cs="Times New Roman"/>
          <w:b/>
          <w:bCs/>
          <w:sz w:val="24"/>
          <w:szCs w:val="24"/>
        </w:rPr>
        <w:t xml:space="preserve"> </w:t>
      </w:r>
      <w:r w:rsidRPr="00C36E51">
        <w:rPr>
          <w:rFonts w:ascii="Times New Roman" w:hAnsi="Times New Roman" w:cs="Times New Roman"/>
          <w:sz w:val="24"/>
          <w:szCs w:val="24"/>
        </w:rPr>
        <w:t>Organisation has to be able to organise itself to exploit its VRI resources</w:t>
      </w:r>
      <w:r w:rsidR="00AB3C93">
        <w:rPr>
          <w:rFonts w:ascii="Times New Roman" w:hAnsi="Times New Roman" w:cs="Times New Roman"/>
          <w:sz w:val="24"/>
          <w:szCs w:val="24"/>
        </w:rPr>
        <w:t>.</w:t>
      </w:r>
    </w:p>
    <w:p w14:paraId="7D3DA901"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The next section will now address the reasons for the acquisition.</w:t>
      </w:r>
    </w:p>
    <w:p w14:paraId="4B6EDA46" w14:textId="77777777" w:rsidR="005B5929" w:rsidRPr="00E139C5" w:rsidRDefault="005B5929" w:rsidP="00E139C5">
      <w:pPr>
        <w:spacing w:line="360" w:lineRule="auto"/>
        <w:jc w:val="both"/>
        <w:rPr>
          <w:rFonts w:ascii="Times New Roman" w:hAnsi="Times New Roman" w:cs="Times New Roman"/>
          <w:b/>
          <w:bCs/>
          <w:sz w:val="24"/>
          <w:szCs w:val="24"/>
        </w:rPr>
      </w:pPr>
    </w:p>
    <w:p w14:paraId="22A8E47F" w14:textId="77777777" w:rsidR="005B5929" w:rsidRPr="00E139C5" w:rsidRDefault="005B5929" w:rsidP="00E139C5">
      <w:pPr>
        <w:spacing w:line="360" w:lineRule="auto"/>
        <w:jc w:val="both"/>
        <w:rPr>
          <w:rFonts w:ascii="Times New Roman" w:hAnsi="Times New Roman" w:cs="Times New Roman"/>
          <w:b/>
          <w:bCs/>
          <w:sz w:val="24"/>
          <w:szCs w:val="24"/>
        </w:rPr>
      </w:pPr>
    </w:p>
    <w:p w14:paraId="3EE3ECE6"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3C0127AC"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45152F7F"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212C0765"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5D992A4E"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02EAFBEA"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1D87EBEA"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70435C2E"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68859FFE"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63E69FB7"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4815BAA4"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70279353"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2AB490B6"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2FE4A4AC"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77B962FA" w14:textId="77777777" w:rsidR="00394AE2" w:rsidRDefault="00394AE2" w:rsidP="00E139C5">
      <w:pPr>
        <w:spacing w:line="360" w:lineRule="auto"/>
        <w:jc w:val="both"/>
        <w:rPr>
          <w:rFonts w:ascii="Times New Roman" w:hAnsi="Times New Roman" w:cs="Times New Roman"/>
          <w:b/>
          <w:bCs/>
          <w:sz w:val="24"/>
          <w:szCs w:val="24"/>
          <w:shd w:val="clear" w:color="auto" w:fill="FFFFFF"/>
        </w:rPr>
      </w:pPr>
    </w:p>
    <w:p w14:paraId="34562C2B" w14:textId="679ADE5D"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shd w:val="clear" w:color="auto" w:fill="FFFFFF"/>
        </w:rPr>
        <w:t xml:space="preserve">Strategic imperatives for the acquisition from </w:t>
      </w:r>
      <w:r w:rsidR="00721B49">
        <w:rPr>
          <w:rFonts w:ascii="Times New Roman" w:hAnsi="Times New Roman" w:cs="Times New Roman"/>
          <w:b/>
          <w:bCs/>
          <w:sz w:val="24"/>
          <w:szCs w:val="24"/>
          <w:shd w:val="clear" w:color="auto" w:fill="FFFFFF"/>
        </w:rPr>
        <w:t>Softbank’s view.</w:t>
      </w:r>
    </w:p>
    <w:p w14:paraId="68E93B9F" w14:textId="6D4F4C41"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What happened between SoftBank Group Corp.</w:t>
      </w:r>
      <w:r w:rsidR="009208D7">
        <w:rPr>
          <w:rFonts w:ascii="Times New Roman" w:hAnsi="Times New Roman" w:cs="Times New Roman"/>
          <w:sz w:val="24"/>
          <w:szCs w:val="24"/>
        </w:rPr>
        <w:t xml:space="preserve"> </w:t>
      </w:r>
      <w:r w:rsidRPr="00C36E51">
        <w:rPr>
          <w:rFonts w:ascii="Times New Roman" w:hAnsi="Times New Roman" w:cs="Times New Roman"/>
          <w:sz w:val="24"/>
          <w:szCs w:val="24"/>
        </w:rPr>
        <w:t>and A</w:t>
      </w:r>
      <w:r w:rsidR="009208D7">
        <w:rPr>
          <w:rFonts w:ascii="Times New Roman" w:hAnsi="Times New Roman" w:cs="Times New Roman"/>
          <w:sz w:val="24"/>
          <w:szCs w:val="24"/>
        </w:rPr>
        <w:t>rm</w:t>
      </w:r>
      <w:r w:rsidRPr="00C36E51">
        <w:rPr>
          <w:rFonts w:ascii="Times New Roman" w:hAnsi="Times New Roman" w:cs="Times New Roman"/>
          <w:sz w:val="24"/>
          <w:szCs w:val="24"/>
        </w:rPr>
        <w:t xml:space="preserve"> was a in my view a Cross-border acquisition “occurs between two existing companies existing in different nations by way of purchasing or amalgamating two companies”, this process can relate to the purchasing of A</w:t>
      </w:r>
      <w:r w:rsidR="009208D7">
        <w:rPr>
          <w:rFonts w:ascii="Times New Roman" w:hAnsi="Times New Roman" w:cs="Times New Roman"/>
          <w:sz w:val="24"/>
          <w:szCs w:val="24"/>
        </w:rPr>
        <w:t>rm</w:t>
      </w:r>
      <w:r w:rsidRPr="00C36E51">
        <w:rPr>
          <w:rFonts w:ascii="Times New Roman" w:hAnsi="Times New Roman" w:cs="Times New Roman"/>
          <w:sz w:val="24"/>
          <w:szCs w:val="24"/>
        </w:rPr>
        <w:t xml:space="preserve"> a British company by a Japanese company which was finalised in September 2016. Organisations go through </w:t>
      </w:r>
      <w:r w:rsidR="009208D7">
        <w:rPr>
          <w:rFonts w:ascii="Times New Roman" w:hAnsi="Times New Roman" w:cs="Times New Roman"/>
          <w:sz w:val="24"/>
          <w:szCs w:val="24"/>
        </w:rPr>
        <w:t xml:space="preserve">an </w:t>
      </w:r>
      <w:r w:rsidRPr="00C36E51">
        <w:rPr>
          <w:rFonts w:ascii="Times New Roman" w:hAnsi="Times New Roman" w:cs="Times New Roman"/>
          <w:sz w:val="24"/>
          <w:szCs w:val="24"/>
        </w:rPr>
        <w:t>acquisition process in order to enhance growth and increase their standard in international markets. Acquisitions in tech companies are increasingly being employed as a strategy to expand in new markets and build their customer base.</w:t>
      </w:r>
    </w:p>
    <w:p w14:paraId="56A11FF9" w14:textId="77777777" w:rsidR="00C36E51" w:rsidRPr="00C36E51" w:rsidRDefault="00C36E51" w:rsidP="00E139C5">
      <w:pPr>
        <w:spacing w:line="360" w:lineRule="auto"/>
        <w:jc w:val="both"/>
        <w:rPr>
          <w:rFonts w:ascii="Times New Roman" w:hAnsi="Times New Roman" w:cs="Times New Roman"/>
          <w:b/>
          <w:bCs/>
          <w:sz w:val="24"/>
          <w:szCs w:val="24"/>
        </w:rPr>
      </w:pPr>
    </w:p>
    <w:p w14:paraId="7E546BCB"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noProof/>
          <w:sz w:val="24"/>
          <w:szCs w:val="24"/>
        </w:rPr>
        <w:drawing>
          <wp:inline distT="0" distB="0" distL="0" distR="0" wp14:anchorId="28BFD194" wp14:editId="61D7ECF6">
            <wp:extent cx="5731099" cy="26670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2182" cy="2667504"/>
                    </a:xfrm>
                    <a:prstGeom prst="rect">
                      <a:avLst/>
                    </a:prstGeom>
                    <a:noFill/>
                    <a:ln>
                      <a:noFill/>
                    </a:ln>
                  </pic:spPr>
                </pic:pic>
              </a:graphicData>
            </a:graphic>
          </wp:inline>
        </w:drawing>
      </w:r>
    </w:p>
    <w:p w14:paraId="07B850DF" w14:textId="77777777" w:rsidR="00C36E51" w:rsidRPr="00C36E51" w:rsidRDefault="00C36E51" w:rsidP="00E139C5">
      <w:pPr>
        <w:spacing w:line="360" w:lineRule="auto"/>
        <w:jc w:val="both"/>
        <w:rPr>
          <w:rFonts w:ascii="Times New Roman" w:hAnsi="Times New Roman" w:cs="Times New Roman"/>
          <w:b/>
          <w:bCs/>
          <w:color w:val="555555"/>
          <w:sz w:val="24"/>
          <w:szCs w:val="24"/>
          <w:shd w:val="clear" w:color="auto" w:fill="FFFFFF"/>
        </w:rPr>
      </w:pPr>
      <w:r w:rsidRPr="00C36E51">
        <w:rPr>
          <w:rFonts w:ascii="Times New Roman" w:hAnsi="Times New Roman" w:cs="Times New Roman"/>
          <w:b/>
          <w:bCs/>
          <w:color w:val="555555"/>
          <w:sz w:val="24"/>
          <w:szCs w:val="24"/>
          <w:shd w:val="clear" w:color="auto" w:fill="FFFFFF"/>
        </w:rPr>
        <w:t>Fig 5</w:t>
      </w:r>
    </w:p>
    <w:p w14:paraId="450333E2"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shd w:val="clear" w:color="auto" w:fill="FFFFFF"/>
        </w:rPr>
        <w:t xml:space="preserve">Managerial Motives </w:t>
      </w:r>
    </w:p>
    <w:p w14:paraId="26EA39C6" w14:textId="77777777" w:rsidR="00C36E51" w:rsidRPr="00C36E51" w:rsidRDefault="00C36E51" w:rsidP="00E139C5">
      <w:pPr>
        <w:spacing w:line="360" w:lineRule="auto"/>
        <w:jc w:val="both"/>
        <w:rPr>
          <w:rFonts w:ascii="Times New Roman" w:hAnsi="Times New Roman" w:cs="Times New Roman"/>
          <w:sz w:val="24"/>
          <w:szCs w:val="24"/>
          <w:shd w:val="clear" w:color="auto" w:fill="FFFFFF"/>
        </w:rPr>
      </w:pPr>
      <w:r w:rsidRPr="00C36E51">
        <w:rPr>
          <w:rFonts w:ascii="Times New Roman" w:hAnsi="Times New Roman" w:cs="Times New Roman"/>
          <w:sz w:val="24"/>
          <w:szCs w:val="24"/>
          <w:shd w:val="clear" w:color="auto" w:fill="FFFFFF"/>
        </w:rPr>
        <w:t xml:space="preserve">Managerial motives can trigger  to use acquisition as a strategy driven by self-interest such as enrichment through empires. </w:t>
      </w:r>
    </w:p>
    <w:p w14:paraId="02B71E26" w14:textId="77777777" w:rsidR="00C36E51" w:rsidRPr="00C36E51" w:rsidRDefault="00C36E51" w:rsidP="00E139C5">
      <w:pPr>
        <w:spacing w:line="360" w:lineRule="auto"/>
        <w:jc w:val="both"/>
        <w:rPr>
          <w:rFonts w:ascii="Times New Roman" w:hAnsi="Times New Roman" w:cs="Times New Roman"/>
          <w:sz w:val="24"/>
          <w:szCs w:val="24"/>
          <w:shd w:val="clear" w:color="auto" w:fill="FFFFFF"/>
        </w:rPr>
      </w:pPr>
      <w:r w:rsidRPr="00C36E51">
        <w:rPr>
          <w:rFonts w:ascii="Times New Roman" w:hAnsi="Times New Roman" w:cs="Times New Roman"/>
          <w:sz w:val="24"/>
          <w:szCs w:val="24"/>
          <w:shd w:val="clear" w:color="auto" w:fill="FFFFFF"/>
        </w:rPr>
        <w:t xml:space="preserve">SoftBank, founded by Masayoshi Son - the "Warren Buffett of technology investment" - wants to propel ARM onto the same level as Amazon, Apple or Alibaba by creating new microchips to help power the "internet of things". (Hippwell, 2016 pp. 44). </w:t>
      </w:r>
    </w:p>
    <w:p w14:paraId="1BFE034A" w14:textId="77777777" w:rsidR="007C4375" w:rsidRDefault="00C36E51" w:rsidP="00E139C5">
      <w:pPr>
        <w:spacing w:line="360" w:lineRule="auto"/>
        <w:jc w:val="both"/>
        <w:rPr>
          <w:rFonts w:ascii="Times New Roman" w:eastAsia="Times New Roman" w:hAnsi="Times New Roman" w:cs="Times New Roman"/>
          <w:sz w:val="24"/>
          <w:szCs w:val="24"/>
          <w:lang w:eastAsia="en-GB"/>
        </w:rPr>
      </w:pPr>
      <w:r w:rsidRPr="00C36E51">
        <w:rPr>
          <w:rFonts w:ascii="Times New Roman" w:hAnsi="Times New Roman" w:cs="Times New Roman"/>
          <w:sz w:val="24"/>
          <w:szCs w:val="24"/>
        </w:rPr>
        <w:t>Change in organisations when measuring leadership performance is very important as</w:t>
      </w:r>
      <w:r w:rsidR="009208D7">
        <w:rPr>
          <w:rFonts w:ascii="Times New Roman" w:hAnsi="Times New Roman" w:cs="Times New Roman"/>
          <w:sz w:val="24"/>
          <w:szCs w:val="24"/>
        </w:rPr>
        <w:t xml:space="preserve">  the</w:t>
      </w:r>
      <w:r w:rsidRPr="00C36E51">
        <w:rPr>
          <w:rFonts w:ascii="Times New Roman" w:hAnsi="Times New Roman" w:cs="Times New Roman"/>
          <w:sz w:val="24"/>
          <w:szCs w:val="24"/>
        </w:rPr>
        <w:t xml:space="preserve"> literature suggests  (</w:t>
      </w:r>
      <w:r w:rsidRPr="00C36E51">
        <w:rPr>
          <w:rFonts w:ascii="Times New Roman" w:eastAsia="Times New Roman" w:hAnsi="Times New Roman" w:cs="Times New Roman"/>
          <w:sz w:val="24"/>
          <w:szCs w:val="24"/>
          <w:lang w:eastAsia="en-GB"/>
        </w:rPr>
        <w:t xml:space="preserve">Gill (2011), </w:t>
      </w:r>
      <w:r w:rsidR="007C4375">
        <w:rPr>
          <w:rFonts w:ascii="Times New Roman" w:eastAsia="Times New Roman" w:hAnsi="Times New Roman" w:cs="Times New Roman"/>
          <w:sz w:val="24"/>
          <w:szCs w:val="24"/>
          <w:lang w:eastAsia="en-GB"/>
        </w:rPr>
        <w:t xml:space="preserve">organisations formulate their visions and strategies on leadership. </w:t>
      </w:r>
    </w:p>
    <w:p w14:paraId="460C5AA4" w14:textId="3C98B59F" w:rsidR="00C36E51" w:rsidRPr="007C4375" w:rsidRDefault="00C36E51" w:rsidP="00E139C5">
      <w:pPr>
        <w:spacing w:line="360" w:lineRule="auto"/>
        <w:jc w:val="both"/>
        <w:rPr>
          <w:rFonts w:ascii="Times New Roman" w:eastAsia="Times New Roman" w:hAnsi="Times New Roman" w:cs="Times New Roman"/>
          <w:sz w:val="24"/>
          <w:szCs w:val="24"/>
          <w:lang w:eastAsia="en-GB"/>
        </w:rPr>
      </w:pPr>
      <w:r w:rsidRPr="00C36E51">
        <w:rPr>
          <w:rFonts w:ascii="Times New Roman" w:eastAsia="Times New Roman" w:hAnsi="Times New Roman" w:cs="Times New Roman"/>
          <w:sz w:val="24"/>
          <w:szCs w:val="24"/>
          <w:lang w:eastAsia="en-GB"/>
        </w:rPr>
        <w:lastRenderedPageBreak/>
        <w:t>SoftBank Group visionary leadership steers which way the organisation goes.  We also learn that it is through the vision that business conduct strategic planning to make  various strategic decisions. (Hickman 2010) “strategic decisions affect how leaders handle the intended coordination of actions to align the firm to its environment”.</w:t>
      </w:r>
    </w:p>
    <w:p w14:paraId="62FE2051"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Shared Vision </w:t>
      </w:r>
    </w:p>
    <w:p w14:paraId="4A2AB2FE" w14:textId="1CCCB382" w:rsidR="00C36E51" w:rsidRPr="00C36E51" w:rsidRDefault="00C36E51" w:rsidP="00E139C5">
      <w:pPr>
        <w:shd w:val="clear" w:color="auto" w:fill="FFFFFF"/>
        <w:spacing w:line="360" w:lineRule="auto"/>
        <w:jc w:val="both"/>
        <w:textAlignment w:val="baseline"/>
        <w:rPr>
          <w:rFonts w:ascii="Times New Roman" w:hAnsi="Times New Roman" w:cs="Times New Roman"/>
          <w:sz w:val="24"/>
          <w:szCs w:val="24"/>
        </w:rPr>
      </w:pPr>
      <w:r w:rsidRPr="00C36E51">
        <w:rPr>
          <w:rFonts w:ascii="Times New Roman" w:hAnsi="Times New Roman" w:cs="Times New Roman"/>
          <w:sz w:val="24"/>
          <w:szCs w:val="24"/>
        </w:rPr>
        <w:t xml:space="preserve">The strategic change in Softbank when it acquired ARM raises question of how this acquisition fitted Softbank’s strategy? as literature suggests that strategic </w:t>
      </w:r>
      <w:r w:rsidR="00DE2EF0">
        <w:rPr>
          <w:rFonts w:ascii="Times New Roman" w:hAnsi="Times New Roman" w:cs="Times New Roman"/>
          <w:sz w:val="24"/>
          <w:szCs w:val="24"/>
        </w:rPr>
        <w:t xml:space="preserve">management </w:t>
      </w:r>
      <w:r w:rsidRPr="00C36E51">
        <w:rPr>
          <w:rFonts w:ascii="Times New Roman" w:hAnsi="Times New Roman" w:cs="Times New Roman"/>
          <w:sz w:val="24"/>
          <w:szCs w:val="24"/>
        </w:rPr>
        <w:t xml:space="preserve"> must</w:t>
      </w:r>
      <w:r w:rsidR="00DE2EF0">
        <w:rPr>
          <w:rFonts w:ascii="Times New Roman" w:hAnsi="Times New Roman" w:cs="Times New Roman"/>
          <w:sz w:val="24"/>
          <w:szCs w:val="24"/>
        </w:rPr>
        <w:t xml:space="preserve"> react</w:t>
      </w:r>
      <w:r w:rsidRPr="00C36E51">
        <w:rPr>
          <w:rFonts w:ascii="Times New Roman" w:hAnsi="Times New Roman" w:cs="Times New Roman"/>
          <w:sz w:val="24"/>
          <w:szCs w:val="24"/>
        </w:rPr>
        <w:t xml:space="preserve"> to the </w:t>
      </w:r>
      <w:r w:rsidR="00DE2EF0">
        <w:rPr>
          <w:rFonts w:ascii="Times New Roman" w:hAnsi="Times New Roman" w:cs="Times New Roman"/>
          <w:sz w:val="24"/>
          <w:szCs w:val="24"/>
        </w:rPr>
        <w:t xml:space="preserve">turbulence in the </w:t>
      </w:r>
      <w:r w:rsidRPr="00C36E51">
        <w:rPr>
          <w:rFonts w:ascii="Times New Roman" w:hAnsi="Times New Roman" w:cs="Times New Roman"/>
          <w:sz w:val="24"/>
          <w:szCs w:val="24"/>
        </w:rPr>
        <w:t xml:space="preserve">environments, the technology industry is changing and  evolved  from PC- Internet - mobile right now the future is in IoT. To position SBGC strategically in the long term and the groups lack of assets crucial for competing in the new paradigm shift of the internet of things  (IoT) , with the company’s track record on key success is by investing in the beginning of the paradigm shift. </w:t>
      </w:r>
    </w:p>
    <w:p w14:paraId="06442F4D" w14:textId="18541780" w:rsidR="00DE2EF0" w:rsidRDefault="00C36E51" w:rsidP="00E139C5">
      <w:pPr>
        <w:shd w:val="clear" w:color="auto" w:fill="FFFFFF"/>
        <w:spacing w:after="0" w:line="360" w:lineRule="auto"/>
        <w:jc w:val="both"/>
        <w:textAlignment w:val="baseline"/>
        <w:rPr>
          <w:rFonts w:ascii="Times New Roman" w:hAnsi="Times New Roman" w:cs="Times New Roman"/>
          <w:sz w:val="24"/>
          <w:szCs w:val="24"/>
        </w:rPr>
      </w:pPr>
      <w:r w:rsidRPr="00C36E51">
        <w:rPr>
          <w:rFonts w:ascii="Times New Roman" w:hAnsi="Times New Roman" w:cs="Times New Roman"/>
          <w:sz w:val="24"/>
          <w:szCs w:val="24"/>
        </w:rPr>
        <w:t xml:space="preserve">Both </w:t>
      </w:r>
      <w:r w:rsidR="00DE2EF0" w:rsidRPr="00C36E51">
        <w:rPr>
          <w:rFonts w:ascii="Times New Roman" w:hAnsi="Times New Roman" w:cs="Times New Roman"/>
          <w:sz w:val="24"/>
          <w:szCs w:val="24"/>
        </w:rPr>
        <w:t>companies’</w:t>
      </w:r>
      <w:r w:rsidRPr="00C36E51">
        <w:rPr>
          <w:rFonts w:ascii="Times New Roman" w:hAnsi="Times New Roman" w:cs="Times New Roman"/>
          <w:sz w:val="24"/>
          <w:szCs w:val="24"/>
        </w:rPr>
        <w:t xml:space="preserve"> </w:t>
      </w:r>
      <w:r w:rsidR="00DE2EF0">
        <w:rPr>
          <w:rFonts w:ascii="Times New Roman" w:hAnsi="Times New Roman" w:cs="Times New Roman"/>
          <w:sz w:val="24"/>
          <w:szCs w:val="24"/>
        </w:rPr>
        <w:t xml:space="preserve">strategies </w:t>
      </w:r>
      <w:r w:rsidRPr="00C36E51">
        <w:rPr>
          <w:rFonts w:ascii="Times New Roman" w:hAnsi="Times New Roman" w:cs="Times New Roman"/>
          <w:sz w:val="24"/>
          <w:szCs w:val="24"/>
        </w:rPr>
        <w:t xml:space="preserve">shared the same </w:t>
      </w:r>
      <w:r w:rsidR="00DE2EF0">
        <w:rPr>
          <w:rFonts w:ascii="Times New Roman" w:hAnsi="Times New Roman" w:cs="Times New Roman"/>
          <w:sz w:val="24"/>
          <w:szCs w:val="24"/>
        </w:rPr>
        <w:t>dream</w:t>
      </w:r>
      <w:r w:rsidRPr="00C36E51">
        <w:rPr>
          <w:rFonts w:ascii="Times New Roman" w:hAnsi="Times New Roman" w:cs="Times New Roman"/>
          <w:sz w:val="24"/>
          <w:szCs w:val="24"/>
        </w:rPr>
        <w:t xml:space="preserve"> and </w:t>
      </w:r>
      <w:r w:rsidR="00DE2EF0" w:rsidRPr="00C36E51">
        <w:rPr>
          <w:rFonts w:ascii="Times New Roman" w:hAnsi="Times New Roman" w:cs="Times New Roman"/>
          <w:sz w:val="24"/>
          <w:szCs w:val="24"/>
        </w:rPr>
        <w:t>drive</w:t>
      </w:r>
      <w:r w:rsidRPr="00C36E51">
        <w:rPr>
          <w:rFonts w:ascii="Times New Roman" w:hAnsi="Times New Roman" w:cs="Times New Roman"/>
          <w:sz w:val="24"/>
          <w:szCs w:val="24"/>
        </w:rPr>
        <w:t xml:space="preserve"> to empower the world with technology</w:t>
      </w:r>
      <w:r w:rsidR="00DE2EF0">
        <w:rPr>
          <w:rFonts w:ascii="Times New Roman" w:hAnsi="Times New Roman" w:cs="Times New Roman"/>
          <w:sz w:val="24"/>
          <w:szCs w:val="24"/>
        </w:rPr>
        <w:t xml:space="preserve">, making life for the consumers of the end product </w:t>
      </w:r>
      <w:r w:rsidRPr="00C36E51">
        <w:rPr>
          <w:rFonts w:ascii="Times New Roman" w:hAnsi="Times New Roman" w:cs="Times New Roman"/>
          <w:sz w:val="24"/>
          <w:szCs w:val="24"/>
        </w:rPr>
        <w:t xml:space="preserve"> easier, safe and </w:t>
      </w:r>
      <w:r w:rsidR="00DE2EF0">
        <w:rPr>
          <w:rFonts w:ascii="Times New Roman" w:hAnsi="Times New Roman" w:cs="Times New Roman"/>
          <w:sz w:val="24"/>
          <w:szCs w:val="24"/>
        </w:rPr>
        <w:t>content</w:t>
      </w:r>
      <w:r w:rsidRPr="00C36E51">
        <w:rPr>
          <w:rFonts w:ascii="Times New Roman" w:hAnsi="Times New Roman" w:cs="Times New Roman"/>
          <w:sz w:val="24"/>
          <w:szCs w:val="24"/>
        </w:rPr>
        <w:t xml:space="preserve">. </w:t>
      </w:r>
    </w:p>
    <w:p w14:paraId="6321A5DE" w14:textId="50B9E67B" w:rsidR="00C36E51" w:rsidRPr="00C36E51" w:rsidRDefault="00C36E51" w:rsidP="00E139C5">
      <w:pPr>
        <w:shd w:val="clear" w:color="auto" w:fill="FFFFFF"/>
        <w:spacing w:after="0" w:line="360" w:lineRule="auto"/>
        <w:jc w:val="both"/>
        <w:textAlignment w:val="baseline"/>
        <w:rPr>
          <w:rFonts w:ascii="Times New Roman" w:eastAsia="FP-ヒラギノUD角ゴ StdN W3" w:hAnsi="Times New Roman" w:cs="Times New Roman"/>
          <w:spacing w:val="8"/>
          <w:sz w:val="24"/>
          <w:szCs w:val="24"/>
          <w:lang w:eastAsia="en-GB"/>
        </w:rPr>
      </w:pPr>
      <w:r w:rsidRPr="00C36E51">
        <w:rPr>
          <w:rFonts w:ascii="Times New Roman" w:hAnsi="Times New Roman" w:cs="Times New Roman"/>
          <w:sz w:val="24"/>
          <w:szCs w:val="24"/>
        </w:rPr>
        <w:t xml:space="preserve">They share the same future, both groups Arm &amp; SBG have enabled technology at the heart of a computing and connectivity revolution. Arm ships more than 40million ARM based </w:t>
      </w:r>
      <w:r w:rsidR="00DE2EF0">
        <w:rPr>
          <w:rFonts w:ascii="Times New Roman" w:hAnsi="Times New Roman" w:cs="Times New Roman"/>
          <w:sz w:val="24"/>
          <w:szCs w:val="24"/>
        </w:rPr>
        <w:t xml:space="preserve">processor </w:t>
      </w:r>
      <w:r w:rsidRPr="00C36E51">
        <w:rPr>
          <w:rFonts w:ascii="Times New Roman" w:hAnsi="Times New Roman" w:cs="Times New Roman"/>
          <w:sz w:val="24"/>
          <w:szCs w:val="24"/>
        </w:rPr>
        <w:t>chips by its partners around the world</w:t>
      </w:r>
      <w:r w:rsidR="00DE2EF0">
        <w:rPr>
          <w:rFonts w:ascii="Times New Roman" w:hAnsi="Times New Roman" w:cs="Times New Roman"/>
          <w:sz w:val="24"/>
          <w:szCs w:val="24"/>
        </w:rPr>
        <w:t xml:space="preserve"> and </w:t>
      </w:r>
      <w:r w:rsidRPr="00C36E51">
        <w:rPr>
          <w:rFonts w:ascii="Times New Roman" w:hAnsi="Times New Roman" w:cs="Times New Roman"/>
          <w:sz w:val="24"/>
          <w:szCs w:val="24"/>
        </w:rPr>
        <w:t xml:space="preserve">SBG </w:t>
      </w:r>
      <w:r w:rsidR="00DE2EF0" w:rsidRPr="00C36E51">
        <w:rPr>
          <w:rFonts w:ascii="Times New Roman" w:hAnsi="Times New Roman" w:cs="Times New Roman"/>
          <w:sz w:val="24"/>
          <w:szCs w:val="24"/>
        </w:rPr>
        <w:t>delivers</w:t>
      </w:r>
      <w:r w:rsidRPr="00C36E51">
        <w:rPr>
          <w:rFonts w:ascii="Times New Roman" w:hAnsi="Times New Roman" w:cs="Times New Roman"/>
          <w:sz w:val="24"/>
          <w:szCs w:val="24"/>
        </w:rPr>
        <w:t xml:space="preserve"> mobile and fixed line connectivity to over 100million people and devices in Japan and USA , and is pioneering new ventures in AI, smart robotics and IoT by the two companies coming together they can bring potential to information revolution, with its </w:t>
      </w:r>
      <w:r w:rsidR="00955D9F" w:rsidRPr="00C36E51">
        <w:rPr>
          <w:rFonts w:ascii="Times New Roman" w:hAnsi="Times New Roman" w:cs="Times New Roman"/>
          <w:sz w:val="24"/>
          <w:szCs w:val="24"/>
        </w:rPr>
        <w:t>known</w:t>
      </w:r>
      <w:r w:rsidRPr="00C36E51">
        <w:rPr>
          <w:rFonts w:ascii="Times New Roman" w:hAnsi="Times New Roman" w:cs="Times New Roman"/>
          <w:sz w:val="24"/>
          <w:szCs w:val="24"/>
        </w:rPr>
        <w:t xml:space="preserve"> investment in new paradigms </w:t>
      </w:r>
      <w:r w:rsidRPr="00C36E51">
        <w:rPr>
          <w:rFonts w:ascii="Times New Roman" w:eastAsia="FP-ヒラギノUD角ゴ StdN W3" w:hAnsi="Times New Roman" w:cs="Times New Roman"/>
          <w:spacing w:val="8"/>
          <w:sz w:val="24"/>
          <w:szCs w:val="24"/>
          <w:shd w:val="clear" w:color="auto" w:fill="FFFFFF"/>
        </w:rPr>
        <w:t>from P</w:t>
      </w:r>
      <w:r w:rsidR="00DE2EF0">
        <w:rPr>
          <w:rFonts w:ascii="Times New Roman" w:eastAsia="FP-ヒラギノUD角ゴ StdN W3" w:hAnsi="Times New Roman" w:cs="Times New Roman"/>
          <w:spacing w:val="8"/>
          <w:sz w:val="24"/>
          <w:szCs w:val="24"/>
          <w:shd w:val="clear" w:color="auto" w:fill="FFFFFF"/>
        </w:rPr>
        <w:t xml:space="preserve">ersonal </w:t>
      </w:r>
      <w:r w:rsidRPr="00C36E51">
        <w:rPr>
          <w:rFonts w:ascii="Times New Roman" w:eastAsia="FP-ヒラギノUD角ゴ StdN W3" w:hAnsi="Times New Roman" w:cs="Times New Roman"/>
          <w:spacing w:val="8"/>
          <w:sz w:val="24"/>
          <w:szCs w:val="24"/>
          <w:shd w:val="clear" w:color="auto" w:fill="FFFFFF"/>
        </w:rPr>
        <w:t>C</w:t>
      </w:r>
      <w:r w:rsidR="00DE2EF0">
        <w:rPr>
          <w:rFonts w:ascii="Times New Roman" w:eastAsia="FP-ヒラギノUD角ゴ StdN W3" w:hAnsi="Times New Roman" w:cs="Times New Roman"/>
          <w:spacing w:val="8"/>
          <w:sz w:val="24"/>
          <w:szCs w:val="24"/>
          <w:shd w:val="clear" w:color="auto" w:fill="FFFFFF"/>
        </w:rPr>
        <w:t xml:space="preserve">omputer </w:t>
      </w:r>
      <w:r w:rsidRPr="00C36E51">
        <w:rPr>
          <w:rFonts w:ascii="Times New Roman" w:eastAsia="FP-ヒラギノUD角ゴ StdN W3" w:hAnsi="Times New Roman" w:cs="Times New Roman"/>
          <w:spacing w:val="8"/>
          <w:sz w:val="24"/>
          <w:szCs w:val="24"/>
          <w:shd w:val="clear" w:color="auto" w:fill="FFFFFF"/>
        </w:rPr>
        <w:t xml:space="preserve"> software distribution to the P</w:t>
      </w:r>
      <w:r w:rsidR="00DE2EF0">
        <w:rPr>
          <w:rFonts w:ascii="Times New Roman" w:eastAsia="FP-ヒラギノUD角ゴ StdN W3" w:hAnsi="Times New Roman" w:cs="Times New Roman"/>
          <w:spacing w:val="8"/>
          <w:sz w:val="24"/>
          <w:szCs w:val="24"/>
          <w:shd w:val="clear" w:color="auto" w:fill="FFFFFF"/>
        </w:rPr>
        <w:t xml:space="preserve">ersonal </w:t>
      </w:r>
      <w:r w:rsidRPr="00C36E51">
        <w:rPr>
          <w:rFonts w:ascii="Times New Roman" w:eastAsia="FP-ヒラギノUD角ゴ StdN W3" w:hAnsi="Times New Roman" w:cs="Times New Roman"/>
          <w:spacing w:val="8"/>
          <w:sz w:val="24"/>
          <w:szCs w:val="24"/>
          <w:shd w:val="clear" w:color="auto" w:fill="FFFFFF"/>
        </w:rPr>
        <w:t>C</w:t>
      </w:r>
      <w:r w:rsidR="00DE2EF0">
        <w:rPr>
          <w:rFonts w:ascii="Times New Roman" w:eastAsia="FP-ヒラギノUD角ゴ StdN W3" w:hAnsi="Times New Roman" w:cs="Times New Roman"/>
          <w:spacing w:val="8"/>
          <w:sz w:val="24"/>
          <w:szCs w:val="24"/>
          <w:shd w:val="clear" w:color="auto" w:fill="FFFFFF"/>
        </w:rPr>
        <w:t xml:space="preserve">omputer </w:t>
      </w:r>
      <w:r w:rsidRPr="00C36E51">
        <w:rPr>
          <w:rFonts w:ascii="Times New Roman" w:eastAsia="FP-ヒラギノUD角ゴ StdN W3" w:hAnsi="Times New Roman" w:cs="Times New Roman"/>
          <w:spacing w:val="8"/>
          <w:sz w:val="24"/>
          <w:szCs w:val="24"/>
          <w:shd w:val="clear" w:color="auto" w:fill="FFFFFF"/>
        </w:rPr>
        <w:t xml:space="preserve"> Internet to the Mobile Internet</w:t>
      </w:r>
      <w:r w:rsidR="00DE2EF0">
        <w:rPr>
          <w:rFonts w:ascii="Times New Roman" w:eastAsia="FP-ヒラギノUD角ゴ StdN W3" w:hAnsi="Times New Roman" w:cs="Times New Roman"/>
          <w:spacing w:val="8"/>
          <w:sz w:val="24"/>
          <w:szCs w:val="24"/>
          <w:shd w:val="clear" w:color="auto" w:fill="FFFFFF"/>
        </w:rPr>
        <w:t xml:space="preserve">. </w:t>
      </w:r>
      <w:r w:rsidRPr="00C36E51">
        <w:rPr>
          <w:rFonts w:ascii="Times New Roman" w:eastAsia="FP-ヒラギノUD角ゴ StdN W3" w:hAnsi="Times New Roman" w:cs="Times New Roman"/>
          <w:spacing w:val="8"/>
          <w:sz w:val="24"/>
          <w:szCs w:val="24"/>
          <w:shd w:val="clear" w:color="auto" w:fill="FFFFFF"/>
        </w:rPr>
        <w:t>ARM</w:t>
      </w:r>
      <w:r w:rsidR="00DE2EF0">
        <w:rPr>
          <w:rFonts w:ascii="Times New Roman" w:eastAsia="FP-ヒラギノUD角ゴ StdN W3" w:hAnsi="Times New Roman" w:cs="Times New Roman"/>
          <w:spacing w:val="8"/>
          <w:sz w:val="24"/>
          <w:szCs w:val="24"/>
          <w:shd w:val="clear" w:color="auto" w:fill="FFFFFF"/>
        </w:rPr>
        <w:t xml:space="preserve"> processor chips are </w:t>
      </w:r>
      <w:r w:rsidRPr="00C36E51">
        <w:rPr>
          <w:rFonts w:ascii="Times New Roman" w:eastAsia="FP-ヒラギノUD角ゴ StdN W3" w:hAnsi="Times New Roman" w:cs="Times New Roman"/>
          <w:spacing w:val="8"/>
          <w:sz w:val="24"/>
          <w:szCs w:val="24"/>
          <w:shd w:val="clear" w:color="auto" w:fill="FFFFFF"/>
        </w:rPr>
        <w:t xml:space="preserve"> core to what we see as the next paradigm shift in the Information Revolution: IoT. The two forces especially Arm will be able to move faster in creating new technologies and deliver at a quick speed S</w:t>
      </w:r>
      <w:r w:rsidRPr="00C36E51">
        <w:rPr>
          <w:rFonts w:ascii="Times New Roman" w:eastAsia="FP-ヒラギノUD角ゴ StdN W3" w:hAnsi="Times New Roman" w:cs="Times New Roman"/>
          <w:spacing w:val="8"/>
          <w:sz w:val="24"/>
          <w:szCs w:val="24"/>
          <w:lang w:eastAsia="en-GB"/>
        </w:rPr>
        <w:t>eptember 6, 2016.</w:t>
      </w:r>
      <w:r w:rsidRPr="00BC59C1">
        <w:rPr>
          <w:rFonts w:ascii="Times New Roman" w:hAnsi="Times New Roman" w:cs="Times New Roman"/>
          <w:sz w:val="24"/>
          <w:szCs w:val="24"/>
        </w:rPr>
        <w:t xml:space="preserve"> </w:t>
      </w:r>
      <w:hyperlink r:id="rId20" w:history="1">
        <w:r w:rsidRPr="00BC59C1">
          <w:rPr>
            <w:rFonts w:ascii="Times New Roman" w:hAnsi="Times New Roman" w:cs="Times New Roman"/>
            <w:sz w:val="24"/>
            <w:szCs w:val="24"/>
            <w:u w:val="single"/>
          </w:rPr>
          <w:t>https://group.softbank/en</w:t>
        </w:r>
      </w:hyperlink>
      <w:r w:rsidR="008E6FD9">
        <w:rPr>
          <w:rFonts w:ascii="Times New Roman" w:hAnsi="Times New Roman" w:cs="Times New Roman"/>
          <w:sz w:val="24"/>
          <w:szCs w:val="24"/>
          <w:u w:val="single"/>
        </w:rPr>
        <w:t>(2020)</w:t>
      </w:r>
    </w:p>
    <w:p w14:paraId="6D45AEEE" w14:textId="77777777" w:rsidR="00146CDE" w:rsidRDefault="00146CDE" w:rsidP="00E139C5">
      <w:pPr>
        <w:spacing w:line="360" w:lineRule="auto"/>
        <w:jc w:val="both"/>
        <w:rPr>
          <w:rFonts w:ascii="Times New Roman" w:hAnsi="Times New Roman" w:cs="Times New Roman"/>
          <w:b/>
          <w:bCs/>
          <w:sz w:val="24"/>
          <w:szCs w:val="24"/>
        </w:rPr>
      </w:pPr>
    </w:p>
    <w:p w14:paraId="1CE52F8F" w14:textId="5DED2232"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Expansion of Markets </w:t>
      </w:r>
    </w:p>
    <w:p w14:paraId="1F5E48BC"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 xml:space="preserve">Cluster of No. 1 Strategy, the group focuses on the potential of AI in order to expansion of markets which will bring further opportunities and in order to seize these opportunities, SB, invest to build a cluster of leading AI companies that build innovative services and business models based around the emerging capabilities of AI technology. By SBG acquisition of Arm with its unique technologies will be able to sustain the company growth. “ Arm has already </w:t>
      </w:r>
      <w:r w:rsidRPr="00C36E51">
        <w:rPr>
          <w:rFonts w:ascii="Times New Roman" w:hAnsi="Times New Roman" w:cs="Times New Roman"/>
          <w:sz w:val="24"/>
          <w:szCs w:val="24"/>
        </w:rPr>
        <w:lastRenderedPageBreak/>
        <w:t>95% share of the main chips in the mobile devices and an increase in royalties per chip. “ With Arms processors will help provide AI and 5G capabilities to the next generation of smartphones in the years to come.</w:t>
      </w:r>
    </w:p>
    <w:p w14:paraId="30163A1D" w14:textId="2B4CF8E5" w:rsidR="009B7B71" w:rsidRDefault="00DE2EF0" w:rsidP="009B7B71">
      <w:pPr>
        <w:spacing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As </w:t>
      </w:r>
      <w:r w:rsidR="00C36E51" w:rsidRPr="00C36E51">
        <w:rPr>
          <w:rFonts w:ascii="Times New Roman" w:hAnsi="Times New Roman" w:cs="Times New Roman"/>
          <w:sz w:val="24"/>
          <w:szCs w:val="24"/>
        </w:rPr>
        <w:t xml:space="preserve"> new markets for electronics emerge </w:t>
      </w:r>
      <w:r w:rsidR="009B7B71">
        <w:rPr>
          <w:rFonts w:ascii="Times New Roman" w:hAnsi="Times New Roman" w:cs="Times New Roman"/>
          <w:sz w:val="24"/>
          <w:szCs w:val="24"/>
        </w:rPr>
        <w:t xml:space="preserve">and </w:t>
      </w:r>
      <w:r w:rsidR="00C36E51" w:rsidRPr="00C36E51">
        <w:rPr>
          <w:rFonts w:ascii="Times New Roman" w:hAnsi="Times New Roman" w:cs="Times New Roman"/>
          <w:sz w:val="24"/>
          <w:szCs w:val="24"/>
        </w:rPr>
        <w:t xml:space="preserve">most </w:t>
      </w:r>
      <w:r w:rsidR="009B7B71">
        <w:rPr>
          <w:rFonts w:ascii="Times New Roman" w:hAnsi="Times New Roman" w:cs="Times New Roman"/>
          <w:sz w:val="24"/>
          <w:szCs w:val="24"/>
        </w:rPr>
        <w:t>used</w:t>
      </w:r>
      <w:r w:rsidR="00C36E51" w:rsidRPr="00C36E51">
        <w:rPr>
          <w:rFonts w:ascii="Times New Roman" w:hAnsi="Times New Roman" w:cs="Times New Roman"/>
          <w:sz w:val="24"/>
          <w:szCs w:val="24"/>
        </w:rPr>
        <w:t xml:space="preserve"> Arm’s advanced processor designs, including IoT, self -driving cars and Industrial automation. With such a big market SBG, saw the opportunity to be part of that market, for example as vehicles are becoming smarter, they will require more computational capability , this is a great opportunity in this moment in time to be  well positioned to gain the share. Already Arm processor technology has been licenced by automotive chips developer companies , with all this on-board Arm was the best strategic fit, for SBG</w:t>
      </w:r>
      <w:r w:rsidR="009B7B71">
        <w:rPr>
          <w:rFonts w:ascii="Times New Roman" w:hAnsi="Times New Roman" w:cs="Times New Roman"/>
          <w:sz w:val="24"/>
          <w:szCs w:val="24"/>
        </w:rPr>
        <w:t xml:space="preserve">. </w:t>
      </w:r>
      <w:r w:rsidR="00C36E51" w:rsidRPr="00C36E51">
        <w:rPr>
          <w:rFonts w:ascii="Times New Roman" w:hAnsi="Times New Roman" w:cs="Times New Roman"/>
          <w:sz w:val="24"/>
          <w:szCs w:val="24"/>
        </w:rPr>
        <w:t xml:space="preserve"> </w:t>
      </w:r>
      <w:r w:rsidR="009B7B71" w:rsidRPr="00C36E51">
        <w:rPr>
          <w:rFonts w:ascii="Times New Roman" w:hAnsi="Times New Roman" w:cs="Times New Roman"/>
          <w:sz w:val="24"/>
          <w:szCs w:val="24"/>
        </w:rPr>
        <w:t>With access to SBG  Vision Fund finance, Arm will be able to use the money and invest heavily in the new technologies that can secure and manage the data in IoT device networks</w:t>
      </w:r>
      <w:r w:rsidR="009B7B71">
        <w:rPr>
          <w:rFonts w:ascii="Times New Roman" w:hAnsi="Times New Roman" w:cs="Times New Roman"/>
          <w:sz w:val="24"/>
          <w:szCs w:val="24"/>
          <w:u w:val="single"/>
        </w:rPr>
        <w:t xml:space="preserve"> . </w:t>
      </w:r>
      <w:r w:rsidR="009B7B71" w:rsidRPr="00C36E51">
        <w:rPr>
          <w:rFonts w:ascii="Times New Roman" w:hAnsi="Times New Roman" w:cs="Times New Roman"/>
          <w:color w:val="000000"/>
          <w:sz w:val="24"/>
          <w:szCs w:val="24"/>
          <w:shd w:val="clear" w:color="auto" w:fill="FFFFFF"/>
        </w:rPr>
        <w:t xml:space="preserve">IoT is going to be the biggest paradigm shift in human history and ARM will be the centre of the Internet of Things, </w:t>
      </w:r>
      <w:r w:rsidR="009B7B71" w:rsidRPr="00C36E51">
        <w:rPr>
          <w:rFonts w:ascii="Times New Roman" w:hAnsi="Times New Roman" w:cs="Times New Roman"/>
          <w:color w:val="222222"/>
          <w:sz w:val="24"/>
          <w:szCs w:val="24"/>
          <w:shd w:val="clear" w:color="auto" w:fill="FFFFFF"/>
        </w:rPr>
        <w:t>“This is one of the most important acquisitions we have ever made, and I expect ARM to be a key pillar of SoftBank’s growth strategy going forward.”</w:t>
      </w:r>
      <w:r w:rsidR="009B7B71" w:rsidRPr="00394AE2">
        <w:rPr>
          <w:rFonts w:ascii="Times New Roman" w:hAnsi="Times New Roman" w:cs="Times New Roman"/>
          <w:sz w:val="24"/>
          <w:szCs w:val="24"/>
          <w:shd w:val="clear" w:color="auto" w:fill="FFFFFF"/>
        </w:rPr>
        <w:t xml:space="preserve"> </w:t>
      </w:r>
      <w:r w:rsidR="009B7B71" w:rsidRPr="00C36E51">
        <w:rPr>
          <w:rFonts w:ascii="Times New Roman" w:hAnsi="Times New Roman" w:cs="Times New Roman"/>
          <w:sz w:val="24"/>
          <w:szCs w:val="24"/>
        </w:rPr>
        <w:t>By adding both company resources, high revenues are expected in the next 30 years</w:t>
      </w:r>
      <w:r w:rsidR="009B7B71" w:rsidRPr="00394AE2">
        <w:rPr>
          <w:rFonts w:ascii="Times New Roman" w:hAnsi="Times New Roman" w:cs="Times New Roman"/>
          <w:sz w:val="24"/>
          <w:szCs w:val="24"/>
        </w:rPr>
        <w:t xml:space="preserve">. </w:t>
      </w:r>
      <w:hyperlink r:id="rId21" w:history="1">
        <w:r w:rsidR="009B7B71" w:rsidRPr="00394AE2">
          <w:rPr>
            <w:rFonts w:ascii="Times New Roman" w:hAnsi="Times New Roman" w:cs="Times New Roman"/>
            <w:sz w:val="24"/>
            <w:szCs w:val="24"/>
            <w:u w:val="single"/>
          </w:rPr>
          <w:t>https://group.softbank/en</w:t>
        </w:r>
      </w:hyperlink>
      <w:r w:rsidR="008E6FD9">
        <w:rPr>
          <w:rFonts w:ascii="Times New Roman" w:hAnsi="Times New Roman" w:cs="Times New Roman"/>
          <w:sz w:val="24"/>
          <w:szCs w:val="24"/>
          <w:u w:val="single"/>
        </w:rPr>
        <w:t>(2020)</w:t>
      </w:r>
    </w:p>
    <w:p w14:paraId="7E5D47D2"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Internet of things (IoT)</w:t>
      </w:r>
    </w:p>
    <w:p w14:paraId="5B9950AD" w14:textId="54D35E5F" w:rsidR="00C36E51" w:rsidRPr="00C36E51" w:rsidRDefault="00C36E51" w:rsidP="00E139C5">
      <w:pPr>
        <w:spacing w:line="360" w:lineRule="auto"/>
        <w:jc w:val="both"/>
        <w:rPr>
          <w:rFonts w:ascii="Times New Roman" w:eastAsia="FP-ヒラギノUD角ゴ StdN W3" w:hAnsi="Times New Roman" w:cs="Times New Roman"/>
          <w:color w:val="333333"/>
          <w:spacing w:val="8"/>
          <w:sz w:val="24"/>
          <w:szCs w:val="24"/>
          <w:shd w:val="clear" w:color="auto" w:fill="FFFFFF"/>
        </w:rPr>
      </w:pPr>
      <w:r w:rsidRPr="00C36E51">
        <w:rPr>
          <w:rFonts w:ascii="Times New Roman" w:hAnsi="Times New Roman" w:cs="Times New Roman"/>
          <w:sz w:val="24"/>
          <w:szCs w:val="24"/>
        </w:rPr>
        <w:t>Faced with the largest paradigm shift in human history , SBG, need a company to work with and pursue sustained growth. Arm acquisition was that the company is going to be the key drive of the IoT era of SBG. “</w:t>
      </w:r>
      <w:r w:rsidRPr="00C36E51">
        <w:rPr>
          <w:rFonts w:ascii="Times New Roman" w:eastAsia="FP-ヒラギノUD角ゴ StdN W3" w:hAnsi="Times New Roman" w:cs="Times New Roman"/>
          <w:spacing w:val="8"/>
          <w:sz w:val="24"/>
          <w:szCs w:val="24"/>
          <w:shd w:val="clear" w:color="auto" w:fill="FFFFFF"/>
        </w:rPr>
        <w:t>In the Internet of Things (IoT) era, Arm, as a leader in semiconductor technologies, is expected to play a central role in the SoftBank Group ’ s strategy by taking advantage of its differentiated technologies in high security and energy efficiency</w:t>
      </w:r>
      <w:r w:rsidRPr="00C36E51">
        <w:rPr>
          <w:rFonts w:ascii="Times New Roman" w:eastAsia="FP-ヒラギノUD角ゴ StdN W3" w:hAnsi="Times New Roman" w:cs="Times New Roman"/>
          <w:color w:val="333333"/>
          <w:spacing w:val="8"/>
          <w:sz w:val="24"/>
          <w:szCs w:val="24"/>
          <w:shd w:val="clear" w:color="auto" w:fill="FFFFFF"/>
        </w:rPr>
        <w:t>”</w:t>
      </w:r>
      <w:r w:rsidRPr="00C36E51">
        <w:rPr>
          <w:rFonts w:ascii="Times New Roman" w:hAnsi="Times New Roman" w:cs="Times New Roman"/>
          <w:sz w:val="24"/>
          <w:szCs w:val="24"/>
        </w:rPr>
        <w:t xml:space="preserve"> </w:t>
      </w:r>
      <w:hyperlink r:id="rId22" w:history="1">
        <w:r w:rsidRPr="00394AE2">
          <w:rPr>
            <w:rFonts w:ascii="Times New Roman" w:hAnsi="Times New Roman" w:cs="Times New Roman"/>
            <w:sz w:val="24"/>
            <w:szCs w:val="24"/>
            <w:u w:val="single"/>
          </w:rPr>
          <w:t>https://group.softbank/en</w:t>
        </w:r>
      </w:hyperlink>
      <w:r w:rsidR="008E6FD9">
        <w:rPr>
          <w:rFonts w:ascii="Times New Roman" w:hAnsi="Times New Roman" w:cs="Times New Roman"/>
          <w:sz w:val="24"/>
          <w:szCs w:val="24"/>
          <w:u w:val="single"/>
        </w:rPr>
        <w:t>(2020)</w:t>
      </w:r>
    </w:p>
    <w:p w14:paraId="39DAF607" w14:textId="11D4DEDB" w:rsidR="00721B49"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 To fully reach its potential IoT, must be secure against hacking and robust, the future smartphones will become </w:t>
      </w:r>
      <w:r w:rsidR="00721B49" w:rsidRPr="00C36E51">
        <w:rPr>
          <w:rFonts w:ascii="Times New Roman" w:hAnsi="Times New Roman" w:cs="Times New Roman"/>
          <w:sz w:val="24"/>
          <w:szCs w:val="24"/>
        </w:rPr>
        <w:t>smarter</w:t>
      </w:r>
      <w:r w:rsidRPr="00C36E51">
        <w:rPr>
          <w:rFonts w:ascii="Times New Roman" w:hAnsi="Times New Roman" w:cs="Times New Roman"/>
          <w:sz w:val="24"/>
          <w:szCs w:val="24"/>
        </w:rPr>
        <w:t xml:space="preserve"> </w:t>
      </w:r>
      <w:r w:rsidR="00721B49">
        <w:rPr>
          <w:rFonts w:ascii="Times New Roman" w:hAnsi="Times New Roman" w:cs="Times New Roman"/>
          <w:sz w:val="24"/>
          <w:szCs w:val="24"/>
        </w:rPr>
        <w:t xml:space="preserve">with every generation, and this will </w:t>
      </w:r>
      <w:r w:rsidR="009B7B71">
        <w:rPr>
          <w:rFonts w:ascii="Times New Roman" w:hAnsi="Times New Roman" w:cs="Times New Roman"/>
          <w:sz w:val="24"/>
          <w:szCs w:val="24"/>
        </w:rPr>
        <w:t xml:space="preserve">be create </w:t>
      </w:r>
      <w:r w:rsidR="00721B49">
        <w:rPr>
          <w:rFonts w:ascii="Times New Roman" w:hAnsi="Times New Roman" w:cs="Times New Roman"/>
          <w:sz w:val="24"/>
          <w:szCs w:val="24"/>
        </w:rPr>
        <w:t>opportunities for both organisations, especially ARM technology will be vital for the market.</w:t>
      </w:r>
    </w:p>
    <w:p w14:paraId="096C3D6F" w14:textId="77777777" w:rsidR="00C36E51" w:rsidRPr="00C36E51" w:rsidRDefault="00C36E51" w:rsidP="00E139C5">
      <w:pPr>
        <w:spacing w:line="360" w:lineRule="auto"/>
        <w:contextualSpacing/>
        <w:jc w:val="both"/>
        <w:rPr>
          <w:rFonts w:ascii="Times New Roman" w:hAnsi="Times New Roman" w:cs="Times New Roman"/>
          <w:b/>
          <w:bCs/>
          <w:sz w:val="24"/>
          <w:szCs w:val="24"/>
        </w:rPr>
      </w:pPr>
      <w:r w:rsidRPr="00C36E51">
        <w:rPr>
          <w:rFonts w:ascii="Times New Roman" w:hAnsi="Times New Roman" w:cs="Times New Roman"/>
          <w:b/>
          <w:bCs/>
          <w:sz w:val="24"/>
          <w:szCs w:val="24"/>
        </w:rPr>
        <w:t>Brand Positioning/Global Leader</w:t>
      </w:r>
    </w:p>
    <w:p w14:paraId="187D8AA4" w14:textId="51520CB6"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Softbank</w:t>
      </w:r>
      <w:r w:rsidR="005E1671">
        <w:rPr>
          <w:rFonts w:ascii="Times New Roman" w:hAnsi="Times New Roman" w:cs="Times New Roman"/>
          <w:sz w:val="24"/>
          <w:szCs w:val="24"/>
        </w:rPr>
        <w:t xml:space="preserve"> </w:t>
      </w:r>
      <w:r w:rsidRPr="00C36E51">
        <w:rPr>
          <w:rFonts w:ascii="Times New Roman" w:hAnsi="Times New Roman" w:cs="Times New Roman"/>
          <w:sz w:val="24"/>
          <w:szCs w:val="24"/>
        </w:rPr>
        <w:t>ambition to become a global technology powerhouse</w:t>
      </w:r>
      <w:r w:rsidR="005E1671">
        <w:rPr>
          <w:rFonts w:ascii="Times New Roman" w:hAnsi="Times New Roman" w:cs="Times New Roman"/>
          <w:sz w:val="24"/>
          <w:szCs w:val="24"/>
        </w:rPr>
        <w:t xml:space="preserve"> is not a secret</w:t>
      </w:r>
      <w:r w:rsidRPr="00C36E51">
        <w:rPr>
          <w:rFonts w:ascii="Times New Roman" w:hAnsi="Times New Roman" w:cs="Times New Roman"/>
          <w:sz w:val="24"/>
          <w:szCs w:val="24"/>
        </w:rPr>
        <w:t xml:space="preserve">, by holding 100% shares in ARM a highly entrepreneurial global business leader in advanced technologies, enabling partners to develop tech that creates a smarter and better connected benefits Softbank, this brings Softbank closer to its goal of singularity. </w:t>
      </w:r>
    </w:p>
    <w:p w14:paraId="3D1644E2" w14:textId="77777777" w:rsidR="005E1671" w:rsidRDefault="005E1671" w:rsidP="00E139C5">
      <w:pPr>
        <w:spacing w:line="360" w:lineRule="auto"/>
        <w:jc w:val="both"/>
        <w:rPr>
          <w:rFonts w:ascii="Times New Roman" w:hAnsi="Times New Roman" w:cs="Times New Roman"/>
          <w:sz w:val="24"/>
          <w:szCs w:val="24"/>
        </w:rPr>
      </w:pPr>
    </w:p>
    <w:p w14:paraId="233C7BB7" w14:textId="10A754BD" w:rsidR="00C36E51" w:rsidRPr="005E1671" w:rsidRDefault="00C36E51" w:rsidP="00E139C5">
      <w:pPr>
        <w:spacing w:line="360" w:lineRule="auto"/>
        <w:jc w:val="both"/>
        <w:rPr>
          <w:rFonts w:ascii="Times New Roman" w:hAnsi="Times New Roman" w:cs="Times New Roman"/>
          <w:color w:val="222222"/>
          <w:sz w:val="24"/>
          <w:szCs w:val="24"/>
          <w:shd w:val="clear" w:color="auto" w:fill="FFFFFF"/>
        </w:rPr>
      </w:pPr>
      <w:r w:rsidRPr="00C36E51">
        <w:rPr>
          <w:rFonts w:ascii="Times New Roman" w:hAnsi="Times New Roman" w:cs="Times New Roman"/>
          <w:sz w:val="24"/>
          <w:szCs w:val="24"/>
        </w:rPr>
        <w:lastRenderedPageBreak/>
        <w:t>From an investment perspective of SBGC</w:t>
      </w:r>
      <w:r w:rsidRPr="00C36E51">
        <w:rPr>
          <w:rFonts w:ascii="Times New Roman" w:hAnsi="Times New Roman" w:cs="Times New Roman"/>
          <w:color w:val="222222"/>
          <w:sz w:val="24"/>
          <w:szCs w:val="24"/>
          <w:shd w:val="clear" w:color="auto" w:fill="FFFFFF"/>
        </w:rPr>
        <w:t xml:space="preserve">, </w:t>
      </w:r>
      <w:r w:rsidR="005E1671" w:rsidRPr="00C36E51">
        <w:rPr>
          <w:rFonts w:ascii="Times New Roman" w:hAnsi="Times New Roman" w:cs="Times New Roman"/>
          <w:color w:val="222222"/>
          <w:sz w:val="24"/>
          <w:szCs w:val="24"/>
          <w:shd w:val="clear" w:color="auto" w:fill="FFFFFF"/>
        </w:rPr>
        <w:t xml:space="preserve">.” </w:t>
      </w:r>
      <w:r w:rsidR="005E1671" w:rsidRPr="00C36E51">
        <w:rPr>
          <w:rFonts w:ascii="Times New Roman" w:hAnsi="Times New Roman" w:cs="Times New Roman"/>
          <w:sz w:val="24"/>
          <w:szCs w:val="24"/>
        </w:rPr>
        <w:t>The deal with ARM will increase Softbank’s growth to position it as a leader in Internet of Things (IoT).</w:t>
      </w:r>
      <w:r w:rsidR="005E1671">
        <w:rPr>
          <w:rFonts w:ascii="Times New Roman" w:hAnsi="Times New Roman" w:cs="Times New Roman"/>
          <w:sz w:val="24"/>
          <w:szCs w:val="24"/>
        </w:rPr>
        <w:t xml:space="preserve">as the group are investing to </w:t>
      </w:r>
      <w:r w:rsidRPr="00C36E51">
        <w:rPr>
          <w:rFonts w:ascii="Times New Roman" w:hAnsi="Times New Roman" w:cs="Times New Roman"/>
          <w:color w:val="222222"/>
          <w:sz w:val="24"/>
          <w:szCs w:val="24"/>
          <w:shd w:val="clear" w:color="auto" w:fill="FFFFFF"/>
        </w:rPr>
        <w:t>capture the very significant opportunities provided by the ‘Internet of Things</w:t>
      </w:r>
      <w:r w:rsidR="005E1671">
        <w:rPr>
          <w:rFonts w:ascii="Times New Roman" w:hAnsi="Times New Roman" w:cs="Times New Roman"/>
          <w:color w:val="222222"/>
          <w:sz w:val="24"/>
          <w:szCs w:val="24"/>
          <w:shd w:val="clear" w:color="auto" w:fill="FFFFFF"/>
        </w:rPr>
        <w:t xml:space="preserve">. </w:t>
      </w:r>
      <w:hyperlink r:id="rId23" w:history="1">
        <w:r w:rsidR="0029123F" w:rsidRPr="008E6FD9">
          <w:rPr>
            <w:rStyle w:val="Hyperlink"/>
            <w:rFonts w:ascii="Times New Roman" w:hAnsi="Times New Roman" w:cs="Times New Roman"/>
            <w:color w:val="auto"/>
            <w:sz w:val="24"/>
            <w:szCs w:val="24"/>
          </w:rPr>
          <w:t>https://group.softbank/en</w:t>
        </w:r>
      </w:hyperlink>
      <w:r w:rsidR="008E6FD9">
        <w:rPr>
          <w:rFonts w:ascii="Times New Roman" w:hAnsi="Times New Roman" w:cs="Times New Roman"/>
          <w:sz w:val="24"/>
          <w:szCs w:val="24"/>
          <w:u w:val="single"/>
        </w:rPr>
        <w:t>,(2020)</w:t>
      </w:r>
    </w:p>
    <w:p w14:paraId="6262CF8E" w14:textId="2151348B" w:rsidR="00C36E51" w:rsidRPr="00721B49" w:rsidRDefault="0029123F" w:rsidP="00E139C5">
      <w:pPr>
        <w:shd w:val="clear" w:color="auto" w:fill="FFFFFF"/>
        <w:spacing w:after="0" w:line="360" w:lineRule="auto"/>
        <w:jc w:val="both"/>
        <w:rPr>
          <w:rFonts w:ascii="Times New Roman" w:hAnsi="Times New Roman" w:cs="Times New Roman"/>
          <w:sz w:val="24"/>
          <w:szCs w:val="24"/>
        </w:rPr>
      </w:pPr>
      <w:r>
        <w:rPr>
          <w:rFonts w:ascii="Times New Roman" w:hAnsi="Times New Roman" w:cs="Times New Roman"/>
          <w:sz w:val="24"/>
          <w:szCs w:val="24"/>
        </w:rPr>
        <w:t>ARM’s strategic goal is to increase licences, which will generate more revenue as loyalty is earned per device</w:t>
      </w:r>
      <w:r w:rsidR="00C36E51" w:rsidRPr="00C36E51">
        <w:rPr>
          <w:rFonts w:ascii="Times New Roman" w:hAnsi="Times New Roman" w:cs="Times New Roman"/>
          <w:sz w:val="24"/>
          <w:szCs w:val="24"/>
        </w:rPr>
        <w:t xml:space="preserve">, specifically “Enterprise and Embedded Intelligence.” </w:t>
      </w:r>
      <w:r w:rsidR="00721B49">
        <w:rPr>
          <w:rFonts w:ascii="Times New Roman" w:hAnsi="Times New Roman" w:cs="Times New Roman"/>
          <w:sz w:val="24"/>
          <w:szCs w:val="24"/>
        </w:rPr>
        <w:t xml:space="preserve">SBG, will be able let ARM maintain its dedication to innovation and  hasten </w:t>
      </w:r>
      <w:r w:rsidR="00C36E51" w:rsidRPr="00C36E51">
        <w:rPr>
          <w:rFonts w:ascii="Times New Roman" w:hAnsi="Times New Roman" w:cs="Times New Roman"/>
          <w:sz w:val="24"/>
          <w:szCs w:val="24"/>
        </w:rPr>
        <w:t>A</w:t>
      </w:r>
      <w:r>
        <w:rPr>
          <w:rFonts w:ascii="Times New Roman" w:hAnsi="Times New Roman" w:cs="Times New Roman"/>
          <w:sz w:val="24"/>
          <w:szCs w:val="24"/>
        </w:rPr>
        <w:t>RM</w:t>
      </w:r>
      <w:r w:rsidR="00C36E51" w:rsidRPr="00C36E51">
        <w:rPr>
          <w:rFonts w:ascii="Times New Roman" w:hAnsi="Times New Roman" w:cs="Times New Roman"/>
          <w:sz w:val="24"/>
          <w:szCs w:val="24"/>
        </w:rPr>
        <w:t xml:space="preserve"> as the global leader </w:t>
      </w:r>
      <w:r w:rsidR="00721B49">
        <w:rPr>
          <w:rFonts w:ascii="Times New Roman" w:hAnsi="Times New Roman" w:cs="Times New Roman"/>
          <w:sz w:val="24"/>
          <w:szCs w:val="24"/>
        </w:rPr>
        <w:t>in R&amp;D and Patent of its licences .</w:t>
      </w:r>
    </w:p>
    <w:p w14:paraId="3ED99C83" w14:textId="3D7F6F1E" w:rsidR="0047494E" w:rsidRDefault="00C36E51" w:rsidP="0047494E">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t xml:space="preserve">Expand Customer base </w:t>
      </w:r>
    </w:p>
    <w:p w14:paraId="47DFC34E" w14:textId="27B7A51F" w:rsidR="0080349E" w:rsidRDefault="0047494E" w:rsidP="0080349E">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With the Beyond Carrier Strategy and aim to sustain growth over the medium to long term, therefore Softbank has a great opportunity to increase it</w:t>
      </w:r>
      <w:r w:rsidR="00070719">
        <w:rPr>
          <w:rFonts w:ascii="Times New Roman" w:hAnsi="Times New Roman" w:cs="Times New Roman"/>
          <w:sz w:val="24"/>
          <w:szCs w:val="24"/>
        </w:rPr>
        <w:t xml:space="preserve">s </w:t>
      </w:r>
      <w:r w:rsidRPr="00C36E51">
        <w:rPr>
          <w:rFonts w:ascii="Times New Roman" w:hAnsi="Times New Roman" w:cs="Times New Roman"/>
          <w:sz w:val="24"/>
          <w:szCs w:val="24"/>
        </w:rPr>
        <w:t xml:space="preserve">reach </w:t>
      </w:r>
      <w:r w:rsidR="00070719">
        <w:rPr>
          <w:rFonts w:ascii="Times New Roman" w:hAnsi="Times New Roman" w:cs="Times New Roman"/>
          <w:sz w:val="24"/>
          <w:szCs w:val="24"/>
        </w:rPr>
        <w:t xml:space="preserve">and expand its customer base </w:t>
      </w:r>
      <w:r w:rsidRPr="00C36E51">
        <w:rPr>
          <w:rFonts w:ascii="Times New Roman" w:hAnsi="Times New Roman" w:cs="Times New Roman"/>
          <w:sz w:val="24"/>
          <w:szCs w:val="24"/>
        </w:rPr>
        <w:t xml:space="preserve">for example,  ARM is dominant in the mobile industry, </w:t>
      </w:r>
      <w:r w:rsidR="00070719" w:rsidRPr="00C36E51">
        <w:rPr>
          <w:rFonts w:ascii="Times New Roman" w:hAnsi="Times New Roman" w:cs="Times New Roman"/>
          <w:sz w:val="24"/>
          <w:szCs w:val="24"/>
        </w:rPr>
        <w:t xml:space="preserve">well positioned and has the largest market share in the semiconductor industry </w:t>
      </w:r>
      <w:r w:rsidRPr="00C36E51">
        <w:rPr>
          <w:rFonts w:ascii="Times New Roman" w:hAnsi="Times New Roman" w:cs="Times New Roman"/>
          <w:sz w:val="24"/>
          <w:szCs w:val="24"/>
        </w:rPr>
        <w:t>and has a big customer base licencing its IP to big mobile companies like Apple and Samsung</w:t>
      </w:r>
      <w:r w:rsidR="00070719">
        <w:rPr>
          <w:rFonts w:ascii="Times New Roman" w:hAnsi="Times New Roman" w:cs="Times New Roman"/>
          <w:sz w:val="24"/>
          <w:szCs w:val="24"/>
        </w:rPr>
        <w:t xml:space="preserve">. </w:t>
      </w:r>
      <w:r w:rsidRPr="00C36E51">
        <w:rPr>
          <w:rFonts w:ascii="Times New Roman" w:hAnsi="Times New Roman" w:cs="Times New Roman"/>
          <w:sz w:val="24"/>
          <w:szCs w:val="24"/>
        </w:rPr>
        <w:t xml:space="preserve"> </w:t>
      </w:r>
      <w:r w:rsidR="00070719">
        <w:rPr>
          <w:rFonts w:ascii="Times New Roman" w:hAnsi="Times New Roman" w:cs="Times New Roman"/>
          <w:sz w:val="24"/>
          <w:szCs w:val="24"/>
        </w:rPr>
        <w:t xml:space="preserve">These licences and loyalty generate a lot of income for the organisation and in the past two years has seen an increase in the chips sold globally increasing the customers base. </w:t>
      </w:r>
      <w:r w:rsidR="00070719">
        <w:rPr>
          <w:rFonts w:ascii="Times New Roman" w:hAnsi="Times New Roman" w:cs="Times New Roman"/>
          <w:color w:val="000000"/>
          <w:sz w:val="24"/>
          <w:szCs w:val="24"/>
          <w:shd w:val="clear" w:color="auto" w:fill="FFFFFF"/>
        </w:rPr>
        <w:t>R</w:t>
      </w:r>
      <w:r w:rsidR="00C36E51" w:rsidRPr="00C36E51">
        <w:rPr>
          <w:rFonts w:ascii="Times New Roman" w:hAnsi="Times New Roman" w:cs="Times New Roman"/>
          <w:color w:val="000000"/>
          <w:sz w:val="24"/>
          <w:szCs w:val="24"/>
          <w:shd w:val="clear" w:color="auto" w:fill="FFFFFF"/>
        </w:rPr>
        <w:t xml:space="preserve">esearch by Juniper Research, it is being anticipated that the number of IoT connected devices is going to rise of over 285% and grow to 38.5 billion by 2020, from 13.4 billion in 2015.” </w:t>
      </w:r>
      <w:r w:rsidR="0080349E" w:rsidRPr="00C36E51">
        <w:rPr>
          <w:rFonts w:ascii="Times New Roman" w:hAnsi="Times New Roman" w:cs="Times New Roman"/>
          <w:sz w:val="24"/>
          <w:szCs w:val="24"/>
        </w:rPr>
        <w:t xml:space="preserve">Accessed 17 April 2020,  </w:t>
      </w:r>
      <w:hyperlink r:id="rId24" w:history="1">
        <w:r w:rsidR="0080349E" w:rsidRPr="00394AE2">
          <w:rPr>
            <w:rFonts w:ascii="Times New Roman" w:hAnsi="Times New Roman" w:cs="Times New Roman"/>
            <w:sz w:val="24"/>
            <w:szCs w:val="24"/>
            <w:u w:val="single"/>
          </w:rPr>
          <w:t>https://www.arm.com/company</w:t>
        </w:r>
      </w:hyperlink>
      <w:r w:rsidR="0080349E">
        <w:rPr>
          <w:rFonts w:ascii="Times New Roman" w:hAnsi="Times New Roman" w:cs="Times New Roman"/>
          <w:sz w:val="24"/>
          <w:szCs w:val="24"/>
          <w:u w:val="single"/>
        </w:rPr>
        <w:t>.</w:t>
      </w:r>
      <w:r w:rsidR="0080349E" w:rsidRPr="0080349E">
        <w:rPr>
          <w:rFonts w:ascii="Times New Roman" w:hAnsi="Times New Roman" w:cs="Times New Roman"/>
          <w:sz w:val="24"/>
          <w:szCs w:val="24"/>
        </w:rPr>
        <w:t xml:space="preserve"> </w:t>
      </w:r>
    </w:p>
    <w:p w14:paraId="6713D4F4" w14:textId="77777777" w:rsidR="00070719" w:rsidRDefault="00070719" w:rsidP="00B533ED">
      <w:pPr>
        <w:spacing w:line="360" w:lineRule="auto"/>
        <w:contextualSpacing/>
        <w:jc w:val="both"/>
        <w:rPr>
          <w:rFonts w:ascii="Times New Roman" w:hAnsi="Times New Roman" w:cs="Times New Roman"/>
          <w:color w:val="000000"/>
          <w:sz w:val="24"/>
          <w:szCs w:val="24"/>
          <w:shd w:val="clear" w:color="auto" w:fill="FFFFFF"/>
        </w:rPr>
      </w:pPr>
    </w:p>
    <w:p w14:paraId="79E629E3" w14:textId="4B466815" w:rsidR="00C36E51" w:rsidRPr="00C36E51" w:rsidRDefault="00C36E51" w:rsidP="00B533ED">
      <w:pPr>
        <w:spacing w:line="360" w:lineRule="auto"/>
        <w:contextualSpacing/>
        <w:jc w:val="both"/>
        <w:rPr>
          <w:rFonts w:ascii="Times New Roman" w:hAnsi="Times New Roman" w:cs="Times New Roman"/>
          <w:b/>
          <w:bCs/>
          <w:sz w:val="24"/>
          <w:szCs w:val="24"/>
        </w:rPr>
      </w:pPr>
      <w:r w:rsidRPr="00C36E51">
        <w:rPr>
          <w:rFonts w:ascii="Times New Roman" w:hAnsi="Times New Roman" w:cs="Times New Roman"/>
          <w:sz w:val="24"/>
          <w:szCs w:val="24"/>
        </w:rPr>
        <w:t>ARM’s CEO Simon Segars acknowledges that</w:t>
      </w:r>
      <w:r w:rsidRPr="00C36E51">
        <w:rPr>
          <w:rFonts w:ascii="Times New Roman" w:hAnsi="Times New Roman" w:cs="Times New Roman"/>
          <w:i/>
          <w:iCs/>
          <w:color w:val="222222"/>
          <w:sz w:val="24"/>
          <w:szCs w:val="24"/>
          <w:shd w:val="clear" w:color="auto" w:fill="FFFFFF"/>
        </w:rPr>
        <w:t>:</w:t>
      </w:r>
      <w:r w:rsidRPr="00C36E51">
        <w:rPr>
          <w:rFonts w:ascii="Times New Roman" w:hAnsi="Times New Roman" w:cs="Times New Roman"/>
          <w:color w:val="222222"/>
          <w:sz w:val="24"/>
          <w:szCs w:val="24"/>
          <w:shd w:val="clear" w:color="auto" w:fill="FFFFFF"/>
        </w:rPr>
        <w:t xml:space="preserve"> “Our royalty revenue growth continues to outperform the wider semiconductor industry, driven by market share gains and the increasing adoption of ARM’s latest technologies. With more end-users selecting ARM technology for products ranging from sensors to satellites to supercomputers, we expect this outperformance will continue</w:t>
      </w:r>
      <w:bookmarkStart w:id="13" w:name="_Hlk39341558"/>
      <w:r w:rsidRPr="00C36E51">
        <w:rPr>
          <w:rFonts w:ascii="Times New Roman" w:hAnsi="Times New Roman" w:cs="Times New Roman"/>
          <w:color w:val="222222"/>
          <w:sz w:val="24"/>
          <w:szCs w:val="24"/>
          <w:shd w:val="clear" w:color="auto" w:fill="FFFFFF"/>
        </w:rPr>
        <w:t>.”</w:t>
      </w:r>
      <w:r w:rsidRPr="00C36E51">
        <w:rPr>
          <w:rFonts w:ascii="Times New Roman" w:hAnsi="Times New Roman" w:cs="Times New Roman"/>
          <w:sz w:val="24"/>
          <w:szCs w:val="24"/>
        </w:rPr>
        <w:t xml:space="preserve"> </w:t>
      </w:r>
      <w:bookmarkStart w:id="14" w:name="_Hlk38930038"/>
      <w:r w:rsidRPr="00C36E51">
        <w:rPr>
          <w:rFonts w:ascii="Times New Roman" w:eastAsia="Times New Roman" w:hAnsi="Times New Roman" w:cs="Times New Roman"/>
          <w:sz w:val="24"/>
          <w:szCs w:val="24"/>
          <w:lang w:eastAsia="en-GB"/>
        </w:rPr>
        <w:fldChar w:fldCharType="begin"/>
      </w:r>
      <w:r w:rsidRPr="00C36E51">
        <w:rPr>
          <w:rFonts w:ascii="Times New Roman" w:eastAsia="Times New Roman" w:hAnsi="Times New Roman" w:cs="Times New Roman"/>
          <w:sz w:val="24"/>
          <w:szCs w:val="24"/>
          <w:lang w:eastAsia="en-GB"/>
        </w:rPr>
        <w:instrText xml:space="preserve"> HYPERLINK "https://www.independent.co.uk/author/ben-chapman" \o "Ben Chapman" </w:instrText>
      </w:r>
      <w:r w:rsidRPr="00C36E51">
        <w:rPr>
          <w:rFonts w:ascii="Times New Roman" w:eastAsia="Times New Roman" w:hAnsi="Times New Roman" w:cs="Times New Roman"/>
          <w:sz w:val="24"/>
          <w:szCs w:val="24"/>
          <w:lang w:eastAsia="en-GB"/>
        </w:rPr>
        <w:fldChar w:fldCharType="separate"/>
      </w:r>
      <w:r w:rsidRPr="00C36E51">
        <w:rPr>
          <w:rFonts w:ascii="Times New Roman" w:eastAsia="Times New Roman" w:hAnsi="Times New Roman" w:cs="Times New Roman"/>
          <w:sz w:val="24"/>
          <w:szCs w:val="24"/>
          <w:bdr w:val="none" w:sz="0" w:space="0" w:color="auto" w:frame="1"/>
          <w:lang w:eastAsia="en-GB"/>
        </w:rPr>
        <w:t>Chapman</w:t>
      </w:r>
      <w:r w:rsidRPr="00C36E51">
        <w:rPr>
          <w:rFonts w:ascii="Times New Roman" w:eastAsia="Times New Roman" w:hAnsi="Times New Roman" w:cs="Times New Roman"/>
          <w:sz w:val="24"/>
          <w:szCs w:val="24"/>
          <w:lang w:eastAsia="en-GB"/>
        </w:rPr>
        <w:fldChar w:fldCharType="end"/>
      </w:r>
      <w:r w:rsidRPr="00C36E51">
        <w:rPr>
          <w:rFonts w:ascii="Times New Roman" w:eastAsia="Times New Roman" w:hAnsi="Times New Roman" w:cs="Times New Roman"/>
          <w:sz w:val="24"/>
          <w:szCs w:val="24"/>
          <w:lang w:eastAsia="en-GB"/>
        </w:rPr>
        <w:t>, B. (27 July 2016, Wednesday, 12:02</w:t>
      </w:r>
      <w:r w:rsidRPr="00C36E51">
        <w:rPr>
          <w:rFonts w:ascii="Times New Roman" w:eastAsia="Times New Roman" w:hAnsi="Times New Roman" w:cs="Times New Roman"/>
          <w:color w:val="555555"/>
          <w:sz w:val="24"/>
          <w:szCs w:val="24"/>
          <w:lang w:eastAsia="en-GB"/>
        </w:rPr>
        <w:t>)</w:t>
      </w:r>
      <w:bookmarkEnd w:id="13"/>
      <w:bookmarkEnd w:id="14"/>
    </w:p>
    <w:p w14:paraId="0DE1D2E4" w14:textId="77777777" w:rsidR="00C36E51" w:rsidRPr="00C36E51" w:rsidRDefault="00C36E51" w:rsidP="00E139C5">
      <w:pPr>
        <w:shd w:val="clear" w:color="auto" w:fill="FFFFFF"/>
        <w:spacing w:after="0" w:line="360" w:lineRule="auto"/>
        <w:jc w:val="both"/>
        <w:rPr>
          <w:rFonts w:ascii="Times New Roman" w:eastAsia="Times New Roman" w:hAnsi="Times New Roman" w:cs="Times New Roman"/>
          <w:i/>
          <w:iCs/>
          <w:color w:val="373737"/>
          <w:sz w:val="24"/>
          <w:szCs w:val="24"/>
          <w:shd w:val="clear" w:color="auto" w:fill="FFFFFF"/>
          <w:lang w:eastAsia="en-GB"/>
        </w:rPr>
      </w:pPr>
      <w:r w:rsidRPr="00C36E51">
        <w:rPr>
          <w:rFonts w:ascii="Times New Roman" w:hAnsi="Times New Roman" w:cs="Times New Roman"/>
          <w:b/>
          <w:bCs/>
          <w:sz w:val="24"/>
          <w:szCs w:val="24"/>
        </w:rPr>
        <w:t>Diverse Global Ecosystem of Collaboration.</w:t>
      </w:r>
    </w:p>
    <w:p w14:paraId="2B643E2F" w14:textId="42CF91D4"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 xml:space="preserve">With view of substantial growth of its telecommunication business through its growth strategy, by adopting the acquisition strategy to form a diverse group of </w:t>
      </w:r>
      <w:r w:rsidR="00070719">
        <w:rPr>
          <w:rFonts w:ascii="Times New Roman" w:hAnsi="Times New Roman" w:cs="Times New Roman"/>
          <w:sz w:val="24"/>
          <w:szCs w:val="24"/>
        </w:rPr>
        <w:t xml:space="preserve">partnerships. </w:t>
      </w:r>
      <w:r w:rsidRPr="00C36E51">
        <w:rPr>
          <w:rFonts w:ascii="Times New Roman" w:hAnsi="Times New Roman" w:cs="Times New Roman"/>
          <w:sz w:val="24"/>
          <w:szCs w:val="24"/>
        </w:rPr>
        <w:t xml:space="preserve"> with outstanding technologies and business models in specific fields. Both companies will Leverage synergies to create even more value by working together. The combined value will be greater in revenue, and reduction in expenses than on an individual basis</w:t>
      </w:r>
      <w:r w:rsidRPr="00C36E51">
        <w:rPr>
          <w:rFonts w:ascii="Times New Roman" w:hAnsi="Times New Roman" w:cs="Times New Roman"/>
          <w:b/>
          <w:bCs/>
          <w:sz w:val="24"/>
          <w:szCs w:val="24"/>
        </w:rPr>
        <w:t>.</w:t>
      </w:r>
      <w:r w:rsidRPr="00C36E51">
        <w:rPr>
          <w:rFonts w:ascii="Times New Roman" w:hAnsi="Times New Roman" w:cs="Times New Roman"/>
          <w:sz w:val="24"/>
          <w:szCs w:val="24"/>
        </w:rPr>
        <w:t xml:space="preserve">  Arm has a diverse ecosystem of partners, who manufacture various chips using ARM processors as a core and add value to the product will be able to meet the customer demand.  </w:t>
      </w:r>
    </w:p>
    <w:p w14:paraId="3FB2643F" w14:textId="4604C6B4"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shd w:val="clear" w:color="auto" w:fill="FFFFFF"/>
        </w:rPr>
        <w:lastRenderedPageBreak/>
        <w:t xml:space="preserve">With SBG finances </w:t>
      </w:r>
      <w:r w:rsidR="0080349E" w:rsidRPr="00E139C5">
        <w:rPr>
          <w:rFonts w:ascii="Times New Roman" w:hAnsi="Times New Roman" w:cs="Times New Roman"/>
          <w:sz w:val="24"/>
          <w:szCs w:val="24"/>
        </w:rPr>
        <w:t>ARM</w:t>
      </w:r>
      <w:r w:rsidRPr="00C36E51">
        <w:rPr>
          <w:rFonts w:ascii="Times New Roman" w:hAnsi="Times New Roman" w:cs="Times New Roman"/>
          <w:sz w:val="24"/>
          <w:szCs w:val="24"/>
          <w:shd w:val="clear" w:color="auto" w:fill="FFFFFF"/>
        </w:rPr>
        <w:t xml:space="preserve"> has an opportunity to acquire more technology companies related in the same area for instance </w:t>
      </w:r>
      <w:r w:rsidRPr="00C36E51">
        <w:rPr>
          <w:rFonts w:ascii="Times New Roman" w:hAnsi="Times New Roman" w:cs="Times New Roman"/>
          <w:sz w:val="24"/>
          <w:szCs w:val="24"/>
        </w:rPr>
        <w:t xml:space="preserve">since the acquisition Arm, has increased its collaboration with partners across the SBG, for example in 2018 , Sprint announced a new IoT platform using </w:t>
      </w:r>
      <w:r w:rsidR="0080349E" w:rsidRPr="00E139C5">
        <w:rPr>
          <w:rFonts w:ascii="Times New Roman" w:hAnsi="Times New Roman" w:cs="Times New Roman"/>
          <w:sz w:val="24"/>
          <w:szCs w:val="24"/>
        </w:rPr>
        <w:t>ARM</w:t>
      </w:r>
      <w:r w:rsidRPr="00C36E51">
        <w:rPr>
          <w:rFonts w:ascii="Times New Roman" w:hAnsi="Times New Roman" w:cs="Times New Roman"/>
          <w:sz w:val="24"/>
          <w:szCs w:val="24"/>
        </w:rPr>
        <w:t xml:space="preserve">’s IoT managed services technologies, to extend its customer insight capabilities. This is an advantage for Arm as SBG is extending its reach in areas </w:t>
      </w:r>
      <w:r w:rsidR="0080349E" w:rsidRPr="00E139C5">
        <w:rPr>
          <w:rFonts w:ascii="Times New Roman" w:hAnsi="Times New Roman" w:cs="Times New Roman"/>
          <w:sz w:val="24"/>
          <w:szCs w:val="24"/>
        </w:rPr>
        <w:t>ARM</w:t>
      </w:r>
      <w:r w:rsidR="0080349E" w:rsidRPr="00C36E51">
        <w:rPr>
          <w:rFonts w:ascii="Times New Roman" w:hAnsi="Times New Roman" w:cs="Times New Roman"/>
          <w:sz w:val="24"/>
          <w:szCs w:val="24"/>
        </w:rPr>
        <w:t xml:space="preserve"> </w:t>
      </w:r>
      <w:r w:rsidRPr="00C36E51">
        <w:rPr>
          <w:rFonts w:ascii="Times New Roman" w:hAnsi="Times New Roman" w:cs="Times New Roman"/>
          <w:sz w:val="24"/>
          <w:szCs w:val="24"/>
        </w:rPr>
        <w:t xml:space="preserve">would not reach alone and it is exploring the groups Vision Fund Portfolio companies this will further enable </w:t>
      </w:r>
      <w:r w:rsidR="0080349E" w:rsidRPr="00E139C5">
        <w:rPr>
          <w:rFonts w:ascii="Times New Roman" w:hAnsi="Times New Roman" w:cs="Times New Roman"/>
          <w:sz w:val="24"/>
          <w:szCs w:val="24"/>
        </w:rPr>
        <w:t>ARM</w:t>
      </w:r>
      <w:r w:rsidRPr="00C36E51">
        <w:rPr>
          <w:rFonts w:ascii="Times New Roman" w:hAnsi="Times New Roman" w:cs="Times New Roman"/>
          <w:sz w:val="24"/>
          <w:szCs w:val="24"/>
        </w:rPr>
        <w:t xml:space="preserve"> to find new partners and invest in new technology areas. </w:t>
      </w:r>
      <w:hyperlink r:id="rId25" w:history="1">
        <w:r w:rsidRPr="00394AE2">
          <w:rPr>
            <w:rFonts w:ascii="Times New Roman" w:hAnsi="Times New Roman" w:cs="Times New Roman"/>
            <w:sz w:val="24"/>
            <w:szCs w:val="24"/>
            <w:u w:val="single"/>
          </w:rPr>
          <w:t>https://group.softbank/en</w:t>
        </w:r>
      </w:hyperlink>
      <w:r w:rsidR="00B52966">
        <w:rPr>
          <w:rFonts w:ascii="Times New Roman" w:hAnsi="Times New Roman" w:cs="Times New Roman"/>
          <w:sz w:val="24"/>
          <w:szCs w:val="24"/>
          <w:u w:val="single"/>
        </w:rPr>
        <w:t xml:space="preserve"> (2020)</w:t>
      </w:r>
      <w:r w:rsidRPr="00394AE2">
        <w:rPr>
          <w:rFonts w:ascii="Times New Roman" w:hAnsi="Times New Roman" w:cs="Times New Roman"/>
          <w:sz w:val="24"/>
          <w:szCs w:val="24"/>
        </w:rPr>
        <w:t xml:space="preserve">.  </w:t>
      </w:r>
      <w:r w:rsidRPr="00C36E51">
        <w:rPr>
          <w:rFonts w:ascii="Times New Roman" w:hAnsi="Times New Roman" w:cs="Times New Roman"/>
          <w:sz w:val="24"/>
          <w:szCs w:val="24"/>
        </w:rPr>
        <w:t>Therefore, investing in ARM  will be enhancing the  diverse ecosystem. “With its diverse ecosystem the organisation will be able to cut production costs.</w:t>
      </w:r>
      <w:r w:rsidRPr="00C36E51">
        <w:rPr>
          <w:rFonts w:ascii="Times New Roman" w:hAnsi="Times New Roman" w:cs="Times New Roman"/>
          <w:spacing w:val="8"/>
          <w:sz w:val="24"/>
          <w:szCs w:val="24"/>
        </w:rPr>
        <w:t xml:space="preserve"> No other business ecosystem comes close to this group of silicon, system and software companies responsible for shipping more than 130billion Arm-based chips to-date”. </w:t>
      </w:r>
      <w:bookmarkStart w:id="15" w:name="_Hlk39341886"/>
      <w:r w:rsidRPr="00C36E51">
        <w:rPr>
          <w:rFonts w:ascii="Times New Roman" w:hAnsi="Times New Roman" w:cs="Times New Roman"/>
          <w:spacing w:val="8"/>
          <w:sz w:val="24"/>
          <w:szCs w:val="24"/>
        </w:rPr>
        <w:t xml:space="preserve">The arm ecosystem more than just an ecosystem (2019). </w:t>
      </w:r>
      <w:bookmarkEnd w:id="15"/>
      <w:r w:rsidR="0080349E" w:rsidRPr="00C36E51">
        <w:rPr>
          <w:rFonts w:ascii="Times New Roman" w:hAnsi="Times New Roman" w:cs="Times New Roman"/>
          <w:sz w:val="24"/>
          <w:szCs w:val="24"/>
        </w:rPr>
        <w:t xml:space="preserve">. </w:t>
      </w:r>
      <w:hyperlink r:id="rId26" w:history="1">
        <w:r w:rsidR="0080349E" w:rsidRPr="00394AE2">
          <w:rPr>
            <w:rFonts w:ascii="Times New Roman" w:hAnsi="Times New Roman" w:cs="Times New Roman"/>
            <w:sz w:val="24"/>
            <w:szCs w:val="24"/>
            <w:u w:val="single"/>
          </w:rPr>
          <w:t>https://group.softbank/en</w:t>
        </w:r>
      </w:hyperlink>
      <w:r w:rsidR="0080349E" w:rsidRPr="00394AE2">
        <w:rPr>
          <w:rFonts w:ascii="Times New Roman" w:hAnsi="Times New Roman" w:cs="Times New Roman"/>
          <w:sz w:val="24"/>
          <w:szCs w:val="24"/>
        </w:rPr>
        <w:t xml:space="preserve">.  </w:t>
      </w:r>
    </w:p>
    <w:p w14:paraId="39BC9031"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noProof/>
          <w:sz w:val="24"/>
          <w:szCs w:val="24"/>
        </w:rPr>
        <w:drawing>
          <wp:inline distT="0" distB="0" distL="0" distR="0" wp14:anchorId="33AA7D2C" wp14:editId="2E90D8BA">
            <wp:extent cx="5731510" cy="3220224"/>
            <wp:effectExtent l="0" t="0" r="2540" b="0"/>
            <wp:docPr id="10" name="Picture 10" descr="The Arm Ecosystem: More than Just an Ecosystem – 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rm Ecosystem: More than Just an Ecosystem – Ar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0224"/>
                    </a:xfrm>
                    <a:prstGeom prst="rect">
                      <a:avLst/>
                    </a:prstGeom>
                    <a:noFill/>
                    <a:ln>
                      <a:noFill/>
                    </a:ln>
                  </pic:spPr>
                </pic:pic>
              </a:graphicData>
            </a:graphic>
          </wp:inline>
        </w:drawing>
      </w:r>
    </w:p>
    <w:p w14:paraId="11F47056" w14:textId="77777777" w:rsidR="00C36E51" w:rsidRPr="00C36E51" w:rsidRDefault="00C36E51" w:rsidP="00E139C5">
      <w:pPr>
        <w:spacing w:line="360" w:lineRule="auto"/>
        <w:contextualSpacing/>
        <w:jc w:val="both"/>
        <w:rPr>
          <w:rFonts w:ascii="Times New Roman" w:hAnsi="Times New Roman" w:cs="Times New Roman"/>
          <w:spacing w:val="8"/>
          <w:sz w:val="24"/>
          <w:szCs w:val="24"/>
        </w:rPr>
      </w:pPr>
      <w:r w:rsidRPr="00C36E51">
        <w:rPr>
          <w:rFonts w:ascii="Times New Roman" w:hAnsi="Times New Roman" w:cs="Times New Roman"/>
          <w:sz w:val="24"/>
          <w:szCs w:val="24"/>
        </w:rPr>
        <w:t>Fig 6.</w:t>
      </w:r>
      <w:r w:rsidRPr="00C36E51">
        <w:rPr>
          <w:rFonts w:ascii="Times New Roman" w:hAnsi="Times New Roman" w:cs="Times New Roman"/>
          <w:spacing w:val="8"/>
          <w:sz w:val="24"/>
          <w:szCs w:val="24"/>
        </w:rPr>
        <w:t xml:space="preserve">                              Source: The arm ecosystem more than just an ecosystem (2019). </w:t>
      </w:r>
    </w:p>
    <w:p w14:paraId="6986401F" w14:textId="77777777" w:rsidR="00C36E51" w:rsidRPr="00C36E51" w:rsidRDefault="00C36E51" w:rsidP="00E139C5">
      <w:pPr>
        <w:spacing w:line="360" w:lineRule="auto"/>
        <w:jc w:val="both"/>
        <w:rPr>
          <w:rFonts w:ascii="Times New Roman" w:hAnsi="Times New Roman" w:cs="Times New Roman"/>
          <w:color w:val="373737"/>
          <w:sz w:val="24"/>
          <w:szCs w:val="24"/>
          <w:shd w:val="clear" w:color="auto" w:fill="FFFFFF"/>
        </w:rPr>
      </w:pPr>
      <w:r w:rsidRPr="00C36E51">
        <w:rPr>
          <w:rFonts w:ascii="Times New Roman" w:hAnsi="Times New Roman" w:cs="Times New Roman"/>
          <w:b/>
          <w:bCs/>
          <w:sz w:val="24"/>
          <w:szCs w:val="24"/>
        </w:rPr>
        <w:t>Global Semiconductor</w:t>
      </w:r>
      <w:r w:rsidRPr="00C36E51">
        <w:rPr>
          <w:rFonts w:ascii="Times New Roman" w:eastAsia="Times New Roman" w:hAnsi="Times New Roman" w:cs="Times New Roman"/>
          <w:b/>
          <w:bCs/>
          <w:color w:val="333333"/>
          <w:sz w:val="24"/>
          <w:szCs w:val="24"/>
          <w:lang w:eastAsia="en-GB"/>
        </w:rPr>
        <w:t xml:space="preserve"> Market Share</w:t>
      </w:r>
      <w:r w:rsidRPr="00C36E51">
        <w:rPr>
          <w:rFonts w:ascii="Times New Roman" w:eastAsia="Times New Roman" w:hAnsi="Times New Roman" w:cs="Times New Roman"/>
          <w:b/>
          <w:bCs/>
          <w:color w:val="333333"/>
          <w:sz w:val="24"/>
          <w:szCs w:val="24"/>
          <w:lang w:eastAsia="en-GB"/>
        </w:rPr>
        <w:tab/>
      </w:r>
    </w:p>
    <w:p w14:paraId="458B84F7" w14:textId="2D8780FB" w:rsidR="00C36E51" w:rsidRPr="00752239" w:rsidRDefault="00070719" w:rsidP="00070719">
      <w:pPr>
        <w:spacing w:line="360" w:lineRule="auto"/>
        <w:contextualSpacing/>
        <w:jc w:val="both"/>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Most organisations use the acquisition strategy to gain market share as </w:t>
      </w:r>
      <w:bookmarkStart w:id="16" w:name="_Hlk39342029"/>
      <w:r>
        <w:rPr>
          <w:rFonts w:ascii="Times New Roman" w:hAnsi="Times New Roman" w:cs="Times New Roman"/>
          <w:sz w:val="24"/>
          <w:szCs w:val="24"/>
        </w:rPr>
        <w:t xml:space="preserve"> </w:t>
      </w:r>
      <w:r w:rsidR="00C36E51" w:rsidRPr="00C36E51">
        <w:rPr>
          <w:rFonts w:ascii="Times New Roman" w:eastAsia="Times New Roman" w:hAnsi="Times New Roman" w:cs="Times New Roman"/>
          <w:sz w:val="24"/>
          <w:szCs w:val="24"/>
          <w:lang w:eastAsia="en-GB"/>
        </w:rPr>
        <w:t>Domínguez, B., Gómez, J. and Maícas, J. P. (2018) argues that</w:t>
      </w:r>
      <w:r>
        <w:rPr>
          <w:rFonts w:ascii="Times New Roman" w:eastAsia="Times New Roman" w:hAnsi="Times New Roman" w:cs="Times New Roman"/>
          <w:sz w:val="24"/>
          <w:szCs w:val="24"/>
          <w:lang w:eastAsia="en-GB"/>
        </w:rPr>
        <w:t xml:space="preserve">, the reason for an overseas company in this case SoftBank Group, was that ARM has a big market share </w:t>
      </w:r>
      <w:r w:rsidR="00752239">
        <w:rPr>
          <w:rFonts w:ascii="Times New Roman" w:eastAsia="Times New Roman" w:hAnsi="Times New Roman" w:cs="Times New Roman"/>
          <w:sz w:val="24"/>
          <w:szCs w:val="24"/>
          <w:lang w:eastAsia="en-GB"/>
        </w:rPr>
        <w:t>and economic advantage over  its competitors and new entrants,</w:t>
      </w:r>
      <w:r>
        <w:rPr>
          <w:rFonts w:ascii="Times New Roman" w:eastAsia="Times New Roman" w:hAnsi="Times New Roman" w:cs="Times New Roman"/>
          <w:sz w:val="24"/>
          <w:szCs w:val="24"/>
          <w:lang w:eastAsia="en-GB"/>
        </w:rPr>
        <w:t xml:space="preserve"> </w:t>
      </w:r>
      <w:bookmarkEnd w:id="16"/>
      <w:r w:rsidR="00C36E51" w:rsidRPr="00C36E51">
        <w:rPr>
          <w:rFonts w:ascii="Times New Roman" w:eastAsia="Times New Roman" w:hAnsi="Times New Roman" w:cs="Times New Roman"/>
          <w:sz w:val="24"/>
          <w:szCs w:val="24"/>
          <w:shd w:val="clear" w:color="auto" w:fill="FFFFFF"/>
          <w:lang w:eastAsia="en-GB"/>
        </w:rPr>
        <w:t xml:space="preserve"> </w:t>
      </w:r>
      <w:bookmarkStart w:id="17" w:name="_Hlk39342062"/>
      <w:r w:rsidR="00C36E51" w:rsidRPr="00C36E51">
        <w:rPr>
          <w:rFonts w:ascii="Times New Roman" w:eastAsia="Times New Roman" w:hAnsi="Times New Roman" w:cs="Times New Roman"/>
          <w:sz w:val="24"/>
          <w:szCs w:val="24"/>
          <w:shd w:val="clear" w:color="auto" w:fill="FFFFFF"/>
          <w:lang w:eastAsia="en-GB"/>
        </w:rPr>
        <w:t xml:space="preserve">(Hovenkamp and Carl, 2018, p. 1999) </w:t>
      </w:r>
      <w:bookmarkEnd w:id="17"/>
      <w:r w:rsidR="00752239">
        <w:rPr>
          <w:rFonts w:ascii="Times New Roman" w:eastAsia="Times New Roman" w:hAnsi="Times New Roman" w:cs="Times New Roman"/>
          <w:sz w:val="24"/>
          <w:szCs w:val="24"/>
          <w:shd w:val="clear" w:color="auto" w:fill="FFFFFF"/>
          <w:lang w:eastAsia="en-GB"/>
        </w:rPr>
        <w:t xml:space="preserve">it is evident </w:t>
      </w:r>
      <w:r w:rsidR="00C36E51" w:rsidRPr="00C36E51">
        <w:rPr>
          <w:rFonts w:ascii="Times New Roman" w:eastAsia="Times New Roman" w:hAnsi="Times New Roman" w:cs="Times New Roman"/>
          <w:color w:val="000000"/>
          <w:sz w:val="24"/>
          <w:szCs w:val="24"/>
          <w:lang w:eastAsia="en-GB"/>
        </w:rPr>
        <w:t>from the global mobile telecommunications industry’</w:t>
      </w:r>
      <w:r w:rsidR="00C36E51" w:rsidRPr="00C36E51">
        <w:rPr>
          <w:rFonts w:ascii="Times New Roman" w:eastAsia="Times New Roman" w:hAnsi="Times New Roman" w:cs="Times New Roman"/>
          <w:sz w:val="24"/>
          <w:szCs w:val="24"/>
          <w:lang w:eastAsia="en-GB"/>
        </w:rPr>
        <w:t>(2020),</w:t>
      </w:r>
      <w:r w:rsidR="00C36E51" w:rsidRPr="00C36E51">
        <w:rPr>
          <w:rFonts w:ascii="Times New Roman" w:eastAsia="Times New Roman" w:hAnsi="Times New Roman" w:cs="Times New Roman"/>
          <w:color w:val="000000"/>
          <w:sz w:val="24"/>
          <w:szCs w:val="24"/>
          <w:lang w:eastAsia="en-GB"/>
        </w:rPr>
        <w:t xml:space="preserve"> that by using</w:t>
      </w:r>
      <w:r w:rsidR="00C36E51" w:rsidRPr="00C36E51">
        <w:rPr>
          <w:rFonts w:ascii="Times New Roman" w:eastAsia="Times New Roman" w:hAnsi="Times New Roman" w:cs="Times New Roman"/>
          <w:color w:val="373737"/>
          <w:sz w:val="24"/>
          <w:szCs w:val="24"/>
          <w:shd w:val="clear" w:color="auto" w:fill="FFFFFF"/>
          <w:lang w:eastAsia="en-GB"/>
        </w:rPr>
        <w:t xml:space="preserve"> </w:t>
      </w:r>
      <w:r w:rsidR="00752239">
        <w:rPr>
          <w:rFonts w:ascii="Times New Roman" w:eastAsia="Times New Roman" w:hAnsi="Times New Roman" w:cs="Times New Roman"/>
          <w:color w:val="000000"/>
          <w:sz w:val="24"/>
          <w:szCs w:val="24"/>
          <w:lang w:eastAsia="en-GB"/>
        </w:rPr>
        <w:t>the acquisition</w:t>
      </w:r>
      <w:r w:rsidR="00C36E51" w:rsidRPr="00C36E51">
        <w:rPr>
          <w:rFonts w:ascii="Times New Roman" w:eastAsia="Times New Roman" w:hAnsi="Times New Roman" w:cs="Times New Roman"/>
          <w:color w:val="000000"/>
          <w:sz w:val="24"/>
          <w:szCs w:val="24"/>
          <w:lang w:eastAsia="en-GB"/>
        </w:rPr>
        <w:t xml:space="preserve"> strategy </w:t>
      </w:r>
      <w:r w:rsidR="00C36E51" w:rsidRPr="00C36E51">
        <w:rPr>
          <w:rFonts w:ascii="Times New Roman" w:eastAsia="Times New Roman" w:hAnsi="Times New Roman" w:cs="Times New Roman"/>
          <w:color w:val="000000"/>
          <w:sz w:val="24"/>
          <w:szCs w:val="24"/>
          <w:lang w:eastAsia="en-GB"/>
        </w:rPr>
        <w:lastRenderedPageBreak/>
        <w:t>though expensive for the acquiring company</w:t>
      </w:r>
      <w:r w:rsidR="00752239">
        <w:rPr>
          <w:rFonts w:ascii="Times New Roman" w:eastAsia="Times New Roman" w:hAnsi="Times New Roman" w:cs="Times New Roman"/>
          <w:color w:val="000000"/>
          <w:sz w:val="24"/>
          <w:szCs w:val="24"/>
          <w:lang w:eastAsia="en-GB"/>
        </w:rPr>
        <w:t xml:space="preserve"> </w:t>
      </w:r>
      <w:r w:rsidR="00DC2B74">
        <w:rPr>
          <w:rFonts w:ascii="Times New Roman" w:eastAsia="Times New Roman" w:hAnsi="Times New Roman" w:cs="Times New Roman"/>
          <w:color w:val="000000"/>
          <w:sz w:val="24"/>
          <w:szCs w:val="24"/>
          <w:lang w:eastAsia="en-GB"/>
        </w:rPr>
        <w:t xml:space="preserve"> </w:t>
      </w:r>
      <w:r w:rsidR="00C36E51" w:rsidRPr="00C36E51">
        <w:rPr>
          <w:rFonts w:ascii="Times New Roman" w:eastAsia="Times New Roman" w:hAnsi="Times New Roman" w:cs="Times New Roman"/>
          <w:color w:val="000000"/>
          <w:sz w:val="24"/>
          <w:szCs w:val="24"/>
          <w:lang w:eastAsia="en-GB"/>
        </w:rPr>
        <w:t xml:space="preserve"> as it acquires a larger share of the market  in the existing market this move was backed and supported by the British government. </w:t>
      </w:r>
    </w:p>
    <w:p w14:paraId="1478CB5A"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By acquiring ARM, SoftBank will strengthen  big market share, hence big competitive advantage. ARM  can build more devices than competition since it will have a head start in other areas of technology.  One has to take into account that , in Softbank’s view, ARM has been a tech design house not a service oriented company but with the IoT, security becomes an important issue, with SoftBank’s infrastructure already in place, it will be an advantage in the future and with the potential synergy group, UK, Japan, USA and China will be able to help each other. ARM could not do it alone. Softbank perceives ARM  valuable than companies like Google as it is  a design house for chips which are used in everyday devices, they hold number one sport in the market share for any smart phone or devices in any pocket all over the world. With ARM’s technology Softbank can be able to use its label on its smartphones using it on its own networks ,it can provide both hardware and software bundle that undercuts its competition.</w:t>
      </w:r>
    </w:p>
    <w:p w14:paraId="723E4CD0" w14:textId="77777777" w:rsidR="007712C0" w:rsidRDefault="007712C0" w:rsidP="00E139C5">
      <w:pPr>
        <w:spacing w:line="360" w:lineRule="auto"/>
        <w:jc w:val="both"/>
        <w:rPr>
          <w:rFonts w:ascii="Times New Roman" w:hAnsi="Times New Roman" w:cs="Times New Roman"/>
          <w:sz w:val="24"/>
          <w:szCs w:val="24"/>
        </w:rPr>
      </w:pPr>
    </w:p>
    <w:p w14:paraId="10838D96" w14:textId="799C0A26"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One of the problem ARMS has even though its position is strong in the semiconductor market, it lacks the scale when compared to its primary competitors , Intel.  If you compare Softbank’s recorded revenue FY2018 to that of Intel during the same period, </w:t>
      </w:r>
      <w:r w:rsidR="00955D9F" w:rsidRPr="00C36E51">
        <w:rPr>
          <w:rFonts w:ascii="Times New Roman" w:hAnsi="Times New Roman" w:cs="Times New Roman"/>
          <w:sz w:val="24"/>
          <w:szCs w:val="24"/>
        </w:rPr>
        <w:t>it</w:t>
      </w:r>
      <w:r w:rsidRPr="00C36E51">
        <w:rPr>
          <w:rFonts w:ascii="Times New Roman" w:hAnsi="Times New Roman" w:cs="Times New Roman"/>
          <w:sz w:val="24"/>
          <w:szCs w:val="24"/>
        </w:rPr>
        <w:t xml:space="preserve"> was better to be acquired by SBGC, as the two combined together the facilities and technologies make it easier to compete with other big names in the industry.</w:t>
      </w:r>
    </w:p>
    <w:p w14:paraId="21DB62C6" w14:textId="77777777" w:rsidR="00C36E51" w:rsidRPr="00C36E51" w:rsidRDefault="00C36E51" w:rsidP="00E139C5">
      <w:pPr>
        <w:spacing w:line="360" w:lineRule="auto"/>
        <w:contextualSpacing/>
        <w:jc w:val="both"/>
        <w:rPr>
          <w:rFonts w:ascii="Times New Roman" w:hAnsi="Times New Roman" w:cs="Times New Roman"/>
          <w:sz w:val="24"/>
          <w:szCs w:val="24"/>
        </w:rPr>
      </w:pPr>
    </w:p>
    <w:p w14:paraId="78691101"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noProof/>
          <w:sz w:val="24"/>
          <w:szCs w:val="24"/>
        </w:rPr>
        <w:drawing>
          <wp:inline distT="0" distB="0" distL="0" distR="0" wp14:anchorId="05D725F3" wp14:editId="29D78E9B">
            <wp:extent cx="5730875" cy="2590800"/>
            <wp:effectExtent l="0" t="0" r="3175" b="0"/>
            <wp:docPr id="7" name="Picture 7" descr="Softbank: 40% IRR Investing With Masayoshi Son (OTCMKTS:SFT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ftbank: 40% IRR Investing With Masayoshi Son (OTCMKTS:SFTBY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696" cy="2591171"/>
                    </a:xfrm>
                    <a:prstGeom prst="rect">
                      <a:avLst/>
                    </a:prstGeom>
                    <a:noFill/>
                    <a:ln>
                      <a:noFill/>
                    </a:ln>
                  </pic:spPr>
                </pic:pic>
              </a:graphicData>
            </a:graphic>
          </wp:inline>
        </w:drawing>
      </w:r>
    </w:p>
    <w:p w14:paraId="71BE53B6"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Fig. 7.                                                                                                       Source: www.arm.com</w:t>
      </w:r>
    </w:p>
    <w:p w14:paraId="61AB8107" w14:textId="77777777" w:rsidR="008B3868" w:rsidRDefault="008B3868" w:rsidP="00E139C5">
      <w:pPr>
        <w:spacing w:line="360" w:lineRule="auto"/>
        <w:jc w:val="both"/>
        <w:rPr>
          <w:rFonts w:ascii="Times New Roman" w:hAnsi="Times New Roman" w:cs="Times New Roman"/>
          <w:b/>
          <w:bCs/>
          <w:sz w:val="24"/>
          <w:szCs w:val="24"/>
        </w:rPr>
      </w:pPr>
    </w:p>
    <w:p w14:paraId="10BD83E6" w14:textId="77777777" w:rsidR="008B3868" w:rsidRDefault="008B3868" w:rsidP="00E139C5">
      <w:pPr>
        <w:spacing w:line="360" w:lineRule="auto"/>
        <w:jc w:val="both"/>
        <w:rPr>
          <w:rFonts w:ascii="Times New Roman" w:hAnsi="Times New Roman" w:cs="Times New Roman"/>
          <w:b/>
          <w:bCs/>
          <w:sz w:val="24"/>
          <w:szCs w:val="24"/>
        </w:rPr>
      </w:pPr>
    </w:p>
    <w:p w14:paraId="32B4EA73" w14:textId="0B81E1BB"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Diverse ecosystem of Human Capital.</w:t>
      </w:r>
    </w:p>
    <w:p w14:paraId="61930F99"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This brings us to another reason for the acquisition is that of, a diverse workforce cannot be overlooked in the technology industry. Empirical evidence implies </w:t>
      </w:r>
      <w:r w:rsidRPr="00C36E51">
        <w:rPr>
          <w:rFonts w:ascii="Times New Roman" w:hAnsi="Times New Roman" w:cs="Times New Roman"/>
          <w:i/>
          <w:iCs/>
          <w:sz w:val="24"/>
          <w:szCs w:val="24"/>
        </w:rPr>
        <w:t>“</w:t>
      </w:r>
      <w:r w:rsidRPr="00C36E51">
        <w:rPr>
          <w:rFonts w:ascii="Times New Roman" w:hAnsi="Times New Roman" w:cs="Times New Roman"/>
          <w:sz w:val="24"/>
          <w:szCs w:val="24"/>
        </w:rPr>
        <w:t>that companies can generate up to 30% higher revenue per employee, or more profitable than competitors and more likely to achieve positive business outcomes.”</w:t>
      </w:r>
      <w:r w:rsidRPr="00C36E51">
        <w:rPr>
          <w:rFonts w:ascii="Times New Roman" w:hAnsi="Times New Roman" w:cs="Times New Roman"/>
          <w:color w:val="000000"/>
          <w:sz w:val="24"/>
          <w:szCs w:val="24"/>
          <w:shd w:val="clear" w:color="auto" w:fill="FFFFFF"/>
        </w:rPr>
        <w:t xml:space="preserve"> </w:t>
      </w:r>
      <w:bookmarkStart w:id="18" w:name="_Hlk39012946"/>
      <w:r w:rsidRPr="00C36E51">
        <w:rPr>
          <w:rFonts w:ascii="Times New Roman" w:hAnsi="Times New Roman" w:cs="Times New Roman"/>
          <w:color w:val="000000"/>
          <w:sz w:val="24"/>
          <w:szCs w:val="24"/>
          <w:shd w:val="clear" w:color="auto" w:fill="FFFFFF"/>
        </w:rPr>
        <w:t xml:space="preserve"> Fucci &amp; Cooper, (Deloitte, April 2, 2019). </w:t>
      </w:r>
      <w:bookmarkEnd w:id="18"/>
      <w:r w:rsidRPr="00C36E51">
        <w:rPr>
          <w:rFonts w:ascii="Times New Roman" w:hAnsi="Times New Roman" w:cs="Times New Roman"/>
          <w:sz w:val="24"/>
          <w:szCs w:val="24"/>
        </w:rPr>
        <w:t>Softback as a group wants to invest heavily in the best engineers, to fulfil its future dream of IoT, in its belief that the AI will work hand in hand with humans</w:t>
      </w:r>
      <w:r w:rsidRPr="00C36E51">
        <w:rPr>
          <w:rFonts w:ascii="Times New Roman" w:hAnsi="Times New Roman" w:cs="Times New Roman"/>
          <w:i/>
          <w:iCs/>
          <w:sz w:val="24"/>
          <w:szCs w:val="24"/>
        </w:rPr>
        <w:t>. “</w:t>
      </w:r>
      <w:r w:rsidRPr="00C36E51">
        <w:rPr>
          <w:rFonts w:ascii="Times New Roman" w:hAnsi="Times New Roman" w:cs="Times New Roman"/>
          <w:sz w:val="24"/>
          <w:szCs w:val="24"/>
        </w:rPr>
        <w:t>SBGC is investing in the UK as a world leader in science and technology development and innovation and, as evidence of this, intends to invest in multiple Arm growth initiatives, at least doubling the number of Arm employees in the UK over the next five years. ARM has built a strong ecosystem in Cambridge and has most of the brains behind new patents</w:t>
      </w:r>
      <w:r w:rsidRPr="00C36E51">
        <w:rPr>
          <w:rFonts w:ascii="Times New Roman" w:hAnsi="Times New Roman" w:cs="Times New Roman"/>
          <w:i/>
          <w:iCs/>
          <w:color w:val="000000"/>
          <w:sz w:val="24"/>
          <w:szCs w:val="24"/>
          <w:shd w:val="clear" w:color="auto" w:fill="FFFFFF"/>
        </w:rPr>
        <w:t>.</w:t>
      </w:r>
    </w:p>
    <w:p w14:paraId="28357BA1" w14:textId="77777777" w:rsidR="00C36E51" w:rsidRPr="00C36E51" w:rsidRDefault="00C36E51" w:rsidP="00E139C5">
      <w:pPr>
        <w:spacing w:line="360" w:lineRule="auto"/>
        <w:contextualSpacing/>
        <w:jc w:val="both"/>
        <w:rPr>
          <w:rFonts w:ascii="Times New Roman" w:hAnsi="Times New Roman" w:cs="Times New Roman"/>
          <w:b/>
          <w:bCs/>
          <w:sz w:val="24"/>
          <w:szCs w:val="24"/>
        </w:rPr>
      </w:pPr>
      <w:r w:rsidRPr="00C36E51">
        <w:rPr>
          <w:rFonts w:ascii="Times New Roman" w:hAnsi="Times New Roman" w:cs="Times New Roman"/>
          <w:b/>
          <w:bCs/>
          <w:sz w:val="24"/>
          <w:szCs w:val="24"/>
        </w:rPr>
        <w:t xml:space="preserve">Global semiconductor Market Entry </w:t>
      </w:r>
    </w:p>
    <w:p w14:paraId="26D49BFE"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The overall strategy of Softbank is based on the emergent approach of strategic management  and falls in line with the soft bank management’s decision in acquiring ARM as a market Leader</w:t>
      </w:r>
      <w:r w:rsidRPr="00C36E51">
        <w:rPr>
          <w:rFonts w:ascii="Times New Roman" w:hAnsi="Times New Roman" w:cs="Times New Roman"/>
          <w:b/>
          <w:bCs/>
          <w:sz w:val="24"/>
          <w:szCs w:val="24"/>
        </w:rPr>
        <w:t>,</w:t>
      </w:r>
      <w:r w:rsidRPr="00C36E51">
        <w:rPr>
          <w:rFonts w:ascii="Times New Roman" w:hAnsi="Times New Roman" w:cs="Times New Roman"/>
          <w:sz w:val="24"/>
          <w:szCs w:val="24"/>
        </w:rPr>
        <w:t xml:space="preserve"> Arm has a unique foundational technology by adding this to Softbank’s portfolio its gives it a competitive advantage in the technology sector especially the semiconductor market.   SBGC desire to break into or buy their way into a promising market wanted to enhance ARM’s view by supporting it aggressively and invest in new products.  </w:t>
      </w:r>
    </w:p>
    <w:p w14:paraId="45712435" w14:textId="77777777" w:rsidR="00C36E51" w:rsidRPr="00C36E51" w:rsidRDefault="00C36E51" w:rsidP="00E139C5">
      <w:pPr>
        <w:spacing w:line="360" w:lineRule="auto"/>
        <w:contextualSpacing/>
        <w:jc w:val="both"/>
        <w:rPr>
          <w:rFonts w:ascii="Times New Roman" w:hAnsi="Times New Roman" w:cs="Times New Roman"/>
          <w:sz w:val="24"/>
          <w:szCs w:val="24"/>
        </w:rPr>
      </w:pPr>
    </w:p>
    <w:p w14:paraId="2086E34B" w14:textId="38A1EE48" w:rsidR="00C36E51" w:rsidRPr="00C36E51" w:rsidRDefault="00C36E51" w:rsidP="00E139C5">
      <w:pPr>
        <w:shd w:val="clear" w:color="auto" w:fill="FFFFFF"/>
        <w:spacing w:after="0" w:line="360" w:lineRule="auto"/>
        <w:ind w:hanging="120"/>
        <w:jc w:val="both"/>
        <w:rPr>
          <w:rFonts w:ascii="Times New Roman" w:eastAsia="Times New Roman" w:hAnsi="Times New Roman" w:cs="Times New Roman"/>
          <w:sz w:val="24"/>
          <w:szCs w:val="24"/>
          <w:lang w:eastAsia="en-GB"/>
        </w:rPr>
      </w:pPr>
      <w:r w:rsidRPr="00C36E51">
        <w:rPr>
          <w:rFonts w:ascii="Times New Roman" w:eastAsia="Times New Roman" w:hAnsi="Times New Roman" w:cs="Times New Roman"/>
          <w:sz w:val="24"/>
          <w:szCs w:val="24"/>
          <w:lang w:eastAsia="en-GB"/>
        </w:rPr>
        <w:t xml:space="preserve"> ARM benefits from Softbank operational capabilities and market reach. SBGC being a telecommunications company provides its services across various industries ( mobile, internet, fixed communications, semiconductor, energy, robotics, IoT and e-commerce.)” SBGC operates business across the world and business through different public and private subsidiaries”. </w:t>
      </w:r>
      <w:r w:rsidR="00146CDE" w:rsidRPr="00C36E51">
        <w:rPr>
          <w:rFonts w:ascii="Times New Roman" w:eastAsia="Times New Roman" w:hAnsi="Times New Roman" w:cs="Times New Roman"/>
          <w:sz w:val="24"/>
          <w:szCs w:val="24"/>
          <w:lang w:eastAsia="en-GB"/>
        </w:rPr>
        <w:t>(2019), pp. 1-7</w:t>
      </w:r>
      <w:r w:rsidR="00146CDE">
        <w:rPr>
          <w:rFonts w:ascii="Times New Roman" w:eastAsia="Times New Roman" w:hAnsi="Times New Roman" w:cs="Times New Roman"/>
          <w:sz w:val="24"/>
          <w:szCs w:val="24"/>
          <w:lang w:eastAsia="en-GB"/>
        </w:rPr>
        <w:t>)</w:t>
      </w:r>
      <w:r w:rsidR="00146CDE" w:rsidRPr="00C36E51">
        <w:rPr>
          <w:rFonts w:ascii="Times New Roman" w:eastAsia="Times New Roman" w:hAnsi="Times New Roman" w:cs="Times New Roman"/>
          <w:sz w:val="24"/>
          <w:szCs w:val="24"/>
          <w:lang w:eastAsia="en-GB"/>
        </w:rPr>
        <w:t xml:space="preserve"> ARM</w:t>
      </w:r>
      <w:r w:rsidRPr="00C36E51">
        <w:rPr>
          <w:rFonts w:ascii="Times New Roman" w:eastAsia="Times New Roman" w:hAnsi="Times New Roman" w:cs="Times New Roman"/>
          <w:sz w:val="24"/>
          <w:szCs w:val="24"/>
          <w:lang w:eastAsia="en-GB"/>
        </w:rPr>
        <w:t xml:space="preserve"> Ltd. SWOT Analysis. Will strengthen the both companies leading to generating high revenues and a big success.</w:t>
      </w:r>
    </w:p>
    <w:p w14:paraId="71CA6625" w14:textId="77777777" w:rsidR="00C36E51" w:rsidRPr="00C36E51" w:rsidRDefault="00C36E51" w:rsidP="00E139C5">
      <w:pPr>
        <w:shd w:val="clear" w:color="auto" w:fill="FFFFFF"/>
        <w:spacing w:after="0" w:line="360" w:lineRule="auto"/>
        <w:ind w:hanging="120"/>
        <w:jc w:val="both"/>
        <w:rPr>
          <w:rFonts w:ascii="Times New Roman" w:eastAsia="Times New Roman" w:hAnsi="Times New Roman" w:cs="Times New Roman"/>
          <w:sz w:val="24"/>
          <w:szCs w:val="24"/>
          <w:lang w:eastAsia="en-GB"/>
        </w:rPr>
      </w:pPr>
    </w:p>
    <w:p w14:paraId="7CBD9897" w14:textId="77777777" w:rsidR="00C36E51" w:rsidRPr="00C36E51" w:rsidRDefault="00C36E51" w:rsidP="00E139C5">
      <w:pPr>
        <w:spacing w:line="360" w:lineRule="auto"/>
        <w:jc w:val="both"/>
        <w:rPr>
          <w:rFonts w:ascii="Times New Roman" w:hAnsi="Times New Roman" w:cs="Times New Roman"/>
          <w:sz w:val="24"/>
          <w:szCs w:val="24"/>
        </w:rPr>
      </w:pPr>
    </w:p>
    <w:p w14:paraId="1093E281" w14:textId="77777777" w:rsidR="00C36E51" w:rsidRPr="00C36E51" w:rsidRDefault="00C36E51" w:rsidP="00E139C5">
      <w:pPr>
        <w:spacing w:line="360" w:lineRule="auto"/>
        <w:jc w:val="both"/>
        <w:rPr>
          <w:rFonts w:ascii="Times New Roman" w:hAnsi="Times New Roman" w:cs="Times New Roman"/>
          <w:sz w:val="24"/>
          <w:szCs w:val="24"/>
        </w:rPr>
      </w:pPr>
    </w:p>
    <w:p w14:paraId="146515E7" w14:textId="77777777" w:rsidR="00C36E51" w:rsidRPr="00C36E51" w:rsidRDefault="00C36E51" w:rsidP="00E139C5">
      <w:pPr>
        <w:spacing w:line="360" w:lineRule="auto"/>
        <w:jc w:val="both"/>
        <w:rPr>
          <w:rFonts w:ascii="Times New Roman" w:hAnsi="Times New Roman" w:cs="Times New Roman"/>
          <w:b/>
          <w:bCs/>
          <w:color w:val="373737"/>
          <w:sz w:val="24"/>
          <w:szCs w:val="24"/>
          <w:shd w:val="clear" w:color="auto" w:fill="FFFFFF"/>
        </w:rPr>
      </w:pPr>
    </w:p>
    <w:p w14:paraId="05060AC0" w14:textId="77777777" w:rsidR="00C36E51" w:rsidRPr="00C36E51" w:rsidRDefault="00C36E51" w:rsidP="00E139C5">
      <w:pPr>
        <w:spacing w:line="360" w:lineRule="auto"/>
        <w:jc w:val="both"/>
        <w:rPr>
          <w:rFonts w:ascii="Times New Roman" w:hAnsi="Times New Roman" w:cs="Times New Roman"/>
          <w:b/>
          <w:bCs/>
          <w:color w:val="373737"/>
          <w:sz w:val="24"/>
          <w:szCs w:val="24"/>
          <w:shd w:val="clear" w:color="auto" w:fill="FFFFFF"/>
        </w:rPr>
      </w:pPr>
    </w:p>
    <w:p w14:paraId="69E326E2" w14:textId="77777777" w:rsidR="007712C0" w:rsidRDefault="007712C0" w:rsidP="00E139C5">
      <w:pPr>
        <w:spacing w:line="360" w:lineRule="auto"/>
        <w:jc w:val="both"/>
        <w:rPr>
          <w:rFonts w:ascii="Times New Roman" w:hAnsi="Times New Roman" w:cs="Times New Roman"/>
          <w:b/>
          <w:bCs/>
          <w:sz w:val="24"/>
          <w:szCs w:val="24"/>
        </w:rPr>
      </w:pPr>
    </w:p>
    <w:p w14:paraId="2FAA7291" w14:textId="5B15AEE3"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t>Change implications from viewpoints of ARM &amp; Softbank</w:t>
      </w:r>
    </w:p>
    <w:p w14:paraId="3F5A9399" w14:textId="7400EED4" w:rsidR="001F00B5"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One of the major factors of mergers and acquisitions is change. Change is a necessity for growth and survival. The realisation of  potential synergies of a well-chosen acquisition in the of  case ARM will put pressure on the current set and forge model of acquisition, where a Japanese company ( SoftBank) leaves the foreign acquisition to its own devices.</w:t>
      </w:r>
      <w:r w:rsidRPr="00C36E51">
        <w:rPr>
          <w:rFonts w:ascii="Times New Roman" w:hAnsi="Times New Roman" w:cs="Times New Roman"/>
          <w:color w:val="000000"/>
          <w:sz w:val="24"/>
          <w:szCs w:val="24"/>
          <w:shd w:val="clear" w:color="auto" w:fill="FFFFFF"/>
        </w:rPr>
        <w:t xml:space="preserve"> “In the case of Japanese acquisitions, the balance is often one where supportive independence outweighs any suggestion of stifling intervention.”</w:t>
      </w:r>
      <w:r w:rsidRPr="00C36E51">
        <w:rPr>
          <w:rFonts w:ascii="Times New Roman" w:hAnsi="Times New Roman" w:cs="Times New Roman"/>
          <w:sz w:val="24"/>
          <w:szCs w:val="24"/>
        </w:rPr>
        <w:t xml:space="preserve"> Japanese firms spend a lot of effort on due diligence when it comes to acquisitions but little on cultural due diligence and putting in place plans to integrate the business post acquisition.</w:t>
      </w:r>
      <w:r w:rsidR="001F00B5">
        <w:rPr>
          <w:rFonts w:ascii="Times New Roman" w:hAnsi="Times New Roman" w:cs="Times New Roman"/>
          <w:sz w:val="24"/>
          <w:szCs w:val="24"/>
        </w:rPr>
        <w:t>(2019)</w:t>
      </w:r>
      <w:r w:rsidR="00146CDE">
        <w:rPr>
          <w:rFonts w:ascii="Times New Roman" w:hAnsi="Times New Roman" w:cs="Times New Roman"/>
          <w:sz w:val="24"/>
          <w:szCs w:val="24"/>
        </w:rPr>
        <w:t xml:space="preserve">; </w:t>
      </w:r>
      <w:r w:rsidR="001F00B5">
        <w:rPr>
          <w:rFonts w:ascii="Times New Roman" w:hAnsi="Times New Roman" w:cs="Times New Roman"/>
          <w:sz w:val="24"/>
          <w:szCs w:val="24"/>
        </w:rPr>
        <w:t xml:space="preserve">unlocking japans potential(Accessed) </w:t>
      </w:r>
      <w:hyperlink r:id="rId29" w:history="1">
        <w:r w:rsidR="001F00B5" w:rsidRPr="00394AE2">
          <w:rPr>
            <w:rStyle w:val="Hyperlink"/>
            <w:rFonts w:ascii="Times New Roman" w:hAnsi="Times New Roman" w:cs="Times New Roman"/>
            <w:color w:val="auto"/>
            <w:sz w:val="24"/>
            <w:szCs w:val="24"/>
          </w:rPr>
          <w:t>www.pwc.co..au</w:t>
        </w:r>
      </w:hyperlink>
    </w:p>
    <w:p w14:paraId="65F70A0B" w14:textId="2D290721" w:rsidR="00C36E51" w:rsidRPr="00EF1921" w:rsidRDefault="00C36E51" w:rsidP="00E139C5">
      <w:pPr>
        <w:spacing w:line="360" w:lineRule="auto"/>
        <w:jc w:val="both"/>
        <w:rPr>
          <w:rFonts w:ascii="Times New Roman" w:eastAsia="Times New Roman" w:hAnsi="Times New Roman" w:cs="Times New Roman"/>
          <w:sz w:val="24"/>
          <w:szCs w:val="24"/>
          <w:lang w:eastAsia="en-GB"/>
        </w:rPr>
      </w:pPr>
      <w:r w:rsidRPr="00C36E51">
        <w:rPr>
          <w:rFonts w:ascii="Times New Roman" w:hAnsi="Times New Roman" w:cs="Times New Roman"/>
          <w:sz w:val="24"/>
          <w:szCs w:val="24"/>
        </w:rPr>
        <w:t xml:space="preserve"> literature suggests (</w:t>
      </w:r>
      <w:r w:rsidRPr="00C36E51">
        <w:rPr>
          <w:rFonts w:ascii="Times New Roman" w:eastAsia="Times New Roman" w:hAnsi="Times New Roman" w:cs="Times New Roman"/>
          <w:sz w:val="24"/>
          <w:szCs w:val="24"/>
          <w:lang w:eastAsia="en-GB"/>
        </w:rPr>
        <w:t xml:space="preserve">Gill (2011), </w:t>
      </w:r>
      <w:r w:rsidR="00EF1921">
        <w:rPr>
          <w:rFonts w:ascii="Times New Roman" w:eastAsia="Times New Roman" w:hAnsi="Times New Roman" w:cs="Times New Roman"/>
          <w:sz w:val="24"/>
          <w:szCs w:val="24"/>
          <w:lang w:eastAsia="en-GB"/>
        </w:rPr>
        <w:t>any strategic change in organisations is based on the vision of its leader therefore when measuring leadership performance is very vital for the  strategic goals and the alignment of business into the environment it operates in</w:t>
      </w:r>
      <w:r w:rsidRPr="00C36E51">
        <w:rPr>
          <w:rFonts w:ascii="Times New Roman" w:hAnsi="Times New Roman" w:cs="Times New Roman"/>
          <w:sz w:val="24"/>
          <w:szCs w:val="24"/>
        </w:rPr>
        <w:t>,</w:t>
      </w:r>
      <w:r w:rsidRPr="00C36E51">
        <w:rPr>
          <w:rFonts w:ascii="Times New Roman" w:eastAsia="Times New Roman" w:hAnsi="Times New Roman" w:cs="Times New Roman"/>
          <w:sz w:val="24"/>
          <w:szCs w:val="24"/>
          <w:lang w:eastAsia="en-GB"/>
        </w:rPr>
        <w:t>( Hickman 2010)</w:t>
      </w:r>
      <w:r w:rsidR="00EF1921">
        <w:rPr>
          <w:rFonts w:ascii="Times New Roman" w:eastAsia="Times New Roman" w:hAnsi="Times New Roman" w:cs="Times New Roman"/>
          <w:sz w:val="24"/>
          <w:szCs w:val="24"/>
          <w:lang w:eastAsia="en-GB"/>
        </w:rPr>
        <w:t>.</w:t>
      </w:r>
      <w:r w:rsidRPr="00C36E51">
        <w:rPr>
          <w:rFonts w:ascii="Times New Roman" w:eastAsia="Times New Roman" w:hAnsi="Times New Roman" w:cs="Times New Roman"/>
          <w:sz w:val="24"/>
          <w:szCs w:val="24"/>
          <w:lang w:eastAsia="en-GB"/>
        </w:rPr>
        <w:t xml:space="preserve"> </w:t>
      </w:r>
    </w:p>
    <w:p w14:paraId="51492A60" w14:textId="77777777" w:rsidR="00C36E51" w:rsidRPr="00C36E51" w:rsidRDefault="00C36E51" w:rsidP="00E139C5">
      <w:pPr>
        <w:spacing w:line="360" w:lineRule="auto"/>
        <w:jc w:val="both"/>
        <w:rPr>
          <w:rFonts w:ascii="Times New Roman" w:hAnsi="Times New Roman" w:cs="Times New Roman"/>
          <w:i/>
          <w:iCs/>
          <w:sz w:val="24"/>
          <w:szCs w:val="24"/>
        </w:rPr>
      </w:pPr>
      <w:r w:rsidRPr="00C36E51">
        <w:rPr>
          <w:rFonts w:ascii="Times New Roman" w:eastAsia="Times New Roman" w:hAnsi="Times New Roman" w:cs="Times New Roman"/>
          <w:sz w:val="24"/>
          <w:szCs w:val="24"/>
          <w:lang w:eastAsia="en-GB"/>
        </w:rPr>
        <w:t>For ARM the acquisition was  a big win as its shareholders get  43% the premium per share, but for Softbank it was a big risk more was paid than what ARM was worth at the time of the deal, as the stock on the market was low. But it was a bet  Softbank took,  in the long run if growth materialises this could be the best strategic move in Softbank’s history and will reap a very attractive price over the long term and when this happens 5-20 years from now reaping huge reward will seem as if Softbank bought ARM  at a cheap price, but at the time £24.3bn seemed a lot.</w:t>
      </w:r>
    </w:p>
    <w:p w14:paraId="7EEB91AB" w14:textId="4D026F40" w:rsidR="00C36E51" w:rsidRPr="00C36E51" w:rsidRDefault="00C36E51" w:rsidP="00E139C5">
      <w:pPr>
        <w:shd w:val="clear" w:color="auto" w:fill="FFFFFF"/>
        <w:spacing w:after="180" w:line="360" w:lineRule="auto"/>
        <w:jc w:val="both"/>
        <w:textAlignment w:val="baseline"/>
        <w:rPr>
          <w:rFonts w:ascii="Times New Roman" w:eastAsia="Times New Roman" w:hAnsi="Times New Roman" w:cs="Times New Roman"/>
          <w:sz w:val="24"/>
          <w:szCs w:val="24"/>
          <w:lang w:eastAsia="en-GB"/>
        </w:rPr>
      </w:pPr>
      <w:r w:rsidRPr="00C36E51">
        <w:rPr>
          <w:rFonts w:ascii="Times New Roman" w:eastAsia="Times New Roman" w:hAnsi="Times New Roman" w:cs="Times New Roman"/>
          <w:sz w:val="24"/>
          <w:szCs w:val="24"/>
          <w:lang w:eastAsia="en-GB"/>
        </w:rPr>
        <w:t>The acquisition raised questions of whether ARM is going to change in strategy after the takeover. Arm’s operations are independent, although works closely with SBG.  Arm provides insight into longer term technology trends that may benefit SBG. SoftBank indicated that the deal would “maintain ARM’s neutrality and independence. in any acquisition  it is critical to install a management team that is capable of understanding the cultures of the two parties and transforming it in a new culture</w:t>
      </w:r>
      <w:r w:rsidR="006A4A8F">
        <w:rPr>
          <w:rFonts w:ascii="Times New Roman" w:eastAsia="Times New Roman" w:hAnsi="Times New Roman" w:cs="Times New Roman"/>
          <w:sz w:val="24"/>
          <w:szCs w:val="24"/>
          <w:lang w:eastAsia="en-GB"/>
        </w:rPr>
        <w:t>”</w:t>
      </w:r>
      <w:r w:rsidRPr="00C36E51">
        <w:rPr>
          <w:rFonts w:ascii="Times New Roman" w:eastAsia="Times New Roman" w:hAnsi="Times New Roman" w:cs="Times New Roman"/>
          <w:sz w:val="24"/>
          <w:szCs w:val="24"/>
          <w:lang w:eastAsia="en-GB"/>
        </w:rPr>
        <w:t xml:space="preserve">. </w:t>
      </w:r>
      <w:r w:rsidRPr="00C36E51">
        <w:rPr>
          <w:rFonts w:ascii="Times New Roman" w:eastAsia="Times New Roman" w:hAnsi="Times New Roman" w:cs="Times New Roman"/>
          <w:b/>
          <w:bCs/>
          <w:sz w:val="24"/>
          <w:szCs w:val="24"/>
          <w:lang w:eastAsia="en-GB"/>
        </w:rPr>
        <w:t xml:space="preserve"> </w:t>
      </w:r>
      <w:bookmarkStart w:id="19" w:name="_Hlk38979898"/>
      <w:r w:rsidRPr="00C36E51">
        <w:rPr>
          <w:rFonts w:ascii="Times New Roman" w:eastAsia="Times New Roman" w:hAnsi="Times New Roman" w:cs="Times New Roman"/>
          <w:sz w:val="24"/>
          <w:szCs w:val="24"/>
          <w:lang w:eastAsia="en-GB"/>
        </w:rPr>
        <w:t>(Lasserre, 2003</w:t>
      </w:r>
      <w:bookmarkStart w:id="20" w:name="_Hlk38979224"/>
      <w:r w:rsidRPr="00C36E51">
        <w:rPr>
          <w:rFonts w:ascii="Times New Roman" w:eastAsia="Times New Roman" w:hAnsi="Times New Roman" w:cs="Times New Roman"/>
          <w:sz w:val="24"/>
          <w:szCs w:val="24"/>
          <w:lang w:eastAsia="en-GB"/>
        </w:rPr>
        <w:t>,  p.148).</w:t>
      </w:r>
      <w:r w:rsidRPr="00C36E51">
        <w:rPr>
          <w:rFonts w:ascii="Times New Roman" w:eastAsia="Times New Roman" w:hAnsi="Times New Roman" w:cs="Times New Roman"/>
          <w:i/>
          <w:iCs/>
          <w:sz w:val="24"/>
          <w:szCs w:val="24"/>
          <w:lang w:eastAsia="en-GB"/>
        </w:rPr>
        <w:t xml:space="preserve"> </w:t>
      </w:r>
      <w:bookmarkEnd w:id="19"/>
    </w:p>
    <w:bookmarkEnd w:id="20"/>
    <w:p w14:paraId="2E40436F"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The  change implication for ARM  was that “ the acquired company has to be provided with a strategic identity, making sure it has a specific role to play in the overall regional or global strategy</w:t>
      </w:r>
      <w:r w:rsidRPr="00C36E51">
        <w:rPr>
          <w:rFonts w:ascii="Times New Roman" w:hAnsi="Times New Roman" w:cs="Times New Roman"/>
          <w:i/>
          <w:iCs/>
          <w:sz w:val="24"/>
          <w:szCs w:val="24"/>
        </w:rPr>
        <w:t xml:space="preserve">” </w:t>
      </w:r>
      <w:r w:rsidRPr="00C36E51">
        <w:rPr>
          <w:rFonts w:ascii="Times New Roman" w:hAnsi="Times New Roman" w:cs="Times New Roman"/>
          <w:sz w:val="24"/>
          <w:szCs w:val="24"/>
        </w:rPr>
        <w:t>(Lasserre, 2003, p.150</w:t>
      </w:r>
      <w:r w:rsidRPr="00C36E51">
        <w:rPr>
          <w:rFonts w:ascii="Times New Roman" w:hAnsi="Times New Roman" w:cs="Times New Roman"/>
          <w:i/>
          <w:iCs/>
          <w:sz w:val="24"/>
          <w:szCs w:val="24"/>
        </w:rPr>
        <w:t xml:space="preserve">), </w:t>
      </w:r>
      <w:r w:rsidRPr="00C36E51">
        <w:rPr>
          <w:rFonts w:ascii="Times New Roman" w:hAnsi="Times New Roman" w:cs="Times New Roman"/>
          <w:sz w:val="24"/>
          <w:szCs w:val="24"/>
        </w:rPr>
        <w:t xml:space="preserve">for example ARM makes investment decisions independently  though seek approval, if the investments in the new technologies that will drive </w:t>
      </w:r>
      <w:r w:rsidRPr="00C36E51">
        <w:rPr>
          <w:rFonts w:ascii="Times New Roman" w:hAnsi="Times New Roman" w:cs="Times New Roman"/>
          <w:sz w:val="24"/>
          <w:szCs w:val="24"/>
        </w:rPr>
        <w:lastRenderedPageBreak/>
        <w:t>growth in the long run and expect the revenue from these revenues  to be higher and bring greater profits “let’s say in the next 5- 10 years it is the decision of SoftBank Group CEO to decide whether the profits will be reinvested back into the business or for future growth or returned to soft bank group.”</w:t>
      </w:r>
      <w:r w:rsidRPr="00C36E51">
        <w:rPr>
          <w:rFonts w:ascii="Times New Roman" w:hAnsi="Times New Roman" w:cs="Times New Roman"/>
          <w:b/>
          <w:bCs/>
          <w:sz w:val="24"/>
          <w:szCs w:val="24"/>
        </w:rPr>
        <w:t xml:space="preserve"> </w:t>
      </w:r>
      <w:r w:rsidRPr="00C36E51">
        <w:rPr>
          <w:rFonts w:ascii="Times New Roman" w:hAnsi="Times New Roman" w:cs="Times New Roman"/>
          <w:sz w:val="24"/>
          <w:szCs w:val="24"/>
        </w:rPr>
        <w:t xml:space="preserve">www. group.com. Softbank allowing ARM to make these decisions makes the organisation feel a sense of purpose.   </w:t>
      </w:r>
    </w:p>
    <w:p w14:paraId="49DB7EA2" w14:textId="77777777" w:rsidR="008B3868" w:rsidRDefault="00C36E51" w:rsidP="00E139C5">
      <w:pPr>
        <w:spacing w:before="240" w:line="360" w:lineRule="auto"/>
        <w:jc w:val="both"/>
        <w:rPr>
          <w:rFonts w:ascii="Times New Roman" w:hAnsi="Times New Roman" w:cs="Times New Roman"/>
          <w:sz w:val="24"/>
          <w:szCs w:val="24"/>
        </w:rPr>
      </w:pPr>
      <w:r w:rsidRPr="00C36E51">
        <w:rPr>
          <w:rFonts w:ascii="Times New Roman" w:hAnsi="Times New Roman" w:cs="Times New Roman"/>
          <w:sz w:val="24"/>
          <w:szCs w:val="24"/>
        </w:rPr>
        <w:t>The culture</w:t>
      </w:r>
      <w:r w:rsidRPr="00C36E51">
        <w:rPr>
          <w:rFonts w:ascii="Times New Roman" w:hAnsi="Times New Roman" w:cs="Times New Roman"/>
          <w:b/>
          <w:bCs/>
          <w:sz w:val="24"/>
          <w:szCs w:val="24"/>
        </w:rPr>
        <w:t xml:space="preserve"> </w:t>
      </w:r>
      <w:r w:rsidRPr="00C36E51">
        <w:rPr>
          <w:rFonts w:ascii="Times New Roman" w:hAnsi="Times New Roman" w:cs="Times New Roman"/>
          <w:sz w:val="24"/>
          <w:szCs w:val="24"/>
        </w:rPr>
        <w:t xml:space="preserve">fit for both organisations is different as the Japanese work culture is totally different from the British work culture, </w:t>
      </w:r>
    </w:p>
    <w:p w14:paraId="7267CBF8" w14:textId="2E87E157" w:rsidR="00C36E51" w:rsidRPr="00C36E51" w:rsidRDefault="008B3868" w:rsidP="00E139C5">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Some of the challenges both companies face after an acquisition is mixture of two different </w:t>
      </w:r>
      <w:r w:rsidR="00C36E51" w:rsidRPr="00C36E51">
        <w:rPr>
          <w:rFonts w:ascii="Times New Roman" w:hAnsi="Times New Roman" w:cs="Times New Roman"/>
          <w:sz w:val="24"/>
          <w:szCs w:val="24"/>
        </w:rPr>
        <w:t>cultur</w:t>
      </w:r>
      <w:r>
        <w:rPr>
          <w:rFonts w:ascii="Times New Roman" w:hAnsi="Times New Roman" w:cs="Times New Roman"/>
          <w:sz w:val="24"/>
          <w:szCs w:val="24"/>
        </w:rPr>
        <w:t>es</w:t>
      </w:r>
      <w:r w:rsidR="00C36E51" w:rsidRPr="00C36E51">
        <w:rPr>
          <w:rFonts w:ascii="Times New Roman" w:hAnsi="Times New Roman" w:cs="Times New Roman"/>
          <w:sz w:val="24"/>
          <w:szCs w:val="24"/>
        </w:rPr>
        <w:t xml:space="preserve">. </w:t>
      </w:r>
      <w:r>
        <w:rPr>
          <w:rFonts w:ascii="Times New Roman" w:hAnsi="Times New Roman" w:cs="Times New Roman"/>
          <w:sz w:val="24"/>
          <w:szCs w:val="24"/>
        </w:rPr>
        <w:t>For its success the two organisation has to have a plan in place especially discussed in the pre-acquisition phase</w:t>
      </w:r>
      <w:r w:rsidR="00C36E51" w:rsidRPr="00C36E51">
        <w:rPr>
          <w:rFonts w:ascii="Times New Roman" w:hAnsi="Times New Roman" w:cs="Times New Roman"/>
          <w:sz w:val="24"/>
          <w:szCs w:val="24"/>
        </w:rPr>
        <w:t>. (Lasserre, 2003, p.149</w:t>
      </w:r>
      <w:bookmarkStart w:id="21" w:name="_Hlk38975418"/>
      <w:r w:rsidR="00C36E51" w:rsidRPr="00C36E51">
        <w:rPr>
          <w:rFonts w:ascii="Times New Roman" w:hAnsi="Times New Roman" w:cs="Times New Roman"/>
          <w:sz w:val="24"/>
          <w:szCs w:val="24"/>
        </w:rPr>
        <w:t xml:space="preserve">). Softbank adopted organisational integration beyond the frameworks of ARM with different corporate culture and this was to enable the </w:t>
      </w:r>
      <w:r w:rsidR="00387544" w:rsidRPr="00C36E51">
        <w:rPr>
          <w:rFonts w:ascii="Times New Roman" w:hAnsi="Times New Roman" w:cs="Times New Roman"/>
          <w:sz w:val="24"/>
          <w:szCs w:val="24"/>
        </w:rPr>
        <w:t>implementation</w:t>
      </w:r>
      <w:r w:rsidR="00C36E51" w:rsidRPr="00C36E51">
        <w:rPr>
          <w:rFonts w:ascii="Times New Roman" w:hAnsi="Times New Roman" w:cs="Times New Roman"/>
          <w:sz w:val="24"/>
          <w:szCs w:val="24"/>
        </w:rPr>
        <w:t xml:space="preserve"> of strategies among the two companies </w:t>
      </w:r>
      <w:r w:rsidR="00387544">
        <w:rPr>
          <w:rFonts w:ascii="Times New Roman" w:hAnsi="Times New Roman" w:cs="Times New Roman"/>
          <w:sz w:val="24"/>
          <w:szCs w:val="24"/>
        </w:rPr>
        <w:t>amicably</w:t>
      </w:r>
      <w:bookmarkEnd w:id="21"/>
      <w:r w:rsidR="00387544">
        <w:rPr>
          <w:rFonts w:ascii="Times New Roman" w:hAnsi="Times New Roman" w:cs="Times New Roman"/>
          <w:sz w:val="24"/>
          <w:szCs w:val="24"/>
        </w:rPr>
        <w:t>.</w:t>
      </w:r>
      <w:r w:rsidR="00C36E51" w:rsidRPr="00C36E51">
        <w:rPr>
          <w:rFonts w:ascii="Times New Roman" w:hAnsi="Times New Roman" w:cs="Times New Roman"/>
          <w:sz w:val="24"/>
          <w:szCs w:val="24"/>
        </w:rPr>
        <w:t xml:space="preserve"> </w:t>
      </w:r>
    </w:p>
    <w:p w14:paraId="1308D059" w14:textId="36E983D4"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In any acquisition, </w:t>
      </w:r>
      <w:r w:rsidR="00444490">
        <w:rPr>
          <w:rFonts w:ascii="Times New Roman" w:hAnsi="Times New Roman" w:cs="Times New Roman"/>
          <w:sz w:val="24"/>
          <w:szCs w:val="24"/>
        </w:rPr>
        <w:t xml:space="preserve">the last stage of the process is the acquired company feels that they are involved in the strategic roles and drive the new organisation in the right direction. Employees </w:t>
      </w:r>
      <w:r w:rsidR="00394AE2">
        <w:rPr>
          <w:rFonts w:ascii="Times New Roman" w:hAnsi="Times New Roman" w:cs="Times New Roman"/>
          <w:sz w:val="24"/>
          <w:szCs w:val="24"/>
        </w:rPr>
        <w:t>must</w:t>
      </w:r>
      <w:r w:rsidR="00444490">
        <w:rPr>
          <w:rFonts w:ascii="Times New Roman" w:hAnsi="Times New Roman" w:cs="Times New Roman"/>
          <w:sz w:val="24"/>
          <w:szCs w:val="24"/>
        </w:rPr>
        <w:t xml:space="preserve"> feel valued for any acquisitions to be a success</w:t>
      </w:r>
      <w:r w:rsidRPr="00C36E51">
        <w:rPr>
          <w:rFonts w:ascii="Times New Roman" w:hAnsi="Times New Roman" w:cs="Times New Roman"/>
          <w:sz w:val="24"/>
          <w:szCs w:val="24"/>
        </w:rPr>
        <w:t xml:space="preserve">.  SBGC vowed to increase the employee headcount in the next five years the forging of two cultures will take a lot of adjustments, one of the advantages in the acquisition is that ARM maintained its business model and culture. </w:t>
      </w:r>
    </w:p>
    <w:p w14:paraId="542DA57F" w14:textId="3765179F"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The ARM culture is very strong, “It has a 25 years’ experience in partnership working with licences and ecosystem to work and bring technologies to market in the most efficient way and nothing is going to change”. The good thing is that SoftBank group values ARM’s ecosystems, there is a strong alignment in what we do and believe in.”</w:t>
      </w:r>
      <w:r w:rsidR="00444490">
        <w:rPr>
          <w:rFonts w:ascii="Times New Roman" w:hAnsi="Times New Roman" w:cs="Times New Roman"/>
          <w:sz w:val="24"/>
          <w:szCs w:val="24"/>
        </w:rPr>
        <w:t xml:space="preserve"> Simon Segars CEO Arm 2017.www.softbank.com</w:t>
      </w:r>
    </w:p>
    <w:p w14:paraId="7632D7B1" w14:textId="77777777" w:rsidR="00C36E51" w:rsidRPr="00C36E51" w:rsidRDefault="00C36E51" w:rsidP="00E139C5">
      <w:pPr>
        <w:spacing w:line="360" w:lineRule="auto"/>
        <w:jc w:val="both"/>
        <w:rPr>
          <w:rFonts w:ascii="Times New Roman" w:hAnsi="Times New Roman" w:cs="Times New Roman"/>
          <w:sz w:val="24"/>
          <w:szCs w:val="24"/>
        </w:rPr>
      </w:pPr>
    </w:p>
    <w:p w14:paraId="1789AA59" w14:textId="77777777" w:rsidR="00C36E51" w:rsidRPr="00C36E51" w:rsidRDefault="00C36E51" w:rsidP="00E139C5">
      <w:pPr>
        <w:spacing w:line="360" w:lineRule="auto"/>
        <w:jc w:val="both"/>
        <w:rPr>
          <w:rFonts w:ascii="Times New Roman" w:hAnsi="Times New Roman" w:cs="Times New Roman"/>
          <w:b/>
          <w:bCs/>
          <w:sz w:val="24"/>
          <w:szCs w:val="24"/>
        </w:rPr>
      </w:pPr>
    </w:p>
    <w:p w14:paraId="1758D45A" w14:textId="77777777" w:rsidR="00C36E51" w:rsidRPr="00C36E51" w:rsidRDefault="00C36E51" w:rsidP="00E139C5">
      <w:pPr>
        <w:spacing w:line="360" w:lineRule="auto"/>
        <w:jc w:val="both"/>
        <w:rPr>
          <w:rFonts w:ascii="Times New Roman" w:hAnsi="Times New Roman" w:cs="Times New Roman"/>
          <w:b/>
          <w:bCs/>
          <w:sz w:val="24"/>
          <w:szCs w:val="24"/>
        </w:rPr>
      </w:pPr>
    </w:p>
    <w:p w14:paraId="45D74721" w14:textId="77777777" w:rsidR="00C36E51" w:rsidRPr="00C36E51" w:rsidRDefault="00C36E51" w:rsidP="00E139C5">
      <w:pPr>
        <w:spacing w:line="360" w:lineRule="auto"/>
        <w:jc w:val="both"/>
        <w:rPr>
          <w:rFonts w:ascii="Times New Roman" w:hAnsi="Times New Roman" w:cs="Times New Roman"/>
          <w:b/>
          <w:bCs/>
          <w:sz w:val="24"/>
          <w:szCs w:val="24"/>
        </w:rPr>
      </w:pPr>
    </w:p>
    <w:p w14:paraId="6ED08CEF" w14:textId="77777777" w:rsidR="00C36E51" w:rsidRPr="00C36E51" w:rsidRDefault="00C36E51" w:rsidP="00E139C5">
      <w:pPr>
        <w:spacing w:line="360" w:lineRule="auto"/>
        <w:jc w:val="both"/>
        <w:rPr>
          <w:rFonts w:ascii="Times New Roman" w:hAnsi="Times New Roman" w:cs="Times New Roman"/>
          <w:b/>
          <w:bCs/>
          <w:sz w:val="24"/>
          <w:szCs w:val="24"/>
        </w:rPr>
      </w:pPr>
    </w:p>
    <w:p w14:paraId="51BBA5C2" w14:textId="77777777" w:rsidR="00C36E51" w:rsidRPr="00C36E51" w:rsidRDefault="00C36E51" w:rsidP="00E139C5">
      <w:pPr>
        <w:spacing w:line="360" w:lineRule="auto"/>
        <w:jc w:val="both"/>
        <w:rPr>
          <w:rFonts w:ascii="Times New Roman" w:hAnsi="Times New Roman" w:cs="Times New Roman"/>
          <w:b/>
          <w:bCs/>
          <w:sz w:val="24"/>
          <w:szCs w:val="24"/>
        </w:rPr>
      </w:pPr>
    </w:p>
    <w:p w14:paraId="26D2E3E9" w14:textId="77777777" w:rsidR="00C36E51" w:rsidRPr="00C36E51" w:rsidRDefault="00C36E51" w:rsidP="00E139C5">
      <w:pPr>
        <w:spacing w:line="360" w:lineRule="auto"/>
        <w:jc w:val="both"/>
        <w:rPr>
          <w:rFonts w:ascii="Times New Roman" w:hAnsi="Times New Roman" w:cs="Times New Roman"/>
          <w:b/>
          <w:bCs/>
          <w:sz w:val="24"/>
          <w:szCs w:val="24"/>
        </w:rPr>
      </w:pPr>
    </w:p>
    <w:p w14:paraId="037E32B9" w14:textId="77777777" w:rsidR="00C36E51" w:rsidRPr="00C36E51" w:rsidRDefault="00C36E51" w:rsidP="00E139C5">
      <w:pPr>
        <w:spacing w:line="360" w:lineRule="auto"/>
        <w:jc w:val="both"/>
        <w:rPr>
          <w:rFonts w:ascii="Times New Roman" w:hAnsi="Times New Roman" w:cs="Times New Roman"/>
          <w:b/>
          <w:bCs/>
          <w:sz w:val="24"/>
          <w:szCs w:val="24"/>
        </w:rPr>
      </w:pPr>
    </w:p>
    <w:p w14:paraId="2D786CA5" w14:textId="77777777" w:rsidR="00BF05A2" w:rsidRDefault="00BF05A2" w:rsidP="00E139C5">
      <w:pPr>
        <w:spacing w:line="360" w:lineRule="auto"/>
        <w:jc w:val="both"/>
        <w:rPr>
          <w:rFonts w:ascii="Times New Roman" w:hAnsi="Times New Roman" w:cs="Times New Roman"/>
          <w:b/>
          <w:bCs/>
          <w:sz w:val="24"/>
          <w:szCs w:val="24"/>
        </w:rPr>
      </w:pPr>
    </w:p>
    <w:p w14:paraId="1B6C84DA" w14:textId="014775A2"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t>Post-Acquisition performance:</w:t>
      </w:r>
      <w:r w:rsidRPr="00C36E51">
        <w:rPr>
          <w:rFonts w:ascii="Times New Roman" w:hAnsi="Times New Roman" w:cs="Times New Roman"/>
          <w:b/>
          <w:bCs/>
          <w:sz w:val="24"/>
          <w:szCs w:val="24"/>
        </w:rPr>
        <w:tab/>
      </w:r>
      <w:r w:rsidRPr="00C36E51">
        <w:rPr>
          <w:rFonts w:ascii="Times New Roman" w:hAnsi="Times New Roman" w:cs="Times New Roman"/>
          <w:sz w:val="24"/>
          <w:szCs w:val="24"/>
        </w:rPr>
        <w:tab/>
      </w:r>
    </w:p>
    <w:p w14:paraId="2D316807" w14:textId="6A2D592A"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The post-acquisition phase is considered to be the most crucial part of the acquisition as it involves the managerial transition and strategic consolidation. This phase aims to establish a</w:t>
      </w:r>
      <w:r w:rsidR="006A4A8F">
        <w:rPr>
          <w:rFonts w:ascii="Times New Roman" w:hAnsi="Times New Roman" w:cs="Times New Roman"/>
          <w:sz w:val="24"/>
          <w:szCs w:val="24"/>
        </w:rPr>
        <w:t xml:space="preserve"> continuing </w:t>
      </w:r>
      <w:r w:rsidRPr="00C36E51">
        <w:rPr>
          <w:rFonts w:ascii="Times New Roman" w:hAnsi="Times New Roman" w:cs="Times New Roman"/>
          <w:sz w:val="24"/>
          <w:szCs w:val="24"/>
        </w:rPr>
        <w:t xml:space="preserve"> working relation between the </w:t>
      </w:r>
      <w:r w:rsidR="006A4A8F">
        <w:rPr>
          <w:rFonts w:ascii="Times New Roman" w:hAnsi="Times New Roman" w:cs="Times New Roman"/>
          <w:sz w:val="24"/>
          <w:szCs w:val="24"/>
        </w:rPr>
        <w:t xml:space="preserve">organisations </w:t>
      </w:r>
      <w:r w:rsidRPr="00C36E51">
        <w:rPr>
          <w:rFonts w:ascii="Times New Roman" w:hAnsi="Times New Roman" w:cs="Times New Roman"/>
          <w:sz w:val="24"/>
          <w:szCs w:val="24"/>
        </w:rPr>
        <w:t xml:space="preserve"> and also to establish confidence to achieve practical results. In this case the consolidation process </w:t>
      </w:r>
      <w:r w:rsidR="00387544">
        <w:rPr>
          <w:rFonts w:ascii="Times New Roman" w:hAnsi="Times New Roman" w:cs="Times New Roman"/>
          <w:sz w:val="24"/>
          <w:szCs w:val="24"/>
        </w:rPr>
        <w:t xml:space="preserve">SBG has to make sure that </w:t>
      </w:r>
      <w:r w:rsidRPr="00C36E51">
        <w:rPr>
          <w:rFonts w:ascii="Times New Roman" w:hAnsi="Times New Roman" w:cs="Times New Roman"/>
          <w:sz w:val="24"/>
          <w:szCs w:val="24"/>
        </w:rPr>
        <w:t xml:space="preserve"> ARM</w:t>
      </w:r>
      <w:r w:rsidR="00387544">
        <w:rPr>
          <w:rFonts w:ascii="Times New Roman" w:hAnsi="Times New Roman" w:cs="Times New Roman"/>
          <w:sz w:val="24"/>
          <w:szCs w:val="24"/>
        </w:rPr>
        <w:t xml:space="preserve"> has a </w:t>
      </w:r>
      <w:r w:rsidRPr="00C36E51">
        <w:rPr>
          <w:rFonts w:ascii="Times New Roman" w:hAnsi="Times New Roman" w:cs="Times New Roman"/>
          <w:sz w:val="24"/>
          <w:szCs w:val="24"/>
        </w:rPr>
        <w:t xml:space="preserve"> strategic identity, a specific role in the </w:t>
      </w:r>
      <w:r w:rsidR="00387544">
        <w:rPr>
          <w:rFonts w:ascii="Times New Roman" w:hAnsi="Times New Roman" w:cs="Times New Roman"/>
          <w:sz w:val="24"/>
          <w:szCs w:val="24"/>
        </w:rPr>
        <w:t xml:space="preserve">business </w:t>
      </w:r>
      <w:r w:rsidRPr="00C36E51">
        <w:rPr>
          <w:rFonts w:ascii="Times New Roman" w:hAnsi="Times New Roman" w:cs="Times New Roman"/>
          <w:sz w:val="24"/>
          <w:szCs w:val="24"/>
        </w:rPr>
        <w:t xml:space="preserve"> strategy. (Lasserre,2003 P.153</w:t>
      </w:r>
      <w:r w:rsidRPr="00C36E51">
        <w:rPr>
          <w:rFonts w:ascii="Times New Roman" w:hAnsi="Times New Roman" w:cs="Times New Roman"/>
          <w:b/>
          <w:bCs/>
          <w:sz w:val="24"/>
          <w:szCs w:val="24"/>
        </w:rPr>
        <w:t xml:space="preserve">). </w:t>
      </w:r>
      <w:r w:rsidRPr="00C36E51">
        <w:rPr>
          <w:rFonts w:ascii="Times New Roman" w:hAnsi="Times New Roman" w:cs="Times New Roman"/>
          <w:sz w:val="24"/>
          <w:szCs w:val="24"/>
        </w:rPr>
        <w:t xml:space="preserve"> In this way there is gain of </w:t>
      </w:r>
      <w:r w:rsidR="006A4A8F">
        <w:rPr>
          <w:rFonts w:ascii="Times New Roman" w:hAnsi="Times New Roman" w:cs="Times New Roman"/>
          <w:sz w:val="24"/>
          <w:szCs w:val="24"/>
        </w:rPr>
        <w:t xml:space="preserve">devotion </w:t>
      </w:r>
      <w:r w:rsidRPr="00C36E51">
        <w:rPr>
          <w:rFonts w:ascii="Times New Roman" w:hAnsi="Times New Roman" w:cs="Times New Roman"/>
          <w:sz w:val="24"/>
          <w:szCs w:val="24"/>
        </w:rPr>
        <w:t xml:space="preserve"> and </w:t>
      </w:r>
      <w:r w:rsidR="006A4A8F" w:rsidRPr="00C36E51">
        <w:rPr>
          <w:rFonts w:ascii="Times New Roman" w:hAnsi="Times New Roman" w:cs="Times New Roman"/>
          <w:sz w:val="24"/>
          <w:szCs w:val="24"/>
        </w:rPr>
        <w:t>assurance</w:t>
      </w:r>
      <w:r w:rsidRPr="00C36E51">
        <w:rPr>
          <w:rFonts w:ascii="Times New Roman" w:hAnsi="Times New Roman" w:cs="Times New Roman"/>
          <w:sz w:val="24"/>
          <w:szCs w:val="24"/>
        </w:rPr>
        <w:t xml:space="preserve"> of managers of the acquired company.</w:t>
      </w:r>
    </w:p>
    <w:p w14:paraId="5B709D4C" w14:textId="6560B7EA" w:rsidR="00C36E51" w:rsidRPr="00673948"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Acquisition strategy is justified if and only if the </w:t>
      </w:r>
      <w:r w:rsidR="00306BF6" w:rsidRPr="00C36E51">
        <w:rPr>
          <w:rFonts w:ascii="Times New Roman" w:hAnsi="Times New Roman" w:cs="Times New Roman"/>
          <w:sz w:val="24"/>
          <w:szCs w:val="24"/>
        </w:rPr>
        <w:t xml:space="preserve">value </w:t>
      </w:r>
      <w:r w:rsidR="00306BF6">
        <w:rPr>
          <w:rFonts w:ascii="Times New Roman" w:hAnsi="Times New Roman" w:cs="Times New Roman"/>
          <w:sz w:val="24"/>
          <w:szCs w:val="24"/>
        </w:rPr>
        <w:t xml:space="preserve">of the acquired company returns </w:t>
      </w:r>
      <w:r w:rsidR="00AF00F4">
        <w:rPr>
          <w:rFonts w:ascii="Times New Roman" w:hAnsi="Times New Roman" w:cs="Times New Roman"/>
          <w:sz w:val="24"/>
          <w:szCs w:val="24"/>
        </w:rPr>
        <w:t>is</w:t>
      </w:r>
      <w:r w:rsidR="00306BF6">
        <w:rPr>
          <w:rFonts w:ascii="Times New Roman" w:hAnsi="Times New Roman" w:cs="Times New Roman"/>
          <w:sz w:val="24"/>
          <w:szCs w:val="24"/>
        </w:rPr>
        <w:t xml:space="preserve"> going to be bigger in the long term. </w:t>
      </w:r>
      <w:r w:rsidR="00AF00F4">
        <w:rPr>
          <w:rFonts w:ascii="Times New Roman" w:hAnsi="Times New Roman" w:cs="Times New Roman"/>
          <w:sz w:val="24"/>
          <w:szCs w:val="24"/>
        </w:rPr>
        <w:t>“</w:t>
      </w:r>
      <w:r w:rsidRPr="00C36E51">
        <w:rPr>
          <w:rFonts w:ascii="Times New Roman" w:hAnsi="Times New Roman" w:cs="Times New Roman"/>
          <w:sz w:val="24"/>
          <w:szCs w:val="24"/>
        </w:rPr>
        <w:t>The financial value of the deal is calculated on the basis of a detailed evaluation of the future cash flow which is done through the due diligence process</w:t>
      </w:r>
      <w:r w:rsidR="00AF00F4">
        <w:rPr>
          <w:rFonts w:ascii="Times New Roman" w:hAnsi="Times New Roman" w:cs="Times New Roman"/>
          <w:sz w:val="24"/>
          <w:szCs w:val="24"/>
        </w:rPr>
        <w:t>”</w:t>
      </w:r>
      <w:r w:rsidRPr="00C36E51">
        <w:rPr>
          <w:rFonts w:ascii="Times New Roman" w:hAnsi="Times New Roman" w:cs="Times New Roman"/>
          <w:sz w:val="24"/>
          <w:szCs w:val="24"/>
        </w:rPr>
        <w:t xml:space="preserve">. (Lasserre, 2003, p. 134). SBGC in order to develop its long-term strategy is to form partnerships with the most senior </w:t>
      </w:r>
      <w:r w:rsidR="00CD0D74">
        <w:rPr>
          <w:rFonts w:ascii="Times New Roman" w:hAnsi="Times New Roman" w:cs="Times New Roman"/>
          <w:sz w:val="24"/>
          <w:szCs w:val="24"/>
        </w:rPr>
        <w:t>organisations</w:t>
      </w:r>
      <w:r w:rsidRPr="00C36E51">
        <w:rPr>
          <w:rFonts w:ascii="Times New Roman" w:hAnsi="Times New Roman" w:cs="Times New Roman"/>
          <w:sz w:val="24"/>
          <w:szCs w:val="24"/>
        </w:rPr>
        <w:t xml:space="preserve"> at the time in the information industry</w:t>
      </w:r>
      <w:r w:rsidRPr="00673948">
        <w:rPr>
          <w:rFonts w:ascii="Times New Roman" w:hAnsi="Times New Roman" w:cs="Times New Roman"/>
          <w:sz w:val="24"/>
          <w:szCs w:val="24"/>
        </w:rPr>
        <w:t xml:space="preserve">.  </w:t>
      </w:r>
      <w:bookmarkStart w:id="22" w:name="_Hlk39345607"/>
      <w:r w:rsidRPr="00673948">
        <w:rPr>
          <w:rFonts w:ascii="Times New Roman" w:hAnsi="Times New Roman" w:cs="Times New Roman"/>
          <w:sz w:val="24"/>
          <w:szCs w:val="24"/>
          <w:u w:val="single"/>
        </w:rPr>
        <w:t>(2020) group. SoftBank</w:t>
      </w:r>
      <w:bookmarkEnd w:id="22"/>
      <w:r w:rsidRPr="00673948">
        <w:rPr>
          <w:rFonts w:ascii="Times New Roman" w:hAnsi="Times New Roman" w:cs="Times New Roman"/>
          <w:sz w:val="24"/>
          <w:szCs w:val="24"/>
          <w:u w:val="single"/>
        </w:rPr>
        <w:t>.</w:t>
      </w:r>
    </w:p>
    <w:p w14:paraId="0A4F54C3" w14:textId="1ED8C04E"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Arm is currently undergoing a transitional product cycle and continues to sign licences for new technologies. Arm operations have concentrated on the licencing of semiconductor intellectual property ( IP). Since the acquisition Arm’s primary concertation was in investing heavily in R&amp;D, and by hiring more engineers as this expansion in the engineering capability will allow Arm to develop new technologies that will help maintain or gain share in the company’s exist sting markets as well as in the new markets Arms </w:t>
      </w:r>
      <w:r w:rsidRPr="00C36E51">
        <w:rPr>
          <w:rFonts w:ascii="Times New Roman" w:eastAsia="Times New Roman" w:hAnsi="Times New Roman" w:cs="Times New Roman"/>
          <w:color w:val="262626"/>
          <w:sz w:val="24"/>
          <w:szCs w:val="24"/>
          <w:lang w:eastAsia="en-GB"/>
        </w:rPr>
        <w:t xml:space="preserve">  (</w:t>
      </w:r>
      <w:r w:rsidR="00AF00F4">
        <w:rPr>
          <w:rFonts w:ascii="Times New Roman" w:eastAsia="Times New Roman" w:hAnsi="Times New Roman" w:cs="Times New Roman"/>
          <w:color w:val="262626"/>
          <w:sz w:val="24"/>
          <w:szCs w:val="24"/>
          <w:lang w:eastAsia="en-GB"/>
        </w:rPr>
        <w:t>refer to appendices , SBGC</w:t>
      </w:r>
      <w:r w:rsidRPr="00C36E51">
        <w:rPr>
          <w:rFonts w:ascii="Times New Roman" w:eastAsia="Times New Roman" w:hAnsi="Times New Roman" w:cs="Times New Roman"/>
          <w:color w:val="262626"/>
          <w:sz w:val="24"/>
          <w:szCs w:val="24"/>
          <w:lang w:eastAsia="en-GB"/>
        </w:rPr>
        <w:t>.'s latest financial report for details).</w:t>
      </w:r>
      <w:r w:rsidRPr="00C36E51">
        <w:rPr>
          <w:rFonts w:ascii="Times New Roman" w:hAnsi="Times New Roman" w:cs="Times New Roman"/>
          <w:sz w:val="24"/>
          <w:szCs w:val="24"/>
        </w:rPr>
        <w:t xml:space="preserve">.  </w:t>
      </w:r>
    </w:p>
    <w:p w14:paraId="207382C0" w14:textId="56C56950"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The semiconductor industry due to its volatility has impacted significantly on Arm’s financial results (refer to appendix financial report fy2019). In 2018 there was a decline in the semiconductor industry, and this had an impact on Arms revenue, but saw an increase of 2.5% the following years November 2919.  </w:t>
      </w:r>
      <w:hyperlink r:id="rId30" w:history="1">
        <w:r w:rsidR="00B34C1C" w:rsidRPr="00B34C1C">
          <w:rPr>
            <w:rStyle w:val="Hyperlink"/>
            <w:rFonts w:ascii="Times New Roman" w:hAnsi="Times New Roman" w:cs="Times New Roman"/>
            <w:color w:val="auto"/>
            <w:sz w:val="24"/>
            <w:szCs w:val="24"/>
          </w:rPr>
          <w:t>www.softbankgroup.com/annual report (2019</w:t>
        </w:r>
      </w:hyperlink>
      <w:r w:rsidR="00B34C1C">
        <w:rPr>
          <w:rFonts w:ascii="Times New Roman" w:hAnsi="Times New Roman" w:cs="Times New Roman"/>
          <w:sz w:val="24"/>
          <w:szCs w:val="24"/>
          <w:u w:val="single"/>
        </w:rPr>
        <w:t>)</w:t>
      </w:r>
      <w:r w:rsidRPr="00673948">
        <w:rPr>
          <w:rFonts w:ascii="Times New Roman" w:hAnsi="Times New Roman" w:cs="Times New Roman"/>
          <w:sz w:val="24"/>
          <w:szCs w:val="24"/>
        </w:rPr>
        <w:t>.</w:t>
      </w:r>
      <w:r w:rsidRPr="00C36E51">
        <w:rPr>
          <w:rFonts w:ascii="Times New Roman" w:hAnsi="Times New Roman" w:cs="Times New Roman"/>
          <w:sz w:val="24"/>
          <w:szCs w:val="24"/>
        </w:rPr>
        <w:t xml:space="preserve"> Though there was an increase the industry remains vulnerable to environmental factors such as trade disputes and sanctions against specific companies,  which could have an impact on Arm’s products both licencing and service revenues thus earning less in royalties. Having said that Arm saw an increase of 3.2% in a three-month period ended September 30, 2019 as Arms licences reported a shipment of 6.4 billion Arm based chips. Refer to appendices financial </w:t>
      </w:r>
      <w:r w:rsidRPr="00C36E51">
        <w:rPr>
          <w:rFonts w:ascii="Times New Roman" w:hAnsi="Times New Roman" w:cs="Times New Roman"/>
          <w:sz w:val="24"/>
          <w:szCs w:val="24"/>
        </w:rPr>
        <w:lastRenderedPageBreak/>
        <w:t xml:space="preserve">report ( Arms KPI’s). </w:t>
      </w:r>
      <w:r w:rsidR="0080349E" w:rsidRPr="00C36E51">
        <w:rPr>
          <w:rFonts w:ascii="Times New Roman" w:hAnsi="Times New Roman" w:cs="Times New Roman"/>
          <w:sz w:val="24"/>
          <w:szCs w:val="24"/>
        </w:rPr>
        <w:t>ARM</w:t>
      </w:r>
      <w:r w:rsidRPr="00C36E51">
        <w:rPr>
          <w:rFonts w:ascii="Times New Roman" w:hAnsi="Times New Roman" w:cs="Times New Roman"/>
          <w:sz w:val="24"/>
          <w:szCs w:val="24"/>
        </w:rPr>
        <w:t xml:space="preserve"> is optimistic that is there is stability in the market  growth is expected and the more technology advances then its technology will be utilized further leading to more opportunities over the long term </w:t>
      </w:r>
      <w:r w:rsidRPr="00394AE2">
        <w:rPr>
          <w:rFonts w:ascii="Times New Roman" w:hAnsi="Times New Roman" w:cs="Times New Roman"/>
          <w:sz w:val="24"/>
          <w:szCs w:val="24"/>
          <w:u w:val="single"/>
        </w:rPr>
        <w:t>(2020) group. SoftBank</w:t>
      </w:r>
    </w:p>
    <w:p w14:paraId="0A6BC549"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Fig below illustrates Arms revenues, investments and profits including pre-acquisition periods </w:t>
      </w:r>
    </w:p>
    <w:p w14:paraId="637C4A93" w14:textId="77777777" w:rsidR="00C36E51" w:rsidRPr="00C36E51" w:rsidRDefault="00C36E51" w:rsidP="00E139C5">
      <w:pPr>
        <w:spacing w:line="360" w:lineRule="auto"/>
        <w:jc w:val="both"/>
        <w:rPr>
          <w:rFonts w:ascii="Times New Roman" w:hAnsi="Times New Roman" w:cs="Times New Roman"/>
          <w:sz w:val="24"/>
          <w:szCs w:val="24"/>
        </w:rPr>
      </w:pPr>
    </w:p>
    <w:p w14:paraId="3245C710"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noProof/>
          <w:sz w:val="24"/>
          <w:szCs w:val="24"/>
        </w:rPr>
        <w:drawing>
          <wp:inline distT="0" distB="0" distL="0" distR="0" wp14:anchorId="4D86940B" wp14:editId="3EEA4BA1">
            <wp:extent cx="5013960" cy="2276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78599" cy="2305823"/>
                    </a:xfrm>
                    <a:prstGeom prst="rect">
                      <a:avLst/>
                    </a:prstGeom>
                    <a:noFill/>
                    <a:ln>
                      <a:noFill/>
                    </a:ln>
                  </pic:spPr>
                </pic:pic>
              </a:graphicData>
            </a:graphic>
          </wp:inline>
        </w:drawing>
      </w:r>
    </w:p>
    <w:p w14:paraId="39F28C9A"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Fig 8.</w:t>
      </w:r>
    </w:p>
    <w:p w14:paraId="2908B6FB" w14:textId="6B6918C2" w:rsidR="00C36E51" w:rsidRPr="00C36E51" w:rsidRDefault="00673948"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2018 Arm benefited in accessing the vast resources of the SBG by increased relationships with various investment companies </w:t>
      </w:r>
      <w:r w:rsidR="00C36E51" w:rsidRPr="00C36E51">
        <w:rPr>
          <w:rFonts w:ascii="Times New Roman" w:hAnsi="Times New Roman" w:cs="Times New Roman"/>
          <w:sz w:val="24"/>
          <w:szCs w:val="24"/>
        </w:rPr>
        <w:t xml:space="preserve">across the SoftBank </w:t>
      </w:r>
      <w:r w:rsidR="00B50645" w:rsidRPr="00C36E51">
        <w:rPr>
          <w:rFonts w:ascii="Times New Roman" w:hAnsi="Times New Roman" w:cs="Times New Roman"/>
          <w:sz w:val="24"/>
          <w:szCs w:val="24"/>
        </w:rPr>
        <w:t>Group</w:t>
      </w:r>
      <w:r w:rsidR="00B50645">
        <w:rPr>
          <w:rFonts w:ascii="Times New Roman" w:hAnsi="Times New Roman" w:cs="Times New Roman"/>
          <w:sz w:val="24"/>
          <w:szCs w:val="24"/>
        </w:rPr>
        <w:t xml:space="preserve">, </w:t>
      </w:r>
      <w:r w:rsidR="00BF05A2">
        <w:rPr>
          <w:rFonts w:ascii="Times New Roman" w:hAnsi="Times New Roman" w:cs="Times New Roman"/>
          <w:sz w:val="24"/>
          <w:szCs w:val="24"/>
        </w:rPr>
        <w:t>for</w:t>
      </w:r>
      <w:r w:rsidR="00B50645">
        <w:rPr>
          <w:rFonts w:ascii="Times New Roman" w:hAnsi="Times New Roman" w:cs="Times New Roman"/>
          <w:sz w:val="24"/>
          <w:szCs w:val="24"/>
        </w:rPr>
        <w:t xml:space="preserve"> example </w:t>
      </w:r>
      <w:r w:rsidR="00B50645" w:rsidRPr="00C36E51">
        <w:rPr>
          <w:rFonts w:ascii="Times New Roman" w:hAnsi="Times New Roman" w:cs="Times New Roman"/>
          <w:sz w:val="24"/>
          <w:szCs w:val="24"/>
        </w:rPr>
        <w:t>Sprint</w:t>
      </w:r>
      <w:r w:rsidR="00C36E51" w:rsidRPr="00C36E51">
        <w:rPr>
          <w:rFonts w:ascii="Times New Roman" w:hAnsi="Times New Roman" w:cs="Times New Roman"/>
          <w:sz w:val="24"/>
          <w:szCs w:val="24"/>
        </w:rPr>
        <w:t xml:space="preserve"> </w:t>
      </w:r>
      <w:r w:rsidR="00B50645">
        <w:rPr>
          <w:rFonts w:ascii="Times New Roman" w:hAnsi="Times New Roman" w:cs="Times New Roman"/>
          <w:sz w:val="24"/>
          <w:szCs w:val="24"/>
        </w:rPr>
        <w:t xml:space="preserve">was making use of Arms </w:t>
      </w:r>
      <w:r w:rsidR="00C36E51" w:rsidRPr="00C36E51">
        <w:rPr>
          <w:rFonts w:ascii="Times New Roman" w:hAnsi="Times New Roman" w:cs="Times New Roman"/>
          <w:sz w:val="24"/>
          <w:szCs w:val="24"/>
        </w:rPr>
        <w:t>IoT platform managed services technology</w:t>
      </w:r>
      <w:r w:rsidR="00B50645">
        <w:rPr>
          <w:rFonts w:ascii="Times New Roman" w:hAnsi="Times New Roman" w:cs="Times New Roman"/>
          <w:sz w:val="24"/>
          <w:szCs w:val="24"/>
        </w:rPr>
        <w:t xml:space="preserve"> extending their </w:t>
      </w:r>
      <w:r w:rsidR="00C36E51" w:rsidRPr="00C36E51">
        <w:rPr>
          <w:rFonts w:ascii="Times New Roman" w:hAnsi="Times New Roman" w:cs="Times New Roman"/>
          <w:sz w:val="24"/>
          <w:szCs w:val="24"/>
        </w:rPr>
        <w:t>Arm’s data their customer insight capabilities.</w:t>
      </w:r>
    </w:p>
    <w:p w14:paraId="4E607627"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 xml:space="preserve">Gaining or maintain share in target markets : in 2016 the company saw an increase of 17% by comparison the industry volumes grew by 6% in the equivalent period that means an increase in the share market to 34% unlike 32% in previous years- it intends to retain its share within mobile devices and increase share in networking infrastructure , serve, embedded intelligence and automotive applications. Refer to the appendices for the financial statements </w:t>
      </w:r>
    </w:p>
    <w:p w14:paraId="65A18E22" w14:textId="77777777"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On the other hand, the post finance performance for the Softbank Group strategic review.</w:t>
      </w:r>
    </w:p>
    <w:p w14:paraId="01D691A3" w14:textId="08F04E12"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 xml:space="preserve">After the </w:t>
      </w:r>
      <w:r w:rsidR="00EC72C2" w:rsidRPr="00C36E51">
        <w:rPr>
          <w:rFonts w:ascii="Times New Roman" w:hAnsi="Times New Roman" w:cs="Times New Roman"/>
          <w:sz w:val="24"/>
          <w:szCs w:val="24"/>
        </w:rPr>
        <w:t xml:space="preserve">acquisition </w:t>
      </w:r>
      <w:r w:rsidR="00394AE2" w:rsidRPr="00394AE2">
        <w:rPr>
          <w:rFonts w:ascii="Times New Roman" w:hAnsi="Times New Roman" w:cs="Times New Roman"/>
          <w:sz w:val="24"/>
          <w:szCs w:val="24"/>
        </w:rPr>
        <w:t>of Arm</w:t>
      </w:r>
      <w:r w:rsidRPr="00394AE2">
        <w:rPr>
          <w:rFonts w:ascii="Times New Roman" w:hAnsi="Times New Roman" w:cs="Times New Roman"/>
          <w:sz w:val="24"/>
          <w:szCs w:val="24"/>
        </w:rPr>
        <w:t xml:space="preserve">, the </w:t>
      </w:r>
      <w:r w:rsidRPr="00C36E51">
        <w:rPr>
          <w:rFonts w:ascii="Times New Roman" w:hAnsi="Times New Roman" w:cs="Times New Roman"/>
          <w:sz w:val="24"/>
          <w:szCs w:val="24"/>
        </w:rPr>
        <w:t xml:space="preserve">financial </w:t>
      </w:r>
      <w:r w:rsidR="00BF05A2" w:rsidRPr="00C36E51">
        <w:rPr>
          <w:rFonts w:ascii="Times New Roman" w:hAnsi="Times New Roman" w:cs="Times New Roman"/>
          <w:sz w:val="24"/>
          <w:szCs w:val="24"/>
        </w:rPr>
        <w:t>results for</w:t>
      </w:r>
      <w:r w:rsidRPr="00C36E51">
        <w:rPr>
          <w:rFonts w:ascii="Times New Roman" w:hAnsi="Times New Roman" w:cs="Times New Roman"/>
          <w:sz w:val="24"/>
          <w:szCs w:val="24"/>
        </w:rPr>
        <w:t xml:space="preserve"> both income and net sales segment has increased and this is due to the </w:t>
      </w:r>
      <w:r w:rsidR="00EC6C12">
        <w:rPr>
          <w:rFonts w:ascii="Times New Roman" w:hAnsi="Times New Roman" w:cs="Times New Roman"/>
          <w:sz w:val="24"/>
          <w:szCs w:val="24"/>
        </w:rPr>
        <w:t xml:space="preserve">stable </w:t>
      </w:r>
      <w:r w:rsidRPr="00C36E51">
        <w:rPr>
          <w:rFonts w:ascii="Times New Roman" w:hAnsi="Times New Roman" w:cs="Times New Roman"/>
          <w:sz w:val="24"/>
          <w:szCs w:val="24"/>
        </w:rPr>
        <w:t>growth in the telecommunication</w:t>
      </w:r>
      <w:r w:rsidR="00EC6C12">
        <w:rPr>
          <w:rFonts w:ascii="Times New Roman" w:hAnsi="Times New Roman" w:cs="Times New Roman"/>
          <w:sz w:val="24"/>
          <w:szCs w:val="24"/>
        </w:rPr>
        <w:t xml:space="preserve"> and steady expansion in the customer base.</w:t>
      </w:r>
    </w:p>
    <w:p w14:paraId="08A111D0" w14:textId="77777777" w:rsidR="00EC72C2" w:rsidRDefault="00EC72C2"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t>The last two years have seen investment expansion using the SBG Vision Fund, an increase of 69 investments and joint venture.  The acquisition cost of</w:t>
      </w:r>
      <w:r w:rsidR="00C36E51" w:rsidRPr="00C36E51">
        <w:rPr>
          <w:rFonts w:ascii="Times New Roman" w:hAnsi="Times New Roman" w:cs="Times New Roman"/>
          <w:sz w:val="24"/>
          <w:szCs w:val="24"/>
        </w:rPr>
        <w:t xml:space="preserve"> $60.1 billion. </w:t>
      </w:r>
    </w:p>
    <w:p w14:paraId="1F9DC12E" w14:textId="367D1C6B" w:rsidR="00C36E51" w:rsidRPr="00C36E51" w:rsidRDefault="00EC72C2" w:rsidP="00E139C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FY2018, value of investments have increased and contributed to SBG operating income.</w:t>
      </w:r>
      <w:r w:rsidR="00C36E51" w:rsidRPr="00C36E51">
        <w:rPr>
          <w:rFonts w:ascii="Times New Roman" w:hAnsi="Times New Roman" w:cs="Times New Roman"/>
          <w:sz w:val="24"/>
          <w:szCs w:val="24"/>
        </w:rPr>
        <w:t xml:space="preserve">( refer to the annual statement in the appendices) </w:t>
      </w:r>
      <w:hyperlink r:id="rId32" w:history="1">
        <w:r w:rsidR="00C36E51" w:rsidRPr="00394AE2">
          <w:rPr>
            <w:rFonts w:ascii="Times New Roman" w:hAnsi="Times New Roman" w:cs="Times New Roman"/>
            <w:sz w:val="24"/>
            <w:szCs w:val="24"/>
            <w:u w:val="single"/>
          </w:rPr>
          <w:t>https://group.softbank/en</w:t>
        </w:r>
      </w:hyperlink>
      <w:r w:rsidR="00B34C1C">
        <w:rPr>
          <w:rFonts w:ascii="Times New Roman" w:hAnsi="Times New Roman" w:cs="Times New Roman"/>
          <w:sz w:val="24"/>
          <w:szCs w:val="24"/>
          <w:u w:val="single"/>
        </w:rPr>
        <w:t>(2020)</w:t>
      </w:r>
    </w:p>
    <w:p w14:paraId="0208C694" w14:textId="77777777" w:rsidR="00C36E51" w:rsidRPr="00C36E51" w:rsidRDefault="00C36E51" w:rsidP="00E139C5">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 Refer to the appendices for the nine-month review of the company’s performance.</w:t>
      </w:r>
    </w:p>
    <w:p w14:paraId="25B6BD1C" w14:textId="77777777"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noProof/>
          <w:sz w:val="24"/>
          <w:szCs w:val="24"/>
        </w:rPr>
        <w:drawing>
          <wp:inline distT="0" distB="0" distL="0" distR="0" wp14:anchorId="3D642CF7" wp14:editId="471DD287">
            <wp:extent cx="5280638" cy="2354094"/>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77208" cy="2397145"/>
                    </a:xfrm>
                    <a:prstGeom prst="rect">
                      <a:avLst/>
                    </a:prstGeom>
                    <a:noFill/>
                    <a:ln>
                      <a:noFill/>
                    </a:ln>
                  </pic:spPr>
                </pic:pic>
              </a:graphicData>
            </a:graphic>
          </wp:inline>
        </w:drawing>
      </w:r>
    </w:p>
    <w:p w14:paraId="6E81AE7E" w14:textId="6579F57F"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Fig 9</w:t>
      </w:r>
      <w:r w:rsidR="00E2242E">
        <w:rPr>
          <w:rFonts w:ascii="Times New Roman" w:hAnsi="Times New Roman" w:cs="Times New Roman"/>
          <w:sz w:val="24"/>
          <w:szCs w:val="24"/>
        </w:rPr>
        <w:t xml:space="preserve">                                                                                      </w:t>
      </w:r>
      <w:r w:rsidR="00E2242E" w:rsidRPr="00BC59C1">
        <w:rPr>
          <w:rFonts w:ascii="Times New Roman" w:hAnsi="Times New Roman" w:cs="Times New Roman"/>
          <w:sz w:val="24"/>
          <w:szCs w:val="24"/>
        </w:rPr>
        <w:t xml:space="preserve">  </w:t>
      </w:r>
      <w:r w:rsidR="00E2242E" w:rsidRPr="00B533ED">
        <w:rPr>
          <w:rFonts w:ascii="Times New Roman" w:hAnsi="Times New Roman" w:cs="Times New Roman"/>
          <w:sz w:val="24"/>
          <w:szCs w:val="24"/>
        </w:rPr>
        <w:t xml:space="preserve"> </w:t>
      </w:r>
      <w:hyperlink r:id="rId34" w:history="1">
        <w:r w:rsidR="00A81A7B" w:rsidRPr="00B533ED">
          <w:rPr>
            <w:rStyle w:val="Hyperlink"/>
            <w:rFonts w:ascii="Times New Roman" w:hAnsi="Times New Roman" w:cs="Times New Roman"/>
            <w:color w:val="auto"/>
            <w:sz w:val="24"/>
            <w:szCs w:val="24"/>
          </w:rPr>
          <w:t>https://group.softbank/en</w:t>
        </w:r>
      </w:hyperlink>
    </w:p>
    <w:p w14:paraId="00100805" w14:textId="77777777" w:rsidR="00C36E51" w:rsidRPr="00C36E51" w:rsidRDefault="00C36E51" w:rsidP="00E139C5">
      <w:pPr>
        <w:spacing w:line="360" w:lineRule="auto"/>
        <w:jc w:val="both"/>
        <w:rPr>
          <w:rFonts w:ascii="Times New Roman" w:hAnsi="Times New Roman" w:cs="Times New Roman"/>
          <w:b/>
          <w:bCs/>
          <w:sz w:val="24"/>
          <w:szCs w:val="24"/>
        </w:rPr>
      </w:pPr>
    </w:p>
    <w:p w14:paraId="02105F31" w14:textId="77777777" w:rsidR="00C36E51" w:rsidRPr="00C36E51" w:rsidRDefault="00C36E51" w:rsidP="00E139C5">
      <w:pPr>
        <w:spacing w:line="360" w:lineRule="auto"/>
        <w:jc w:val="both"/>
        <w:rPr>
          <w:rFonts w:ascii="Times New Roman" w:hAnsi="Times New Roman" w:cs="Times New Roman"/>
          <w:b/>
          <w:bCs/>
          <w:sz w:val="24"/>
          <w:szCs w:val="24"/>
        </w:rPr>
      </w:pPr>
    </w:p>
    <w:p w14:paraId="49209732" w14:textId="77777777" w:rsidR="00C36E51" w:rsidRPr="00C36E51" w:rsidRDefault="00C36E51" w:rsidP="00E139C5">
      <w:pPr>
        <w:spacing w:line="360" w:lineRule="auto"/>
        <w:jc w:val="both"/>
        <w:rPr>
          <w:rFonts w:ascii="Times New Roman" w:hAnsi="Times New Roman" w:cs="Times New Roman"/>
          <w:b/>
          <w:bCs/>
          <w:sz w:val="24"/>
          <w:szCs w:val="24"/>
        </w:rPr>
      </w:pPr>
    </w:p>
    <w:p w14:paraId="025529BC" w14:textId="77777777" w:rsidR="00C36E51" w:rsidRPr="00C36E51" w:rsidRDefault="00C36E51" w:rsidP="00E139C5">
      <w:pPr>
        <w:spacing w:line="360" w:lineRule="auto"/>
        <w:jc w:val="both"/>
        <w:rPr>
          <w:rFonts w:ascii="Times New Roman" w:hAnsi="Times New Roman" w:cs="Times New Roman"/>
          <w:b/>
          <w:bCs/>
          <w:sz w:val="24"/>
          <w:szCs w:val="24"/>
        </w:rPr>
      </w:pPr>
    </w:p>
    <w:p w14:paraId="182EC706" w14:textId="77777777" w:rsidR="00C36E51" w:rsidRPr="00C36E51" w:rsidRDefault="00C36E51" w:rsidP="00E139C5">
      <w:pPr>
        <w:spacing w:line="360" w:lineRule="auto"/>
        <w:jc w:val="both"/>
        <w:rPr>
          <w:rFonts w:ascii="Times New Roman" w:hAnsi="Times New Roman" w:cs="Times New Roman"/>
          <w:b/>
          <w:bCs/>
          <w:sz w:val="24"/>
          <w:szCs w:val="24"/>
        </w:rPr>
      </w:pPr>
    </w:p>
    <w:p w14:paraId="5595EDB9" w14:textId="77777777" w:rsidR="00C36E51" w:rsidRPr="00C36E51" w:rsidRDefault="00C36E51" w:rsidP="00E139C5">
      <w:pPr>
        <w:spacing w:line="360" w:lineRule="auto"/>
        <w:jc w:val="both"/>
        <w:rPr>
          <w:rFonts w:ascii="Times New Roman" w:hAnsi="Times New Roman" w:cs="Times New Roman"/>
          <w:b/>
          <w:bCs/>
          <w:sz w:val="24"/>
          <w:szCs w:val="24"/>
        </w:rPr>
      </w:pPr>
    </w:p>
    <w:p w14:paraId="73CDBA0E" w14:textId="77777777" w:rsidR="00C36E51" w:rsidRPr="00C36E51" w:rsidRDefault="00C36E51" w:rsidP="00E139C5">
      <w:pPr>
        <w:spacing w:line="360" w:lineRule="auto"/>
        <w:jc w:val="both"/>
        <w:rPr>
          <w:rFonts w:ascii="Times New Roman" w:hAnsi="Times New Roman" w:cs="Times New Roman"/>
          <w:b/>
          <w:bCs/>
          <w:sz w:val="24"/>
          <w:szCs w:val="24"/>
        </w:rPr>
      </w:pPr>
    </w:p>
    <w:p w14:paraId="3667A1D9" w14:textId="77777777" w:rsidR="00C36E51" w:rsidRPr="00C36E51" w:rsidRDefault="00C36E51" w:rsidP="00E139C5">
      <w:pPr>
        <w:spacing w:line="360" w:lineRule="auto"/>
        <w:jc w:val="both"/>
        <w:rPr>
          <w:rFonts w:ascii="Times New Roman" w:hAnsi="Times New Roman" w:cs="Times New Roman"/>
          <w:b/>
          <w:bCs/>
          <w:sz w:val="24"/>
          <w:szCs w:val="24"/>
        </w:rPr>
      </w:pPr>
    </w:p>
    <w:p w14:paraId="40B8D7ED" w14:textId="77777777" w:rsidR="00C36E51" w:rsidRPr="00C36E51" w:rsidRDefault="00C36E51" w:rsidP="00E139C5">
      <w:pPr>
        <w:spacing w:line="360" w:lineRule="auto"/>
        <w:jc w:val="both"/>
        <w:rPr>
          <w:rFonts w:ascii="Times New Roman" w:hAnsi="Times New Roman" w:cs="Times New Roman"/>
          <w:b/>
          <w:bCs/>
          <w:sz w:val="24"/>
          <w:szCs w:val="24"/>
        </w:rPr>
      </w:pPr>
    </w:p>
    <w:p w14:paraId="0DA36EA0" w14:textId="77777777" w:rsidR="00EC72C2" w:rsidRDefault="00EC72C2" w:rsidP="00E139C5">
      <w:pPr>
        <w:spacing w:line="360" w:lineRule="auto"/>
        <w:jc w:val="both"/>
        <w:rPr>
          <w:rFonts w:ascii="Times New Roman" w:hAnsi="Times New Roman" w:cs="Times New Roman"/>
          <w:b/>
          <w:bCs/>
          <w:sz w:val="24"/>
          <w:szCs w:val="24"/>
        </w:rPr>
      </w:pPr>
    </w:p>
    <w:p w14:paraId="0C2F62D4" w14:textId="77777777" w:rsidR="00394AE2" w:rsidRDefault="00394AE2" w:rsidP="00E139C5">
      <w:pPr>
        <w:spacing w:line="360" w:lineRule="auto"/>
        <w:jc w:val="both"/>
        <w:rPr>
          <w:rFonts w:ascii="Times New Roman" w:hAnsi="Times New Roman" w:cs="Times New Roman"/>
          <w:b/>
          <w:bCs/>
          <w:sz w:val="24"/>
          <w:szCs w:val="24"/>
        </w:rPr>
      </w:pPr>
    </w:p>
    <w:p w14:paraId="4090C755" w14:textId="77777777" w:rsidR="00394AE2" w:rsidRDefault="00394AE2" w:rsidP="00E139C5">
      <w:pPr>
        <w:spacing w:line="360" w:lineRule="auto"/>
        <w:jc w:val="both"/>
        <w:rPr>
          <w:rFonts w:ascii="Times New Roman" w:hAnsi="Times New Roman" w:cs="Times New Roman"/>
          <w:b/>
          <w:bCs/>
          <w:sz w:val="24"/>
          <w:szCs w:val="24"/>
        </w:rPr>
      </w:pPr>
    </w:p>
    <w:p w14:paraId="4B1E9ABC" w14:textId="77777777" w:rsidR="00394AE2" w:rsidRDefault="00394AE2" w:rsidP="00E139C5">
      <w:pPr>
        <w:spacing w:line="360" w:lineRule="auto"/>
        <w:jc w:val="both"/>
        <w:rPr>
          <w:rFonts w:ascii="Times New Roman" w:hAnsi="Times New Roman" w:cs="Times New Roman"/>
          <w:b/>
          <w:bCs/>
          <w:sz w:val="24"/>
          <w:szCs w:val="24"/>
        </w:rPr>
      </w:pPr>
    </w:p>
    <w:p w14:paraId="65D8A97C" w14:textId="77777777" w:rsidR="00B533ED" w:rsidRDefault="00B533ED" w:rsidP="00E139C5">
      <w:pPr>
        <w:spacing w:line="360" w:lineRule="auto"/>
        <w:jc w:val="both"/>
        <w:rPr>
          <w:rFonts w:ascii="Times New Roman" w:hAnsi="Times New Roman" w:cs="Times New Roman"/>
          <w:b/>
          <w:bCs/>
          <w:sz w:val="24"/>
          <w:szCs w:val="24"/>
        </w:rPr>
      </w:pPr>
    </w:p>
    <w:p w14:paraId="77B7C9AB" w14:textId="5B91077A" w:rsidR="00C36E51" w:rsidRPr="00C36E51" w:rsidRDefault="00C36E51" w:rsidP="00E139C5">
      <w:pPr>
        <w:spacing w:line="360" w:lineRule="auto"/>
        <w:jc w:val="both"/>
        <w:rPr>
          <w:rFonts w:ascii="Times New Roman" w:hAnsi="Times New Roman" w:cs="Times New Roman"/>
          <w:sz w:val="24"/>
          <w:szCs w:val="24"/>
        </w:rPr>
      </w:pPr>
      <w:r w:rsidRPr="00C36E51">
        <w:rPr>
          <w:rFonts w:ascii="Times New Roman" w:hAnsi="Times New Roman" w:cs="Times New Roman"/>
          <w:b/>
          <w:bCs/>
          <w:sz w:val="24"/>
          <w:szCs w:val="24"/>
        </w:rPr>
        <w:lastRenderedPageBreak/>
        <w:t>Conclusion.</w:t>
      </w:r>
      <w:r w:rsidRPr="00C36E51">
        <w:rPr>
          <w:rFonts w:ascii="Times New Roman" w:hAnsi="Times New Roman" w:cs="Times New Roman"/>
          <w:sz w:val="24"/>
          <w:szCs w:val="24"/>
        </w:rPr>
        <w:t xml:space="preserve"> </w:t>
      </w:r>
    </w:p>
    <w:p w14:paraId="56AD9444" w14:textId="73B3391A" w:rsidR="00C36E51" w:rsidRPr="00C36E51" w:rsidRDefault="00C36E51" w:rsidP="00E2242E">
      <w:pPr>
        <w:spacing w:line="360" w:lineRule="auto"/>
        <w:contextualSpacing/>
        <w:jc w:val="both"/>
        <w:rPr>
          <w:rFonts w:ascii="Times New Roman" w:hAnsi="Times New Roman" w:cs="Times New Roman"/>
          <w:sz w:val="24"/>
          <w:szCs w:val="24"/>
        </w:rPr>
      </w:pPr>
      <w:r w:rsidRPr="00C36E51">
        <w:rPr>
          <w:rFonts w:ascii="Times New Roman" w:hAnsi="Times New Roman" w:cs="Times New Roman"/>
          <w:sz w:val="24"/>
          <w:szCs w:val="24"/>
        </w:rPr>
        <w:t xml:space="preserve">Softbank’s long term strategic investment </w:t>
      </w:r>
      <w:r w:rsidR="00B01B8F">
        <w:rPr>
          <w:rFonts w:ascii="Times New Roman" w:hAnsi="Times New Roman" w:cs="Times New Roman"/>
          <w:sz w:val="24"/>
          <w:szCs w:val="24"/>
        </w:rPr>
        <w:t xml:space="preserve">in acquisition of </w:t>
      </w:r>
      <w:r w:rsidRPr="00C36E51">
        <w:rPr>
          <w:rFonts w:ascii="Times New Roman" w:hAnsi="Times New Roman" w:cs="Times New Roman"/>
          <w:sz w:val="24"/>
          <w:szCs w:val="24"/>
        </w:rPr>
        <w:t xml:space="preserve">ARM, will pay off due to varies factors from long term integration in technology in the ecosystem, combined with a diverse portfolio of internet investment  will impact the technology industry as it reaches every region of the world  with much success for ARM and Softbank. </w:t>
      </w:r>
    </w:p>
    <w:p w14:paraId="303D9894" w14:textId="77777777" w:rsidR="00E2242E" w:rsidRDefault="00E2242E" w:rsidP="00E2242E">
      <w:pPr>
        <w:spacing w:line="360" w:lineRule="auto"/>
        <w:jc w:val="both"/>
        <w:rPr>
          <w:rFonts w:ascii="Times New Roman" w:hAnsi="Times New Roman" w:cs="Times New Roman"/>
          <w:sz w:val="24"/>
          <w:szCs w:val="24"/>
        </w:rPr>
      </w:pPr>
    </w:p>
    <w:p w14:paraId="7DDFE3CB" w14:textId="3245864A" w:rsidR="00C36E51" w:rsidRPr="00C36E51" w:rsidRDefault="00C36E51" w:rsidP="00E2242E">
      <w:pPr>
        <w:spacing w:line="360" w:lineRule="auto"/>
        <w:jc w:val="both"/>
        <w:rPr>
          <w:rFonts w:ascii="Times New Roman" w:hAnsi="Times New Roman" w:cs="Times New Roman"/>
          <w:sz w:val="24"/>
          <w:szCs w:val="24"/>
        </w:rPr>
      </w:pPr>
      <w:r w:rsidRPr="00C36E51">
        <w:rPr>
          <w:rFonts w:ascii="Times New Roman" w:hAnsi="Times New Roman" w:cs="Times New Roman"/>
          <w:sz w:val="24"/>
          <w:szCs w:val="24"/>
        </w:rPr>
        <w:t>With Softbank as its owner and the full support to let ARM operate without interference, will make Arm stronger and maintain its number one position as a global leader in semiconductor chip processor designer and new markets that will be penetrated and will make it go beyond its success. I do think that without the support of Softbank Group Corp,  ARM would have struggled to reach its full potential. On top of that the premium Arm is getting will enable it to fight the challenges and fight the stiff competition  in a volatile environment especially in the technology industry and making the shareholders happy.</w:t>
      </w:r>
    </w:p>
    <w:p w14:paraId="1132EF77" w14:textId="77777777" w:rsidR="00C36E51" w:rsidRPr="00C36E51" w:rsidRDefault="00C36E51" w:rsidP="00E2242E">
      <w:pPr>
        <w:spacing w:line="360" w:lineRule="auto"/>
        <w:jc w:val="both"/>
        <w:rPr>
          <w:rFonts w:ascii="Times New Roman" w:hAnsi="Times New Roman" w:cs="Times New Roman"/>
          <w:b/>
          <w:bCs/>
          <w:sz w:val="24"/>
          <w:szCs w:val="24"/>
        </w:rPr>
      </w:pPr>
    </w:p>
    <w:p w14:paraId="6A196080" w14:textId="77777777" w:rsidR="00C36E51" w:rsidRPr="00C36E51" w:rsidRDefault="00C36E51" w:rsidP="00E139C5">
      <w:pPr>
        <w:spacing w:line="360" w:lineRule="auto"/>
        <w:jc w:val="both"/>
        <w:rPr>
          <w:rFonts w:ascii="Times New Roman" w:hAnsi="Times New Roman" w:cs="Times New Roman"/>
          <w:b/>
          <w:bCs/>
          <w:sz w:val="24"/>
          <w:szCs w:val="24"/>
        </w:rPr>
      </w:pPr>
    </w:p>
    <w:p w14:paraId="2C9747E2" w14:textId="42AD7BBF" w:rsidR="00E2242E" w:rsidRDefault="00E2242E" w:rsidP="00E139C5">
      <w:pPr>
        <w:spacing w:line="360" w:lineRule="auto"/>
        <w:jc w:val="both"/>
        <w:rPr>
          <w:rFonts w:ascii="Times New Roman" w:hAnsi="Times New Roman" w:cs="Times New Roman"/>
          <w:b/>
          <w:bCs/>
          <w:sz w:val="24"/>
          <w:szCs w:val="24"/>
        </w:rPr>
      </w:pPr>
    </w:p>
    <w:p w14:paraId="147135A4" w14:textId="56239397" w:rsidR="00E2242E" w:rsidRDefault="00E2242E" w:rsidP="00E139C5">
      <w:pPr>
        <w:spacing w:line="360" w:lineRule="auto"/>
        <w:jc w:val="both"/>
        <w:rPr>
          <w:rFonts w:ascii="Times New Roman" w:hAnsi="Times New Roman" w:cs="Times New Roman"/>
          <w:b/>
          <w:bCs/>
          <w:sz w:val="24"/>
          <w:szCs w:val="24"/>
        </w:rPr>
      </w:pPr>
    </w:p>
    <w:p w14:paraId="2DE1FED8" w14:textId="51FA6907" w:rsidR="00E2242E" w:rsidRDefault="00E2242E" w:rsidP="00E139C5">
      <w:pPr>
        <w:spacing w:line="360" w:lineRule="auto"/>
        <w:jc w:val="both"/>
        <w:rPr>
          <w:rFonts w:ascii="Times New Roman" w:hAnsi="Times New Roman" w:cs="Times New Roman"/>
          <w:b/>
          <w:bCs/>
          <w:sz w:val="24"/>
          <w:szCs w:val="24"/>
        </w:rPr>
      </w:pPr>
    </w:p>
    <w:p w14:paraId="0E9C131A" w14:textId="149592F5" w:rsidR="00E2242E" w:rsidRDefault="00E2242E" w:rsidP="00E139C5">
      <w:pPr>
        <w:spacing w:line="360" w:lineRule="auto"/>
        <w:jc w:val="both"/>
        <w:rPr>
          <w:rFonts w:ascii="Times New Roman" w:hAnsi="Times New Roman" w:cs="Times New Roman"/>
          <w:b/>
          <w:bCs/>
          <w:sz w:val="24"/>
          <w:szCs w:val="24"/>
        </w:rPr>
      </w:pPr>
    </w:p>
    <w:p w14:paraId="4933718F" w14:textId="55984966" w:rsidR="00E2242E" w:rsidRDefault="00E2242E" w:rsidP="00E139C5">
      <w:pPr>
        <w:spacing w:line="360" w:lineRule="auto"/>
        <w:jc w:val="both"/>
        <w:rPr>
          <w:rFonts w:ascii="Times New Roman" w:hAnsi="Times New Roman" w:cs="Times New Roman"/>
          <w:b/>
          <w:bCs/>
          <w:sz w:val="24"/>
          <w:szCs w:val="24"/>
        </w:rPr>
      </w:pPr>
    </w:p>
    <w:p w14:paraId="4E44AEB6" w14:textId="3BEF6218" w:rsidR="00E2242E" w:rsidRDefault="00E2242E" w:rsidP="00E139C5">
      <w:pPr>
        <w:spacing w:line="360" w:lineRule="auto"/>
        <w:jc w:val="both"/>
        <w:rPr>
          <w:rFonts w:ascii="Times New Roman" w:hAnsi="Times New Roman" w:cs="Times New Roman"/>
          <w:b/>
          <w:bCs/>
          <w:sz w:val="24"/>
          <w:szCs w:val="24"/>
        </w:rPr>
      </w:pPr>
    </w:p>
    <w:p w14:paraId="699314B9" w14:textId="4A8EED86" w:rsidR="00E2242E" w:rsidRDefault="00E2242E" w:rsidP="00E139C5">
      <w:pPr>
        <w:spacing w:line="360" w:lineRule="auto"/>
        <w:jc w:val="both"/>
        <w:rPr>
          <w:rFonts w:ascii="Times New Roman" w:hAnsi="Times New Roman" w:cs="Times New Roman"/>
          <w:b/>
          <w:bCs/>
          <w:sz w:val="24"/>
          <w:szCs w:val="24"/>
        </w:rPr>
      </w:pPr>
    </w:p>
    <w:p w14:paraId="683B123B" w14:textId="3D37587F" w:rsidR="00E2242E" w:rsidRDefault="00E2242E" w:rsidP="00E139C5">
      <w:pPr>
        <w:spacing w:line="360" w:lineRule="auto"/>
        <w:jc w:val="both"/>
        <w:rPr>
          <w:rFonts w:ascii="Times New Roman" w:hAnsi="Times New Roman" w:cs="Times New Roman"/>
          <w:b/>
          <w:bCs/>
          <w:sz w:val="24"/>
          <w:szCs w:val="24"/>
        </w:rPr>
      </w:pPr>
    </w:p>
    <w:p w14:paraId="0F4ACBAB" w14:textId="43741632" w:rsidR="00E2242E" w:rsidRDefault="00E2242E" w:rsidP="00E139C5">
      <w:pPr>
        <w:spacing w:line="360" w:lineRule="auto"/>
        <w:jc w:val="both"/>
        <w:rPr>
          <w:rFonts w:ascii="Times New Roman" w:hAnsi="Times New Roman" w:cs="Times New Roman"/>
          <w:b/>
          <w:bCs/>
          <w:sz w:val="24"/>
          <w:szCs w:val="24"/>
        </w:rPr>
      </w:pPr>
    </w:p>
    <w:p w14:paraId="5784430C" w14:textId="080CF6C2" w:rsidR="00E2242E" w:rsidRDefault="00E2242E" w:rsidP="00E139C5">
      <w:pPr>
        <w:spacing w:line="360" w:lineRule="auto"/>
        <w:jc w:val="both"/>
        <w:rPr>
          <w:rFonts w:ascii="Times New Roman" w:hAnsi="Times New Roman" w:cs="Times New Roman"/>
          <w:b/>
          <w:bCs/>
          <w:sz w:val="24"/>
          <w:szCs w:val="24"/>
        </w:rPr>
      </w:pPr>
    </w:p>
    <w:tbl>
      <w:tblPr>
        <w:tblpPr w:leftFromText="180" w:rightFromText="180" w:vertAnchor="text" w:horzAnchor="page" w:tblpX="1" w:tblpY="-1439"/>
        <w:tblW w:w="12173" w:type="dxa"/>
        <w:tblLook w:val="04A0" w:firstRow="1" w:lastRow="0" w:firstColumn="1" w:lastColumn="0" w:noHBand="0" w:noVBand="1"/>
      </w:tblPr>
      <w:tblGrid>
        <w:gridCol w:w="1922"/>
        <w:gridCol w:w="916"/>
        <w:gridCol w:w="756"/>
        <w:gridCol w:w="756"/>
        <w:gridCol w:w="756"/>
        <w:gridCol w:w="756"/>
        <w:gridCol w:w="756"/>
        <w:gridCol w:w="222"/>
        <w:gridCol w:w="1483"/>
        <w:gridCol w:w="756"/>
        <w:gridCol w:w="756"/>
        <w:gridCol w:w="756"/>
        <w:gridCol w:w="916"/>
        <w:gridCol w:w="222"/>
        <w:gridCol w:w="222"/>
        <w:gridCol w:w="207"/>
        <w:gridCol w:w="15"/>
      </w:tblGrid>
      <w:tr w:rsidR="00D17616" w:rsidRPr="00E139C5" w14:paraId="0D32B20C" w14:textId="77777777" w:rsidTr="00550648">
        <w:trPr>
          <w:trHeight w:val="136"/>
        </w:trPr>
        <w:tc>
          <w:tcPr>
            <w:tcW w:w="1922" w:type="dxa"/>
            <w:tcBorders>
              <w:top w:val="nil"/>
              <w:left w:val="nil"/>
              <w:bottom w:val="nil"/>
              <w:right w:val="nil"/>
            </w:tcBorders>
            <w:shd w:val="clear" w:color="auto" w:fill="auto"/>
            <w:noWrap/>
            <w:vAlign w:val="bottom"/>
            <w:hideMark/>
          </w:tcPr>
          <w:p w14:paraId="0348CA8E" w14:textId="31438AC0" w:rsidR="00E2242E" w:rsidRDefault="00E2242E" w:rsidP="00E2242E">
            <w:pPr>
              <w:spacing w:line="360" w:lineRule="auto"/>
              <w:jc w:val="both"/>
              <w:rPr>
                <w:rFonts w:ascii="Times New Roman" w:hAnsi="Times New Roman" w:cs="Times New Roman"/>
                <w:b/>
                <w:bCs/>
                <w:sz w:val="24"/>
                <w:szCs w:val="24"/>
              </w:rPr>
            </w:pPr>
            <w:bookmarkStart w:id="23" w:name="_Hlk39441289"/>
            <w:r w:rsidRPr="00E139C5">
              <w:rPr>
                <w:rFonts w:ascii="Times New Roman" w:hAnsi="Times New Roman" w:cs="Times New Roman"/>
                <w:b/>
                <w:bCs/>
                <w:sz w:val="24"/>
                <w:szCs w:val="24"/>
              </w:rPr>
              <w:lastRenderedPageBreak/>
              <w:t xml:space="preserve">Appendices </w:t>
            </w:r>
          </w:p>
          <w:p w14:paraId="753B5D6E" w14:textId="61D7DCEE" w:rsidR="00097D59" w:rsidRPr="00BF05A2" w:rsidRDefault="00E2242E" w:rsidP="00E139C5">
            <w:pPr>
              <w:spacing w:after="0" w:line="360" w:lineRule="auto"/>
              <w:jc w:val="both"/>
              <w:rPr>
                <w:rFonts w:ascii="Times New Roman" w:eastAsia="Times New Roman" w:hAnsi="Times New Roman" w:cs="Times New Roman"/>
                <w:b/>
                <w:bCs/>
                <w:sz w:val="24"/>
                <w:szCs w:val="24"/>
                <w:lang w:eastAsia="en-GB"/>
              </w:rPr>
            </w:pPr>
            <w:r w:rsidRPr="00BF05A2">
              <w:rPr>
                <w:rFonts w:ascii="Times New Roman" w:eastAsia="Times New Roman" w:hAnsi="Times New Roman" w:cs="Times New Roman"/>
                <w:b/>
                <w:bCs/>
                <w:sz w:val="24"/>
                <w:szCs w:val="24"/>
                <w:lang w:eastAsia="en-GB"/>
              </w:rPr>
              <w:t>Arm Strategic view KPI’s</w:t>
            </w:r>
          </w:p>
        </w:tc>
        <w:tc>
          <w:tcPr>
            <w:tcW w:w="916" w:type="dxa"/>
            <w:tcBorders>
              <w:top w:val="nil"/>
              <w:left w:val="nil"/>
              <w:bottom w:val="nil"/>
              <w:right w:val="nil"/>
            </w:tcBorders>
            <w:shd w:val="clear" w:color="auto" w:fill="auto"/>
            <w:noWrap/>
            <w:vAlign w:val="bottom"/>
            <w:hideMark/>
          </w:tcPr>
          <w:p w14:paraId="017C431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725B1A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C1C27C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F2F152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7A1E5AD" w14:textId="77777777" w:rsidR="00097D59" w:rsidRDefault="00097D59" w:rsidP="00E139C5">
            <w:pPr>
              <w:spacing w:after="0" w:line="360" w:lineRule="auto"/>
              <w:jc w:val="both"/>
              <w:rPr>
                <w:rFonts w:ascii="Times New Roman" w:eastAsia="Times New Roman" w:hAnsi="Times New Roman" w:cs="Times New Roman"/>
                <w:sz w:val="24"/>
                <w:szCs w:val="24"/>
                <w:lang w:eastAsia="en-GB"/>
              </w:rPr>
            </w:pPr>
          </w:p>
          <w:p w14:paraId="26DDA2FC" w14:textId="77777777" w:rsidR="00E2242E" w:rsidRDefault="00E2242E" w:rsidP="00E139C5">
            <w:pPr>
              <w:spacing w:after="0" w:line="360" w:lineRule="auto"/>
              <w:jc w:val="both"/>
              <w:rPr>
                <w:rFonts w:ascii="Times New Roman" w:eastAsia="Times New Roman" w:hAnsi="Times New Roman" w:cs="Times New Roman"/>
                <w:sz w:val="24"/>
                <w:szCs w:val="24"/>
                <w:lang w:eastAsia="en-GB"/>
              </w:rPr>
            </w:pPr>
          </w:p>
          <w:p w14:paraId="4C4AAA01" w14:textId="38F4EABA" w:rsidR="00E2242E" w:rsidRPr="00E139C5" w:rsidRDefault="00E2242E"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768D92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3C5EAEF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176BFE3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50584A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FBF361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589E88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56A9EE9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5032DA2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9E7754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4F8A718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2F3FC1F" w14:textId="77777777" w:rsidTr="00550648">
        <w:trPr>
          <w:trHeight w:val="129"/>
        </w:trPr>
        <w:tc>
          <w:tcPr>
            <w:tcW w:w="1922" w:type="dxa"/>
            <w:tcBorders>
              <w:top w:val="nil"/>
              <w:left w:val="nil"/>
              <w:bottom w:val="nil"/>
              <w:right w:val="nil"/>
            </w:tcBorders>
            <w:shd w:val="clear" w:color="000000" w:fill="5B9BD5"/>
            <w:noWrap/>
            <w:vAlign w:val="bottom"/>
            <w:hideMark/>
          </w:tcPr>
          <w:p w14:paraId="6CE533F3"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Calendar years</w:t>
            </w:r>
          </w:p>
        </w:tc>
        <w:tc>
          <w:tcPr>
            <w:tcW w:w="916" w:type="dxa"/>
            <w:tcBorders>
              <w:top w:val="single" w:sz="8" w:space="0" w:color="FFFFFF"/>
              <w:left w:val="single" w:sz="4" w:space="0" w:color="FFFFFF"/>
              <w:bottom w:val="nil"/>
              <w:right w:val="single" w:sz="8" w:space="0" w:color="FFFFFF"/>
            </w:tcBorders>
            <w:shd w:val="clear" w:color="000000" w:fill="5B9BD5"/>
            <w:noWrap/>
            <w:vAlign w:val="bottom"/>
            <w:hideMark/>
          </w:tcPr>
          <w:p w14:paraId="3006D6F5"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single" w:sz="8" w:space="0" w:color="FFFFFF"/>
              <w:left w:val="single" w:sz="4" w:space="0" w:color="FFFFFF"/>
              <w:bottom w:val="nil"/>
              <w:right w:val="single" w:sz="8" w:space="0" w:color="FFFFFF"/>
            </w:tcBorders>
            <w:shd w:val="clear" w:color="000000" w:fill="5B9BD5"/>
            <w:noWrap/>
            <w:vAlign w:val="bottom"/>
            <w:hideMark/>
          </w:tcPr>
          <w:p w14:paraId="11713B37"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single" w:sz="8" w:space="0" w:color="FFFFFF"/>
              <w:left w:val="single" w:sz="4" w:space="0" w:color="FFFFFF"/>
              <w:bottom w:val="nil"/>
              <w:right w:val="single" w:sz="8" w:space="0" w:color="FFFFFF"/>
            </w:tcBorders>
            <w:shd w:val="clear" w:color="000000" w:fill="5B9BD5"/>
            <w:noWrap/>
            <w:vAlign w:val="bottom"/>
            <w:hideMark/>
          </w:tcPr>
          <w:p w14:paraId="3FF96806"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single" w:sz="8" w:space="0" w:color="FFFFFF"/>
              <w:left w:val="single" w:sz="4" w:space="0" w:color="FFFFFF"/>
              <w:bottom w:val="nil"/>
              <w:right w:val="single" w:sz="8" w:space="0" w:color="FFFFFF"/>
            </w:tcBorders>
            <w:shd w:val="clear" w:color="000000" w:fill="5B9BD5"/>
            <w:noWrap/>
            <w:vAlign w:val="bottom"/>
            <w:hideMark/>
          </w:tcPr>
          <w:p w14:paraId="5E188D1D"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2019</w:t>
            </w:r>
          </w:p>
        </w:tc>
        <w:tc>
          <w:tcPr>
            <w:tcW w:w="756" w:type="dxa"/>
            <w:tcBorders>
              <w:top w:val="single" w:sz="8" w:space="0" w:color="FFFFFF"/>
              <w:left w:val="single" w:sz="4" w:space="0" w:color="FFFFFF"/>
              <w:bottom w:val="nil"/>
              <w:right w:val="single" w:sz="8" w:space="0" w:color="FFFFFF"/>
            </w:tcBorders>
            <w:shd w:val="clear" w:color="000000" w:fill="9BC2E6"/>
            <w:noWrap/>
            <w:vAlign w:val="bottom"/>
            <w:hideMark/>
          </w:tcPr>
          <w:p w14:paraId="6EEA70B1"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756" w:type="dxa"/>
            <w:tcBorders>
              <w:top w:val="single" w:sz="8" w:space="0" w:color="FFFFFF"/>
              <w:left w:val="single" w:sz="4" w:space="0" w:color="FFFFFF"/>
              <w:bottom w:val="nil"/>
              <w:right w:val="nil"/>
            </w:tcBorders>
            <w:shd w:val="clear" w:color="000000" w:fill="9BC2E6"/>
            <w:noWrap/>
            <w:vAlign w:val="bottom"/>
            <w:hideMark/>
          </w:tcPr>
          <w:p w14:paraId="32F22A5E"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222" w:type="dxa"/>
            <w:tcBorders>
              <w:top w:val="nil"/>
              <w:left w:val="nil"/>
              <w:bottom w:val="nil"/>
              <w:right w:val="nil"/>
            </w:tcBorders>
            <w:shd w:val="clear" w:color="auto" w:fill="auto"/>
            <w:noWrap/>
            <w:vAlign w:val="bottom"/>
            <w:hideMark/>
          </w:tcPr>
          <w:p w14:paraId="0F501990"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nil"/>
            </w:tcBorders>
            <w:shd w:val="clear" w:color="auto" w:fill="auto"/>
            <w:noWrap/>
            <w:vAlign w:val="bottom"/>
            <w:hideMark/>
          </w:tcPr>
          <w:p w14:paraId="0EF172B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FCBBD29" w14:textId="1CE9DAAD"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624BB7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A37A6F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740CD4B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2B49C79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87B254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752EA5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51094AAC" w14:textId="77777777" w:rsidTr="00550648">
        <w:trPr>
          <w:trHeight w:val="82"/>
        </w:trPr>
        <w:tc>
          <w:tcPr>
            <w:tcW w:w="1922" w:type="dxa"/>
            <w:tcBorders>
              <w:top w:val="nil"/>
              <w:left w:val="nil"/>
              <w:bottom w:val="single" w:sz="4" w:space="0" w:color="FFFFFF"/>
              <w:right w:val="single" w:sz="8" w:space="0" w:color="FFFFFF"/>
            </w:tcBorders>
            <w:shd w:val="clear" w:color="000000" w:fill="5B9BD5"/>
            <w:noWrap/>
            <w:vAlign w:val="bottom"/>
            <w:hideMark/>
          </w:tcPr>
          <w:p w14:paraId="651BEACE"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Calendar quarters</w:t>
            </w:r>
          </w:p>
        </w:tc>
        <w:tc>
          <w:tcPr>
            <w:tcW w:w="916" w:type="dxa"/>
            <w:tcBorders>
              <w:top w:val="nil"/>
              <w:left w:val="nil"/>
              <w:bottom w:val="single" w:sz="4" w:space="0" w:color="FFFFFF"/>
              <w:right w:val="single" w:sz="8" w:space="0" w:color="FFFFFF"/>
            </w:tcBorders>
            <w:shd w:val="clear" w:color="000000" w:fill="5B9BD5"/>
            <w:noWrap/>
            <w:vAlign w:val="bottom"/>
            <w:hideMark/>
          </w:tcPr>
          <w:p w14:paraId="7B0BCDDB"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Q2</w:t>
            </w:r>
          </w:p>
        </w:tc>
        <w:tc>
          <w:tcPr>
            <w:tcW w:w="756" w:type="dxa"/>
            <w:tcBorders>
              <w:top w:val="nil"/>
              <w:left w:val="nil"/>
              <w:bottom w:val="single" w:sz="4" w:space="0" w:color="FFFFFF"/>
              <w:right w:val="single" w:sz="8" w:space="0" w:color="FFFFFF"/>
            </w:tcBorders>
            <w:shd w:val="clear" w:color="000000" w:fill="5B9BD5"/>
            <w:noWrap/>
            <w:vAlign w:val="bottom"/>
            <w:hideMark/>
          </w:tcPr>
          <w:p w14:paraId="0EE5466B"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Q3</w:t>
            </w:r>
          </w:p>
        </w:tc>
        <w:tc>
          <w:tcPr>
            <w:tcW w:w="756" w:type="dxa"/>
            <w:tcBorders>
              <w:top w:val="nil"/>
              <w:left w:val="nil"/>
              <w:bottom w:val="single" w:sz="4" w:space="0" w:color="FFFFFF"/>
              <w:right w:val="single" w:sz="8" w:space="0" w:color="FFFFFF"/>
            </w:tcBorders>
            <w:shd w:val="clear" w:color="000000" w:fill="5B9BD5"/>
            <w:noWrap/>
            <w:vAlign w:val="bottom"/>
            <w:hideMark/>
          </w:tcPr>
          <w:p w14:paraId="0CCB3417"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Q4</w:t>
            </w:r>
          </w:p>
        </w:tc>
        <w:tc>
          <w:tcPr>
            <w:tcW w:w="756" w:type="dxa"/>
            <w:tcBorders>
              <w:top w:val="nil"/>
              <w:left w:val="nil"/>
              <w:bottom w:val="single" w:sz="4" w:space="0" w:color="FFFFFF"/>
              <w:right w:val="single" w:sz="8" w:space="0" w:color="FFFFFF"/>
            </w:tcBorders>
            <w:shd w:val="clear" w:color="000000" w:fill="5B9BD5"/>
            <w:noWrap/>
            <w:vAlign w:val="bottom"/>
            <w:hideMark/>
          </w:tcPr>
          <w:p w14:paraId="6A9A1930"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Q1</w:t>
            </w:r>
          </w:p>
        </w:tc>
        <w:tc>
          <w:tcPr>
            <w:tcW w:w="756" w:type="dxa"/>
            <w:tcBorders>
              <w:top w:val="nil"/>
              <w:left w:val="single" w:sz="4" w:space="0" w:color="FFFFFF"/>
              <w:bottom w:val="single" w:sz="4" w:space="0" w:color="FFFFFF"/>
              <w:right w:val="single" w:sz="8" w:space="0" w:color="FFFFFF"/>
            </w:tcBorders>
            <w:shd w:val="clear" w:color="000000" w:fill="9BC2E6"/>
            <w:noWrap/>
            <w:vAlign w:val="bottom"/>
            <w:hideMark/>
          </w:tcPr>
          <w:p w14:paraId="34C5478A"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Q2</w:t>
            </w:r>
          </w:p>
        </w:tc>
        <w:tc>
          <w:tcPr>
            <w:tcW w:w="756" w:type="dxa"/>
            <w:tcBorders>
              <w:top w:val="nil"/>
              <w:left w:val="single" w:sz="4" w:space="0" w:color="FFFFFF"/>
              <w:bottom w:val="single" w:sz="4" w:space="0" w:color="FFFFFF"/>
              <w:right w:val="nil"/>
            </w:tcBorders>
            <w:shd w:val="clear" w:color="000000" w:fill="9BC2E6"/>
            <w:noWrap/>
            <w:vAlign w:val="bottom"/>
            <w:hideMark/>
          </w:tcPr>
          <w:p w14:paraId="0F5651B4"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Q3</w:t>
            </w:r>
          </w:p>
        </w:tc>
        <w:tc>
          <w:tcPr>
            <w:tcW w:w="222" w:type="dxa"/>
            <w:tcBorders>
              <w:top w:val="nil"/>
              <w:left w:val="nil"/>
              <w:bottom w:val="nil"/>
              <w:right w:val="nil"/>
            </w:tcBorders>
            <w:shd w:val="clear" w:color="auto" w:fill="auto"/>
            <w:noWrap/>
            <w:vAlign w:val="bottom"/>
            <w:hideMark/>
          </w:tcPr>
          <w:p w14:paraId="7D890E53"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nil"/>
            </w:tcBorders>
            <w:shd w:val="clear" w:color="auto" w:fill="auto"/>
            <w:noWrap/>
            <w:vAlign w:val="bottom"/>
            <w:hideMark/>
          </w:tcPr>
          <w:p w14:paraId="0DF77F3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AD90F0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421EDB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4A9304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29AD6FA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7DA22AE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15568D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4A4CAE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7969A50C" w14:textId="77777777" w:rsidTr="00550648">
        <w:trPr>
          <w:trHeight w:val="129"/>
        </w:trPr>
        <w:tc>
          <w:tcPr>
            <w:tcW w:w="1922" w:type="dxa"/>
            <w:tcBorders>
              <w:top w:val="nil"/>
              <w:left w:val="nil"/>
              <w:bottom w:val="nil"/>
              <w:right w:val="single" w:sz="8" w:space="0" w:color="FFFFFF"/>
            </w:tcBorders>
            <w:shd w:val="clear" w:color="000000" w:fill="5B9BD5"/>
            <w:noWrap/>
            <w:vAlign w:val="bottom"/>
            <w:hideMark/>
          </w:tcPr>
          <w:p w14:paraId="6C829640"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Calendar quarters</w:t>
            </w:r>
          </w:p>
        </w:tc>
        <w:tc>
          <w:tcPr>
            <w:tcW w:w="916" w:type="dxa"/>
            <w:tcBorders>
              <w:top w:val="nil"/>
              <w:left w:val="nil"/>
              <w:bottom w:val="nil"/>
              <w:right w:val="single" w:sz="8" w:space="0" w:color="FFFFFF"/>
            </w:tcBorders>
            <w:shd w:val="clear" w:color="000000" w:fill="5B9BD5"/>
            <w:noWrap/>
            <w:vAlign w:val="bottom"/>
            <w:hideMark/>
          </w:tcPr>
          <w:p w14:paraId="68CB196C"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nil"/>
              <w:bottom w:val="nil"/>
              <w:right w:val="single" w:sz="8" w:space="0" w:color="FFFFFF"/>
            </w:tcBorders>
            <w:shd w:val="clear" w:color="000000" w:fill="5B9BD5"/>
            <w:noWrap/>
            <w:vAlign w:val="bottom"/>
            <w:hideMark/>
          </w:tcPr>
          <w:p w14:paraId="529B2DF5"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nil"/>
              <w:bottom w:val="nil"/>
              <w:right w:val="single" w:sz="8" w:space="0" w:color="FFFFFF"/>
            </w:tcBorders>
            <w:shd w:val="clear" w:color="000000" w:fill="5B9BD5"/>
            <w:noWrap/>
            <w:vAlign w:val="bottom"/>
            <w:hideMark/>
          </w:tcPr>
          <w:p w14:paraId="263EF529"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nil"/>
              <w:bottom w:val="nil"/>
              <w:right w:val="single" w:sz="8" w:space="0" w:color="FFFFFF"/>
            </w:tcBorders>
            <w:shd w:val="clear" w:color="000000" w:fill="5B9BD5"/>
            <w:noWrap/>
            <w:vAlign w:val="bottom"/>
            <w:hideMark/>
          </w:tcPr>
          <w:p w14:paraId="584FE19C"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single" w:sz="4" w:space="0" w:color="FFFFFF"/>
              <w:bottom w:val="nil"/>
              <w:right w:val="single" w:sz="8" w:space="0" w:color="FFFFFF"/>
            </w:tcBorders>
            <w:shd w:val="clear" w:color="000000" w:fill="9BC2E6"/>
            <w:noWrap/>
            <w:vAlign w:val="bottom"/>
            <w:hideMark/>
          </w:tcPr>
          <w:p w14:paraId="0B8F14F6"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756" w:type="dxa"/>
            <w:tcBorders>
              <w:top w:val="nil"/>
              <w:left w:val="single" w:sz="4" w:space="0" w:color="FFFFFF"/>
              <w:bottom w:val="nil"/>
              <w:right w:val="nil"/>
            </w:tcBorders>
            <w:shd w:val="clear" w:color="000000" w:fill="9BC2E6"/>
            <w:noWrap/>
            <w:vAlign w:val="bottom"/>
            <w:hideMark/>
          </w:tcPr>
          <w:p w14:paraId="0B23DB71"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222" w:type="dxa"/>
            <w:tcBorders>
              <w:top w:val="nil"/>
              <w:left w:val="nil"/>
              <w:bottom w:val="nil"/>
              <w:right w:val="nil"/>
            </w:tcBorders>
            <w:shd w:val="clear" w:color="auto" w:fill="auto"/>
            <w:noWrap/>
            <w:vAlign w:val="bottom"/>
            <w:hideMark/>
          </w:tcPr>
          <w:p w14:paraId="79A628C2"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single" w:sz="8" w:space="0" w:color="FFFFFF"/>
            </w:tcBorders>
            <w:shd w:val="clear" w:color="000000" w:fill="5B9BD5"/>
            <w:noWrap/>
            <w:vAlign w:val="bottom"/>
            <w:hideMark/>
          </w:tcPr>
          <w:p w14:paraId="767688D8"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SoftBank financial calendar</w:t>
            </w:r>
          </w:p>
        </w:tc>
        <w:tc>
          <w:tcPr>
            <w:tcW w:w="756" w:type="dxa"/>
            <w:tcBorders>
              <w:top w:val="single" w:sz="4" w:space="0" w:color="FFFFFF"/>
              <w:left w:val="nil"/>
              <w:bottom w:val="nil"/>
              <w:right w:val="single" w:sz="4" w:space="0" w:color="FFFFFF"/>
            </w:tcBorders>
            <w:shd w:val="clear" w:color="000000" w:fill="9BC2E6"/>
            <w:noWrap/>
            <w:vAlign w:val="bottom"/>
            <w:hideMark/>
          </w:tcPr>
          <w:p w14:paraId="3C6CB5BD"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2015</w:t>
            </w:r>
          </w:p>
        </w:tc>
        <w:tc>
          <w:tcPr>
            <w:tcW w:w="756" w:type="dxa"/>
            <w:tcBorders>
              <w:top w:val="nil"/>
              <w:left w:val="single" w:sz="8" w:space="0" w:color="FFFFFF"/>
              <w:bottom w:val="nil"/>
              <w:right w:val="single" w:sz="4" w:space="0" w:color="FFFFFF"/>
            </w:tcBorders>
            <w:shd w:val="clear" w:color="000000" w:fill="5B9BD5"/>
            <w:noWrap/>
            <w:vAlign w:val="bottom"/>
            <w:hideMark/>
          </w:tcPr>
          <w:p w14:paraId="3184E376"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2016</w:t>
            </w:r>
          </w:p>
        </w:tc>
        <w:tc>
          <w:tcPr>
            <w:tcW w:w="756" w:type="dxa"/>
            <w:tcBorders>
              <w:top w:val="single" w:sz="8" w:space="0" w:color="FFFFFF"/>
              <w:left w:val="nil"/>
              <w:bottom w:val="nil"/>
              <w:right w:val="single" w:sz="8" w:space="0" w:color="FFFFFF"/>
            </w:tcBorders>
            <w:shd w:val="clear" w:color="000000" w:fill="9BC2E6"/>
            <w:noWrap/>
            <w:vAlign w:val="bottom"/>
            <w:hideMark/>
          </w:tcPr>
          <w:p w14:paraId="5216EA80"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2017</w:t>
            </w:r>
          </w:p>
        </w:tc>
        <w:tc>
          <w:tcPr>
            <w:tcW w:w="236" w:type="dxa"/>
            <w:tcBorders>
              <w:top w:val="nil"/>
              <w:left w:val="nil"/>
              <w:bottom w:val="nil"/>
              <w:right w:val="single" w:sz="4" w:space="0" w:color="FFFFFF"/>
            </w:tcBorders>
            <w:shd w:val="clear" w:color="000000" w:fill="5B9BD5"/>
            <w:noWrap/>
            <w:vAlign w:val="bottom"/>
            <w:hideMark/>
          </w:tcPr>
          <w:p w14:paraId="542F1906"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902" w:type="dxa"/>
            <w:vAlign w:val="center"/>
            <w:hideMark/>
          </w:tcPr>
          <w:p w14:paraId="2DDFE3E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137F8C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B4ECF0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56775727" w14:textId="77777777" w:rsidTr="00550648">
        <w:trPr>
          <w:trHeight w:val="136"/>
        </w:trPr>
        <w:tc>
          <w:tcPr>
            <w:tcW w:w="1922" w:type="dxa"/>
            <w:tcBorders>
              <w:top w:val="nil"/>
              <w:left w:val="nil"/>
              <w:bottom w:val="single" w:sz="8" w:space="0" w:color="FFFFFF"/>
              <w:right w:val="single" w:sz="8" w:space="0" w:color="FFFFFF"/>
            </w:tcBorders>
            <w:shd w:val="clear" w:color="000000" w:fill="5B9BD5"/>
            <w:noWrap/>
            <w:vAlign w:val="bottom"/>
            <w:hideMark/>
          </w:tcPr>
          <w:p w14:paraId="64EDB0AC"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SoftBank financial quarters</w:t>
            </w:r>
          </w:p>
        </w:tc>
        <w:tc>
          <w:tcPr>
            <w:tcW w:w="916" w:type="dxa"/>
            <w:tcBorders>
              <w:top w:val="nil"/>
              <w:left w:val="nil"/>
              <w:bottom w:val="single" w:sz="4" w:space="0" w:color="FFFFFF"/>
              <w:right w:val="single" w:sz="8" w:space="0" w:color="FFFFFF"/>
            </w:tcBorders>
            <w:shd w:val="clear" w:color="000000" w:fill="5B9BD5"/>
            <w:noWrap/>
            <w:vAlign w:val="bottom"/>
            <w:hideMark/>
          </w:tcPr>
          <w:p w14:paraId="0D9FA54F"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Q1</w:t>
            </w:r>
          </w:p>
        </w:tc>
        <w:tc>
          <w:tcPr>
            <w:tcW w:w="756" w:type="dxa"/>
            <w:tcBorders>
              <w:top w:val="nil"/>
              <w:left w:val="nil"/>
              <w:bottom w:val="single" w:sz="4" w:space="0" w:color="FFFFFF"/>
              <w:right w:val="single" w:sz="8" w:space="0" w:color="FFFFFF"/>
            </w:tcBorders>
            <w:shd w:val="clear" w:color="000000" w:fill="5B9BD5"/>
            <w:noWrap/>
            <w:vAlign w:val="bottom"/>
            <w:hideMark/>
          </w:tcPr>
          <w:p w14:paraId="40956D9D"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Q2</w:t>
            </w:r>
          </w:p>
        </w:tc>
        <w:tc>
          <w:tcPr>
            <w:tcW w:w="756" w:type="dxa"/>
            <w:tcBorders>
              <w:top w:val="nil"/>
              <w:left w:val="nil"/>
              <w:bottom w:val="single" w:sz="4" w:space="0" w:color="FFFFFF"/>
              <w:right w:val="single" w:sz="8" w:space="0" w:color="FFFFFF"/>
            </w:tcBorders>
            <w:shd w:val="clear" w:color="000000" w:fill="5B9BD5"/>
            <w:noWrap/>
            <w:vAlign w:val="bottom"/>
            <w:hideMark/>
          </w:tcPr>
          <w:p w14:paraId="3F9AF66E"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Q3</w:t>
            </w:r>
          </w:p>
        </w:tc>
        <w:tc>
          <w:tcPr>
            <w:tcW w:w="756" w:type="dxa"/>
            <w:tcBorders>
              <w:top w:val="nil"/>
              <w:left w:val="nil"/>
              <w:bottom w:val="single" w:sz="4" w:space="0" w:color="FFFFFF"/>
              <w:right w:val="single" w:sz="8" w:space="0" w:color="FFFFFF"/>
            </w:tcBorders>
            <w:shd w:val="clear" w:color="000000" w:fill="5B9BD5"/>
            <w:noWrap/>
            <w:vAlign w:val="bottom"/>
            <w:hideMark/>
          </w:tcPr>
          <w:p w14:paraId="36EC9DFF"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Q4</w:t>
            </w:r>
          </w:p>
        </w:tc>
        <w:tc>
          <w:tcPr>
            <w:tcW w:w="756" w:type="dxa"/>
            <w:tcBorders>
              <w:top w:val="nil"/>
              <w:left w:val="single" w:sz="4" w:space="0" w:color="FFFFFF"/>
              <w:bottom w:val="single" w:sz="8" w:space="0" w:color="FFFFFF"/>
              <w:right w:val="single" w:sz="8" w:space="0" w:color="FFFFFF"/>
            </w:tcBorders>
            <w:shd w:val="clear" w:color="000000" w:fill="9BC2E6"/>
            <w:noWrap/>
            <w:vAlign w:val="bottom"/>
            <w:hideMark/>
          </w:tcPr>
          <w:p w14:paraId="2E7616C8"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Q1</w:t>
            </w:r>
          </w:p>
        </w:tc>
        <w:tc>
          <w:tcPr>
            <w:tcW w:w="756" w:type="dxa"/>
            <w:tcBorders>
              <w:top w:val="nil"/>
              <w:left w:val="single" w:sz="4" w:space="0" w:color="FFFFFF"/>
              <w:bottom w:val="single" w:sz="8" w:space="0" w:color="FFFFFF"/>
              <w:right w:val="nil"/>
            </w:tcBorders>
            <w:shd w:val="clear" w:color="000000" w:fill="9BC2E6"/>
            <w:noWrap/>
            <w:vAlign w:val="bottom"/>
            <w:hideMark/>
          </w:tcPr>
          <w:p w14:paraId="0354B3A7"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Q2</w:t>
            </w:r>
          </w:p>
        </w:tc>
        <w:tc>
          <w:tcPr>
            <w:tcW w:w="222" w:type="dxa"/>
            <w:tcBorders>
              <w:top w:val="nil"/>
              <w:left w:val="nil"/>
              <w:bottom w:val="nil"/>
              <w:right w:val="nil"/>
            </w:tcBorders>
            <w:shd w:val="clear" w:color="auto" w:fill="auto"/>
            <w:noWrap/>
            <w:vAlign w:val="bottom"/>
            <w:hideMark/>
          </w:tcPr>
          <w:p w14:paraId="637CBB99"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single" w:sz="8" w:space="0" w:color="FFFFFF"/>
              <w:right w:val="single" w:sz="8" w:space="0" w:color="FFFFFF"/>
            </w:tcBorders>
            <w:shd w:val="clear" w:color="000000" w:fill="5B9BD5"/>
            <w:noWrap/>
            <w:vAlign w:val="bottom"/>
            <w:hideMark/>
          </w:tcPr>
          <w:p w14:paraId="4335C3B0"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 </w:t>
            </w:r>
          </w:p>
        </w:tc>
        <w:tc>
          <w:tcPr>
            <w:tcW w:w="756" w:type="dxa"/>
            <w:tcBorders>
              <w:top w:val="nil"/>
              <w:left w:val="nil"/>
              <w:bottom w:val="single" w:sz="8" w:space="0" w:color="FFFFFF"/>
              <w:right w:val="single" w:sz="4" w:space="0" w:color="FFFFFF"/>
            </w:tcBorders>
            <w:shd w:val="clear" w:color="000000" w:fill="9BC2E6"/>
            <w:noWrap/>
            <w:vAlign w:val="bottom"/>
            <w:hideMark/>
          </w:tcPr>
          <w:p w14:paraId="00A0FF06"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FY</w:t>
            </w:r>
          </w:p>
        </w:tc>
        <w:tc>
          <w:tcPr>
            <w:tcW w:w="756" w:type="dxa"/>
            <w:tcBorders>
              <w:top w:val="nil"/>
              <w:left w:val="single" w:sz="8" w:space="0" w:color="FFFFFF"/>
              <w:bottom w:val="single" w:sz="4" w:space="0" w:color="FFFFFF"/>
              <w:right w:val="single" w:sz="4" w:space="0" w:color="FFFFFF"/>
            </w:tcBorders>
            <w:shd w:val="clear" w:color="000000" w:fill="5B9BD5"/>
            <w:noWrap/>
            <w:vAlign w:val="bottom"/>
            <w:hideMark/>
          </w:tcPr>
          <w:p w14:paraId="3B64329E"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FY</w:t>
            </w:r>
          </w:p>
        </w:tc>
        <w:tc>
          <w:tcPr>
            <w:tcW w:w="756" w:type="dxa"/>
            <w:tcBorders>
              <w:top w:val="nil"/>
              <w:left w:val="nil"/>
              <w:bottom w:val="single" w:sz="4" w:space="0" w:color="FFFFFF"/>
              <w:right w:val="single" w:sz="8" w:space="0" w:color="FFFFFF"/>
            </w:tcBorders>
            <w:shd w:val="clear" w:color="000000" w:fill="9BC2E6"/>
            <w:noWrap/>
            <w:vAlign w:val="bottom"/>
            <w:hideMark/>
          </w:tcPr>
          <w:p w14:paraId="0DF69C0A"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FY</w:t>
            </w:r>
          </w:p>
        </w:tc>
        <w:tc>
          <w:tcPr>
            <w:tcW w:w="236" w:type="dxa"/>
            <w:tcBorders>
              <w:top w:val="nil"/>
              <w:left w:val="nil"/>
              <w:bottom w:val="single" w:sz="4" w:space="0" w:color="FFFFFF"/>
              <w:right w:val="single" w:sz="4" w:space="0" w:color="FFFFFF"/>
            </w:tcBorders>
            <w:shd w:val="clear" w:color="000000" w:fill="5B9BD5"/>
            <w:noWrap/>
            <w:vAlign w:val="bottom"/>
            <w:hideMark/>
          </w:tcPr>
          <w:p w14:paraId="48CCD2E5"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FY</w:t>
            </w:r>
          </w:p>
        </w:tc>
        <w:tc>
          <w:tcPr>
            <w:tcW w:w="902" w:type="dxa"/>
            <w:vAlign w:val="center"/>
            <w:hideMark/>
          </w:tcPr>
          <w:p w14:paraId="74C37BE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A75F9A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AF8663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F6C3FF5" w14:textId="77777777" w:rsidTr="00550648">
        <w:trPr>
          <w:trHeight w:val="136"/>
        </w:trPr>
        <w:tc>
          <w:tcPr>
            <w:tcW w:w="1922" w:type="dxa"/>
            <w:tcBorders>
              <w:top w:val="nil"/>
              <w:left w:val="nil"/>
              <w:bottom w:val="nil"/>
              <w:right w:val="nil"/>
            </w:tcBorders>
            <w:shd w:val="clear" w:color="auto" w:fill="auto"/>
            <w:noWrap/>
            <w:vAlign w:val="bottom"/>
            <w:hideMark/>
          </w:tcPr>
          <w:p w14:paraId="3B574C1C"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p>
        </w:tc>
        <w:tc>
          <w:tcPr>
            <w:tcW w:w="916" w:type="dxa"/>
            <w:tcBorders>
              <w:top w:val="nil"/>
              <w:left w:val="nil"/>
              <w:bottom w:val="nil"/>
              <w:right w:val="nil"/>
            </w:tcBorders>
            <w:shd w:val="clear" w:color="auto" w:fill="auto"/>
            <w:noWrap/>
            <w:vAlign w:val="bottom"/>
            <w:hideMark/>
          </w:tcPr>
          <w:p w14:paraId="1F0F98F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46B86C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C1D8A3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44BE2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E4C94F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AFC2B9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721017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48431D1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1C0890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2557A7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44794B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49215C3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1FDB901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5344BC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24AECD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5A076695" w14:textId="77777777" w:rsidTr="00550648">
        <w:trPr>
          <w:trHeight w:val="260"/>
        </w:trPr>
        <w:tc>
          <w:tcPr>
            <w:tcW w:w="1922" w:type="dxa"/>
            <w:tcBorders>
              <w:top w:val="single" w:sz="8" w:space="0" w:color="000000"/>
              <w:left w:val="nil"/>
              <w:bottom w:val="nil"/>
              <w:right w:val="nil"/>
            </w:tcBorders>
            <w:shd w:val="clear" w:color="000000" w:fill="DDEBF7"/>
            <w:noWrap/>
            <w:vAlign w:val="bottom"/>
            <w:hideMark/>
          </w:tcPr>
          <w:p w14:paraId="46DE63A9" w14:textId="77777777" w:rsidR="00097D59" w:rsidRPr="00E139C5" w:rsidRDefault="00097D59" w:rsidP="00E139C5">
            <w:pPr>
              <w:spacing w:after="0" w:line="360" w:lineRule="auto"/>
              <w:jc w:val="both"/>
              <w:rPr>
                <w:rFonts w:ascii="Times New Roman" w:eastAsia="Times New Roman" w:hAnsi="Times New Roman" w:cs="Times New Roman"/>
                <w:b/>
                <w:bCs/>
                <w:color w:val="000000"/>
                <w:sz w:val="24"/>
                <w:szCs w:val="24"/>
                <w:lang w:eastAsia="en-GB"/>
              </w:rPr>
            </w:pPr>
            <w:r w:rsidRPr="00E139C5">
              <w:rPr>
                <w:rFonts w:ascii="Times New Roman" w:eastAsia="Times New Roman" w:hAnsi="Times New Roman" w:cs="Times New Roman"/>
                <w:b/>
                <w:bCs/>
                <w:color w:val="000000"/>
                <w:sz w:val="24"/>
                <w:szCs w:val="24"/>
                <w:lang w:eastAsia="en-GB"/>
              </w:rPr>
              <w:t>Revenue ($m)</w:t>
            </w:r>
          </w:p>
        </w:tc>
        <w:tc>
          <w:tcPr>
            <w:tcW w:w="916" w:type="dxa"/>
            <w:tcBorders>
              <w:top w:val="single" w:sz="8" w:space="0" w:color="000000"/>
              <w:left w:val="nil"/>
              <w:bottom w:val="nil"/>
              <w:right w:val="nil"/>
            </w:tcBorders>
            <w:shd w:val="clear" w:color="000000" w:fill="DDEBF7"/>
            <w:noWrap/>
            <w:vAlign w:val="bottom"/>
            <w:hideMark/>
          </w:tcPr>
          <w:p w14:paraId="5CA22A1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5435196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141B8F7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005B409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47C9A67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1E03F34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222" w:type="dxa"/>
            <w:tcBorders>
              <w:top w:val="nil"/>
              <w:left w:val="nil"/>
              <w:bottom w:val="nil"/>
              <w:right w:val="nil"/>
            </w:tcBorders>
            <w:shd w:val="clear" w:color="auto" w:fill="auto"/>
            <w:noWrap/>
            <w:vAlign w:val="bottom"/>
            <w:hideMark/>
          </w:tcPr>
          <w:p w14:paraId="1897EC8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single" w:sz="8" w:space="0" w:color="000000"/>
              <w:left w:val="nil"/>
              <w:bottom w:val="nil"/>
              <w:right w:val="nil"/>
            </w:tcBorders>
            <w:shd w:val="clear" w:color="000000" w:fill="DDEBF7"/>
            <w:noWrap/>
            <w:vAlign w:val="bottom"/>
            <w:hideMark/>
          </w:tcPr>
          <w:p w14:paraId="175A4181" w14:textId="77777777" w:rsidR="00097D59" w:rsidRPr="00E139C5" w:rsidRDefault="00097D59" w:rsidP="00E139C5">
            <w:pPr>
              <w:spacing w:after="0" w:line="360" w:lineRule="auto"/>
              <w:jc w:val="both"/>
              <w:rPr>
                <w:rFonts w:ascii="Times New Roman" w:eastAsia="Times New Roman" w:hAnsi="Times New Roman" w:cs="Times New Roman"/>
                <w:b/>
                <w:bCs/>
                <w:color w:val="000000"/>
                <w:sz w:val="24"/>
                <w:szCs w:val="24"/>
                <w:lang w:eastAsia="en-GB"/>
              </w:rPr>
            </w:pPr>
            <w:r w:rsidRPr="00E139C5">
              <w:rPr>
                <w:rFonts w:ascii="Times New Roman" w:eastAsia="Times New Roman" w:hAnsi="Times New Roman" w:cs="Times New Roman"/>
                <w:b/>
                <w:bCs/>
                <w:color w:val="000000"/>
                <w:sz w:val="24"/>
                <w:szCs w:val="24"/>
                <w:lang w:eastAsia="en-GB"/>
              </w:rPr>
              <w:t>Revenue ($m)</w:t>
            </w:r>
          </w:p>
        </w:tc>
        <w:tc>
          <w:tcPr>
            <w:tcW w:w="756" w:type="dxa"/>
            <w:tcBorders>
              <w:top w:val="single" w:sz="8" w:space="0" w:color="000000"/>
              <w:left w:val="nil"/>
              <w:bottom w:val="nil"/>
              <w:right w:val="nil"/>
            </w:tcBorders>
            <w:shd w:val="clear" w:color="000000" w:fill="DDEBF7"/>
            <w:noWrap/>
            <w:vAlign w:val="bottom"/>
            <w:hideMark/>
          </w:tcPr>
          <w:p w14:paraId="7C8F9D6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2C9619F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single" w:sz="8" w:space="0" w:color="000000"/>
              <w:left w:val="nil"/>
              <w:bottom w:val="nil"/>
              <w:right w:val="nil"/>
            </w:tcBorders>
            <w:shd w:val="clear" w:color="000000" w:fill="DDEBF7"/>
            <w:noWrap/>
            <w:vAlign w:val="bottom"/>
            <w:hideMark/>
          </w:tcPr>
          <w:p w14:paraId="156FC0C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236" w:type="dxa"/>
            <w:tcBorders>
              <w:top w:val="single" w:sz="8" w:space="0" w:color="000000"/>
              <w:left w:val="nil"/>
              <w:bottom w:val="nil"/>
              <w:right w:val="single" w:sz="8" w:space="0" w:color="000000"/>
            </w:tcBorders>
            <w:shd w:val="clear" w:color="000000" w:fill="DDEBF7"/>
            <w:noWrap/>
            <w:vAlign w:val="bottom"/>
            <w:hideMark/>
          </w:tcPr>
          <w:p w14:paraId="7B4338CE"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902" w:type="dxa"/>
            <w:vAlign w:val="center"/>
            <w:hideMark/>
          </w:tcPr>
          <w:p w14:paraId="5CE71E9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98E368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4FCF2D3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564FCEC8" w14:textId="77777777" w:rsidTr="00550648">
        <w:trPr>
          <w:trHeight w:val="129"/>
        </w:trPr>
        <w:tc>
          <w:tcPr>
            <w:tcW w:w="1922" w:type="dxa"/>
            <w:tcBorders>
              <w:top w:val="nil"/>
              <w:left w:val="nil"/>
              <w:bottom w:val="nil"/>
              <w:right w:val="nil"/>
            </w:tcBorders>
            <w:shd w:val="clear" w:color="auto" w:fill="auto"/>
            <w:noWrap/>
            <w:vAlign w:val="bottom"/>
            <w:hideMark/>
          </w:tcPr>
          <w:p w14:paraId="68F751C5"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Technology Licensing</w:t>
            </w:r>
          </w:p>
        </w:tc>
        <w:tc>
          <w:tcPr>
            <w:tcW w:w="916" w:type="dxa"/>
            <w:tcBorders>
              <w:top w:val="nil"/>
              <w:left w:val="single" w:sz="4" w:space="0" w:color="auto"/>
              <w:bottom w:val="nil"/>
              <w:right w:val="nil"/>
            </w:tcBorders>
            <w:shd w:val="clear" w:color="auto" w:fill="auto"/>
            <w:noWrap/>
            <w:vAlign w:val="bottom"/>
            <w:hideMark/>
          </w:tcPr>
          <w:p w14:paraId="7308E52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85 </w:t>
            </w:r>
          </w:p>
        </w:tc>
        <w:tc>
          <w:tcPr>
            <w:tcW w:w="756" w:type="dxa"/>
            <w:tcBorders>
              <w:top w:val="nil"/>
              <w:left w:val="nil"/>
              <w:bottom w:val="nil"/>
              <w:right w:val="nil"/>
            </w:tcBorders>
            <w:shd w:val="clear" w:color="auto" w:fill="auto"/>
            <w:noWrap/>
            <w:vAlign w:val="bottom"/>
            <w:hideMark/>
          </w:tcPr>
          <w:p w14:paraId="374B18C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124 </w:t>
            </w:r>
          </w:p>
        </w:tc>
        <w:tc>
          <w:tcPr>
            <w:tcW w:w="756" w:type="dxa"/>
            <w:tcBorders>
              <w:top w:val="nil"/>
              <w:left w:val="nil"/>
              <w:bottom w:val="nil"/>
              <w:right w:val="nil"/>
            </w:tcBorders>
            <w:shd w:val="clear" w:color="auto" w:fill="auto"/>
            <w:noWrap/>
            <w:vAlign w:val="bottom"/>
            <w:hideMark/>
          </w:tcPr>
          <w:p w14:paraId="5702527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125 </w:t>
            </w:r>
          </w:p>
        </w:tc>
        <w:tc>
          <w:tcPr>
            <w:tcW w:w="756" w:type="dxa"/>
            <w:tcBorders>
              <w:top w:val="nil"/>
              <w:left w:val="nil"/>
              <w:bottom w:val="nil"/>
              <w:right w:val="nil"/>
            </w:tcBorders>
            <w:shd w:val="clear" w:color="auto" w:fill="auto"/>
            <w:noWrap/>
            <w:vAlign w:val="bottom"/>
            <w:hideMark/>
          </w:tcPr>
          <w:p w14:paraId="0F21DC8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213 </w:t>
            </w:r>
          </w:p>
        </w:tc>
        <w:tc>
          <w:tcPr>
            <w:tcW w:w="756" w:type="dxa"/>
            <w:tcBorders>
              <w:top w:val="nil"/>
              <w:left w:val="single" w:sz="4" w:space="0" w:color="auto"/>
              <w:bottom w:val="nil"/>
              <w:right w:val="nil"/>
            </w:tcBorders>
            <w:shd w:val="clear" w:color="auto" w:fill="auto"/>
            <w:noWrap/>
            <w:vAlign w:val="bottom"/>
            <w:hideMark/>
          </w:tcPr>
          <w:p w14:paraId="2116A76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125 </w:t>
            </w:r>
          </w:p>
        </w:tc>
        <w:tc>
          <w:tcPr>
            <w:tcW w:w="756" w:type="dxa"/>
            <w:tcBorders>
              <w:top w:val="nil"/>
              <w:left w:val="nil"/>
              <w:bottom w:val="nil"/>
              <w:right w:val="nil"/>
            </w:tcBorders>
            <w:shd w:val="clear" w:color="auto" w:fill="auto"/>
            <w:noWrap/>
            <w:vAlign w:val="bottom"/>
            <w:hideMark/>
          </w:tcPr>
          <w:p w14:paraId="7D1FD06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87 </w:t>
            </w:r>
          </w:p>
        </w:tc>
        <w:tc>
          <w:tcPr>
            <w:tcW w:w="222" w:type="dxa"/>
            <w:tcBorders>
              <w:top w:val="nil"/>
              <w:left w:val="nil"/>
              <w:bottom w:val="nil"/>
              <w:right w:val="nil"/>
            </w:tcBorders>
            <w:shd w:val="clear" w:color="auto" w:fill="auto"/>
            <w:noWrap/>
            <w:vAlign w:val="bottom"/>
            <w:hideMark/>
          </w:tcPr>
          <w:p w14:paraId="488B315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1EF1F2A3"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Technology Licensing</w:t>
            </w:r>
          </w:p>
        </w:tc>
        <w:tc>
          <w:tcPr>
            <w:tcW w:w="756" w:type="dxa"/>
            <w:tcBorders>
              <w:top w:val="nil"/>
              <w:left w:val="nil"/>
              <w:bottom w:val="nil"/>
              <w:right w:val="nil"/>
            </w:tcBorders>
            <w:shd w:val="clear" w:color="auto" w:fill="auto"/>
            <w:noWrap/>
            <w:vAlign w:val="bottom"/>
            <w:hideMark/>
          </w:tcPr>
          <w:p w14:paraId="42F62AF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602 </w:t>
            </w:r>
          </w:p>
        </w:tc>
        <w:tc>
          <w:tcPr>
            <w:tcW w:w="756" w:type="dxa"/>
            <w:tcBorders>
              <w:top w:val="nil"/>
              <w:left w:val="nil"/>
              <w:bottom w:val="nil"/>
              <w:right w:val="nil"/>
            </w:tcBorders>
            <w:shd w:val="clear" w:color="auto" w:fill="auto"/>
            <w:noWrap/>
            <w:vAlign w:val="bottom"/>
            <w:hideMark/>
          </w:tcPr>
          <w:p w14:paraId="78DBE23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601 </w:t>
            </w:r>
          </w:p>
        </w:tc>
        <w:tc>
          <w:tcPr>
            <w:tcW w:w="756" w:type="dxa"/>
            <w:tcBorders>
              <w:top w:val="nil"/>
              <w:left w:val="nil"/>
              <w:bottom w:val="nil"/>
              <w:right w:val="nil"/>
            </w:tcBorders>
            <w:shd w:val="clear" w:color="auto" w:fill="auto"/>
            <w:noWrap/>
            <w:vAlign w:val="bottom"/>
            <w:hideMark/>
          </w:tcPr>
          <w:p w14:paraId="2682E5B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618 </w:t>
            </w:r>
          </w:p>
        </w:tc>
        <w:tc>
          <w:tcPr>
            <w:tcW w:w="236" w:type="dxa"/>
            <w:tcBorders>
              <w:top w:val="nil"/>
              <w:left w:val="nil"/>
              <w:bottom w:val="nil"/>
              <w:right w:val="single" w:sz="8" w:space="0" w:color="000000"/>
            </w:tcBorders>
            <w:shd w:val="clear" w:color="auto" w:fill="auto"/>
            <w:noWrap/>
            <w:vAlign w:val="bottom"/>
            <w:hideMark/>
          </w:tcPr>
          <w:p w14:paraId="06B3C07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547 </w:t>
            </w:r>
          </w:p>
        </w:tc>
        <w:tc>
          <w:tcPr>
            <w:tcW w:w="902" w:type="dxa"/>
            <w:vAlign w:val="center"/>
            <w:hideMark/>
          </w:tcPr>
          <w:p w14:paraId="38EAD83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4767B8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706E661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38BF63FA" w14:textId="77777777" w:rsidTr="00550648">
        <w:trPr>
          <w:trHeight w:val="129"/>
        </w:trPr>
        <w:tc>
          <w:tcPr>
            <w:tcW w:w="1922" w:type="dxa"/>
            <w:tcBorders>
              <w:top w:val="nil"/>
              <w:left w:val="nil"/>
              <w:bottom w:val="nil"/>
              <w:right w:val="nil"/>
            </w:tcBorders>
            <w:shd w:val="clear" w:color="auto" w:fill="auto"/>
            <w:noWrap/>
            <w:vAlign w:val="bottom"/>
            <w:hideMark/>
          </w:tcPr>
          <w:p w14:paraId="4EBCB8AE"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Technology Royalty*</w:t>
            </w:r>
          </w:p>
        </w:tc>
        <w:tc>
          <w:tcPr>
            <w:tcW w:w="916" w:type="dxa"/>
            <w:tcBorders>
              <w:top w:val="nil"/>
              <w:left w:val="single" w:sz="4" w:space="0" w:color="auto"/>
              <w:bottom w:val="nil"/>
              <w:right w:val="nil"/>
            </w:tcBorders>
            <w:shd w:val="clear" w:color="auto" w:fill="auto"/>
            <w:noWrap/>
            <w:vAlign w:val="bottom"/>
            <w:hideMark/>
          </w:tcPr>
          <w:p w14:paraId="3905C5E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261 </w:t>
            </w:r>
          </w:p>
        </w:tc>
        <w:tc>
          <w:tcPr>
            <w:tcW w:w="756" w:type="dxa"/>
            <w:tcBorders>
              <w:top w:val="nil"/>
              <w:left w:val="nil"/>
              <w:bottom w:val="nil"/>
              <w:right w:val="nil"/>
            </w:tcBorders>
            <w:shd w:val="clear" w:color="auto" w:fill="auto"/>
            <w:noWrap/>
            <w:vAlign w:val="bottom"/>
            <w:hideMark/>
          </w:tcPr>
          <w:p w14:paraId="2D84F3F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285 </w:t>
            </w:r>
          </w:p>
        </w:tc>
        <w:tc>
          <w:tcPr>
            <w:tcW w:w="756" w:type="dxa"/>
            <w:tcBorders>
              <w:top w:val="nil"/>
              <w:left w:val="nil"/>
              <w:bottom w:val="nil"/>
              <w:right w:val="nil"/>
            </w:tcBorders>
            <w:shd w:val="clear" w:color="auto" w:fill="auto"/>
            <w:noWrap/>
            <w:vAlign w:val="bottom"/>
            <w:hideMark/>
          </w:tcPr>
          <w:p w14:paraId="609069E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305 </w:t>
            </w:r>
          </w:p>
        </w:tc>
        <w:tc>
          <w:tcPr>
            <w:tcW w:w="756" w:type="dxa"/>
            <w:tcBorders>
              <w:top w:val="nil"/>
              <w:left w:val="nil"/>
              <w:bottom w:val="nil"/>
              <w:right w:val="nil"/>
            </w:tcBorders>
            <w:shd w:val="clear" w:color="auto" w:fill="auto"/>
            <w:noWrap/>
            <w:vAlign w:val="bottom"/>
            <w:hideMark/>
          </w:tcPr>
          <w:p w14:paraId="1F3AAF1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247 </w:t>
            </w:r>
          </w:p>
        </w:tc>
        <w:tc>
          <w:tcPr>
            <w:tcW w:w="756" w:type="dxa"/>
            <w:tcBorders>
              <w:top w:val="nil"/>
              <w:left w:val="single" w:sz="4" w:space="0" w:color="auto"/>
              <w:bottom w:val="nil"/>
              <w:right w:val="nil"/>
            </w:tcBorders>
            <w:shd w:val="clear" w:color="auto" w:fill="auto"/>
            <w:noWrap/>
            <w:vAlign w:val="bottom"/>
            <w:hideMark/>
          </w:tcPr>
          <w:p w14:paraId="295BAA5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240 </w:t>
            </w:r>
          </w:p>
        </w:tc>
        <w:tc>
          <w:tcPr>
            <w:tcW w:w="756" w:type="dxa"/>
            <w:tcBorders>
              <w:top w:val="nil"/>
              <w:left w:val="nil"/>
              <w:bottom w:val="nil"/>
              <w:right w:val="nil"/>
            </w:tcBorders>
            <w:shd w:val="clear" w:color="auto" w:fill="auto"/>
            <w:noWrap/>
            <w:vAlign w:val="bottom"/>
            <w:hideMark/>
          </w:tcPr>
          <w:p w14:paraId="3CA3CE0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254 </w:t>
            </w:r>
          </w:p>
        </w:tc>
        <w:tc>
          <w:tcPr>
            <w:tcW w:w="222" w:type="dxa"/>
            <w:tcBorders>
              <w:top w:val="nil"/>
              <w:left w:val="nil"/>
              <w:bottom w:val="nil"/>
              <w:right w:val="nil"/>
            </w:tcBorders>
            <w:shd w:val="clear" w:color="auto" w:fill="auto"/>
            <w:noWrap/>
            <w:vAlign w:val="bottom"/>
            <w:hideMark/>
          </w:tcPr>
          <w:p w14:paraId="7323183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2464C8A1"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Technology Royalty</w:t>
            </w:r>
          </w:p>
        </w:tc>
        <w:tc>
          <w:tcPr>
            <w:tcW w:w="756" w:type="dxa"/>
            <w:tcBorders>
              <w:top w:val="nil"/>
              <w:left w:val="nil"/>
              <w:bottom w:val="nil"/>
              <w:right w:val="nil"/>
            </w:tcBorders>
            <w:shd w:val="clear" w:color="auto" w:fill="auto"/>
            <w:noWrap/>
            <w:vAlign w:val="bottom"/>
            <w:hideMark/>
          </w:tcPr>
          <w:p w14:paraId="4971897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833 </w:t>
            </w:r>
          </w:p>
        </w:tc>
        <w:tc>
          <w:tcPr>
            <w:tcW w:w="756" w:type="dxa"/>
            <w:tcBorders>
              <w:top w:val="nil"/>
              <w:left w:val="nil"/>
              <w:bottom w:val="nil"/>
              <w:right w:val="nil"/>
            </w:tcBorders>
            <w:shd w:val="clear" w:color="auto" w:fill="auto"/>
            <w:noWrap/>
            <w:vAlign w:val="bottom"/>
            <w:hideMark/>
          </w:tcPr>
          <w:p w14:paraId="23B2ED2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974 </w:t>
            </w:r>
          </w:p>
        </w:tc>
        <w:tc>
          <w:tcPr>
            <w:tcW w:w="756" w:type="dxa"/>
            <w:tcBorders>
              <w:top w:val="nil"/>
              <w:left w:val="nil"/>
              <w:bottom w:val="nil"/>
              <w:right w:val="nil"/>
            </w:tcBorders>
            <w:shd w:val="clear" w:color="auto" w:fill="auto"/>
            <w:noWrap/>
            <w:vAlign w:val="bottom"/>
            <w:hideMark/>
          </w:tcPr>
          <w:p w14:paraId="223FB12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1,087 </w:t>
            </w:r>
          </w:p>
        </w:tc>
        <w:tc>
          <w:tcPr>
            <w:tcW w:w="236" w:type="dxa"/>
            <w:tcBorders>
              <w:top w:val="nil"/>
              <w:left w:val="nil"/>
              <w:bottom w:val="nil"/>
              <w:right w:val="single" w:sz="8" w:space="0" w:color="000000"/>
            </w:tcBorders>
            <w:shd w:val="clear" w:color="auto" w:fill="auto"/>
            <w:noWrap/>
            <w:vAlign w:val="bottom"/>
            <w:hideMark/>
          </w:tcPr>
          <w:p w14:paraId="007B03E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1,098 </w:t>
            </w:r>
          </w:p>
        </w:tc>
        <w:tc>
          <w:tcPr>
            <w:tcW w:w="902" w:type="dxa"/>
            <w:vAlign w:val="center"/>
            <w:hideMark/>
          </w:tcPr>
          <w:p w14:paraId="0A5252C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133E27D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28AFAA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405995F" w14:textId="77777777" w:rsidTr="00550648">
        <w:trPr>
          <w:trHeight w:val="129"/>
        </w:trPr>
        <w:tc>
          <w:tcPr>
            <w:tcW w:w="1922" w:type="dxa"/>
            <w:tcBorders>
              <w:top w:val="nil"/>
              <w:left w:val="nil"/>
              <w:bottom w:val="nil"/>
              <w:right w:val="nil"/>
            </w:tcBorders>
            <w:shd w:val="clear" w:color="auto" w:fill="auto"/>
            <w:noWrap/>
            <w:hideMark/>
          </w:tcPr>
          <w:p w14:paraId="216B348E"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Software and Services</w:t>
            </w:r>
          </w:p>
        </w:tc>
        <w:tc>
          <w:tcPr>
            <w:tcW w:w="916" w:type="dxa"/>
            <w:tcBorders>
              <w:top w:val="nil"/>
              <w:left w:val="single" w:sz="4" w:space="0" w:color="auto"/>
              <w:bottom w:val="single" w:sz="4" w:space="0" w:color="auto"/>
              <w:right w:val="nil"/>
            </w:tcBorders>
            <w:shd w:val="clear" w:color="auto" w:fill="auto"/>
            <w:noWrap/>
            <w:vAlign w:val="bottom"/>
            <w:hideMark/>
          </w:tcPr>
          <w:p w14:paraId="28CBF10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35 </w:t>
            </w:r>
          </w:p>
        </w:tc>
        <w:tc>
          <w:tcPr>
            <w:tcW w:w="756" w:type="dxa"/>
            <w:tcBorders>
              <w:top w:val="nil"/>
              <w:left w:val="nil"/>
              <w:bottom w:val="nil"/>
              <w:right w:val="nil"/>
            </w:tcBorders>
            <w:shd w:val="clear" w:color="auto" w:fill="auto"/>
            <w:noWrap/>
            <w:vAlign w:val="bottom"/>
            <w:hideMark/>
          </w:tcPr>
          <w:p w14:paraId="32EB1B7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47 </w:t>
            </w:r>
          </w:p>
        </w:tc>
        <w:tc>
          <w:tcPr>
            <w:tcW w:w="756" w:type="dxa"/>
            <w:tcBorders>
              <w:top w:val="nil"/>
              <w:left w:val="nil"/>
              <w:bottom w:val="nil"/>
              <w:right w:val="nil"/>
            </w:tcBorders>
            <w:shd w:val="clear" w:color="auto" w:fill="auto"/>
            <w:noWrap/>
            <w:vAlign w:val="bottom"/>
            <w:hideMark/>
          </w:tcPr>
          <w:p w14:paraId="0088C63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56 </w:t>
            </w:r>
          </w:p>
        </w:tc>
        <w:tc>
          <w:tcPr>
            <w:tcW w:w="756" w:type="dxa"/>
            <w:tcBorders>
              <w:top w:val="nil"/>
              <w:left w:val="nil"/>
              <w:bottom w:val="nil"/>
              <w:right w:val="nil"/>
            </w:tcBorders>
            <w:shd w:val="clear" w:color="auto" w:fill="auto"/>
            <w:noWrap/>
            <w:vAlign w:val="bottom"/>
            <w:hideMark/>
          </w:tcPr>
          <w:p w14:paraId="1A28479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53 </w:t>
            </w:r>
          </w:p>
        </w:tc>
        <w:tc>
          <w:tcPr>
            <w:tcW w:w="756" w:type="dxa"/>
            <w:tcBorders>
              <w:top w:val="nil"/>
              <w:left w:val="single" w:sz="4" w:space="0" w:color="auto"/>
              <w:bottom w:val="single" w:sz="4" w:space="0" w:color="auto"/>
              <w:right w:val="nil"/>
            </w:tcBorders>
            <w:shd w:val="clear" w:color="auto" w:fill="auto"/>
            <w:noWrap/>
            <w:vAlign w:val="bottom"/>
            <w:hideMark/>
          </w:tcPr>
          <w:p w14:paraId="164EC35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53 </w:t>
            </w:r>
          </w:p>
        </w:tc>
        <w:tc>
          <w:tcPr>
            <w:tcW w:w="756" w:type="dxa"/>
            <w:tcBorders>
              <w:top w:val="nil"/>
              <w:left w:val="nil"/>
              <w:bottom w:val="nil"/>
              <w:right w:val="nil"/>
            </w:tcBorders>
            <w:shd w:val="clear" w:color="auto" w:fill="auto"/>
            <w:noWrap/>
            <w:vAlign w:val="bottom"/>
            <w:hideMark/>
          </w:tcPr>
          <w:p w14:paraId="66A7FBD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55 </w:t>
            </w:r>
          </w:p>
        </w:tc>
        <w:tc>
          <w:tcPr>
            <w:tcW w:w="222" w:type="dxa"/>
            <w:tcBorders>
              <w:top w:val="nil"/>
              <w:left w:val="nil"/>
              <w:bottom w:val="nil"/>
              <w:right w:val="nil"/>
            </w:tcBorders>
            <w:shd w:val="clear" w:color="auto" w:fill="auto"/>
            <w:noWrap/>
            <w:vAlign w:val="bottom"/>
            <w:hideMark/>
          </w:tcPr>
          <w:p w14:paraId="5576320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hideMark/>
          </w:tcPr>
          <w:p w14:paraId="326A0585"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Software and Services</w:t>
            </w:r>
          </w:p>
        </w:tc>
        <w:tc>
          <w:tcPr>
            <w:tcW w:w="756" w:type="dxa"/>
            <w:tcBorders>
              <w:top w:val="nil"/>
              <w:left w:val="nil"/>
              <w:bottom w:val="single" w:sz="4" w:space="0" w:color="auto"/>
              <w:right w:val="nil"/>
            </w:tcBorders>
            <w:shd w:val="clear" w:color="auto" w:fill="auto"/>
            <w:noWrap/>
            <w:vAlign w:val="bottom"/>
            <w:hideMark/>
          </w:tcPr>
          <w:p w14:paraId="2862840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124 </w:t>
            </w:r>
          </w:p>
        </w:tc>
        <w:tc>
          <w:tcPr>
            <w:tcW w:w="756" w:type="dxa"/>
            <w:tcBorders>
              <w:top w:val="nil"/>
              <w:left w:val="nil"/>
              <w:bottom w:val="single" w:sz="4" w:space="0" w:color="auto"/>
              <w:right w:val="nil"/>
            </w:tcBorders>
            <w:shd w:val="clear" w:color="auto" w:fill="auto"/>
            <w:noWrap/>
            <w:vAlign w:val="bottom"/>
            <w:hideMark/>
          </w:tcPr>
          <w:p w14:paraId="666FC9A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114 </w:t>
            </w:r>
          </w:p>
        </w:tc>
        <w:tc>
          <w:tcPr>
            <w:tcW w:w="756" w:type="dxa"/>
            <w:tcBorders>
              <w:top w:val="nil"/>
              <w:left w:val="nil"/>
              <w:bottom w:val="single" w:sz="4" w:space="0" w:color="auto"/>
              <w:right w:val="nil"/>
            </w:tcBorders>
            <w:shd w:val="clear" w:color="auto" w:fill="auto"/>
            <w:noWrap/>
            <w:vAlign w:val="bottom"/>
            <w:hideMark/>
          </w:tcPr>
          <w:p w14:paraId="6998B01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126 </w:t>
            </w:r>
          </w:p>
        </w:tc>
        <w:tc>
          <w:tcPr>
            <w:tcW w:w="236" w:type="dxa"/>
            <w:tcBorders>
              <w:top w:val="nil"/>
              <w:left w:val="nil"/>
              <w:bottom w:val="nil"/>
              <w:right w:val="single" w:sz="8" w:space="0" w:color="000000"/>
            </w:tcBorders>
            <w:shd w:val="clear" w:color="auto" w:fill="auto"/>
            <w:noWrap/>
            <w:vAlign w:val="bottom"/>
            <w:hideMark/>
          </w:tcPr>
          <w:p w14:paraId="21A9203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191 </w:t>
            </w:r>
          </w:p>
        </w:tc>
        <w:tc>
          <w:tcPr>
            <w:tcW w:w="902" w:type="dxa"/>
            <w:vAlign w:val="center"/>
            <w:hideMark/>
          </w:tcPr>
          <w:p w14:paraId="7045324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9A76B6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6D0D19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137BC6B3" w14:textId="77777777" w:rsidTr="00550648">
        <w:trPr>
          <w:trHeight w:val="129"/>
        </w:trPr>
        <w:tc>
          <w:tcPr>
            <w:tcW w:w="1922" w:type="dxa"/>
            <w:tcBorders>
              <w:top w:val="single" w:sz="4" w:space="0" w:color="auto"/>
              <w:left w:val="nil"/>
              <w:bottom w:val="nil"/>
              <w:right w:val="nil"/>
            </w:tcBorders>
            <w:shd w:val="clear" w:color="auto" w:fill="auto"/>
            <w:noWrap/>
            <w:vAlign w:val="bottom"/>
            <w:hideMark/>
          </w:tcPr>
          <w:p w14:paraId="45D9B398"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Total Revenue ($m)</w:t>
            </w:r>
          </w:p>
        </w:tc>
        <w:tc>
          <w:tcPr>
            <w:tcW w:w="916" w:type="dxa"/>
            <w:tcBorders>
              <w:top w:val="nil"/>
              <w:left w:val="single" w:sz="4" w:space="0" w:color="auto"/>
              <w:bottom w:val="nil"/>
              <w:right w:val="nil"/>
            </w:tcBorders>
            <w:shd w:val="clear" w:color="auto" w:fill="auto"/>
            <w:noWrap/>
            <w:vAlign w:val="bottom"/>
            <w:hideMark/>
          </w:tcPr>
          <w:p w14:paraId="4BCB9F2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381 </w:t>
            </w:r>
          </w:p>
        </w:tc>
        <w:tc>
          <w:tcPr>
            <w:tcW w:w="756" w:type="dxa"/>
            <w:tcBorders>
              <w:top w:val="single" w:sz="4" w:space="0" w:color="auto"/>
              <w:left w:val="nil"/>
              <w:bottom w:val="nil"/>
              <w:right w:val="nil"/>
            </w:tcBorders>
            <w:shd w:val="clear" w:color="auto" w:fill="auto"/>
            <w:noWrap/>
            <w:vAlign w:val="bottom"/>
            <w:hideMark/>
          </w:tcPr>
          <w:p w14:paraId="5DA5088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456 </w:t>
            </w:r>
          </w:p>
        </w:tc>
        <w:tc>
          <w:tcPr>
            <w:tcW w:w="756" w:type="dxa"/>
            <w:tcBorders>
              <w:top w:val="single" w:sz="4" w:space="0" w:color="auto"/>
              <w:left w:val="nil"/>
              <w:bottom w:val="nil"/>
              <w:right w:val="nil"/>
            </w:tcBorders>
            <w:shd w:val="clear" w:color="auto" w:fill="auto"/>
            <w:noWrap/>
            <w:vAlign w:val="bottom"/>
            <w:hideMark/>
          </w:tcPr>
          <w:p w14:paraId="1F445AA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486 </w:t>
            </w:r>
          </w:p>
        </w:tc>
        <w:tc>
          <w:tcPr>
            <w:tcW w:w="756" w:type="dxa"/>
            <w:tcBorders>
              <w:top w:val="single" w:sz="4" w:space="0" w:color="auto"/>
              <w:left w:val="nil"/>
              <w:bottom w:val="nil"/>
              <w:right w:val="nil"/>
            </w:tcBorders>
            <w:shd w:val="clear" w:color="auto" w:fill="auto"/>
            <w:noWrap/>
            <w:vAlign w:val="bottom"/>
            <w:hideMark/>
          </w:tcPr>
          <w:p w14:paraId="1C56F3C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513 </w:t>
            </w:r>
          </w:p>
        </w:tc>
        <w:tc>
          <w:tcPr>
            <w:tcW w:w="756" w:type="dxa"/>
            <w:tcBorders>
              <w:top w:val="nil"/>
              <w:left w:val="single" w:sz="4" w:space="0" w:color="auto"/>
              <w:bottom w:val="nil"/>
              <w:right w:val="nil"/>
            </w:tcBorders>
            <w:shd w:val="clear" w:color="auto" w:fill="auto"/>
            <w:noWrap/>
            <w:vAlign w:val="bottom"/>
            <w:hideMark/>
          </w:tcPr>
          <w:p w14:paraId="4ED26F0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418 </w:t>
            </w:r>
          </w:p>
        </w:tc>
        <w:tc>
          <w:tcPr>
            <w:tcW w:w="756" w:type="dxa"/>
            <w:tcBorders>
              <w:top w:val="single" w:sz="4" w:space="0" w:color="auto"/>
              <w:left w:val="nil"/>
              <w:bottom w:val="nil"/>
              <w:right w:val="nil"/>
            </w:tcBorders>
            <w:shd w:val="clear" w:color="auto" w:fill="auto"/>
            <w:noWrap/>
            <w:vAlign w:val="bottom"/>
            <w:hideMark/>
          </w:tcPr>
          <w:p w14:paraId="79FA750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396 </w:t>
            </w:r>
          </w:p>
        </w:tc>
        <w:tc>
          <w:tcPr>
            <w:tcW w:w="222" w:type="dxa"/>
            <w:tcBorders>
              <w:top w:val="nil"/>
              <w:left w:val="nil"/>
              <w:bottom w:val="nil"/>
              <w:right w:val="nil"/>
            </w:tcBorders>
            <w:shd w:val="clear" w:color="auto" w:fill="auto"/>
            <w:noWrap/>
            <w:vAlign w:val="bottom"/>
            <w:hideMark/>
          </w:tcPr>
          <w:p w14:paraId="18684F5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single" w:sz="4" w:space="0" w:color="auto"/>
              <w:left w:val="nil"/>
              <w:bottom w:val="nil"/>
              <w:right w:val="nil"/>
            </w:tcBorders>
            <w:shd w:val="clear" w:color="auto" w:fill="auto"/>
            <w:noWrap/>
            <w:vAlign w:val="bottom"/>
            <w:hideMark/>
          </w:tcPr>
          <w:p w14:paraId="74B835EF"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xml:space="preserve"> Total Revenue ($m) </w:t>
            </w:r>
          </w:p>
        </w:tc>
        <w:tc>
          <w:tcPr>
            <w:tcW w:w="756" w:type="dxa"/>
            <w:tcBorders>
              <w:top w:val="nil"/>
              <w:left w:val="nil"/>
              <w:bottom w:val="nil"/>
              <w:right w:val="nil"/>
            </w:tcBorders>
            <w:shd w:val="clear" w:color="auto" w:fill="auto"/>
            <w:noWrap/>
            <w:vAlign w:val="bottom"/>
            <w:hideMark/>
          </w:tcPr>
          <w:p w14:paraId="59FA0BA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1,559 </w:t>
            </w:r>
          </w:p>
        </w:tc>
        <w:tc>
          <w:tcPr>
            <w:tcW w:w="756" w:type="dxa"/>
            <w:tcBorders>
              <w:top w:val="nil"/>
              <w:left w:val="nil"/>
              <w:bottom w:val="nil"/>
              <w:right w:val="nil"/>
            </w:tcBorders>
            <w:shd w:val="clear" w:color="auto" w:fill="auto"/>
            <w:noWrap/>
            <w:vAlign w:val="bottom"/>
            <w:hideMark/>
          </w:tcPr>
          <w:p w14:paraId="689E135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1,689 </w:t>
            </w:r>
          </w:p>
        </w:tc>
        <w:tc>
          <w:tcPr>
            <w:tcW w:w="756" w:type="dxa"/>
            <w:tcBorders>
              <w:top w:val="nil"/>
              <w:left w:val="nil"/>
              <w:bottom w:val="nil"/>
              <w:right w:val="nil"/>
            </w:tcBorders>
            <w:shd w:val="clear" w:color="auto" w:fill="auto"/>
            <w:noWrap/>
            <w:vAlign w:val="bottom"/>
            <w:hideMark/>
          </w:tcPr>
          <w:p w14:paraId="1359766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1,831 </w:t>
            </w:r>
          </w:p>
        </w:tc>
        <w:tc>
          <w:tcPr>
            <w:tcW w:w="236" w:type="dxa"/>
            <w:tcBorders>
              <w:top w:val="single" w:sz="4" w:space="0" w:color="auto"/>
              <w:left w:val="nil"/>
              <w:bottom w:val="nil"/>
              <w:right w:val="single" w:sz="8" w:space="0" w:color="000000"/>
            </w:tcBorders>
            <w:shd w:val="clear" w:color="auto" w:fill="auto"/>
            <w:noWrap/>
            <w:vAlign w:val="bottom"/>
            <w:hideMark/>
          </w:tcPr>
          <w:p w14:paraId="6A20404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1,836 </w:t>
            </w:r>
          </w:p>
        </w:tc>
        <w:tc>
          <w:tcPr>
            <w:tcW w:w="902" w:type="dxa"/>
            <w:vAlign w:val="center"/>
            <w:hideMark/>
          </w:tcPr>
          <w:p w14:paraId="724EF57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A2B412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487033B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bookmarkEnd w:id="23"/>
      <w:tr w:rsidR="00097D59" w:rsidRPr="00E139C5" w14:paraId="3E85817C"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0E8279C0"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 xml:space="preserve">* Technology Royalty prior to the acquisition has been restated to be consistent with the new accounting policy </w:t>
            </w:r>
          </w:p>
        </w:tc>
      </w:tr>
      <w:tr w:rsidR="00097D59" w:rsidRPr="00E139C5" w14:paraId="02EF3851"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22C53782"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 xml:space="preserve">  (see SoftBank Group Corp.'s latest financial report for details).</w:t>
            </w:r>
          </w:p>
        </w:tc>
      </w:tr>
      <w:tr w:rsidR="00D17616" w:rsidRPr="00E139C5" w14:paraId="69BF59A9" w14:textId="77777777" w:rsidTr="00550648">
        <w:trPr>
          <w:trHeight w:val="129"/>
        </w:trPr>
        <w:tc>
          <w:tcPr>
            <w:tcW w:w="1922" w:type="dxa"/>
            <w:tcBorders>
              <w:top w:val="nil"/>
              <w:left w:val="nil"/>
              <w:bottom w:val="nil"/>
              <w:right w:val="nil"/>
            </w:tcBorders>
            <w:shd w:val="clear" w:color="auto" w:fill="auto"/>
            <w:noWrap/>
            <w:vAlign w:val="bottom"/>
            <w:hideMark/>
          </w:tcPr>
          <w:p w14:paraId="2E5036D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916" w:type="dxa"/>
            <w:tcBorders>
              <w:top w:val="nil"/>
              <w:left w:val="nil"/>
              <w:bottom w:val="nil"/>
              <w:right w:val="nil"/>
            </w:tcBorders>
            <w:shd w:val="clear" w:color="auto" w:fill="auto"/>
            <w:noWrap/>
            <w:vAlign w:val="bottom"/>
            <w:hideMark/>
          </w:tcPr>
          <w:p w14:paraId="5654D7E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FEADAA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FD34B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813B3D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6E6E73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340237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3E9D257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2DB3C1B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41A6D4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4DE3B2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C90B15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single" w:sz="8" w:space="0" w:color="000000"/>
            </w:tcBorders>
            <w:shd w:val="clear" w:color="auto" w:fill="auto"/>
            <w:noWrap/>
            <w:vAlign w:val="bottom"/>
            <w:hideMark/>
          </w:tcPr>
          <w:p w14:paraId="15EF625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902" w:type="dxa"/>
            <w:vAlign w:val="center"/>
            <w:hideMark/>
          </w:tcPr>
          <w:p w14:paraId="1B9B9AD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3B90D72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E9B600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42B3E8DE" w14:textId="77777777" w:rsidTr="00550648">
        <w:trPr>
          <w:trHeight w:val="129"/>
        </w:trPr>
        <w:tc>
          <w:tcPr>
            <w:tcW w:w="1922" w:type="dxa"/>
            <w:tcBorders>
              <w:top w:val="nil"/>
              <w:left w:val="nil"/>
              <w:bottom w:val="nil"/>
              <w:right w:val="nil"/>
            </w:tcBorders>
            <w:shd w:val="clear" w:color="000000" w:fill="DDEBF7"/>
            <w:noWrap/>
            <w:vAlign w:val="bottom"/>
            <w:hideMark/>
          </w:tcPr>
          <w:p w14:paraId="6CDF8AEC" w14:textId="77777777" w:rsidR="00097D59" w:rsidRPr="00E139C5" w:rsidRDefault="00097D59" w:rsidP="00E139C5">
            <w:pPr>
              <w:spacing w:after="0" w:line="360" w:lineRule="auto"/>
              <w:jc w:val="both"/>
              <w:rPr>
                <w:rFonts w:ascii="Times New Roman" w:eastAsia="Times New Roman" w:hAnsi="Times New Roman" w:cs="Times New Roman"/>
                <w:b/>
                <w:bCs/>
                <w:color w:val="000000"/>
                <w:sz w:val="24"/>
                <w:szCs w:val="24"/>
                <w:lang w:eastAsia="en-GB"/>
              </w:rPr>
            </w:pPr>
            <w:bookmarkStart w:id="24" w:name="_Hlk39441371"/>
            <w:r w:rsidRPr="00E139C5">
              <w:rPr>
                <w:rFonts w:ascii="Times New Roman" w:eastAsia="Times New Roman" w:hAnsi="Times New Roman" w:cs="Times New Roman"/>
                <w:b/>
                <w:bCs/>
                <w:color w:val="000000"/>
                <w:sz w:val="24"/>
                <w:szCs w:val="24"/>
                <w:lang w:eastAsia="en-GB"/>
              </w:rPr>
              <w:t>Adjusted EBITDA ($m)</w:t>
            </w:r>
          </w:p>
        </w:tc>
        <w:tc>
          <w:tcPr>
            <w:tcW w:w="916" w:type="dxa"/>
            <w:tcBorders>
              <w:top w:val="nil"/>
              <w:left w:val="nil"/>
              <w:bottom w:val="nil"/>
              <w:right w:val="nil"/>
            </w:tcBorders>
            <w:shd w:val="clear" w:color="000000" w:fill="DDEBF7"/>
            <w:noWrap/>
            <w:vAlign w:val="bottom"/>
            <w:hideMark/>
          </w:tcPr>
          <w:p w14:paraId="56E17A7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2324157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3A57BE0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5322304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61A2881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334C40C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222" w:type="dxa"/>
            <w:tcBorders>
              <w:top w:val="nil"/>
              <w:left w:val="nil"/>
              <w:bottom w:val="nil"/>
              <w:right w:val="nil"/>
            </w:tcBorders>
            <w:shd w:val="clear" w:color="auto" w:fill="auto"/>
            <w:noWrap/>
            <w:vAlign w:val="bottom"/>
            <w:hideMark/>
          </w:tcPr>
          <w:p w14:paraId="0F5D413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000000" w:fill="DDEBF7"/>
            <w:noWrap/>
            <w:vAlign w:val="bottom"/>
            <w:hideMark/>
          </w:tcPr>
          <w:p w14:paraId="079BED05" w14:textId="77777777" w:rsidR="00097D59" w:rsidRPr="00E139C5" w:rsidRDefault="00097D59" w:rsidP="00E139C5">
            <w:pPr>
              <w:spacing w:after="0" w:line="360" w:lineRule="auto"/>
              <w:jc w:val="both"/>
              <w:rPr>
                <w:rFonts w:ascii="Times New Roman" w:eastAsia="Times New Roman" w:hAnsi="Times New Roman" w:cs="Times New Roman"/>
                <w:b/>
                <w:bCs/>
                <w:color w:val="000000"/>
                <w:sz w:val="24"/>
                <w:szCs w:val="24"/>
                <w:lang w:eastAsia="en-GB"/>
              </w:rPr>
            </w:pPr>
            <w:r w:rsidRPr="00E139C5">
              <w:rPr>
                <w:rFonts w:ascii="Times New Roman" w:eastAsia="Times New Roman" w:hAnsi="Times New Roman" w:cs="Times New Roman"/>
                <w:b/>
                <w:bCs/>
                <w:color w:val="000000"/>
                <w:sz w:val="24"/>
                <w:szCs w:val="24"/>
                <w:lang w:eastAsia="en-GB"/>
              </w:rPr>
              <w:t>Adjusted EBITDA</w:t>
            </w:r>
          </w:p>
        </w:tc>
        <w:tc>
          <w:tcPr>
            <w:tcW w:w="756" w:type="dxa"/>
            <w:tcBorders>
              <w:top w:val="nil"/>
              <w:left w:val="nil"/>
              <w:bottom w:val="nil"/>
              <w:right w:val="nil"/>
            </w:tcBorders>
            <w:shd w:val="clear" w:color="000000" w:fill="DDEBF7"/>
            <w:noWrap/>
            <w:vAlign w:val="bottom"/>
            <w:hideMark/>
          </w:tcPr>
          <w:p w14:paraId="03E08CF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588CC9C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2C24CBC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236" w:type="dxa"/>
            <w:tcBorders>
              <w:top w:val="nil"/>
              <w:left w:val="nil"/>
              <w:bottom w:val="nil"/>
              <w:right w:val="single" w:sz="8" w:space="0" w:color="000000"/>
            </w:tcBorders>
            <w:shd w:val="clear" w:color="000000" w:fill="DDEBF7"/>
            <w:noWrap/>
            <w:vAlign w:val="bottom"/>
            <w:hideMark/>
          </w:tcPr>
          <w:p w14:paraId="1AAA62E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902" w:type="dxa"/>
            <w:vAlign w:val="center"/>
            <w:hideMark/>
          </w:tcPr>
          <w:p w14:paraId="15A0974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CD7449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796F6CF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BF27B00" w14:textId="77777777" w:rsidTr="00550648">
        <w:trPr>
          <w:trHeight w:val="129"/>
        </w:trPr>
        <w:tc>
          <w:tcPr>
            <w:tcW w:w="1922" w:type="dxa"/>
            <w:tcBorders>
              <w:top w:val="nil"/>
              <w:left w:val="nil"/>
              <w:bottom w:val="nil"/>
              <w:right w:val="nil"/>
            </w:tcBorders>
            <w:shd w:val="clear" w:color="auto" w:fill="auto"/>
            <w:noWrap/>
            <w:vAlign w:val="bottom"/>
            <w:hideMark/>
          </w:tcPr>
          <w:p w14:paraId="0AF95BDA"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Cost of Sales</w:t>
            </w:r>
          </w:p>
        </w:tc>
        <w:tc>
          <w:tcPr>
            <w:tcW w:w="916" w:type="dxa"/>
            <w:tcBorders>
              <w:top w:val="nil"/>
              <w:left w:val="single" w:sz="4" w:space="0" w:color="auto"/>
              <w:bottom w:val="nil"/>
              <w:right w:val="nil"/>
            </w:tcBorders>
            <w:shd w:val="clear" w:color="auto" w:fill="auto"/>
            <w:noWrap/>
            <w:vAlign w:val="bottom"/>
            <w:hideMark/>
          </w:tcPr>
          <w:p w14:paraId="1B456D7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32 </w:t>
            </w:r>
          </w:p>
        </w:tc>
        <w:tc>
          <w:tcPr>
            <w:tcW w:w="756" w:type="dxa"/>
            <w:tcBorders>
              <w:top w:val="nil"/>
              <w:left w:val="nil"/>
              <w:bottom w:val="nil"/>
              <w:right w:val="nil"/>
            </w:tcBorders>
            <w:shd w:val="clear" w:color="auto" w:fill="auto"/>
            <w:noWrap/>
            <w:vAlign w:val="bottom"/>
            <w:hideMark/>
          </w:tcPr>
          <w:p w14:paraId="5184918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35 </w:t>
            </w:r>
          </w:p>
        </w:tc>
        <w:tc>
          <w:tcPr>
            <w:tcW w:w="756" w:type="dxa"/>
            <w:tcBorders>
              <w:top w:val="nil"/>
              <w:left w:val="nil"/>
              <w:bottom w:val="nil"/>
              <w:right w:val="nil"/>
            </w:tcBorders>
            <w:shd w:val="clear" w:color="auto" w:fill="auto"/>
            <w:noWrap/>
            <w:vAlign w:val="bottom"/>
            <w:hideMark/>
          </w:tcPr>
          <w:p w14:paraId="65D0673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34 </w:t>
            </w:r>
          </w:p>
        </w:tc>
        <w:tc>
          <w:tcPr>
            <w:tcW w:w="756" w:type="dxa"/>
            <w:tcBorders>
              <w:top w:val="nil"/>
              <w:left w:val="nil"/>
              <w:bottom w:val="nil"/>
              <w:right w:val="nil"/>
            </w:tcBorders>
            <w:shd w:val="clear" w:color="auto" w:fill="auto"/>
            <w:noWrap/>
            <w:vAlign w:val="bottom"/>
            <w:hideMark/>
          </w:tcPr>
          <w:p w14:paraId="0715CF5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28 </w:t>
            </w:r>
          </w:p>
        </w:tc>
        <w:tc>
          <w:tcPr>
            <w:tcW w:w="756" w:type="dxa"/>
            <w:tcBorders>
              <w:top w:val="nil"/>
              <w:left w:val="single" w:sz="4" w:space="0" w:color="auto"/>
              <w:bottom w:val="nil"/>
              <w:right w:val="nil"/>
            </w:tcBorders>
            <w:shd w:val="clear" w:color="auto" w:fill="auto"/>
            <w:noWrap/>
            <w:vAlign w:val="bottom"/>
            <w:hideMark/>
          </w:tcPr>
          <w:p w14:paraId="6AC0860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32 </w:t>
            </w:r>
          </w:p>
        </w:tc>
        <w:tc>
          <w:tcPr>
            <w:tcW w:w="756" w:type="dxa"/>
            <w:tcBorders>
              <w:top w:val="nil"/>
              <w:left w:val="nil"/>
              <w:bottom w:val="nil"/>
              <w:right w:val="nil"/>
            </w:tcBorders>
            <w:shd w:val="clear" w:color="auto" w:fill="auto"/>
            <w:noWrap/>
            <w:vAlign w:val="bottom"/>
            <w:hideMark/>
          </w:tcPr>
          <w:p w14:paraId="76E2048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36 </w:t>
            </w:r>
          </w:p>
        </w:tc>
        <w:tc>
          <w:tcPr>
            <w:tcW w:w="222" w:type="dxa"/>
            <w:tcBorders>
              <w:top w:val="nil"/>
              <w:left w:val="nil"/>
              <w:bottom w:val="nil"/>
              <w:right w:val="nil"/>
            </w:tcBorders>
            <w:shd w:val="clear" w:color="auto" w:fill="auto"/>
            <w:noWrap/>
            <w:vAlign w:val="bottom"/>
            <w:hideMark/>
          </w:tcPr>
          <w:p w14:paraId="57D43D9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044B39E6"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Cost of Sales</w:t>
            </w:r>
          </w:p>
        </w:tc>
        <w:tc>
          <w:tcPr>
            <w:tcW w:w="756" w:type="dxa"/>
            <w:tcBorders>
              <w:top w:val="nil"/>
              <w:left w:val="nil"/>
              <w:bottom w:val="nil"/>
              <w:right w:val="nil"/>
            </w:tcBorders>
            <w:shd w:val="clear" w:color="auto" w:fill="auto"/>
            <w:noWrap/>
            <w:vAlign w:val="bottom"/>
            <w:hideMark/>
          </w:tcPr>
          <w:p w14:paraId="54F8EBF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53 </w:t>
            </w:r>
          </w:p>
        </w:tc>
        <w:tc>
          <w:tcPr>
            <w:tcW w:w="756" w:type="dxa"/>
            <w:tcBorders>
              <w:top w:val="nil"/>
              <w:left w:val="nil"/>
              <w:bottom w:val="nil"/>
              <w:right w:val="nil"/>
            </w:tcBorders>
            <w:shd w:val="clear" w:color="auto" w:fill="auto"/>
            <w:noWrap/>
            <w:vAlign w:val="bottom"/>
            <w:hideMark/>
          </w:tcPr>
          <w:p w14:paraId="6C80700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58 </w:t>
            </w:r>
          </w:p>
        </w:tc>
        <w:tc>
          <w:tcPr>
            <w:tcW w:w="756" w:type="dxa"/>
            <w:tcBorders>
              <w:top w:val="nil"/>
              <w:left w:val="nil"/>
              <w:bottom w:val="nil"/>
              <w:right w:val="nil"/>
            </w:tcBorders>
            <w:shd w:val="clear" w:color="auto" w:fill="auto"/>
            <w:noWrap/>
            <w:vAlign w:val="bottom"/>
            <w:hideMark/>
          </w:tcPr>
          <w:p w14:paraId="16561FC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111 </w:t>
            </w:r>
          </w:p>
        </w:tc>
        <w:tc>
          <w:tcPr>
            <w:tcW w:w="236" w:type="dxa"/>
            <w:tcBorders>
              <w:top w:val="nil"/>
              <w:left w:val="nil"/>
              <w:bottom w:val="nil"/>
              <w:right w:val="single" w:sz="8" w:space="0" w:color="000000"/>
            </w:tcBorders>
            <w:shd w:val="clear" w:color="auto" w:fill="auto"/>
            <w:noWrap/>
            <w:vAlign w:val="bottom"/>
            <w:hideMark/>
          </w:tcPr>
          <w:p w14:paraId="010DAC0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129 </w:t>
            </w:r>
          </w:p>
        </w:tc>
        <w:tc>
          <w:tcPr>
            <w:tcW w:w="902" w:type="dxa"/>
            <w:vAlign w:val="center"/>
            <w:hideMark/>
          </w:tcPr>
          <w:p w14:paraId="048C30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113CCA8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432CD1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40E68098" w14:textId="77777777" w:rsidTr="00550648">
        <w:trPr>
          <w:trHeight w:val="129"/>
        </w:trPr>
        <w:tc>
          <w:tcPr>
            <w:tcW w:w="1922" w:type="dxa"/>
            <w:tcBorders>
              <w:top w:val="nil"/>
              <w:left w:val="nil"/>
              <w:bottom w:val="nil"/>
              <w:right w:val="nil"/>
            </w:tcBorders>
            <w:shd w:val="clear" w:color="auto" w:fill="auto"/>
            <w:noWrap/>
            <w:vAlign w:val="bottom"/>
            <w:hideMark/>
          </w:tcPr>
          <w:p w14:paraId="706568EB"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R&amp;D Expenditure</w:t>
            </w:r>
          </w:p>
        </w:tc>
        <w:tc>
          <w:tcPr>
            <w:tcW w:w="916" w:type="dxa"/>
            <w:tcBorders>
              <w:top w:val="nil"/>
              <w:left w:val="single" w:sz="4" w:space="0" w:color="auto"/>
              <w:bottom w:val="nil"/>
              <w:right w:val="nil"/>
            </w:tcBorders>
            <w:shd w:val="clear" w:color="auto" w:fill="auto"/>
            <w:noWrap/>
            <w:vAlign w:val="bottom"/>
            <w:hideMark/>
          </w:tcPr>
          <w:p w14:paraId="7D76E8DE"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194 </w:t>
            </w:r>
          </w:p>
        </w:tc>
        <w:tc>
          <w:tcPr>
            <w:tcW w:w="756" w:type="dxa"/>
            <w:tcBorders>
              <w:top w:val="nil"/>
              <w:left w:val="nil"/>
              <w:bottom w:val="nil"/>
              <w:right w:val="nil"/>
            </w:tcBorders>
            <w:shd w:val="clear" w:color="auto" w:fill="auto"/>
            <w:noWrap/>
            <w:vAlign w:val="bottom"/>
            <w:hideMark/>
          </w:tcPr>
          <w:p w14:paraId="55D0834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218 </w:t>
            </w:r>
          </w:p>
        </w:tc>
        <w:tc>
          <w:tcPr>
            <w:tcW w:w="756" w:type="dxa"/>
            <w:tcBorders>
              <w:top w:val="nil"/>
              <w:left w:val="nil"/>
              <w:bottom w:val="nil"/>
              <w:right w:val="nil"/>
            </w:tcBorders>
            <w:shd w:val="clear" w:color="auto" w:fill="auto"/>
            <w:noWrap/>
            <w:vAlign w:val="bottom"/>
            <w:hideMark/>
          </w:tcPr>
          <w:p w14:paraId="3B48697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xml:space="preserve">            175 </w:t>
            </w:r>
          </w:p>
        </w:tc>
        <w:tc>
          <w:tcPr>
            <w:tcW w:w="756" w:type="dxa"/>
            <w:tcBorders>
              <w:top w:val="nil"/>
              <w:left w:val="nil"/>
              <w:bottom w:val="nil"/>
              <w:right w:val="nil"/>
            </w:tcBorders>
            <w:shd w:val="clear" w:color="auto" w:fill="auto"/>
            <w:noWrap/>
            <w:vAlign w:val="bottom"/>
            <w:hideMark/>
          </w:tcPr>
          <w:p w14:paraId="640403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xml:space="preserve">            186 </w:t>
            </w:r>
          </w:p>
        </w:tc>
        <w:tc>
          <w:tcPr>
            <w:tcW w:w="756" w:type="dxa"/>
            <w:tcBorders>
              <w:top w:val="nil"/>
              <w:left w:val="single" w:sz="4" w:space="0" w:color="auto"/>
              <w:bottom w:val="nil"/>
              <w:right w:val="nil"/>
            </w:tcBorders>
            <w:shd w:val="clear" w:color="auto" w:fill="auto"/>
            <w:noWrap/>
            <w:vAlign w:val="bottom"/>
            <w:hideMark/>
          </w:tcPr>
          <w:p w14:paraId="09169BC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171 </w:t>
            </w:r>
          </w:p>
        </w:tc>
        <w:tc>
          <w:tcPr>
            <w:tcW w:w="756" w:type="dxa"/>
            <w:tcBorders>
              <w:top w:val="nil"/>
              <w:left w:val="nil"/>
              <w:bottom w:val="nil"/>
              <w:right w:val="nil"/>
            </w:tcBorders>
            <w:shd w:val="clear" w:color="auto" w:fill="auto"/>
            <w:noWrap/>
            <w:vAlign w:val="bottom"/>
            <w:hideMark/>
          </w:tcPr>
          <w:p w14:paraId="4363A3A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200 </w:t>
            </w:r>
          </w:p>
        </w:tc>
        <w:tc>
          <w:tcPr>
            <w:tcW w:w="222" w:type="dxa"/>
            <w:tcBorders>
              <w:top w:val="nil"/>
              <w:left w:val="nil"/>
              <w:bottom w:val="nil"/>
              <w:right w:val="nil"/>
            </w:tcBorders>
            <w:shd w:val="clear" w:color="auto" w:fill="auto"/>
            <w:noWrap/>
            <w:vAlign w:val="bottom"/>
            <w:hideMark/>
          </w:tcPr>
          <w:p w14:paraId="6089D62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22EA18AC"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R&amp;D Expenditure</w:t>
            </w:r>
          </w:p>
        </w:tc>
        <w:tc>
          <w:tcPr>
            <w:tcW w:w="756" w:type="dxa"/>
            <w:tcBorders>
              <w:top w:val="nil"/>
              <w:left w:val="nil"/>
              <w:bottom w:val="nil"/>
              <w:right w:val="nil"/>
            </w:tcBorders>
            <w:shd w:val="clear" w:color="auto" w:fill="auto"/>
            <w:noWrap/>
            <w:vAlign w:val="bottom"/>
            <w:hideMark/>
          </w:tcPr>
          <w:p w14:paraId="09C14B4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342 </w:t>
            </w:r>
          </w:p>
        </w:tc>
        <w:tc>
          <w:tcPr>
            <w:tcW w:w="756" w:type="dxa"/>
            <w:tcBorders>
              <w:top w:val="nil"/>
              <w:left w:val="nil"/>
              <w:bottom w:val="nil"/>
              <w:right w:val="nil"/>
            </w:tcBorders>
            <w:shd w:val="clear" w:color="auto" w:fill="auto"/>
            <w:noWrap/>
            <w:vAlign w:val="bottom"/>
            <w:hideMark/>
          </w:tcPr>
          <w:p w14:paraId="5772105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450 </w:t>
            </w:r>
          </w:p>
        </w:tc>
        <w:tc>
          <w:tcPr>
            <w:tcW w:w="756" w:type="dxa"/>
            <w:tcBorders>
              <w:top w:val="nil"/>
              <w:left w:val="nil"/>
              <w:bottom w:val="nil"/>
              <w:right w:val="nil"/>
            </w:tcBorders>
            <w:shd w:val="clear" w:color="auto" w:fill="auto"/>
            <w:noWrap/>
            <w:vAlign w:val="bottom"/>
            <w:hideMark/>
          </w:tcPr>
          <w:p w14:paraId="4DE9341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713 </w:t>
            </w:r>
          </w:p>
        </w:tc>
        <w:tc>
          <w:tcPr>
            <w:tcW w:w="236" w:type="dxa"/>
            <w:tcBorders>
              <w:top w:val="nil"/>
              <w:left w:val="nil"/>
              <w:bottom w:val="nil"/>
              <w:right w:val="single" w:sz="8" w:space="0" w:color="000000"/>
            </w:tcBorders>
            <w:shd w:val="clear" w:color="auto" w:fill="auto"/>
            <w:noWrap/>
            <w:vAlign w:val="bottom"/>
            <w:hideMark/>
          </w:tcPr>
          <w:p w14:paraId="067F49F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773 </w:t>
            </w:r>
          </w:p>
        </w:tc>
        <w:tc>
          <w:tcPr>
            <w:tcW w:w="902" w:type="dxa"/>
            <w:vAlign w:val="center"/>
            <w:hideMark/>
          </w:tcPr>
          <w:p w14:paraId="5C446D4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820342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67C7D7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6F7E339" w14:textId="77777777" w:rsidTr="00550648">
        <w:trPr>
          <w:trHeight w:val="129"/>
        </w:trPr>
        <w:tc>
          <w:tcPr>
            <w:tcW w:w="1922" w:type="dxa"/>
            <w:tcBorders>
              <w:top w:val="nil"/>
              <w:left w:val="nil"/>
              <w:bottom w:val="single" w:sz="4" w:space="0" w:color="auto"/>
              <w:right w:val="nil"/>
            </w:tcBorders>
            <w:shd w:val="clear" w:color="auto" w:fill="auto"/>
            <w:noWrap/>
            <w:vAlign w:val="bottom"/>
            <w:hideMark/>
          </w:tcPr>
          <w:p w14:paraId="65E027CD"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SG&amp;A Expenditure</w:t>
            </w:r>
          </w:p>
        </w:tc>
        <w:tc>
          <w:tcPr>
            <w:tcW w:w="916" w:type="dxa"/>
            <w:tcBorders>
              <w:top w:val="nil"/>
              <w:left w:val="single" w:sz="4" w:space="0" w:color="auto"/>
              <w:bottom w:val="nil"/>
              <w:right w:val="nil"/>
            </w:tcBorders>
            <w:shd w:val="clear" w:color="auto" w:fill="auto"/>
            <w:noWrap/>
            <w:vAlign w:val="bottom"/>
            <w:hideMark/>
          </w:tcPr>
          <w:p w14:paraId="6363C27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149 </w:t>
            </w:r>
          </w:p>
        </w:tc>
        <w:tc>
          <w:tcPr>
            <w:tcW w:w="756" w:type="dxa"/>
            <w:tcBorders>
              <w:top w:val="nil"/>
              <w:left w:val="nil"/>
              <w:bottom w:val="nil"/>
              <w:right w:val="nil"/>
            </w:tcBorders>
            <w:shd w:val="clear" w:color="auto" w:fill="auto"/>
            <w:noWrap/>
            <w:vAlign w:val="bottom"/>
            <w:hideMark/>
          </w:tcPr>
          <w:p w14:paraId="0528CED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173 </w:t>
            </w:r>
          </w:p>
        </w:tc>
        <w:tc>
          <w:tcPr>
            <w:tcW w:w="756" w:type="dxa"/>
            <w:tcBorders>
              <w:top w:val="nil"/>
              <w:left w:val="nil"/>
              <w:bottom w:val="nil"/>
              <w:right w:val="nil"/>
            </w:tcBorders>
            <w:shd w:val="clear" w:color="auto" w:fill="auto"/>
            <w:noWrap/>
            <w:vAlign w:val="bottom"/>
            <w:hideMark/>
          </w:tcPr>
          <w:p w14:paraId="0992CB2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158 </w:t>
            </w:r>
          </w:p>
        </w:tc>
        <w:tc>
          <w:tcPr>
            <w:tcW w:w="756" w:type="dxa"/>
            <w:tcBorders>
              <w:top w:val="nil"/>
              <w:left w:val="nil"/>
              <w:bottom w:val="nil"/>
              <w:right w:val="nil"/>
            </w:tcBorders>
            <w:shd w:val="clear" w:color="auto" w:fill="auto"/>
            <w:noWrap/>
            <w:vAlign w:val="bottom"/>
            <w:hideMark/>
          </w:tcPr>
          <w:p w14:paraId="5F880C2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175 </w:t>
            </w:r>
          </w:p>
        </w:tc>
        <w:tc>
          <w:tcPr>
            <w:tcW w:w="756" w:type="dxa"/>
            <w:tcBorders>
              <w:top w:val="nil"/>
              <w:left w:val="single" w:sz="4" w:space="0" w:color="auto"/>
              <w:bottom w:val="nil"/>
              <w:right w:val="nil"/>
            </w:tcBorders>
            <w:shd w:val="clear" w:color="auto" w:fill="auto"/>
            <w:noWrap/>
            <w:vAlign w:val="bottom"/>
            <w:hideMark/>
          </w:tcPr>
          <w:p w14:paraId="0147197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170 </w:t>
            </w:r>
          </w:p>
        </w:tc>
        <w:tc>
          <w:tcPr>
            <w:tcW w:w="756" w:type="dxa"/>
            <w:tcBorders>
              <w:top w:val="nil"/>
              <w:left w:val="nil"/>
              <w:bottom w:val="nil"/>
              <w:right w:val="nil"/>
            </w:tcBorders>
            <w:shd w:val="clear" w:color="auto" w:fill="auto"/>
            <w:noWrap/>
            <w:vAlign w:val="bottom"/>
            <w:hideMark/>
          </w:tcPr>
          <w:p w14:paraId="1FA9009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171 </w:t>
            </w:r>
          </w:p>
        </w:tc>
        <w:tc>
          <w:tcPr>
            <w:tcW w:w="222" w:type="dxa"/>
            <w:tcBorders>
              <w:top w:val="nil"/>
              <w:left w:val="nil"/>
              <w:bottom w:val="nil"/>
              <w:right w:val="nil"/>
            </w:tcBorders>
            <w:shd w:val="clear" w:color="auto" w:fill="auto"/>
            <w:noWrap/>
            <w:vAlign w:val="bottom"/>
            <w:hideMark/>
          </w:tcPr>
          <w:p w14:paraId="31894FB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single" w:sz="4" w:space="0" w:color="auto"/>
              <w:right w:val="nil"/>
            </w:tcBorders>
            <w:shd w:val="clear" w:color="auto" w:fill="auto"/>
            <w:noWrap/>
            <w:vAlign w:val="bottom"/>
            <w:hideMark/>
          </w:tcPr>
          <w:p w14:paraId="7BC40C29"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SG&amp;A Expenditure</w:t>
            </w:r>
          </w:p>
        </w:tc>
        <w:tc>
          <w:tcPr>
            <w:tcW w:w="756" w:type="dxa"/>
            <w:tcBorders>
              <w:top w:val="nil"/>
              <w:left w:val="nil"/>
              <w:bottom w:val="nil"/>
              <w:right w:val="nil"/>
            </w:tcBorders>
            <w:shd w:val="clear" w:color="auto" w:fill="auto"/>
            <w:noWrap/>
            <w:vAlign w:val="bottom"/>
            <w:hideMark/>
          </w:tcPr>
          <w:p w14:paraId="2B137FF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321 </w:t>
            </w:r>
          </w:p>
        </w:tc>
        <w:tc>
          <w:tcPr>
            <w:tcW w:w="756" w:type="dxa"/>
            <w:tcBorders>
              <w:top w:val="nil"/>
              <w:left w:val="nil"/>
              <w:bottom w:val="nil"/>
              <w:right w:val="nil"/>
            </w:tcBorders>
            <w:shd w:val="clear" w:color="auto" w:fill="auto"/>
            <w:noWrap/>
            <w:vAlign w:val="bottom"/>
            <w:hideMark/>
          </w:tcPr>
          <w:p w14:paraId="261FDFC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354 </w:t>
            </w:r>
          </w:p>
        </w:tc>
        <w:tc>
          <w:tcPr>
            <w:tcW w:w="756" w:type="dxa"/>
            <w:tcBorders>
              <w:top w:val="nil"/>
              <w:left w:val="nil"/>
              <w:bottom w:val="nil"/>
              <w:right w:val="nil"/>
            </w:tcBorders>
            <w:shd w:val="clear" w:color="auto" w:fill="auto"/>
            <w:noWrap/>
            <w:vAlign w:val="bottom"/>
            <w:hideMark/>
          </w:tcPr>
          <w:p w14:paraId="2FD9652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571 </w:t>
            </w:r>
          </w:p>
        </w:tc>
        <w:tc>
          <w:tcPr>
            <w:tcW w:w="236" w:type="dxa"/>
            <w:tcBorders>
              <w:top w:val="nil"/>
              <w:left w:val="nil"/>
              <w:bottom w:val="nil"/>
              <w:right w:val="single" w:sz="8" w:space="0" w:color="000000"/>
            </w:tcBorders>
            <w:shd w:val="clear" w:color="auto" w:fill="auto"/>
            <w:noWrap/>
            <w:vAlign w:val="bottom"/>
            <w:hideMark/>
          </w:tcPr>
          <w:p w14:paraId="4209A2E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655 </w:t>
            </w:r>
          </w:p>
        </w:tc>
        <w:tc>
          <w:tcPr>
            <w:tcW w:w="902" w:type="dxa"/>
            <w:vAlign w:val="center"/>
            <w:hideMark/>
          </w:tcPr>
          <w:p w14:paraId="06BAE0F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A5633C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80D72B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bookmarkEnd w:id="24"/>
      <w:tr w:rsidR="00D17616" w:rsidRPr="00E139C5" w14:paraId="05E7B982" w14:textId="77777777" w:rsidTr="00550648">
        <w:trPr>
          <w:trHeight w:val="129"/>
        </w:trPr>
        <w:tc>
          <w:tcPr>
            <w:tcW w:w="1922" w:type="dxa"/>
            <w:tcBorders>
              <w:top w:val="nil"/>
              <w:left w:val="nil"/>
              <w:bottom w:val="single" w:sz="4" w:space="0" w:color="auto"/>
              <w:right w:val="nil"/>
            </w:tcBorders>
            <w:shd w:val="clear" w:color="auto" w:fill="auto"/>
            <w:noWrap/>
            <w:vAlign w:val="bottom"/>
            <w:hideMark/>
          </w:tcPr>
          <w:p w14:paraId="4ED4F9BE"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Costs ($m) *</w:t>
            </w:r>
          </w:p>
        </w:tc>
        <w:tc>
          <w:tcPr>
            <w:tcW w:w="916" w:type="dxa"/>
            <w:tcBorders>
              <w:top w:val="single" w:sz="4" w:space="0" w:color="auto"/>
              <w:left w:val="single" w:sz="4" w:space="0" w:color="auto"/>
              <w:bottom w:val="single" w:sz="4" w:space="0" w:color="auto"/>
              <w:right w:val="nil"/>
            </w:tcBorders>
            <w:shd w:val="clear" w:color="auto" w:fill="auto"/>
            <w:noWrap/>
            <w:vAlign w:val="bottom"/>
            <w:hideMark/>
          </w:tcPr>
          <w:p w14:paraId="5B7DC76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375 </w:t>
            </w:r>
          </w:p>
        </w:tc>
        <w:tc>
          <w:tcPr>
            <w:tcW w:w="756" w:type="dxa"/>
            <w:tcBorders>
              <w:top w:val="single" w:sz="4" w:space="0" w:color="auto"/>
              <w:left w:val="nil"/>
              <w:bottom w:val="single" w:sz="4" w:space="0" w:color="auto"/>
              <w:right w:val="nil"/>
            </w:tcBorders>
            <w:shd w:val="clear" w:color="auto" w:fill="auto"/>
            <w:noWrap/>
            <w:vAlign w:val="bottom"/>
            <w:hideMark/>
          </w:tcPr>
          <w:p w14:paraId="0357FBB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426 </w:t>
            </w:r>
          </w:p>
        </w:tc>
        <w:tc>
          <w:tcPr>
            <w:tcW w:w="756" w:type="dxa"/>
            <w:tcBorders>
              <w:top w:val="single" w:sz="4" w:space="0" w:color="auto"/>
              <w:left w:val="nil"/>
              <w:bottom w:val="single" w:sz="4" w:space="0" w:color="auto"/>
              <w:right w:val="nil"/>
            </w:tcBorders>
            <w:shd w:val="clear" w:color="auto" w:fill="auto"/>
            <w:noWrap/>
            <w:vAlign w:val="bottom"/>
            <w:hideMark/>
          </w:tcPr>
          <w:p w14:paraId="6161270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367 </w:t>
            </w:r>
          </w:p>
        </w:tc>
        <w:tc>
          <w:tcPr>
            <w:tcW w:w="756" w:type="dxa"/>
            <w:tcBorders>
              <w:top w:val="single" w:sz="4" w:space="0" w:color="auto"/>
              <w:left w:val="nil"/>
              <w:bottom w:val="single" w:sz="4" w:space="0" w:color="auto"/>
              <w:right w:val="nil"/>
            </w:tcBorders>
            <w:shd w:val="clear" w:color="auto" w:fill="auto"/>
            <w:noWrap/>
            <w:vAlign w:val="bottom"/>
            <w:hideMark/>
          </w:tcPr>
          <w:p w14:paraId="6723E9B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389 </w:t>
            </w:r>
          </w:p>
        </w:tc>
        <w:tc>
          <w:tcPr>
            <w:tcW w:w="756" w:type="dxa"/>
            <w:tcBorders>
              <w:top w:val="single" w:sz="4" w:space="0" w:color="auto"/>
              <w:left w:val="single" w:sz="4" w:space="0" w:color="auto"/>
              <w:bottom w:val="single" w:sz="4" w:space="0" w:color="auto"/>
              <w:right w:val="nil"/>
            </w:tcBorders>
            <w:shd w:val="clear" w:color="auto" w:fill="auto"/>
            <w:noWrap/>
            <w:vAlign w:val="bottom"/>
            <w:hideMark/>
          </w:tcPr>
          <w:p w14:paraId="67C958E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373 </w:t>
            </w:r>
          </w:p>
        </w:tc>
        <w:tc>
          <w:tcPr>
            <w:tcW w:w="756" w:type="dxa"/>
            <w:tcBorders>
              <w:top w:val="single" w:sz="4" w:space="0" w:color="auto"/>
              <w:left w:val="nil"/>
              <w:bottom w:val="single" w:sz="4" w:space="0" w:color="auto"/>
              <w:right w:val="nil"/>
            </w:tcBorders>
            <w:shd w:val="clear" w:color="auto" w:fill="auto"/>
            <w:noWrap/>
            <w:vAlign w:val="bottom"/>
            <w:hideMark/>
          </w:tcPr>
          <w:p w14:paraId="3264B72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407 </w:t>
            </w:r>
          </w:p>
        </w:tc>
        <w:tc>
          <w:tcPr>
            <w:tcW w:w="222" w:type="dxa"/>
            <w:tcBorders>
              <w:top w:val="nil"/>
              <w:left w:val="nil"/>
              <w:bottom w:val="nil"/>
              <w:right w:val="nil"/>
            </w:tcBorders>
            <w:shd w:val="clear" w:color="auto" w:fill="auto"/>
            <w:noWrap/>
            <w:vAlign w:val="bottom"/>
            <w:hideMark/>
          </w:tcPr>
          <w:p w14:paraId="5CD39BE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single" w:sz="4" w:space="0" w:color="auto"/>
              <w:right w:val="nil"/>
            </w:tcBorders>
            <w:shd w:val="clear" w:color="auto" w:fill="auto"/>
            <w:noWrap/>
            <w:vAlign w:val="bottom"/>
            <w:hideMark/>
          </w:tcPr>
          <w:p w14:paraId="3D10B7FF"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Total Costs ($m)</w:t>
            </w:r>
          </w:p>
        </w:tc>
        <w:tc>
          <w:tcPr>
            <w:tcW w:w="756" w:type="dxa"/>
            <w:tcBorders>
              <w:top w:val="single" w:sz="4" w:space="0" w:color="auto"/>
              <w:left w:val="nil"/>
              <w:bottom w:val="single" w:sz="4" w:space="0" w:color="auto"/>
              <w:right w:val="nil"/>
            </w:tcBorders>
            <w:shd w:val="clear" w:color="auto" w:fill="auto"/>
            <w:noWrap/>
            <w:vAlign w:val="bottom"/>
            <w:hideMark/>
          </w:tcPr>
          <w:p w14:paraId="456F8BA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716 </w:t>
            </w:r>
          </w:p>
        </w:tc>
        <w:tc>
          <w:tcPr>
            <w:tcW w:w="756" w:type="dxa"/>
            <w:tcBorders>
              <w:top w:val="single" w:sz="4" w:space="0" w:color="auto"/>
              <w:left w:val="nil"/>
              <w:bottom w:val="single" w:sz="4" w:space="0" w:color="auto"/>
              <w:right w:val="nil"/>
            </w:tcBorders>
            <w:shd w:val="clear" w:color="auto" w:fill="auto"/>
            <w:noWrap/>
            <w:vAlign w:val="bottom"/>
            <w:hideMark/>
          </w:tcPr>
          <w:p w14:paraId="634C58B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862 </w:t>
            </w:r>
          </w:p>
        </w:tc>
        <w:tc>
          <w:tcPr>
            <w:tcW w:w="756" w:type="dxa"/>
            <w:tcBorders>
              <w:top w:val="single" w:sz="4" w:space="0" w:color="auto"/>
              <w:left w:val="nil"/>
              <w:bottom w:val="single" w:sz="4" w:space="0" w:color="auto"/>
              <w:right w:val="nil"/>
            </w:tcBorders>
            <w:shd w:val="clear" w:color="auto" w:fill="auto"/>
            <w:noWrap/>
            <w:vAlign w:val="bottom"/>
            <w:hideMark/>
          </w:tcPr>
          <w:p w14:paraId="02F4F57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1,395 </w:t>
            </w:r>
          </w:p>
        </w:tc>
        <w:tc>
          <w:tcPr>
            <w:tcW w:w="236" w:type="dxa"/>
            <w:tcBorders>
              <w:top w:val="single" w:sz="4" w:space="0" w:color="auto"/>
              <w:left w:val="nil"/>
              <w:bottom w:val="single" w:sz="4" w:space="0" w:color="auto"/>
              <w:right w:val="single" w:sz="8" w:space="0" w:color="000000"/>
            </w:tcBorders>
            <w:shd w:val="clear" w:color="auto" w:fill="auto"/>
            <w:noWrap/>
            <w:vAlign w:val="bottom"/>
            <w:hideMark/>
          </w:tcPr>
          <w:p w14:paraId="0A78E56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1,557 </w:t>
            </w:r>
          </w:p>
        </w:tc>
        <w:tc>
          <w:tcPr>
            <w:tcW w:w="902" w:type="dxa"/>
            <w:vAlign w:val="center"/>
            <w:hideMark/>
          </w:tcPr>
          <w:p w14:paraId="5B04F20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67C649C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D0863C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5A8AA743" w14:textId="77777777" w:rsidTr="00550648">
        <w:trPr>
          <w:trHeight w:val="129"/>
        </w:trPr>
        <w:tc>
          <w:tcPr>
            <w:tcW w:w="1922" w:type="dxa"/>
            <w:tcBorders>
              <w:top w:val="nil"/>
              <w:left w:val="nil"/>
              <w:bottom w:val="nil"/>
              <w:right w:val="nil"/>
            </w:tcBorders>
            <w:shd w:val="clear" w:color="auto" w:fill="auto"/>
            <w:noWrap/>
            <w:vAlign w:val="bottom"/>
            <w:hideMark/>
          </w:tcPr>
          <w:p w14:paraId="25C47443"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lastRenderedPageBreak/>
              <w:t>Adjusted EBITDA ($m)</w:t>
            </w:r>
          </w:p>
        </w:tc>
        <w:tc>
          <w:tcPr>
            <w:tcW w:w="916" w:type="dxa"/>
            <w:tcBorders>
              <w:top w:val="nil"/>
              <w:left w:val="single" w:sz="4" w:space="0" w:color="auto"/>
              <w:bottom w:val="nil"/>
              <w:right w:val="nil"/>
            </w:tcBorders>
            <w:shd w:val="clear" w:color="auto" w:fill="auto"/>
            <w:noWrap/>
            <w:vAlign w:val="bottom"/>
            <w:hideMark/>
          </w:tcPr>
          <w:p w14:paraId="7CAD057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6 </w:t>
            </w:r>
          </w:p>
        </w:tc>
        <w:tc>
          <w:tcPr>
            <w:tcW w:w="756" w:type="dxa"/>
            <w:tcBorders>
              <w:top w:val="nil"/>
              <w:left w:val="nil"/>
              <w:bottom w:val="nil"/>
              <w:right w:val="nil"/>
            </w:tcBorders>
            <w:shd w:val="clear" w:color="auto" w:fill="auto"/>
            <w:noWrap/>
            <w:vAlign w:val="bottom"/>
            <w:hideMark/>
          </w:tcPr>
          <w:p w14:paraId="14B8230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30 </w:t>
            </w:r>
          </w:p>
        </w:tc>
        <w:tc>
          <w:tcPr>
            <w:tcW w:w="756" w:type="dxa"/>
            <w:tcBorders>
              <w:top w:val="nil"/>
              <w:left w:val="nil"/>
              <w:bottom w:val="nil"/>
              <w:right w:val="nil"/>
            </w:tcBorders>
            <w:shd w:val="clear" w:color="auto" w:fill="auto"/>
            <w:noWrap/>
            <w:vAlign w:val="bottom"/>
            <w:hideMark/>
          </w:tcPr>
          <w:p w14:paraId="77250B1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119 </w:t>
            </w:r>
          </w:p>
        </w:tc>
        <w:tc>
          <w:tcPr>
            <w:tcW w:w="756" w:type="dxa"/>
            <w:tcBorders>
              <w:top w:val="nil"/>
              <w:left w:val="nil"/>
              <w:bottom w:val="nil"/>
              <w:right w:val="nil"/>
            </w:tcBorders>
            <w:shd w:val="clear" w:color="auto" w:fill="auto"/>
            <w:noWrap/>
            <w:vAlign w:val="bottom"/>
            <w:hideMark/>
          </w:tcPr>
          <w:p w14:paraId="6326CCF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124 </w:t>
            </w:r>
          </w:p>
        </w:tc>
        <w:tc>
          <w:tcPr>
            <w:tcW w:w="756" w:type="dxa"/>
            <w:tcBorders>
              <w:top w:val="nil"/>
              <w:left w:val="single" w:sz="4" w:space="0" w:color="auto"/>
              <w:bottom w:val="nil"/>
              <w:right w:val="nil"/>
            </w:tcBorders>
            <w:shd w:val="clear" w:color="auto" w:fill="auto"/>
            <w:noWrap/>
            <w:vAlign w:val="bottom"/>
            <w:hideMark/>
          </w:tcPr>
          <w:p w14:paraId="629108E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45 </w:t>
            </w:r>
          </w:p>
        </w:tc>
        <w:tc>
          <w:tcPr>
            <w:tcW w:w="756" w:type="dxa"/>
            <w:tcBorders>
              <w:top w:val="nil"/>
              <w:left w:val="nil"/>
              <w:bottom w:val="nil"/>
              <w:right w:val="nil"/>
            </w:tcBorders>
            <w:shd w:val="clear" w:color="auto" w:fill="auto"/>
            <w:noWrap/>
            <w:vAlign w:val="bottom"/>
            <w:hideMark/>
          </w:tcPr>
          <w:p w14:paraId="710F471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(11)</w:t>
            </w:r>
          </w:p>
        </w:tc>
        <w:tc>
          <w:tcPr>
            <w:tcW w:w="222" w:type="dxa"/>
            <w:tcBorders>
              <w:top w:val="nil"/>
              <w:left w:val="nil"/>
              <w:bottom w:val="nil"/>
              <w:right w:val="nil"/>
            </w:tcBorders>
            <w:shd w:val="clear" w:color="auto" w:fill="auto"/>
            <w:noWrap/>
            <w:vAlign w:val="bottom"/>
            <w:hideMark/>
          </w:tcPr>
          <w:p w14:paraId="7227B1B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77D8E03D"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Adjusted EBITDA ($m)</w:t>
            </w:r>
          </w:p>
        </w:tc>
        <w:tc>
          <w:tcPr>
            <w:tcW w:w="756" w:type="dxa"/>
            <w:tcBorders>
              <w:top w:val="nil"/>
              <w:left w:val="nil"/>
              <w:bottom w:val="nil"/>
              <w:right w:val="nil"/>
            </w:tcBorders>
            <w:shd w:val="clear" w:color="auto" w:fill="auto"/>
            <w:noWrap/>
            <w:vAlign w:val="bottom"/>
            <w:hideMark/>
          </w:tcPr>
          <w:p w14:paraId="561F77A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843 </w:t>
            </w:r>
          </w:p>
        </w:tc>
        <w:tc>
          <w:tcPr>
            <w:tcW w:w="756" w:type="dxa"/>
            <w:tcBorders>
              <w:top w:val="nil"/>
              <w:left w:val="nil"/>
              <w:bottom w:val="nil"/>
              <w:right w:val="nil"/>
            </w:tcBorders>
            <w:shd w:val="clear" w:color="auto" w:fill="auto"/>
            <w:noWrap/>
            <w:vAlign w:val="bottom"/>
            <w:hideMark/>
          </w:tcPr>
          <w:p w14:paraId="103D0B8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827 </w:t>
            </w:r>
          </w:p>
        </w:tc>
        <w:tc>
          <w:tcPr>
            <w:tcW w:w="756" w:type="dxa"/>
            <w:tcBorders>
              <w:top w:val="nil"/>
              <w:left w:val="nil"/>
              <w:bottom w:val="nil"/>
              <w:right w:val="nil"/>
            </w:tcBorders>
            <w:shd w:val="clear" w:color="auto" w:fill="auto"/>
            <w:noWrap/>
            <w:vAlign w:val="bottom"/>
            <w:hideMark/>
          </w:tcPr>
          <w:p w14:paraId="10EFB15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436 </w:t>
            </w:r>
          </w:p>
        </w:tc>
        <w:tc>
          <w:tcPr>
            <w:tcW w:w="236" w:type="dxa"/>
            <w:tcBorders>
              <w:top w:val="nil"/>
              <w:left w:val="nil"/>
              <w:bottom w:val="nil"/>
              <w:right w:val="single" w:sz="8" w:space="0" w:color="000000"/>
            </w:tcBorders>
            <w:shd w:val="clear" w:color="auto" w:fill="auto"/>
            <w:noWrap/>
            <w:vAlign w:val="bottom"/>
            <w:hideMark/>
          </w:tcPr>
          <w:p w14:paraId="5673A0D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279 </w:t>
            </w:r>
          </w:p>
        </w:tc>
        <w:tc>
          <w:tcPr>
            <w:tcW w:w="902" w:type="dxa"/>
            <w:vAlign w:val="center"/>
            <w:hideMark/>
          </w:tcPr>
          <w:p w14:paraId="2CEE151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4AC346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D622DF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097D59" w:rsidRPr="00E139C5" w14:paraId="653F4B10"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143F8E35" w14:textId="7D448361"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 Before the acquisition long-term incentive scheme was share-</w:t>
            </w:r>
            <w:r w:rsidR="00012FA3" w:rsidRPr="00E139C5">
              <w:rPr>
                <w:rFonts w:ascii="Times New Roman" w:eastAsia="Times New Roman" w:hAnsi="Times New Roman" w:cs="Times New Roman"/>
                <w:color w:val="262626"/>
                <w:sz w:val="24"/>
                <w:szCs w:val="24"/>
                <w:lang w:eastAsia="en-GB"/>
              </w:rPr>
              <w:t>based,</w:t>
            </w:r>
            <w:r w:rsidRPr="00E139C5">
              <w:rPr>
                <w:rFonts w:ascii="Times New Roman" w:eastAsia="Times New Roman" w:hAnsi="Times New Roman" w:cs="Times New Roman"/>
                <w:color w:val="262626"/>
                <w:sz w:val="24"/>
                <w:szCs w:val="24"/>
                <w:lang w:eastAsia="en-GB"/>
              </w:rPr>
              <w:t xml:space="preserve"> and the costs are included in "Other operating expenses" </w:t>
            </w:r>
          </w:p>
        </w:tc>
      </w:tr>
      <w:tr w:rsidR="00097D59" w:rsidRPr="00E139C5" w14:paraId="6350E4DC"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482F8D6A"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 xml:space="preserve">  (see below). Post-acquisition replacement scheme is cash-based and is included in R&amp;D and SG&amp;A costs.</w:t>
            </w:r>
          </w:p>
        </w:tc>
      </w:tr>
      <w:tr w:rsidR="00D17616" w:rsidRPr="00E139C5" w14:paraId="5B5D16EB" w14:textId="77777777" w:rsidTr="00550648">
        <w:trPr>
          <w:trHeight w:val="129"/>
        </w:trPr>
        <w:tc>
          <w:tcPr>
            <w:tcW w:w="1922" w:type="dxa"/>
            <w:tcBorders>
              <w:top w:val="nil"/>
              <w:left w:val="nil"/>
              <w:bottom w:val="nil"/>
              <w:right w:val="nil"/>
            </w:tcBorders>
            <w:shd w:val="clear" w:color="auto" w:fill="auto"/>
            <w:noWrap/>
            <w:vAlign w:val="bottom"/>
            <w:hideMark/>
          </w:tcPr>
          <w:p w14:paraId="3168C57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916" w:type="dxa"/>
            <w:tcBorders>
              <w:top w:val="nil"/>
              <w:left w:val="nil"/>
              <w:bottom w:val="nil"/>
              <w:right w:val="nil"/>
            </w:tcBorders>
            <w:shd w:val="clear" w:color="auto" w:fill="auto"/>
            <w:noWrap/>
            <w:vAlign w:val="bottom"/>
            <w:hideMark/>
          </w:tcPr>
          <w:p w14:paraId="1B6BE4C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535A1B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58A562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718F4F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37B2BF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752299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5613ADE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4C02408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D72E9F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C87726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33D2EB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single" w:sz="8" w:space="0" w:color="000000"/>
            </w:tcBorders>
            <w:shd w:val="clear" w:color="auto" w:fill="auto"/>
            <w:noWrap/>
            <w:vAlign w:val="bottom"/>
            <w:hideMark/>
          </w:tcPr>
          <w:p w14:paraId="1D36E786"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 </w:t>
            </w:r>
          </w:p>
        </w:tc>
        <w:tc>
          <w:tcPr>
            <w:tcW w:w="902" w:type="dxa"/>
            <w:vAlign w:val="center"/>
            <w:hideMark/>
          </w:tcPr>
          <w:p w14:paraId="5E5CB18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5129A0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5ACA5A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84470DB" w14:textId="77777777" w:rsidTr="00550648">
        <w:trPr>
          <w:trHeight w:val="129"/>
        </w:trPr>
        <w:tc>
          <w:tcPr>
            <w:tcW w:w="1922" w:type="dxa"/>
            <w:tcBorders>
              <w:top w:val="nil"/>
              <w:left w:val="nil"/>
              <w:bottom w:val="nil"/>
              <w:right w:val="nil"/>
            </w:tcBorders>
            <w:shd w:val="clear" w:color="000000" w:fill="DDEBF7"/>
            <w:noWrap/>
            <w:vAlign w:val="bottom"/>
            <w:hideMark/>
          </w:tcPr>
          <w:p w14:paraId="1D45283D"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IFRS EBIT ($m)*</w:t>
            </w:r>
          </w:p>
        </w:tc>
        <w:tc>
          <w:tcPr>
            <w:tcW w:w="916" w:type="dxa"/>
            <w:tcBorders>
              <w:top w:val="nil"/>
              <w:left w:val="nil"/>
              <w:bottom w:val="nil"/>
              <w:right w:val="nil"/>
            </w:tcBorders>
            <w:shd w:val="clear" w:color="000000" w:fill="DDEBF7"/>
            <w:noWrap/>
            <w:vAlign w:val="bottom"/>
            <w:hideMark/>
          </w:tcPr>
          <w:p w14:paraId="01257119"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756" w:type="dxa"/>
            <w:tcBorders>
              <w:top w:val="nil"/>
              <w:left w:val="nil"/>
              <w:bottom w:val="nil"/>
              <w:right w:val="nil"/>
            </w:tcBorders>
            <w:shd w:val="clear" w:color="000000" w:fill="DDEBF7"/>
            <w:noWrap/>
            <w:vAlign w:val="bottom"/>
            <w:hideMark/>
          </w:tcPr>
          <w:p w14:paraId="147083C2"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756" w:type="dxa"/>
            <w:tcBorders>
              <w:top w:val="nil"/>
              <w:left w:val="nil"/>
              <w:bottom w:val="nil"/>
              <w:right w:val="nil"/>
            </w:tcBorders>
            <w:shd w:val="clear" w:color="000000" w:fill="DDEBF7"/>
            <w:noWrap/>
            <w:vAlign w:val="bottom"/>
            <w:hideMark/>
          </w:tcPr>
          <w:p w14:paraId="3B7B5B6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066D7C8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w:t>
            </w:r>
          </w:p>
        </w:tc>
        <w:tc>
          <w:tcPr>
            <w:tcW w:w="756" w:type="dxa"/>
            <w:tcBorders>
              <w:top w:val="nil"/>
              <w:left w:val="nil"/>
              <w:bottom w:val="nil"/>
              <w:right w:val="nil"/>
            </w:tcBorders>
            <w:shd w:val="clear" w:color="000000" w:fill="DDEBF7"/>
            <w:noWrap/>
            <w:vAlign w:val="bottom"/>
            <w:hideMark/>
          </w:tcPr>
          <w:p w14:paraId="314F38EF"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756" w:type="dxa"/>
            <w:tcBorders>
              <w:top w:val="nil"/>
              <w:left w:val="nil"/>
              <w:bottom w:val="nil"/>
              <w:right w:val="nil"/>
            </w:tcBorders>
            <w:shd w:val="clear" w:color="000000" w:fill="DDEBF7"/>
            <w:noWrap/>
            <w:vAlign w:val="bottom"/>
            <w:hideMark/>
          </w:tcPr>
          <w:p w14:paraId="47480642"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222" w:type="dxa"/>
            <w:tcBorders>
              <w:top w:val="nil"/>
              <w:left w:val="nil"/>
              <w:bottom w:val="nil"/>
              <w:right w:val="nil"/>
            </w:tcBorders>
            <w:shd w:val="clear" w:color="auto" w:fill="auto"/>
            <w:noWrap/>
            <w:vAlign w:val="bottom"/>
            <w:hideMark/>
          </w:tcPr>
          <w:p w14:paraId="3124FF39"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nil"/>
            </w:tcBorders>
            <w:shd w:val="clear" w:color="000000" w:fill="DDEBF7"/>
            <w:noWrap/>
            <w:vAlign w:val="bottom"/>
            <w:hideMark/>
          </w:tcPr>
          <w:p w14:paraId="73600119"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IFRS EBIT</w:t>
            </w:r>
          </w:p>
        </w:tc>
        <w:tc>
          <w:tcPr>
            <w:tcW w:w="756" w:type="dxa"/>
            <w:tcBorders>
              <w:top w:val="nil"/>
              <w:left w:val="nil"/>
              <w:bottom w:val="nil"/>
              <w:right w:val="nil"/>
            </w:tcBorders>
            <w:shd w:val="clear" w:color="000000" w:fill="DDEBF7"/>
            <w:noWrap/>
            <w:vAlign w:val="bottom"/>
            <w:hideMark/>
          </w:tcPr>
          <w:p w14:paraId="451722A7"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756" w:type="dxa"/>
            <w:tcBorders>
              <w:top w:val="nil"/>
              <w:left w:val="nil"/>
              <w:bottom w:val="nil"/>
              <w:right w:val="nil"/>
            </w:tcBorders>
            <w:shd w:val="clear" w:color="000000" w:fill="DDEBF7"/>
            <w:noWrap/>
            <w:vAlign w:val="bottom"/>
            <w:hideMark/>
          </w:tcPr>
          <w:p w14:paraId="23994333"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756" w:type="dxa"/>
            <w:tcBorders>
              <w:top w:val="nil"/>
              <w:left w:val="nil"/>
              <w:bottom w:val="nil"/>
              <w:right w:val="nil"/>
            </w:tcBorders>
            <w:shd w:val="clear" w:color="000000" w:fill="DDEBF7"/>
            <w:noWrap/>
            <w:vAlign w:val="bottom"/>
            <w:hideMark/>
          </w:tcPr>
          <w:p w14:paraId="49B3CFE5"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236" w:type="dxa"/>
            <w:tcBorders>
              <w:top w:val="nil"/>
              <w:left w:val="nil"/>
              <w:bottom w:val="nil"/>
              <w:right w:val="single" w:sz="8" w:space="0" w:color="000000"/>
            </w:tcBorders>
            <w:shd w:val="clear" w:color="000000" w:fill="DDEBF7"/>
            <w:noWrap/>
            <w:vAlign w:val="bottom"/>
            <w:hideMark/>
          </w:tcPr>
          <w:p w14:paraId="123B7244"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 </w:t>
            </w:r>
          </w:p>
        </w:tc>
        <w:tc>
          <w:tcPr>
            <w:tcW w:w="902" w:type="dxa"/>
            <w:vAlign w:val="center"/>
            <w:hideMark/>
          </w:tcPr>
          <w:p w14:paraId="0D9B47A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1918F7A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DE0E88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257332AF" w14:textId="77777777" w:rsidTr="00550648">
        <w:trPr>
          <w:trHeight w:val="129"/>
        </w:trPr>
        <w:tc>
          <w:tcPr>
            <w:tcW w:w="1922" w:type="dxa"/>
            <w:tcBorders>
              <w:top w:val="nil"/>
              <w:left w:val="nil"/>
              <w:bottom w:val="nil"/>
              <w:right w:val="nil"/>
            </w:tcBorders>
            <w:shd w:val="clear" w:color="auto" w:fill="auto"/>
            <w:noWrap/>
            <w:vAlign w:val="bottom"/>
            <w:hideMark/>
          </w:tcPr>
          <w:p w14:paraId="24AA733A"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Depreciation and Amortisation</w:t>
            </w:r>
          </w:p>
        </w:tc>
        <w:tc>
          <w:tcPr>
            <w:tcW w:w="916" w:type="dxa"/>
            <w:tcBorders>
              <w:top w:val="nil"/>
              <w:left w:val="single" w:sz="4" w:space="0" w:color="auto"/>
              <w:bottom w:val="nil"/>
              <w:right w:val="nil"/>
            </w:tcBorders>
            <w:shd w:val="clear" w:color="auto" w:fill="auto"/>
            <w:noWrap/>
            <w:vAlign w:val="bottom"/>
            <w:hideMark/>
          </w:tcPr>
          <w:p w14:paraId="3A13409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24</w:t>
            </w:r>
          </w:p>
        </w:tc>
        <w:tc>
          <w:tcPr>
            <w:tcW w:w="756" w:type="dxa"/>
            <w:tcBorders>
              <w:top w:val="nil"/>
              <w:left w:val="nil"/>
              <w:bottom w:val="nil"/>
              <w:right w:val="nil"/>
            </w:tcBorders>
            <w:shd w:val="clear" w:color="auto" w:fill="auto"/>
            <w:noWrap/>
            <w:vAlign w:val="bottom"/>
            <w:hideMark/>
          </w:tcPr>
          <w:p w14:paraId="0FA2273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26</w:t>
            </w:r>
          </w:p>
        </w:tc>
        <w:tc>
          <w:tcPr>
            <w:tcW w:w="756" w:type="dxa"/>
            <w:tcBorders>
              <w:top w:val="nil"/>
              <w:left w:val="nil"/>
              <w:bottom w:val="nil"/>
              <w:right w:val="nil"/>
            </w:tcBorders>
            <w:shd w:val="clear" w:color="auto" w:fill="auto"/>
            <w:noWrap/>
            <w:vAlign w:val="bottom"/>
            <w:hideMark/>
          </w:tcPr>
          <w:p w14:paraId="5AC6551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35</w:t>
            </w:r>
          </w:p>
        </w:tc>
        <w:tc>
          <w:tcPr>
            <w:tcW w:w="756" w:type="dxa"/>
            <w:tcBorders>
              <w:top w:val="nil"/>
              <w:left w:val="nil"/>
              <w:bottom w:val="nil"/>
              <w:right w:val="nil"/>
            </w:tcBorders>
            <w:shd w:val="clear" w:color="auto" w:fill="auto"/>
            <w:noWrap/>
            <w:vAlign w:val="bottom"/>
            <w:hideMark/>
          </w:tcPr>
          <w:p w14:paraId="05BA7E51"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32</w:t>
            </w:r>
          </w:p>
        </w:tc>
        <w:tc>
          <w:tcPr>
            <w:tcW w:w="756" w:type="dxa"/>
            <w:tcBorders>
              <w:top w:val="nil"/>
              <w:left w:val="single" w:sz="4" w:space="0" w:color="auto"/>
              <w:bottom w:val="nil"/>
              <w:right w:val="nil"/>
            </w:tcBorders>
            <w:shd w:val="clear" w:color="auto" w:fill="auto"/>
            <w:noWrap/>
            <w:vAlign w:val="bottom"/>
            <w:hideMark/>
          </w:tcPr>
          <w:p w14:paraId="5E8C96AE"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40</w:t>
            </w:r>
          </w:p>
        </w:tc>
        <w:tc>
          <w:tcPr>
            <w:tcW w:w="756" w:type="dxa"/>
            <w:tcBorders>
              <w:top w:val="nil"/>
              <w:left w:val="nil"/>
              <w:bottom w:val="nil"/>
              <w:right w:val="nil"/>
            </w:tcBorders>
            <w:shd w:val="clear" w:color="auto" w:fill="auto"/>
            <w:noWrap/>
            <w:vAlign w:val="bottom"/>
            <w:hideMark/>
          </w:tcPr>
          <w:p w14:paraId="527D865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49</w:t>
            </w:r>
          </w:p>
        </w:tc>
        <w:tc>
          <w:tcPr>
            <w:tcW w:w="222" w:type="dxa"/>
            <w:tcBorders>
              <w:top w:val="nil"/>
              <w:left w:val="nil"/>
              <w:bottom w:val="nil"/>
              <w:right w:val="nil"/>
            </w:tcBorders>
            <w:shd w:val="clear" w:color="auto" w:fill="auto"/>
            <w:noWrap/>
            <w:vAlign w:val="bottom"/>
            <w:hideMark/>
          </w:tcPr>
          <w:p w14:paraId="3496F452"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1E27C349"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Depreciation and Amortisation</w:t>
            </w:r>
          </w:p>
        </w:tc>
        <w:tc>
          <w:tcPr>
            <w:tcW w:w="756" w:type="dxa"/>
            <w:tcBorders>
              <w:top w:val="nil"/>
              <w:left w:val="nil"/>
              <w:bottom w:val="nil"/>
              <w:right w:val="nil"/>
            </w:tcBorders>
            <w:shd w:val="clear" w:color="auto" w:fill="auto"/>
            <w:noWrap/>
            <w:vAlign w:val="bottom"/>
            <w:hideMark/>
          </w:tcPr>
          <w:p w14:paraId="767B84A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66</w:t>
            </w:r>
          </w:p>
        </w:tc>
        <w:tc>
          <w:tcPr>
            <w:tcW w:w="756" w:type="dxa"/>
            <w:tcBorders>
              <w:top w:val="nil"/>
              <w:left w:val="nil"/>
              <w:bottom w:val="nil"/>
              <w:right w:val="nil"/>
            </w:tcBorders>
            <w:shd w:val="clear" w:color="auto" w:fill="auto"/>
            <w:noWrap/>
            <w:vAlign w:val="bottom"/>
            <w:hideMark/>
          </w:tcPr>
          <w:p w14:paraId="7B9D299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72</w:t>
            </w:r>
          </w:p>
        </w:tc>
        <w:tc>
          <w:tcPr>
            <w:tcW w:w="756" w:type="dxa"/>
            <w:tcBorders>
              <w:top w:val="nil"/>
              <w:left w:val="nil"/>
              <w:bottom w:val="nil"/>
              <w:right w:val="nil"/>
            </w:tcBorders>
            <w:shd w:val="clear" w:color="auto" w:fill="auto"/>
            <w:noWrap/>
            <w:vAlign w:val="bottom"/>
            <w:hideMark/>
          </w:tcPr>
          <w:p w14:paraId="5752BE0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87</w:t>
            </w:r>
          </w:p>
        </w:tc>
        <w:tc>
          <w:tcPr>
            <w:tcW w:w="236" w:type="dxa"/>
            <w:tcBorders>
              <w:top w:val="nil"/>
              <w:left w:val="nil"/>
              <w:bottom w:val="nil"/>
              <w:right w:val="single" w:sz="8" w:space="0" w:color="000000"/>
            </w:tcBorders>
            <w:shd w:val="clear" w:color="auto" w:fill="auto"/>
            <w:noWrap/>
            <w:vAlign w:val="bottom"/>
            <w:hideMark/>
          </w:tcPr>
          <w:p w14:paraId="1C5224B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117 </w:t>
            </w:r>
          </w:p>
        </w:tc>
        <w:tc>
          <w:tcPr>
            <w:tcW w:w="902" w:type="dxa"/>
            <w:vAlign w:val="center"/>
            <w:hideMark/>
          </w:tcPr>
          <w:p w14:paraId="1656223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16C881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BAE36A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E9AF3D3" w14:textId="77777777" w:rsidTr="00550648">
        <w:trPr>
          <w:trHeight w:val="129"/>
        </w:trPr>
        <w:tc>
          <w:tcPr>
            <w:tcW w:w="1922" w:type="dxa"/>
            <w:tcBorders>
              <w:top w:val="nil"/>
              <w:left w:val="nil"/>
              <w:bottom w:val="nil"/>
              <w:right w:val="nil"/>
            </w:tcBorders>
            <w:shd w:val="clear" w:color="auto" w:fill="auto"/>
            <w:noWrap/>
            <w:vAlign w:val="bottom"/>
            <w:hideMark/>
          </w:tcPr>
          <w:p w14:paraId="4F6C213D"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 xml:space="preserve">Foreign Exchange </w:t>
            </w:r>
          </w:p>
        </w:tc>
        <w:tc>
          <w:tcPr>
            <w:tcW w:w="916" w:type="dxa"/>
            <w:tcBorders>
              <w:top w:val="nil"/>
              <w:left w:val="single" w:sz="4" w:space="0" w:color="auto"/>
              <w:bottom w:val="nil"/>
              <w:right w:val="nil"/>
            </w:tcBorders>
            <w:shd w:val="clear" w:color="auto" w:fill="auto"/>
            <w:noWrap/>
            <w:vAlign w:val="bottom"/>
            <w:hideMark/>
          </w:tcPr>
          <w:p w14:paraId="02440DC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(21)</w:t>
            </w:r>
          </w:p>
        </w:tc>
        <w:tc>
          <w:tcPr>
            <w:tcW w:w="756" w:type="dxa"/>
            <w:tcBorders>
              <w:top w:val="nil"/>
              <w:left w:val="nil"/>
              <w:bottom w:val="nil"/>
              <w:right w:val="nil"/>
            </w:tcBorders>
            <w:shd w:val="clear" w:color="auto" w:fill="auto"/>
            <w:noWrap/>
            <w:vAlign w:val="bottom"/>
            <w:hideMark/>
          </w:tcPr>
          <w:p w14:paraId="07D2803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(14)</w:t>
            </w:r>
          </w:p>
        </w:tc>
        <w:tc>
          <w:tcPr>
            <w:tcW w:w="756" w:type="dxa"/>
            <w:tcBorders>
              <w:top w:val="nil"/>
              <w:left w:val="nil"/>
              <w:bottom w:val="nil"/>
              <w:right w:val="nil"/>
            </w:tcBorders>
            <w:shd w:val="clear" w:color="auto" w:fill="auto"/>
            <w:noWrap/>
            <w:vAlign w:val="bottom"/>
            <w:hideMark/>
          </w:tcPr>
          <w:p w14:paraId="318D726F"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(18)</w:t>
            </w:r>
          </w:p>
        </w:tc>
        <w:tc>
          <w:tcPr>
            <w:tcW w:w="756" w:type="dxa"/>
            <w:tcBorders>
              <w:top w:val="nil"/>
              <w:left w:val="nil"/>
              <w:bottom w:val="nil"/>
              <w:right w:val="nil"/>
            </w:tcBorders>
            <w:shd w:val="clear" w:color="auto" w:fill="auto"/>
            <w:noWrap/>
            <w:vAlign w:val="bottom"/>
            <w:hideMark/>
          </w:tcPr>
          <w:p w14:paraId="1A6BDC7E"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3</w:t>
            </w:r>
          </w:p>
        </w:tc>
        <w:tc>
          <w:tcPr>
            <w:tcW w:w="756" w:type="dxa"/>
            <w:tcBorders>
              <w:top w:val="nil"/>
              <w:left w:val="single" w:sz="4" w:space="0" w:color="auto"/>
              <w:bottom w:val="nil"/>
              <w:right w:val="nil"/>
            </w:tcBorders>
            <w:shd w:val="clear" w:color="auto" w:fill="auto"/>
            <w:noWrap/>
            <w:vAlign w:val="bottom"/>
            <w:hideMark/>
          </w:tcPr>
          <w:p w14:paraId="36F67FA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(17)</w:t>
            </w:r>
          </w:p>
        </w:tc>
        <w:tc>
          <w:tcPr>
            <w:tcW w:w="756" w:type="dxa"/>
            <w:tcBorders>
              <w:top w:val="nil"/>
              <w:left w:val="nil"/>
              <w:bottom w:val="nil"/>
              <w:right w:val="nil"/>
            </w:tcBorders>
            <w:shd w:val="clear" w:color="auto" w:fill="auto"/>
            <w:noWrap/>
            <w:vAlign w:val="bottom"/>
            <w:hideMark/>
          </w:tcPr>
          <w:p w14:paraId="298B78B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(37)</w:t>
            </w:r>
          </w:p>
        </w:tc>
        <w:tc>
          <w:tcPr>
            <w:tcW w:w="222" w:type="dxa"/>
            <w:tcBorders>
              <w:top w:val="nil"/>
              <w:left w:val="nil"/>
              <w:bottom w:val="nil"/>
              <w:right w:val="nil"/>
            </w:tcBorders>
            <w:shd w:val="clear" w:color="auto" w:fill="auto"/>
            <w:noWrap/>
            <w:vAlign w:val="bottom"/>
            <w:hideMark/>
          </w:tcPr>
          <w:p w14:paraId="66A2638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7ED0756C"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Foreign Exchange</w:t>
            </w:r>
          </w:p>
        </w:tc>
        <w:tc>
          <w:tcPr>
            <w:tcW w:w="756" w:type="dxa"/>
            <w:tcBorders>
              <w:top w:val="nil"/>
              <w:left w:val="nil"/>
              <w:bottom w:val="nil"/>
              <w:right w:val="nil"/>
            </w:tcBorders>
            <w:shd w:val="clear" w:color="auto" w:fill="auto"/>
            <w:noWrap/>
            <w:vAlign w:val="bottom"/>
            <w:hideMark/>
          </w:tcPr>
          <w:p w14:paraId="1E35B27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(18)</w:t>
            </w:r>
          </w:p>
        </w:tc>
        <w:tc>
          <w:tcPr>
            <w:tcW w:w="756" w:type="dxa"/>
            <w:tcBorders>
              <w:top w:val="nil"/>
              <w:left w:val="nil"/>
              <w:bottom w:val="nil"/>
              <w:right w:val="nil"/>
            </w:tcBorders>
            <w:shd w:val="clear" w:color="auto" w:fill="auto"/>
            <w:noWrap/>
            <w:vAlign w:val="bottom"/>
            <w:hideMark/>
          </w:tcPr>
          <w:p w14:paraId="0D0C270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(7)</w:t>
            </w:r>
          </w:p>
        </w:tc>
        <w:tc>
          <w:tcPr>
            <w:tcW w:w="756" w:type="dxa"/>
            <w:tcBorders>
              <w:top w:val="nil"/>
              <w:left w:val="nil"/>
              <w:bottom w:val="nil"/>
              <w:right w:val="nil"/>
            </w:tcBorders>
            <w:shd w:val="clear" w:color="auto" w:fill="auto"/>
            <w:noWrap/>
            <w:vAlign w:val="bottom"/>
            <w:hideMark/>
          </w:tcPr>
          <w:p w14:paraId="2641AF9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82</w:t>
            </w:r>
          </w:p>
        </w:tc>
        <w:tc>
          <w:tcPr>
            <w:tcW w:w="236" w:type="dxa"/>
            <w:tcBorders>
              <w:top w:val="nil"/>
              <w:left w:val="nil"/>
              <w:bottom w:val="nil"/>
              <w:right w:val="single" w:sz="8" w:space="0" w:color="000000"/>
            </w:tcBorders>
            <w:shd w:val="clear" w:color="auto" w:fill="auto"/>
            <w:noWrap/>
            <w:vAlign w:val="bottom"/>
            <w:hideMark/>
          </w:tcPr>
          <w:p w14:paraId="40FA770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(50)</w:t>
            </w:r>
          </w:p>
        </w:tc>
        <w:tc>
          <w:tcPr>
            <w:tcW w:w="902" w:type="dxa"/>
            <w:vAlign w:val="center"/>
            <w:hideMark/>
          </w:tcPr>
          <w:p w14:paraId="63B5C18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ECD49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4990D2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1225F780" w14:textId="77777777" w:rsidTr="00550648">
        <w:trPr>
          <w:trHeight w:val="129"/>
        </w:trPr>
        <w:tc>
          <w:tcPr>
            <w:tcW w:w="1922" w:type="dxa"/>
            <w:tcBorders>
              <w:top w:val="nil"/>
              <w:left w:val="nil"/>
              <w:bottom w:val="single" w:sz="4" w:space="0" w:color="auto"/>
              <w:right w:val="nil"/>
            </w:tcBorders>
            <w:shd w:val="clear" w:color="auto" w:fill="auto"/>
            <w:noWrap/>
            <w:vAlign w:val="bottom"/>
            <w:hideMark/>
          </w:tcPr>
          <w:p w14:paraId="4988D140"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Other operating (income)/expense</w:t>
            </w:r>
          </w:p>
        </w:tc>
        <w:tc>
          <w:tcPr>
            <w:tcW w:w="916" w:type="dxa"/>
            <w:tcBorders>
              <w:top w:val="nil"/>
              <w:left w:val="single" w:sz="4" w:space="0" w:color="auto"/>
              <w:bottom w:val="nil"/>
              <w:right w:val="nil"/>
            </w:tcBorders>
            <w:shd w:val="clear" w:color="auto" w:fill="auto"/>
            <w:noWrap/>
            <w:vAlign w:val="bottom"/>
            <w:hideMark/>
          </w:tcPr>
          <w:p w14:paraId="20D057C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(1,439)</w:t>
            </w:r>
          </w:p>
        </w:tc>
        <w:tc>
          <w:tcPr>
            <w:tcW w:w="756" w:type="dxa"/>
            <w:tcBorders>
              <w:top w:val="nil"/>
              <w:left w:val="nil"/>
              <w:bottom w:val="nil"/>
              <w:right w:val="nil"/>
            </w:tcBorders>
            <w:shd w:val="clear" w:color="auto" w:fill="auto"/>
            <w:noWrap/>
            <w:vAlign w:val="bottom"/>
            <w:hideMark/>
          </w:tcPr>
          <w:p w14:paraId="73C4F4E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(99)</w:t>
            </w:r>
          </w:p>
        </w:tc>
        <w:tc>
          <w:tcPr>
            <w:tcW w:w="756" w:type="dxa"/>
            <w:tcBorders>
              <w:top w:val="nil"/>
              <w:left w:val="nil"/>
              <w:bottom w:val="nil"/>
              <w:right w:val="nil"/>
            </w:tcBorders>
            <w:shd w:val="clear" w:color="auto" w:fill="auto"/>
            <w:noWrap/>
            <w:vAlign w:val="bottom"/>
            <w:hideMark/>
          </w:tcPr>
          <w:p w14:paraId="65F3A91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23</w:t>
            </w:r>
          </w:p>
        </w:tc>
        <w:tc>
          <w:tcPr>
            <w:tcW w:w="756" w:type="dxa"/>
            <w:tcBorders>
              <w:top w:val="nil"/>
              <w:left w:val="nil"/>
              <w:bottom w:val="nil"/>
              <w:right w:val="nil"/>
            </w:tcBorders>
            <w:shd w:val="clear" w:color="auto" w:fill="auto"/>
            <w:noWrap/>
            <w:vAlign w:val="bottom"/>
            <w:hideMark/>
          </w:tcPr>
          <w:p w14:paraId="4FABB917"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6</w:t>
            </w:r>
          </w:p>
        </w:tc>
        <w:tc>
          <w:tcPr>
            <w:tcW w:w="756" w:type="dxa"/>
            <w:tcBorders>
              <w:top w:val="nil"/>
              <w:left w:val="single" w:sz="4" w:space="0" w:color="auto"/>
              <w:bottom w:val="nil"/>
              <w:right w:val="nil"/>
            </w:tcBorders>
            <w:shd w:val="clear" w:color="auto" w:fill="auto"/>
            <w:noWrap/>
            <w:vAlign w:val="bottom"/>
            <w:hideMark/>
          </w:tcPr>
          <w:p w14:paraId="09E8955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18</w:t>
            </w:r>
          </w:p>
        </w:tc>
        <w:tc>
          <w:tcPr>
            <w:tcW w:w="756" w:type="dxa"/>
            <w:tcBorders>
              <w:top w:val="nil"/>
              <w:left w:val="nil"/>
              <w:bottom w:val="nil"/>
              <w:right w:val="nil"/>
            </w:tcBorders>
            <w:shd w:val="clear" w:color="auto" w:fill="auto"/>
            <w:noWrap/>
            <w:vAlign w:val="bottom"/>
            <w:hideMark/>
          </w:tcPr>
          <w:p w14:paraId="3AB66A0C"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6</w:t>
            </w:r>
          </w:p>
        </w:tc>
        <w:tc>
          <w:tcPr>
            <w:tcW w:w="222" w:type="dxa"/>
            <w:tcBorders>
              <w:top w:val="nil"/>
              <w:left w:val="nil"/>
              <w:bottom w:val="nil"/>
              <w:right w:val="nil"/>
            </w:tcBorders>
            <w:shd w:val="clear" w:color="auto" w:fill="auto"/>
            <w:noWrap/>
            <w:vAlign w:val="bottom"/>
            <w:hideMark/>
          </w:tcPr>
          <w:p w14:paraId="030F2BB9"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single" w:sz="4" w:space="0" w:color="auto"/>
              <w:right w:val="nil"/>
            </w:tcBorders>
            <w:shd w:val="clear" w:color="auto" w:fill="auto"/>
            <w:noWrap/>
            <w:vAlign w:val="bottom"/>
            <w:hideMark/>
          </w:tcPr>
          <w:p w14:paraId="780D181E"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Other operating (income)/ expense</w:t>
            </w:r>
          </w:p>
        </w:tc>
        <w:tc>
          <w:tcPr>
            <w:tcW w:w="756" w:type="dxa"/>
            <w:tcBorders>
              <w:top w:val="nil"/>
              <w:left w:val="nil"/>
              <w:bottom w:val="single" w:sz="4" w:space="0" w:color="auto"/>
              <w:right w:val="nil"/>
            </w:tcBorders>
            <w:shd w:val="clear" w:color="auto" w:fill="auto"/>
            <w:noWrap/>
            <w:vAlign w:val="bottom"/>
            <w:hideMark/>
          </w:tcPr>
          <w:p w14:paraId="296334C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133</w:t>
            </w:r>
          </w:p>
        </w:tc>
        <w:tc>
          <w:tcPr>
            <w:tcW w:w="756" w:type="dxa"/>
            <w:tcBorders>
              <w:top w:val="nil"/>
              <w:left w:val="nil"/>
              <w:bottom w:val="single" w:sz="4" w:space="0" w:color="auto"/>
              <w:right w:val="nil"/>
            </w:tcBorders>
            <w:shd w:val="clear" w:color="auto" w:fill="auto"/>
            <w:noWrap/>
            <w:vAlign w:val="bottom"/>
            <w:hideMark/>
          </w:tcPr>
          <w:p w14:paraId="5DECAD34"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322</w:t>
            </w:r>
          </w:p>
        </w:tc>
        <w:tc>
          <w:tcPr>
            <w:tcW w:w="756" w:type="dxa"/>
            <w:tcBorders>
              <w:top w:val="nil"/>
              <w:left w:val="nil"/>
              <w:bottom w:val="single" w:sz="4" w:space="0" w:color="auto"/>
              <w:right w:val="nil"/>
            </w:tcBorders>
            <w:shd w:val="clear" w:color="auto" w:fill="auto"/>
            <w:noWrap/>
            <w:vAlign w:val="bottom"/>
            <w:hideMark/>
          </w:tcPr>
          <w:p w14:paraId="5BBD87D8"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73</w:t>
            </w:r>
          </w:p>
        </w:tc>
        <w:tc>
          <w:tcPr>
            <w:tcW w:w="236" w:type="dxa"/>
            <w:tcBorders>
              <w:top w:val="nil"/>
              <w:left w:val="nil"/>
              <w:bottom w:val="nil"/>
              <w:right w:val="single" w:sz="8" w:space="0" w:color="000000"/>
            </w:tcBorders>
            <w:shd w:val="clear" w:color="auto" w:fill="auto"/>
            <w:noWrap/>
            <w:vAlign w:val="bottom"/>
            <w:hideMark/>
          </w:tcPr>
          <w:p w14:paraId="11114F2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(1,509)</w:t>
            </w:r>
          </w:p>
        </w:tc>
        <w:tc>
          <w:tcPr>
            <w:tcW w:w="902" w:type="dxa"/>
            <w:vAlign w:val="center"/>
            <w:hideMark/>
          </w:tcPr>
          <w:p w14:paraId="60162AF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D7A13A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F4FC42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31A8E678" w14:textId="77777777" w:rsidTr="00550648">
        <w:trPr>
          <w:trHeight w:val="129"/>
        </w:trPr>
        <w:tc>
          <w:tcPr>
            <w:tcW w:w="1922" w:type="dxa"/>
            <w:tcBorders>
              <w:top w:val="nil"/>
              <w:left w:val="nil"/>
              <w:bottom w:val="nil"/>
              <w:right w:val="nil"/>
            </w:tcBorders>
            <w:shd w:val="clear" w:color="auto" w:fill="auto"/>
            <w:noWrap/>
            <w:vAlign w:val="bottom"/>
            <w:hideMark/>
          </w:tcPr>
          <w:p w14:paraId="5594945C"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IFRS EBIT ($m)*</w:t>
            </w:r>
          </w:p>
        </w:tc>
        <w:tc>
          <w:tcPr>
            <w:tcW w:w="916" w:type="dxa"/>
            <w:tcBorders>
              <w:top w:val="single" w:sz="4" w:space="0" w:color="auto"/>
              <w:left w:val="single" w:sz="4" w:space="0" w:color="auto"/>
              <w:bottom w:val="nil"/>
              <w:right w:val="nil"/>
            </w:tcBorders>
            <w:shd w:val="clear" w:color="auto" w:fill="auto"/>
            <w:noWrap/>
            <w:vAlign w:val="bottom"/>
            <w:hideMark/>
          </w:tcPr>
          <w:p w14:paraId="400C635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1,442 </w:t>
            </w:r>
          </w:p>
        </w:tc>
        <w:tc>
          <w:tcPr>
            <w:tcW w:w="756" w:type="dxa"/>
            <w:tcBorders>
              <w:top w:val="single" w:sz="4" w:space="0" w:color="auto"/>
              <w:left w:val="nil"/>
              <w:bottom w:val="nil"/>
              <w:right w:val="nil"/>
            </w:tcBorders>
            <w:shd w:val="clear" w:color="auto" w:fill="auto"/>
            <w:noWrap/>
            <w:vAlign w:val="bottom"/>
            <w:hideMark/>
          </w:tcPr>
          <w:p w14:paraId="364CCDB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117 </w:t>
            </w:r>
          </w:p>
        </w:tc>
        <w:tc>
          <w:tcPr>
            <w:tcW w:w="756" w:type="dxa"/>
            <w:tcBorders>
              <w:top w:val="single" w:sz="4" w:space="0" w:color="auto"/>
              <w:left w:val="nil"/>
              <w:bottom w:val="nil"/>
              <w:right w:val="nil"/>
            </w:tcBorders>
            <w:shd w:val="clear" w:color="auto" w:fill="auto"/>
            <w:noWrap/>
            <w:vAlign w:val="bottom"/>
            <w:hideMark/>
          </w:tcPr>
          <w:p w14:paraId="3B7D952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79 </w:t>
            </w:r>
          </w:p>
        </w:tc>
        <w:tc>
          <w:tcPr>
            <w:tcW w:w="756" w:type="dxa"/>
            <w:tcBorders>
              <w:top w:val="single" w:sz="4" w:space="0" w:color="auto"/>
              <w:left w:val="nil"/>
              <w:bottom w:val="nil"/>
              <w:right w:val="nil"/>
            </w:tcBorders>
            <w:shd w:val="clear" w:color="auto" w:fill="auto"/>
            <w:noWrap/>
            <w:vAlign w:val="bottom"/>
            <w:hideMark/>
          </w:tcPr>
          <w:p w14:paraId="5BD04D5D"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83 </w:t>
            </w:r>
          </w:p>
        </w:tc>
        <w:tc>
          <w:tcPr>
            <w:tcW w:w="756" w:type="dxa"/>
            <w:tcBorders>
              <w:top w:val="single" w:sz="4" w:space="0" w:color="auto"/>
              <w:left w:val="single" w:sz="4" w:space="0" w:color="auto"/>
              <w:bottom w:val="nil"/>
              <w:right w:val="nil"/>
            </w:tcBorders>
            <w:shd w:val="clear" w:color="auto" w:fill="auto"/>
            <w:noWrap/>
            <w:vAlign w:val="bottom"/>
            <w:hideMark/>
          </w:tcPr>
          <w:p w14:paraId="6134D23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 </w:t>
            </w:r>
          </w:p>
        </w:tc>
        <w:tc>
          <w:tcPr>
            <w:tcW w:w="756" w:type="dxa"/>
            <w:tcBorders>
              <w:top w:val="single" w:sz="4" w:space="0" w:color="auto"/>
              <w:left w:val="nil"/>
              <w:bottom w:val="nil"/>
              <w:right w:val="nil"/>
            </w:tcBorders>
            <w:shd w:val="clear" w:color="auto" w:fill="auto"/>
            <w:noWrap/>
            <w:vAlign w:val="bottom"/>
            <w:hideMark/>
          </w:tcPr>
          <w:p w14:paraId="42712AE6"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(29)</w:t>
            </w:r>
          </w:p>
        </w:tc>
        <w:tc>
          <w:tcPr>
            <w:tcW w:w="222" w:type="dxa"/>
            <w:tcBorders>
              <w:top w:val="nil"/>
              <w:left w:val="nil"/>
              <w:bottom w:val="nil"/>
              <w:right w:val="nil"/>
            </w:tcBorders>
            <w:shd w:val="clear" w:color="auto" w:fill="auto"/>
            <w:noWrap/>
            <w:vAlign w:val="bottom"/>
            <w:hideMark/>
          </w:tcPr>
          <w:p w14:paraId="0A8785C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p>
        </w:tc>
        <w:tc>
          <w:tcPr>
            <w:tcW w:w="1483" w:type="dxa"/>
            <w:tcBorders>
              <w:top w:val="nil"/>
              <w:left w:val="nil"/>
              <w:bottom w:val="nil"/>
              <w:right w:val="nil"/>
            </w:tcBorders>
            <w:shd w:val="clear" w:color="auto" w:fill="auto"/>
            <w:noWrap/>
            <w:vAlign w:val="bottom"/>
            <w:hideMark/>
          </w:tcPr>
          <w:p w14:paraId="0C2332E7"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IFRS EBIT ($m)</w:t>
            </w:r>
          </w:p>
        </w:tc>
        <w:tc>
          <w:tcPr>
            <w:tcW w:w="756" w:type="dxa"/>
            <w:tcBorders>
              <w:top w:val="nil"/>
              <w:left w:val="nil"/>
              <w:bottom w:val="nil"/>
              <w:right w:val="nil"/>
            </w:tcBorders>
            <w:shd w:val="clear" w:color="auto" w:fill="auto"/>
            <w:noWrap/>
            <w:vAlign w:val="bottom"/>
            <w:hideMark/>
          </w:tcPr>
          <w:p w14:paraId="3D649013"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662 </w:t>
            </w:r>
          </w:p>
        </w:tc>
        <w:tc>
          <w:tcPr>
            <w:tcW w:w="756" w:type="dxa"/>
            <w:tcBorders>
              <w:top w:val="nil"/>
              <w:left w:val="nil"/>
              <w:bottom w:val="nil"/>
              <w:right w:val="nil"/>
            </w:tcBorders>
            <w:shd w:val="clear" w:color="auto" w:fill="auto"/>
            <w:noWrap/>
            <w:vAlign w:val="bottom"/>
            <w:hideMark/>
          </w:tcPr>
          <w:p w14:paraId="55F7FFAB"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440 </w:t>
            </w:r>
          </w:p>
        </w:tc>
        <w:tc>
          <w:tcPr>
            <w:tcW w:w="756" w:type="dxa"/>
            <w:tcBorders>
              <w:top w:val="nil"/>
              <w:left w:val="nil"/>
              <w:bottom w:val="nil"/>
              <w:right w:val="nil"/>
            </w:tcBorders>
            <w:shd w:val="clear" w:color="auto" w:fill="auto"/>
            <w:noWrap/>
            <w:vAlign w:val="bottom"/>
            <w:hideMark/>
          </w:tcPr>
          <w:p w14:paraId="26182A00"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194 </w:t>
            </w:r>
          </w:p>
        </w:tc>
        <w:tc>
          <w:tcPr>
            <w:tcW w:w="236" w:type="dxa"/>
            <w:tcBorders>
              <w:top w:val="single" w:sz="4" w:space="0" w:color="auto"/>
              <w:left w:val="nil"/>
              <w:bottom w:val="nil"/>
              <w:right w:val="single" w:sz="8" w:space="0" w:color="000000"/>
            </w:tcBorders>
            <w:shd w:val="clear" w:color="auto" w:fill="auto"/>
            <w:noWrap/>
            <w:vAlign w:val="bottom"/>
            <w:hideMark/>
          </w:tcPr>
          <w:p w14:paraId="0810048A"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1,721 </w:t>
            </w:r>
          </w:p>
        </w:tc>
        <w:tc>
          <w:tcPr>
            <w:tcW w:w="902" w:type="dxa"/>
            <w:vAlign w:val="center"/>
            <w:hideMark/>
          </w:tcPr>
          <w:p w14:paraId="698AE0F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FE67FB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8BD4FB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097D59" w:rsidRPr="00E139C5" w14:paraId="50820034"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center"/>
            <w:hideMark/>
          </w:tcPr>
          <w:p w14:paraId="379E5725" w14:textId="77777777" w:rsidR="00097D59" w:rsidRPr="00E139C5" w:rsidRDefault="00097D59" w:rsidP="00E139C5">
            <w:pPr>
              <w:spacing w:after="0" w:line="360" w:lineRule="auto"/>
              <w:jc w:val="both"/>
              <w:rPr>
                <w:rFonts w:ascii="Times New Roman" w:eastAsia="Times New Roman" w:hAnsi="Times New Roman" w:cs="Times New Roman"/>
                <w:color w:val="000000"/>
                <w:sz w:val="24"/>
                <w:szCs w:val="24"/>
                <w:lang w:eastAsia="en-GB"/>
              </w:rPr>
            </w:pPr>
            <w:r w:rsidRPr="00E139C5">
              <w:rPr>
                <w:rFonts w:ascii="Times New Roman" w:eastAsia="Times New Roman" w:hAnsi="Times New Roman" w:cs="Times New Roman"/>
                <w:color w:val="000000"/>
                <w:sz w:val="24"/>
                <w:szCs w:val="24"/>
                <w:lang w:eastAsia="en-GB"/>
              </w:rPr>
              <w:t xml:space="preserve">* IFRS EBIT excludes expenses and charges incurred by SBG relating to the acquisition of Arm, for example the remeasurement </w:t>
            </w:r>
          </w:p>
        </w:tc>
      </w:tr>
      <w:tr w:rsidR="00097D59" w:rsidRPr="00E139C5" w14:paraId="358D8384" w14:textId="77777777" w:rsidTr="00550648">
        <w:trPr>
          <w:gridAfter w:val="1"/>
          <w:wAfter w:w="15" w:type="dxa"/>
          <w:trHeight w:val="136"/>
        </w:trPr>
        <w:tc>
          <w:tcPr>
            <w:tcW w:w="12158" w:type="dxa"/>
            <w:gridSpan w:val="16"/>
            <w:tcBorders>
              <w:top w:val="nil"/>
              <w:left w:val="nil"/>
              <w:bottom w:val="single" w:sz="8" w:space="0" w:color="000000"/>
              <w:right w:val="nil"/>
            </w:tcBorders>
            <w:shd w:val="clear" w:color="auto" w:fill="auto"/>
            <w:noWrap/>
            <w:vAlign w:val="bottom"/>
            <w:hideMark/>
          </w:tcPr>
          <w:p w14:paraId="264EBBF6" w14:textId="77777777" w:rsidR="00097D59" w:rsidRPr="00E139C5" w:rsidRDefault="00097D59" w:rsidP="00E139C5">
            <w:pPr>
              <w:spacing w:after="0" w:line="360" w:lineRule="auto"/>
              <w:jc w:val="both"/>
              <w:rPr>
                <w:rFonts w:ascii="Times New Roman" w:eastAsia="Times New Roman" w:hAnsi="Times New Roman" w:cs="Times New Roman"/>
                <w:color w:val="262626"/>
                <w:sz w:val="24"/>
                <w:szCs w:val="24"/>
                <w:lang w:eastAsia="en-GB"/>
              </w:rPr>
            </w:pPr>
            <w:r w:rsidRPr="00E139C5">
              <w:rPr>
                <w:rFonts w:ascii="Times New Roman" w:eastAsia="Times New Roman" w:hAnsi="Times New Roman" w:cs="Times New Roman"/>
                <w:color w:val="262626"/>
                <w:sz w:val="24"/>
                <w:szCs w:val="24"/>
                <w:lang w:eastAsia="en-GB"/>
              </w:rPr>
              <w:t>adjustments relating to business combination, and the amortisation of intangibles related to Arm's acquisition.</w:t>
            </w:r>
          </w:p>
        </w:tc>
      </w:tr>
      <w:tr w:rsidR="00D17616" w:rsidRPr="00E139C5" w14:paraId="028B7736" w14:textId="77777777" w:rsidTr="00550648">
        <w:trPr>
          <w:trHeight w:val="129"/>
        </w:trPr>
        <w:tc>
          <w:tcPr>
            <w:tcW w:w="1922" w:type="dxa"/>
            <w:tcBorders>
              <w:top w:val="nil"/>
              <w:left w:val="nil"/>
              <w:bottom w:val="nil"/>
              <w:right w:val="nil"/>
            </w:tcBorders>
            <w:shd w:val="clear" w:color="auto" w:fill="auto"/>
            <w:noWrap/>
            <w:vAlign w:val="bottom"/>
            <w:hideMark/>
          </w:tcPr>
          <w:p w14:paraId="10FB2CCF" w14:textId="77777777" w:rsidR="00097D59" w:rsidRPr="00E139C5" w:rsidRDefault="00097D59" w:rsidP="00E139C5">
            <w:pPr>
              <w:spacing w:after="0" w:line="360" w:lineRule="auto"/>
              <w:jc w:val="both"/>
              <w:rPr>
                <w:rFonts w:ascii="Times New Roman" w:eastAsia="Times New Roman" w:hAnsi="Times New Roman" w:cs="Times New Roman"/>
                <w:b/>
                <w:bCs/>
                <w:color w:val="000000"/>
                <w:sz w:val="24"/>
                <w:szCs w:val="24"/>
                <w:lang w:eastAsia="en-GB"/>
              </w:rPr>
            </w:pPr>
          </w:p>
        </w:tc>
        <w:tc>
          <w:tcPr>
            <w:tcW w:w="916" w:type="dxa"/>
            <w:tcBorders>
              <w:top w:val="nil"/>
              <w:left w:val="nil"/>
              <w:bottom w:val="nil"/>
              <w:right w:val="nil"/>
            </w:tcBorders>
            <w:shd w:val="clear" w:color="auto" w:fill="auto"/>
            <w:noWrap/>
            <w:vAlign w:val="bottom"/>
            <w:hideMark/>
          </w:tcPr>
          <w:p w14:paraId="0EF2AA1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E74D4C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312CF2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3A0BE6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8B4CBE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AFF6B8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43CC272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0A07D81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9F9D60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094A50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18CF41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277DB0D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1BF5D35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0B9830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27E475E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4F34B04" w14:textId="77777777" w:rsidTr="00550648">
        <w:trPr>
          <w:trHeight w:val="136"/>
        </w:trPr>
        <w:tc>
          <w:tcPr>
            <w:tcW w:w="1922" w:type="dxa"/>
            <w:tcBorders>
              <w:top w:val="nil"/>
              <w:left w:val="nil"/>
              <w:bottom w:val="nil"/>
              <w:right w:val="nil"/>
            </w:tcBorders>
            <w:shd w:val="clear" w:color="000000" w:fill="5B9BD5"/>
            <w:noWrap/>
            <w:vAlign w:val="bottom"/>
            <w:hideMark/>
          </w:tcPr>
          <w:p w14:paraId="3B68FBC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 xml:space="preserve">Non-Financial Data </w:t>
            </w:r>
          </w:p>
        </w:tc>
        <w:tc>
          <w:tcPr>
            <w:tcW w:w="916" w:type="dxa"/>
            <w:tcBorders>
              <w:top w:val="nil"/>
              <w:left w:val="nil"/>
              <w:bottom w:val="nil"/>
              <w:right w:val="nil"/>
            </w:tcBorders>
            <w:shd w:val="clear" w:color="000000" w:fill="5B9BD5"/>
            <w:noWrap/>
            <w:vAlign w:val="bottom"/>
            <w:hideMark/>
          </w:tcPr>
          <w:p w14:paraId="458EEA3D"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16BD0FD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6E14566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1D42D3C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27C45663"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3232D18F"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222" w:type="dxa"/>
            <w:tcBorders>
              <w:top w:val="nil"/>
              <w:left w:val="nil"/>
              <w:bottom w:val="nil"/>
              <w:right w:val="nil"/>
            </w:tcBorders>
            <w:shd w:val="clear" w:color="auto" w:fill="auto"/>
            <w:noWrap/>
            <w:vAlign w:val="bottom"/>
            <w:hideMark/>
          </w:tcPr>
          <w:p w14:paraId="629E1A43"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p>
        </w:tc>
        <w:tc>
          <w:tcPr>
            <w:tcW w:w="1483" w:type="dxa"/>
            <w:tcBorders>
              <w:top w:val="nil"/>
              <w:left w:val="nil"/>
              <w:bottom w:val="nil"/>
              <w:right w:val="nil"/>
            </w:tcBorders>
            <w:shd w:val="clear" w:color="000000" w:fill="5B9BD5"/>
            <w:noWrap/>
            <w:vAlign w:val="bottom"/>
            <w:hideMark/>
          </w:tcPr>
          <w:p w14:paraId="666268D6"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 xml:space="preserve">Non-Financial Data </w:t>
            </w:r>
          </w:p>
        </w:tc>
        <w:tc>
          <w:tcPr>
            <w:tcW w:w="756" w:type="dxa"/>
            <w:tcBorders>
              <w:top w:val="nil"/>
              <w:left w:val="nil"/>
              <w:bottom w:val="nil"/>
              <w:right w:val="nil"/>
            </w:tcBorders>
            <w:shd w:val="clear" w:color="000000" w:fill="5B9BD5"/>
            <w:noWrap/>
            <w:vAlign w:val="bottom"/>
            <w:hideMark/>
          </w:tcPr>
          <w:p w14:paraId="685CB42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47792BC4"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756" w:type="dxa"/>
            <w:tcBorders>
              <w:top w:val="nil"/>
              <w:left w:val="nil"/>
              <w:bottom w:val="nil"/>
              <w:right w:val="nil"/>
            </w:tcBorders>
            <w:shd w:val="clear" w:color="000000" w:fill="5B9BD5"/>
            <w:noWrap/>
            <w:vAlign w:val="bottom"/>
            <w:hideMark/>
          </w:tcPr>
          <w:p w14:paraId="0E90DCF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236" w:type="dxa"/>
            <w:tcBorders>
              <w:top w:val="nil"/>
              <w:left w:val="nil"/>
              <w:bottom w:val="nil"/>
              <w:right w:val="nil"/>
            </w:tcBorders>
            <w:shd w:val="clear" w:color="000000" w:fill="5B9BD5"/>
            <w:noWrap/>
            <w:vAlign w:val="bottom"/>
            <w:hideMark/>
          </w:tcPr>
          <w:p w14:paraId="667AA721"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w:t>
            </w:r>
          </w:p>
        </w:tc>
        <w:tc>
          <w:tcPr>
            <w:tcW w:w="902" w:type="dxa"/>
            <w:vAlign w:val="center"/>
            <w:hideMark/>
          </w:tcPr>
          <w:p w14:paraId="0A6A994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3687B93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FD8A30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7775FFCF" w14:textId="77777777" w:rsidTr="00550648">
        <w:trPr>
          <w:trHeight w:val="129"/>
        </w:trPr>
        <w:tc>
          <w:tcPr>
            <w:tcW w:w="1922" w:type="dxa"/>
            <w:tcBorders>
              <w:top w:val="nil"/>
              <w:left w:val="nil"/>
              <w:bottom w:val="nil"/>
              <w:right w:val="nil"/>
            </w:tcBorders>
            <w:shd w:val="clear" w:color="000000" w:fill="5B9BD5"/>
            <w:noWrap/>
            <w:vAlign w:val="bottom"/>
            <w:hideMark/>
          </w:tcPr>
          <w:p w14:paraId="04919B85"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Calendar years</w:t>
            </w:r>
          </w:p>
        </w:tc>
        <w:tc>
          <w:tcPr>
            <w:tcW w:w="916" w:type="dxa"/>
            <w:tcBorders>
              <w:top w:val="single" w:sz="8" w:space="0" w:color="FFFFFF"/>
              <w:left w:val="single" w:sz="4" w:space="0" w:color="FFFFFF"/>
              <w:bottom w:val="nil"/>
              <w:right w:val="single" w:sz="8" w:space="0" w:color="FFFFFF"/>
            </w:tcBorders>
            <w:shd w:val="clear" w:color="000000" w:fill="5B9BD5"/>
            <w:noWrap/>
            <w:vAlign w:val="bottom"/>
            <w:hideMark/>
          </w:tcPr>
          <w:p w14:paraId="6107E03B"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single" w:sz="8" w:space="0" w:color="FFFFFF"/>
              <w:left w:val="single" w:sz="4" w:space="0" w:color="FFFFFF"/>
              <w:bottom w:val="nil"/>
              <w:right w:val="single" w:sz="8" w:space="0" w:color="FFFFFF"/>
            </w:tcBorders>
            <w:shd w:val="clear" w:color="000000" w:fill="5B9BD5"/>
            <w:noWrap/>
            <w:vAlign w:val="bottom"/>
            <w:hideMark/>
          </w:tcPr>
          <w:p w14:paraId="06322A0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single" w:sz="8" w:space="0" w:color="FFFFFF"/>
              <w:left w:val="single" w:sz="4" w:space="0" w:color="FFFFFF"/>
              <w:bottom w:val="nil"/>
              <w:right w:val="single" w:sz="8" w:space="0" w:color="FFFFFF"/>
            </w:tcBorders>
            <w:shd w:val="clear" w:color="000000" w:fill="5B9BD5"/>
            <w:noWrap/>
            <w:vAlign w:val="bottom"/>
            <w:hideMark/>
          </w:tcPr>
          <w:p w14:paraId="4D82116C"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single" w:sz="8" w:space="0" w:color="FFFFFF"/>
              <w:left w:val="single" w:sz="4" w:space="0" w:color="FFFFFF"/>
              <w:bottom w:val="nil"/>
              <w:right w:val="single" w:sz="8" w:space="0" w:color="FFFFFF"/>
            </w:tcBorders>
            <w:shd w:val="clear" w:color="000000" w:fill="5B9BD5"/>
            <w:noWrap/>
            <w:vAlign w:val="bottom"/>
            <w:hideMark/>
          </w:tcPr>
          <w:p w14:paraId="11E34AC2"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2019</w:t>
            </w:r>
          </w:p>
        </w:tc>
        <w:tc>
          <w:tcPr>
            <w:tcW w:w="756" w:type="dxa"/>
            <w:tcBorders>
              <w:top w:val="single" w:sz="8" w:space="0" w:color="FFFFFF"/>
              <w:left w:val="single" w:sz="4" w:space="0" w:color="FFFFFF"/>
              <w:bottom w:val="nil"/>
              <w:right w:val="single" w:sz="8" w:space="0" w:color="FFFFFF"/>
            </w:tcBorders>
            <w:shd w:val="clear" w:color="000000" w:fill="9BC2E6"/>
            <w:noWrap/>
            <w:vAlign w:val="bottom"/>
            <w:hideMark/>
          </w:tcPr>
          <w:p w14:paraId="57B7A4E1"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756" w:type="dxa"/>
            <w:tcBorders>
              <w:top w:val="single" w:sz="8" w:space="0" w:color="FFFFFF"/>
              <w:left w:val="single" w:sz="4" w:space="0" w:color="FFFFFF"/>
              <w:bottom w:val="nil"/>
              <w:right w:val="nil"/>
            </w:tcBorders>
            <w:shd w:val="clear" w:color="000000" w:fill="9BC2E6"/>
            <w:noWrap/>
            <w:vAlign w:val="bottom"/>
            <w:hideMark/>
          </w:tcPr>
          <w:p w14:paraId="3B3D329E"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222" w:type="dxa"/>
            <w:tcBorders>
              <w:top w:val="nil"/>
              <w:left w:val="nil"/>
              <w:bottom w:val="nil"/>
              <w:right w:val="nil"/>
            </w:tcBorders>
            <w:shd w:val="clear" w:color="auto" w:fill="auto"/>
            <w:noWrap/>
            <w:vAlign w:val="bottom"/>
            <w:hideMark/>
          </w:tcPr>
          <w:p w14:paraId="35CB99F0"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nil"/>
            </w:tcBorders>
            <w:shd w:val="clear" w:color="auto" w:fill="auto"/>
            <w:noWrap/>
            <w:vAlign w:val="bottom"/>
            <w:hideMark/>
          </w:tcPr>
          <w:p w14:paraId="5EDD4B0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A951AC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530EAB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0A9E8B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41528E9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1734773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2CF573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7750F28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C10F9AA" w14:textId="77777777" w:rsidTr="00550648">
        <w:trPr>
          <w:trHeight w:val="129"/>
        </w:trPr>
        <w:tc>
          <w:tcPr>
            <w:tcW w:w="1922" w:type="dxa"/>
            <w:tcBorders>
              <w:top w:val="nil"/>
              <w:left w:val="nil"/>
              <w:bottom w:val="single" w:sz="4" w:space="0" w:color="FFFFFF"/>
              <w:right w:val="single" w:sz="8" w:space="0" w:color="FFFFFF"/>
            </w:tcBorders>
            <w:shd w:val="clear" w:color="000000" w:fill="5B9BD5"/>
            <w:noWrap/>
            <w:vAlign w:val="bottom"/>
            <w:hideMark/>
          </w:tcPr>
          <w:p w14:paraId="04E39A52"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Calendar quarters</w:t>
            </w:r>
          </w:p>
        </w:tc>
        <w:tc>
          <w:tcPr>
            <w:tcW w:w="916" w:type="dxa"/>
            <w:tcBorders>
              <w:top w:val="nil"/>
              <w:left w:val="nil"/>
              <w:bottom w:val="single" w:sz="4" w:space="0" w:color="FFFFFF"/>
              <w:right w:val="single" w:sz="8" w:space="0" w:color="FFFFFF"/>
            </w:tcBorders>
            <w:shd w:val="clear" w:color="000000" w:fill="5B9BD5"/>
            <w:noWrap/>
            <w:vAlign w:val="bottom"/>
            <w:hideMark/>
          </w:tcPr>
          <w:p w14:paraId="2AA3E17B"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Q2</w:t>
            </w:r>
          </w:p>
        </w:tc>
        <w:tc>
          <w:tcPr>
            <w:tcW w:w="756" w:type="dxa"/>
            <w:tcBorders>
              <w:top w:val="nil"/>
              <w:left w:val="nil"/>
              <w:bottom w:val="single" w:sz="4" w:space="0" w:color="FFFFFF"/>
              <w:right w:val="single" w:sz="8" w:space="0" w:color="FFFFFF"/>
            </w:tcBorders>
            <w:shd w:val="clear" w:color="000000" w:fill="5B9BD5"/>
            <w:noWrap/>
            <w:vAlign w:val="bottom"/>
            <w:hideMark/>
          </w:tcPr>
          <w:p w14:paraId="6C0DED2B"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Q3</w:t>
            </w:r>
          </w:p>
        </w:tc>
        <w:tc>
          <w:tcPr>
            <w:tcW w:w="756" w:type="dxa"/>
            <w:tcBorders>
              <w:top w:val="nil"/>
              <w:left w:val="nil"/>
              <w:bottom w:val="single" w:sz="4" w:space="0" w:color="FFFFFF"/>
              <w:right w:val="single" w:sz="8" w:space="0" w:color="FFFFFF"/>
            </w:tcBorders>
            <w:shd w:val="clear" w:color="000000" w:fill="5B9BD5"/>
            <w:noWrap/>
            <w:vAlign w:val="bottom"/>
            <w:hideMark/>
          </w:tcPr>
          <w:p w14:paraId="6D50816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Q4</w:t>
            </w:r>
          </w:p>
        </w:tc>
        <w:tc>
          <w:tcPr>
            <w:tcW w:w="756" w:type="dxa"/>
            <w:tcBorders>
              <w:top w:val="nil"/>
              <w:left w:val="nil"/>
              <w:bottom w:val="single" w:sz="4" w:space="0" w:color="FFFFFF"/>
              <w:right w:val="single" w:sz="8" w:space="0" w:color="FFFFFF"/>
            </w:tcBorders>
            <w:shd w:val="clear" w:color="000000" w:fill="5B9BD5"/>
            <w:noWrap/>
            <w:vAlign w:val="bottom"/>
            <w:hideMark/>
          </w:tcPr>
          <w:p w14:paraId="448062B2"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Q1</w:t>
            </w:r>
          </w:p>
        </w:tc>
        <w:tc>
          <w:tcPr>
            <w:tcW w:w="756" w:type="dxa"/>
            <w:tcBorders>
              <w:top w:val="nil"/>
              <w:left w:val="single" w:sz="4" w:space="0" w:color="FFFFFF"/>
              <w:bottom w:val="single" w:sz="4" w:space="0" w:color="FFFFFF"/>
              <w:right w:val="single" w:sz="8" w:space="0" w:color="FFFFFF"/>
            </w:tcBorders>
            <w:shd w:val="clear" w:color="000000" w:fill="9BC2E6"/>
            <w:noWrap/>
            <w:vAlign w:val="bottom"/>
            <w:hideMark/>
          </w:tcPr>
          <w:p w14:paraId="0C571544"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Q2</w:t>
            </w:r>
          </w:p>
        </w:tc>
        <w:tc>
          <w:tcPr>
            <w:tcW w:w="756" w:type="dxa"/>
            <w:tcBorders>
              <w:top w:val="nil"/>
              <w:left w:val="single" w:sz="4" w:space="0" w:color="FFFFFF"/>
              <w:bottom w:val="single" w:sz="4" w:space="0" w:color="FFFFFF"/>
              <w:right w:val="nil"/>
            </w:tcBorders>
            <w:shd w:val="clear" w:color="000000" w:fill="9BC2E6"/>
            <w:noWrap/>
            <w:vAlign w:val="bottom"/>
            <w:hideMark/>
          </w:tcPr>
          <w:p w14:paraId="03D799F0"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Q3</w:t>
            </w:r>
          </w:p>
        </w:tc>
        <w:tc>
          <w:tcPr>
            <w:tcW w:w="222" w:type="dxa"/>
            <w:tcBorders>
              <w:top w:val="nil"/>
              <w:left w:val="nil"/>
              <w:bottom w:val="nil"/>
              <w:right w:val="nil"/>
            </w:tcBorders>
            <w:shd w:val="clear" w:color="auto" w:fill="auto"/>
            <w:noWrap/>
            <w:vAlign w:val="bottom"/>
            <w:hideMark/>
          </w:tcPr>
          <w:p w14:paraId="01394390"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nil"/>
            </w:tcBorders>
            <w:shd w:val="clear" w:color="auto" w:fill="auto"/>
            <w:noWrap/>
            <w:vAlign w:val="bottom"/>
            <w:hideMark/>
          </w:tcPr>
          <w:p w14:paraId="0CE1A7B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7EB8DA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2A69FF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D53A9C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4DA562C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5CCC4A0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441F76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1BC9E4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2EE3A6A1" w14:textId="77777777" w:rsidTr="00550648">
        <w:trPr>
          <w:trHeight w:val="129"/>
        </w:trPr>
        <w:tc>
          <w:tcPr>
            <w:tcW w:w="1922" w:type="dxa"/>
            <w:tcBorders>
              <w:top w:val="nil"/>
              <w:left w:val="nil"/>
              <w:bottom w:val="nil"/>
              <w:right w:val="single" w:sz="8" w:space="0" w:color="FFFFFF"/>
            </w:tcBorders>
            <w:shd w:val="clear" w:color="000000" w:fill="5B9BD5"/>
            <w:noWrap/>
            <w:vAlign w:val="bottom"/>
            <w:hideMark/>
          </w:tcPr>
          <w:p w14:paraId="0246A98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SoftBank years</w:t>
            </w:r>
          </w:p>
        </w:tc>
        <w:tc>
          <w:tcPr>
            <w:tcW w:w="916" w:type="dxa"/>
            <w:tcBorders>
              <w:top w:val="nil"/>
              <w:left w:val="nil"/>
              <w:bottom w:val="nil"/>
              <w:right w:val="single" w:sz="8" w:space="0" w:color="FFFFFF"/>
            </w:tcBorders>
            <w:shd w:val="clear" w:color="000000" w:fill="5B9BD5"/>
            <w:noWrap/>
            <w:vAlign w:val="bottom"/>
            <w:hideMark/>
          </w:tcPr>
          <w:p w14:paraId="6BE17CEC"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nil"/>
              <w:bottom w:val="nil"/>
              <w:right w:val="single" w:sz="8" w:space="0" w:color="FFFFFF"/>
            </w:tcBorders>
            <w:shd w:val="clear" w:color="000000" w:fill="5B9BD5"/>
            <w:noWrap/>
            <w:vAlign w:val="bottom"/>
            <w:hideMark/>
          </w:tcPr>
          <w:p w14:paraId="4482596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nil"/>
              <w:bottom w:val="nil"/>
              <w:right w:val="single" w:sz="8" w:space="0" w:color="FFFFFF"/>
            </w:tcBorders>
            <w:shd w:val="clear" w:color="000000" w:fill="5B9BD5"/>
            <w:noWrap/>
            <w:vAlign w:val="bottom"/>
            <w:hideMark/>
          </w:tcPr>
          <w:p w14:paraId="57ABC184"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nil"/>
              <w:bottom w:val="nil"/>
              <w:right w:val="single" w:sz="8" w:space="0" w:color="FFFFFF"/>
            </w:tcBorders>
            <w:shd w:val="clear" w:color="000000" w:fill="5B9BD5"/>
            <w:noWrap/>
            <w:vAlign w:val="bottom"/>
            <w:hideMark/>
          </w:tcPr>
          <w:p w14:paraId="732BD8A4"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756" w:type="dxa"/>
            <w:tcBorders>
              <w:top w:val="nil"/>
              <w:left w:val="single" w:sz="4" w:space="0" w:color="FFFFFF"/>
              <w:bottom w:val="nil"/>
              <w:right w:val="single" w:sz="8" w:space="0" w:color="FFFFFF"/>
            </w:tcBorders>
            <w:shd w:val="clear" w:color="000000" w:fill="9BC2E6"/>
            <w:noWrap/>
            <w:vAlign w:val="bottom"/>
            <w:hideMark/>
          </w:tcPr>
          <w:p w14:paraId="7422F6CC"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756" w:type="dxa"/>
            <w:tcBorders>
              <w:top w:val="nil"/>
              <w:left w:val="single" w:sz="4" w:space="0" w:color="FFFFFF"/>
              <w:bottom w:val="nil"/>
              <w:right w:val="nil"/>
            </w:tcBorders>
            <w:shd w:val="clear" w:color="000000" w:fill="9BC2E6"/>
            <w:noWrap/>
            <w:vAlign w:val="bottom"/>
            <w:hideMark/>
          </w:tcPr>
          <w:p w14:paraId="7C62ED9C"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2019</w:t>
            </w:r>
          </w:p>
        </w:tc>
        <w:tc>
          <w:tcPr>
            <w:tcW w:w="222" w:type="dxa"/>
            <w:tcBorders>
              <w:top w:val="nil"/>
              <w:left w:val="nil"/>
              <w:bottom w:val="nil"/>
              <w:right w:val="nil"/>
            </w:tcBorders>
            <w:shd w:val="clear" w:color="auto" w:fill="auto"/>
            <w:noWrap/>
            <w:vAlign w:val="bottom"/>
            <w:hideMark/>
          </w:tcPr>
          <w:p w14:paraId="7A428376"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nil"/>
              <w:right w:val="single" w:sz="8" w:space="0" w:color="FFFFFF"/>
            </w:tcBorders>
            <w:shd w:val="clear" w:color="000000" w:fill="5B9BD5"/>
            <w:noWrap/>
            <w:vAlign w:val="bottom"/>
            <w:hideMark/>
          </w:tcPr>
          <w:p w14:paraId="64BA479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SoftBank years</w:t>
            </w:r>
          </w:p>
        </w:tc>
        <w:tc>
          <w:tcPr>
            <w:tcW w:w="756" w:type="dxa"/>
            <w:tcBorders>
              <w:top w:val="single" w:sz="4" w:space="0" w:color="FFFFFF"/>
              <w:left w:val="nil"/>
              <w:bottom w:val="nil"/>
              <w:right w:val="single" w:sz="4" w:space="0" w:color="FFFFFF"/>
            </w:tcBorders>
            <w:shd w:val="clear" w:color="000000" w:fill="9BC2E6"/>
            <w:noWrap/>
            <w:vAlign w:val="bottom"/>
            <w:hideMark/>
          </w:tcPr>
          <w:p w14:paraId="59586FB3"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2015</w:t>
            </w:r>
          </w:p>
        </w:tc>
        <w:tc>
          <w:tcPr>
            <w:tcW w:w="756" w:type="dxa"/>
            <w:tcBorders>
              <w:top w:val="nil"/>
              <w:left w:val="single" w:sz="8" w:space="0" w:color="FFFFFF"/>
              <w:bottom w:val="nil"/>
              <w:right w:val="single" w:sz="4" w:space="0" w:color="FFFFFF"/>
            </w:tcBorders>
            <w:shd w:val="clear" w:color="000000" w:fill="5B9BD5"/>
            <w:noWrap/>
            <w:vAlign w:val="bottom"/>
            <w:hideMark/>
          </w:tcPr>
          <w:p w14:paraId="30C200B1"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2016</w:t>
            </w:r>
          </w:p>
        </w:tc>
        <w:tc>
          <w:tcPr>
            <w:tcW w:w="756" w:type="dxa"/>
            <w:tcBorders>
              <w:top w:val="single" w:sz="4" w:space="0" w:color="FFFFFF"/>
              <w:left w:val="nil"/>
              <w:bottom w:val="nil"/>
              <w:right w:val="single" w:sz="4" w:space="0" w:color="FFFFFF"/>
            </w:tcBorders>
            <w:shd w:val="clear" w:color="000000" w:fill="9BC2E6"/>
            <w:noWrap/>
            <w:vAlign w:val="bottom"/>
            <w:hideMark/>
          </w:tcPr>
          <w:p w14:paraId="1DA157E6"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2017</w:t>
            </w:r>
          </w:p>
        </w:tc>
        <w:tc>
          <w:tcPr>
            <w:tcW w:w="236" w:type="dxa"/>
            <w:tcBorders>
              <w:top w:val="nil"/>
              <w:left w:val="single" w:sz="8" w:space="0" w:color="FFFFFF"/>
              <w:bottom w:val="nil"/>
              <w:right w:val="single" w:sz="4" w:space="0" w:color="FFFFFF"/>
            </w:tcBorders>
            <w:shd w:val="clear" w:color="000000" w:fill="5B9BD5"/>
            <w:noWrap/>
            <w:vAlign w:val="bottom"/>
            <w:hideMark/>
          </w:tcPr>
          <w:p w14:paraId="51B5E4FA"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2018</w:t>
            </w:r>
          </w:p>
        </w:tc>
        <w:tc>
          <w:tcPr>
            <w:tcW w:w="902" w:type="dxa"/>
            <w:vAlign w:val="center"/>
            <w:hideMark/>
          </w:tcPr>
          <w:p w14:paraId="4A1E1D2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051C60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C25BD7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E68725C" w14:textId="77777777" w:rsidTr="00550648">
        <w:trPr>
          <w:trHeight w:val="136"/>
        </w:trPr>
        <w:tc>
          <w:tcPr>
            <w:tcW w:w="1922" w:type="dxa"/>
            <w:tcBorders>
              <w:top w:val="nil"/>
              <w:left w:val="nil"/>
              <w:bottom w:val="single" w:sz="8" w:space="0" w:color="FFFFFF"/>
              <w:right w:val="single" w:sz="8" w:space="0" w:color="FFFFFF"/>
            </w:tcBorders>
            <w:shd w:val="clear" w:color="000000" w:fill="5B9BD5"/>
            <w:noWrap/>
            <w:vAlign w:val="bottom"/>
            <w:hideMark/>
          </w:tcPr>
          <w:p w14:paraId="6E7C2928"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bookmarkStart w:id="25" w:name="_Hlk39441420"/>
            <w:r w:rsidRPr="00E139C5">
              <w:rPr>
                <w:rFonts w:ascii="Times New Roman" w:eastAsia="Times New Roman" w:hAnsi="Times New Roman" w:cs="Times New Roman"/>
                <w:b/>
                <w:bCs/>
                <w:color w:val="FFFFFF"/>
                <w:sz w:val="24"/>
                <w:szCs w:val="24"/>
                <w:lang w:eastAsia="en-GB"/>
              </w:rPr>
              <w:t>SoftBank quarters</w:t>
            </w:r>
          </w:p>
        </w:tc>
        <w:tc>
          <w:tcPr>
            <w:tcW w:w="916" w:type="dxa"/>
            <w:tcBorders>
              <w:top w:val="nil"/>
              <w:left w:val="nil"/>
              <w:bottom w:val="single" w:sz="4" w:space="0" w:color="FFFFFF"/>
              <w:right w:val="single" w:sz="8" w:space="0" w:color="FFFFFF"/>
            </w:tcBorders>
            <w:shd w:val="clear" w:color="000000" w:fill="5B9BD5"/>
            <w:noWrap/>
            <w:vAlign w:val="bottom"/>
            <w:hideMark/>
          </w:tcPr>
          <w:p w14:paraId="2C43C5FD"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Q1</w:t>
            </w:r>
          </w:p>
        </w:tc>
        <w:tc>
          <w:tcPr>
            <w:tcW w:w="756" w:type="dxa"/>
            <w:tcBorders>
              <w:top w:val="nil"/>
              <w:left w:val="nil"/>
              <w:bottom w:val="single" w:sz="4" w:space="0" w:color="FFFFFF"/>
              <w:right w:val="single" w:sz="8" w:space="0" w:color="FFFFFF"/>
            </w:tcBorders>
            <w:shd w:val="clear" w:color="000000" w:fill="5B9BD5"/>
            <w:noWrap/>
            <w:vAlign w:val="bottom"/>
            <w:hideMark/>
          </w:tcPr>
          <w:p w14:paraId="3F0F4876"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Q2</w:t>
            </w:r>
          </w:p>
        </w:tc>
        <w:tc>
          <w:tcPr>
            <w:tcW w:w="756" w:type="dxa"/>
            <w:tcBorders>
              <w:top w:val="nil"/>
              <w:left w:val="nil"/>
              <w:bottom w:val="single" w:sz="4" w:space="0" w:color="FFFFFF"/>
              <w:right w:val="single" w:sz="8" w:space="0" w:color="FFFFFF"/>
            </w:tcBorders>
            <w:shd w:val="clear" w:color="000000" w:fill="5B9BD5"/>
            <w:noWrap/>
            <w:vAlign w:val="bottom"/>
            <w:hideMark/>
          </w:tcPr>
          <w:p w14:paraId="485BB0A2"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Q3</w:t>
            </w:r>
          </w:p>
        </w:tc>
        <w:tc>
          <w:tcPr>
            <w:tcW w:w="756" w:type="dxa"/>
            <w:tcBorders>
              <w:top w:val="nil"/>
              <w:left w:val="nil"/>
              <w:bottom w:val="single" w:sz="4" w:space="0" w:color="FFFFFF"/>
              <w:right w:val="single" w:sz="8" w:space="0" w:color="FFFFFF"/>
            </w:tcBorders>
            <w:shd w:val="clear" w:color="000000" w:fill="5B9BD5"/>
            <w:noWrap/>
            <w:vAlign w:val="bottom"/>
            <w:hideMark/>
          </w:tcPr>
          <w:p w14:paraId="0094018F"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Q4</w:t>
            </w:r>
          </w:p>
        </w:tc>
        <w:tc>
          <w:tcPr>
            <w:tcW w:w="756" w:type="dxa"/>
            <w:tcBorders>
              <w:top w:val="nil"/>
              <w:left w:val="single" w:sz="4" w:space="0" w:color="FFFFFF"/>
              <w:bottom w:val="single" w:sz="8" w:space="0" w:color="FFFFFF"/>
              <w:right w:val="single" w:sz="8" w:space="0" w:color="FFFFFF"/>
            </w:tcBorders>
            <w:shd w:val="clear" w:color="000000" w:fill="9BC2E6"/>
            <w:noWrap/>
            <w:vAlign w:val="bottom"/>
            <w:hideMark/>
          </w:tcPr>
          <w:p w14:paraId="490C8219"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Q1</w:t>
            </w:r>
          </w:p>
        </w:tc>
        <w:tc>
          <w:tcPr>
            <w:tcW w:w="756" w:type="dxa"/>
            <w:tcBorders>
              <w:top w:val="nil"/>
              <w:left w:val="single" w:sz="4" w:space="0" w:color="FFFFFF"/>
              <w:bottom w:val="single" w:sz="8" w:space="0" w:color="FFFFFF"/>
              <w:right w:val="nil"/>
            </w:tcBorders>
            <w:shd w:val="clear" w:color="000000" w:fill="9BC2E6"/>
            <w:noWrap/>
            <w:vAlign w:val="bottom"/>
            <w:hideMark/>
          </w:tcPr>
          <w:p w14:paraId="7FE7C6EE"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Q2</w:t>
            </w:r>
          </w:p>
        </w:tc>
        <w:tc>
          <w:tcPr>
            <w:tcW w:w="222" w:type="dxa"/>
            <w:tcBorders>
              <w:top w:val="nil"/>
              <w:left w:val="nil"/>
              <w:bottom w:val="nil"/>
              <w:right w:val="nil"/>
            </w:tcBorders>
            <w:shd w:val="clear" w:color="auto" w:fill="auto"/>
            <w:noWrap/>
            <w:vAlign w:val="bottom"/>
            <w:hideMark/>
          </w:tcPr>
          <w:p w14:paraId="79C7998F"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p>
        </w:tc>
        <w:tc>
          <w:tcPr>
            <w:tcW w:w="1483" w:type="dxa"/>
            <w:tcBorders>
              <w:top w:val="nil"/>
              <w:left w:val="nil"/>
              <w:bottom w:val="single" w:sz="8" w:space="0" w:color="FFFFFF"/>
              <w:right w:val="single" w:sz="8" w:space="0" w:color="FFFFFF"/>
            </w:tcBorders>
            <w:shd w:val="clear" w:color="000000" w:fill="5B9BD5"/>
            <w:noWrap/>
            <w:vAlign w:val="bottom"/>
            <w:hideMark/>
          </w:tcPr>
          <w:p w14:paraId="795B01F3"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 </w:t>
            </w:r>
          </w:p>
        </w:tc>
        <w:tc>
          <w:tcPr>
            <w:tcW w:w="756" w:type="dxa"/>
            <w:tcBorders>
              <w:top w:val="nil"/>
              <w:left w:val="nil"/>
              <w:bottom w:val="single" w:sz="8" w:space="0" w:color="FFFFFF"/>
              <w:right w:val="single" w:sz="4" w:space="0" w:color="FFFFFF"/>
            </w:tcBorders>
            <w:shd w:val="clear" w:color="000000" w:fill="9BC2E6"/>
            <w:noWrap/>
            <w:vAlign w:val="bottom"/>
            <w:hideMark/>
          </w:tcPr>
          <w:p w14:paraId="3366C2FC"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FY</w:t>
            </w:r>
          </w:p>
        </w:tc>
        <w:tc>
          <w:tcPr>
            <w:tcW w:w="756" w:type="dxa"/>
            <w:tcBorders>
              <w:top w:val="nil"/>
              <w:left w:val="single" w:sz="8" w:space="0" w:color="FFFFFF"/>
              <w:bottom w:val="single" w:sz="4" w:space="0" w:color="FFFFFF"/>
              <w:right w:val="single" w:sz="4" w:space="0" w:color="FFFFFF"/>
            </w:tcBorders>
            <w:shd w:val="clear" w:color="000000" w:fill="5B9BD5"/>
            <w:noWrap/>
            <w:vAlign w:val="bottom"/>
            <w:hideMark/>
          </w:tcPr>
          <w:p w14:paraId="08531332"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FY</w:t>
            </w:r>
          </w:p>
        </w:tc>
        <w:tc>
          <w:tcPr>
            <w:tcW w:w="756" w:type="dxa"/>
            <w:tcBorders>
              <w:top w:val="nil"/>
              <w:left w:val="nil"/>
              <w:bottom w:val="single" w:sz="8" w:space="0" w:color="FFFFFF"/>
              <w:right w:val="single" w:sz="4" w:space="0" w:color="FFFFFF"/>
            </w:tcBorders>
            <w:shd w:val="clear" w:color="000000" w:fill="9BC2E6"/>
            <w:noWrap/>
            <w:vAlign w:val="bottom"/>
            <w:hideMark/>
          </w:tcPr>
          <w:p w14:paraId="761409E0" w14:textId="77777777" w:rsidR="00097D59" w:rsidRPr="00E139C5" w:rsidRDefault="00097D59" w:rsidP="00E139C5">
            <w:pPr>
              <w:spacing w:after="0" w:line="360" w:lineRule="auto"/>
              <w:jc w:val="both"/>
              <w:rPr>
                <w:rFonts w:ascii="Times New Roman" w:eastAsia="Times New Roman" w:hAnsi="Times New Roman" w:cs="Times New Roman"/>
                <w:b/>
                <w:bCs/>
                <w:color w:val="262626"/>
                <w:sz w:val="24"/>
                <w:szCs w:val="24"/>
                <w:lang w:eastAsia="en-GB"/>
              </w:rPr>
            </w:pPr>
            <w:r w:rsidRPr="00E139C5">
              <w:rPr>
                <w:rFonts w:ascii="Times New Roman" w:eastAsia="Times New Roman" w:hAnsi="Times New Roman" w:cs="Times New Roman"/>
                <w:b/>
                <w:bCs/>
                <w:color w:val="262626"/>
                <w:sz w:val="24"/>
                <w:szCs w:val="24"/>
                <w:lang w:eastAsia="en-GB"/>
              </w:rPr>
              <w:t>FY</w:t>
            </w:r>
          </w:p>
        </w:tc>
        <w:tc>
          <w:tcPr>
            <w:tcW w:w="236" w:type="dxa"/>
            <w:tcBorders>
              <w:top w:val="nil"/>
              <w:left w:val="single" w:sz="8" w:space="0" w:color="FFFFFF"/>
              <w:bottom w:val="single" w:sz="4" w:space="0" w:color="FFFFFF"/>
              <w:right w:val="single" w:sz="4" w:space="0" w:color="FFFFFF"/>
            </w:tcBorders>
            <w:shd w:val="clear" w:color="000000" w:fill="5B9BD5"/>
            <w:noWrap/>
            <w:vAlign w:val="bottom"/>
            <w:hideMark/>
          </w:tcPr>
          <w:p w14:paraId="79CBD6B9"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r w:rsidRPr="00E139C5">
              <w:rPr>
                <w:rFonts w:ascii="Times New Roman" w:eastAsia="Times New Roman" w:hAnsi="Times New Roman" w:cs="Times New Roman"/>
                <w:b/>
                <w:bCs/>
                <w:color w:val="FFFFFF"/>
                <w:sz w:val="24"/>
                <w:szCs w:val="24"/>
                <w:lang w:eastAsia="en-GB"/>
              </w:rPr>
              <w:t>FY</w:t>
            </w:r>
          </w:p>
        </w:tc>
        <w:tc>
          <w:tcPr>
            <w:tcW w:w="902" w:type="dxa"/>
            <w:vAlign w:val="center"/>
            <w:hideMark/>
          </w:tcPr>
          <w:p w14:paraId="1BF97D4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D46FEC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7A9F6A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F632B3D" w14:textId="77777777" w:rsidTr="00550648">
        <w:trPr>
          <w:trHeight w:val="129"/>
        </w:trPr>
        <w:tc>
          <w:tcPr>
            <w:tcW w:w="1922" w:type="dxa"/>
            <w:tcBorders>
              <w:top w:val="nil"/>
              <w:left w:val="nil"/>
              <w:bottom w:val="nil"/>
              <w:right w:val="nil"/>
            </w:tcBorders>
            <w:shd w:val="clear" w:color="auto" w:fill="auto"/>
            <w:noWrap/>
            <w:vAlign w:val="bottom"/>
            <w:hideMark/>
          </w:tcPr>
          <w:p w14:paraId="57F7F967" w14:textId="77777777" w:rsidR="00097D59" w:rsidRPr="00E139C5" w:rsidRDefault="00097D59" w:rsidP="00E139C5">
            <w:pPr>
              <w:spacing w:after="0" w:line="360" w:lineRule="auto"/>
              <w:jc w:val="both"/>
              <w:rPr>
                <w:rFonts w:ascii="Times New Roman" w:eastAsia="Times New Roman" w:hAnsi="Times New Roman" w:cs="Times New Roman"/>
                <w:b/>
                <w:bCs/>
                <w:color w:val="FFFFFF"/>
                <w:sz w:val="24"/>
                <w:szCs w:val="24"/>
                <w:lang w:eastAsia="en-GB"/>
              </w:rPr>
            </w:pPr>
          </w:p>
        </w:tc>
        <w:tc>
          <w:tcPr>
            <w:tcW w:w="916" w:type="dxa"/>
            <w:tcBorders>
              <w:top w:val="nil"/>
              <w:left w:val="nil"/>
              <w:bottom w:val="nil"/>
              <w:right w:val="nil"/>
            </w:tcBorders>
            <w:shd w:val="clear" w:color="auto" w:fill="auto"/>
            <w:noWrap/>
            <w:vAlign w:val="bottom"/>
            <w:hideMark/>
          </w:tcPr>
          <w:p w14:paraId="5F27D74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67AD07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09BD02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48E269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C6C2DD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D26E67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48647C3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51FEE03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9EB7BD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9FA97E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DA19C7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7BFC08C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0EEA613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0A02C0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2BC7145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17A2960B" w14:textId="77777777" w:rsidTr="00550648">
        <w:trPr>
          <w:trHeight w:val="129"/>
        </w:trPr>
        <w:tc>
          <w:tcPr>
            <w:tcW w:w="1922" w:type="dxa"/>
            <w:tcBorders>
              <w:top w:val="single" w:sz="4" w:space="0" w:color="auto"/>
              <w:left w:val="nil"/>
              <w:bottom w:val="single" w:sz="4" w:space="0" w:color="auto"/>
              <w:right w:val="nil"/>
            </w:tcBorders>
            <w:shd w:val="clear" w:color="auto" w:fill="auto"/>
            <w:noWrap/>
            <w:vAlign w:val="bottom"/>
            <w:hideMark/>
          </w:tcPr>
          <w:p w14:paraId="6A7E8565"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lastRenderedPageBreak/>
              <w:t>Total number of employees</w:t>
            </w:r>
          </w:p>
        </w:tc>
        <w:tc>
          <w:tcPr>
            <w:tcW w:w="916" w:type="dxa"/>
            <w:tcBorders>
              <w:top w:val="single" w:sz="4" w:space="0" w:color="auto"/>
              <w:left w:val="nil"/>
              <w:bottom w:val="single" w:sz="4" w:space="0" w:color="auto"/>
              <w:right w:val="nil"/>
            </w:tcBorders>
            <w:shd w:val="clear" w:color="auto" w:fill="auto"/>
            <w:noWrap/>
            <w:vAlign w:val="bottom"/>
            <w:hideMark/>
          </w:tcPr>
          <w:p w14:paraId="12D0636A"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5,707</w:t>
            </w:r>
          </w:p>
        </w:tc>
        <w:tc>
          <w:tcPr>
            <w:tcW w:w="756" w:type="dxa"/>
            <w:tcBorders>
              <w:top w:val="single" w:sz="4" w:space="0" w:color="auto"/>
              <w:left w:val="nil"/>
              <w:bottom w:val="single" w:sz="4" w:space="0" w:color="auto"/>
              <w:right w:val="nil"/>
            </w:tcBorders>
            <w:shd w:val="clear" w:color="auto" w:fill="auto"/>
            <w:noWrap/>
            <w:vAlign w:val="bottom"/>
            <w:hideMark/>
          </w:tcPr>
          <w:p w14:paraId="5F82865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5,990</w:t>
            </w:r>
          </w:p>
        </w:tc>
        <w:tc>
          <w:tcPr>
            <w:tcW w:w="756" w:type="dxa"/>
            <w:tcBorders>
              <w:top w:val="single" w:sz="4" w:space="0" w:color="auto"/>
              <w:left w:val="nil"/>
              <w:bottom w:val="single" w:sz="4" w:space="0" w:color="auto"/>
              <w:right w:val="nil"/>
            </w:tcBorders>
            <w:shd w:val="clear" w:color="auto" w:fill="auto"/>
            <w:noWrap/>
            <w:vAlign w:val="bottom"/>
            <w:hideMark/>
          </w:tcPr>
          <w:p w14:paraId="2D679CB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5,970</w:t>
            </w:r>
          </w:p>
        </w:tc>
        <w:tc>
          <w:tcPr>
            <w:tcW w:w="756" w:type="dxa"/>
            <w:tcBorders>
              <w:top w:val="single" w:sz="4" w:space="0" w:color="auto"/>
              <w:left w:val="nil"/>
              <w:bottom w:val="single" w:sz="4" w:space="0" w:color="auto"/>
              <w:right w:val="nil"/>
            </w:tcBorders>
            <w:shd w:val="clear" w:color="auto" w:fill="auto"/>
            <w:noWrap/>
            <w:vAlign w:val="bottom"/>
            <w:hideMark/>
          </w:tcPr>
          <w:p w14:paraId="7AF47A76"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5,987</w:t>
            </w:r>
          </w:p>
        </w:tc>
        <w:tc>
          <w:tcPr>
            <w:tcW w:w="756" w:type="dxa"/>
            <w:tcBorders>
              <w:top w:val="single" w:sz="4" w:space="0" w:color="auto"/>
              <w:left w:val="single" w:sz="4" w:space="0" w:color="auto"/>
              <w:bottom w:val="single" w:sz="4" w:space="0" w:color="auto"/>
              <w:right w:val="nil"/>
            </w:tcBorders>
            <w:shd w:val="clear" w:color="auto" w:fill="auto"/>
            <w:noWrap/>
            <w:vAlign w:val="bottom"/>
            <w:hideMark/>
          </w:tcPr>
          <w:p w14:paraId="100AFA7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6,064</w:t>
            </w:r>
          </w:p>
        </w:tc>
        <w:tc>
          <w:tcPr>
            <w:tcW w:w="756" w:type="dxa"/>
            <w:tcBorders>
              <w:top w:val="single" w:sz="4" w:space="0" w:color="auto"/>
              <w:left w:val="nil"/>
              <w:bottom w:val="single" w:sz="4" w:space="0" w:color="auto"/>
              <w:right w:val="nil"/>
            </w:tcBorders>
            <w:shd w:val="clear" w:color="auto" w:fill="auto"/>
            <w:noWrap/>
            <w:vAlign w:val="bottom"/>
            <w:hideMark/>
          </w:tcPr>
          <w:p w14:paraId="1037ECA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6,365</w:t>
            </w:r>
          </w:p>
        </w:tc>
        <w:tc>
          <w:tcPr>
            <w:tcW w:w="222" w:type="dxa"/>
            <w:tcBorders>
              <w:top w:val="nil"/>
              <w:left w:val="nil"/>
              <w:bottom w:val="nil"/>
              <w:right w:val="nil"/>
            </w:tcBorders>
            <w:shd w:val="clear" w:color="auto" w:fill="auto"/>
            <w:noWrap/>
            <w:vAlign w:val="bottom"/>
            <w:hideMark/>
          </w:tcPr>
          <w:p w14:paraId="4C7F278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p>
        </w:tc>
        <w:tc>
          <w:tcPr>
            <w:tcW w:w="1483" w:type="dxa"/>
            <w:tcBorders>
              <w:top w:val="single" w:sz="4" w:space="0" w:color="auto"/>
              <w:left w:val="nil"/>
              <w:bottom w:val="single" w:sz="4" w:space="0" w:color="auto"/>
              <w:right w:val="nil"/>
            </w:tcBorders>
            <w:shd w:val="clear" w:color="auto" w:fill="auto"/>
            <w:noWrap/>
            <w:vAlign w:val="bottom"/>
            <w:hideMark/>
          </w:tcPr>
          <w:p w14:paraId="451B290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Total number of employees</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3E00B42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4,064</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3C0B0245"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4,852</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0D62F85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5,886</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28DD20C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5,987</w:t>
            </w:r>
          </w:p>
        </w:tc>
        <w:tc>
          <w:tcPr>
            <w:tcW w:w="902" w:type="dxa"/>
            <w:vAlign w:val="center"/>
            <w:hideMark/>
          </w:tcPr>
          <w:p w14:paraId="46404F7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C35266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E10052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58DFEBAB" w14:textId="77777777" w:rsidTr="00550648">
        <w:trPr>
          <w:trHeight w:val="129"/>
        </w:trPr>
        <w:tc>
          <w:tcPr>
            <w:tcW w:w="1922" w:type="dxa"/>
            <w:tcBorders>
              <w:top w:val="nil"/>
              <w:left w:val="nil"/>
              <w:bottom w:val="nil"/>
              <w:right w:val="nil"/>
            </w:tcBorders>
            <w:shd w:val="clear" w:color="auto" w:fill="auto"/>
            <w:noWrap/>
            <w:vAlign w:val="bottom"/>
            <w:hideMark/>
          </w:tcPr>
          <w:p w14:paraId="5362D48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Technical staff*</w:t>
            </w:r>
          </w:p>
        </w:tc>
        <w:tc>
          <w:tcPr>
            <w:tcW w:w="916" w:type="dxa"/>
            <w:tcBorders>
              <w:top w:val="nil"/>
              <w:left w:val="nil"/>
              <w:bottom w:val="nil"/>
              <w:right w:val="nil"/>
            </w:tcBorders>
            <w:shd w:val="clear" w:color="auto" w:fill="auto"/>
            <w:noWrap/>
            <w:vAlign w:val="bottom"/>
            <w:hideMark/>
          </w:tcPr>
          <w:p w14:paraId="1180F3A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4,697</w:t>
            </w:r>
          </w:p>
        </w:tc>
        <w:tc>
          <w:tcPr>
            <w:tcW w:w="756" w:type="dxa"/>
            <w:tcBorders>
              <w:top w:val="nil"/>
              <w:left w:val="nil"/>
              <w:bottom w:val="nil"/>
              <w:right w:val="nil"/>
            </w:tcBorders>
            <w:shd w:val="clear" w:color="auto" w:fill="auto"/>
            <w:noWrap/>
            <w:vAlign w:val="bottom"/>
            <w:hideMark/>
          </w:tcPr>
          <w:p w14:paraId="1B10EE2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4,940</w:t>
            </w:r>
          </w:p>
        </w:tc>
        <w:tc>
          <w:tcPr>
            <w:tcW w:w="756" w:type="dxa"/>
            <w:tcBorders>
              <w:top w:val="nil"/>
              <w:left w:val="nil"/>
              <w:bottom w:val="nil"/>
              <w:right w:val="nil"/>
            </w:tcBorders>
            <w:shd w:val="clear" w:color="auto" w:fill="auto"/>
            <w:noWrap/>
            <w:vAlign w:val="bottom"/>
            <w:hideMark/>
          </w:tcPr>
          <w:p w14:paraId="738CC10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4,887</w:t>
            </w:r>
          </w:p>
        </w:tc>
        <w:tc>
          <w:tcPr>
            <w:tcW w:w="756" w:type="dxa"/>
            <w:tcBorders>
              <w:top w:val="nil"/>
              <w:left w:val="nil"/>
              <w:bottom w:val="nil"/>
              <w:right w:val="nil"/>
            </w:tcBorders>
            <w:shd w:val="clear" w:color="auto" w:fill="auto"/>
            <w:noWrap/>
            <w:vAlign w:val="bottom"/>
            <w:hideMark/>
          </w:tcPr>
          <w:p w14:paraId="79D7181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4,858</w:t>
            </w:r>
          </w:p>
        </w:tc>
        <w:tc>
          <w:tcPr>
            <w:tcW w:w="756" w:type="dxa"/>
            <w:tcBorders>
              <w:top w:val="nil"/>
              <w:left w:val="single" w:sz="4" w:space="0" w:color="auto"/>
              <w:bottom w:val="nil"/>
              <w:right w:val="nil"/>
            </w:tcBorders>
            <w:shd w:val="clear" w:color="auto" w:fill="auto"/>
            <w:noWrap/>
            <w:vAlign w:val="bottom"/>
            <w:hideMark/>
          </w:tcPr>
          <w:p w14:paraId="4BC41AA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4,882</w:t>
            </w:r>
          </w:p>
        </w:tc>
        <w:tc>
          <w:tcPr>
            <w:tcW w:w="756" w:type="dxa"/>
            <w:tcBorders>
              <w:top w:val="nil"/>
              <w:left w:val="nil"/>
              <w:bottom w:val="nil"/>
              <w:right w:val="nil"/>
            </w:tcBorders>
            <w:shd w:val="clear" w:color="auto" w:fill="auto"/>
            <w:noWrap/>
            <w:vAlign w:val="bottom"/>
            <w:hideMark/>
          </w:tcPr>
          <w:p w14:paraId="3D401D1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5,126</w:t>
            </w:r>
          </w:p>
        </w:tc>
        <w:tc>
          <w:tcPr>
            <w:tcW w:w="222" w:type="dxa"/>
            <w:tcBorders>
              <w:top w:val="nil"/>
              <w:left w:val="nil"/>
              <w:bottom w:val="nil"/>
              <w:right w:val="nil"/>
            </w:tcBorders>
            <w:shd w:val="clear" w:color="auto" w:fill="auto"/>
            <w:noWrap/>
            <w:vAlign w:val="bottom"/>
            <w:hideMark/>
          </w:tcPr>
          <w:p w14:paraId="5FA9B93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0D32C74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Technical staff</w:t>
            </w:r>
          </w:p>
        </w:tc>
        <w:tc>
          <w:tcPr>
            <w:tcW w:w="756" w:type="dxa"/>
            <w:tcBorders>
              <w:top w:val="nil"/>
              <w:left w:val="nil"/>
              <w:bottom w:val="nil"/>
              <w:right w:val="single" w:sz="4" w:space="0" w:color="auto"/>
            </w:tcBorders>
            <w:shd w:val="clear" w:color="auto" w:fill="auto"/>
            <w:noWrap/>
            <w:vAlign w:val="bottom"/>
            <w:hideMark/>
          </w:tcPr>
          <w:p w14:paraId="70148C6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3,262</w:t>
            </w:r>
          </w:p>
        </w:tc>
        <w:tc>
          <w:tcPr>
            <w:tcW w:w="756" w:type="dxa"/>
            <w:tcBorders>
              <w:top w:val="nil"/>
              <w:left w:val="nil"/>
              <w:bottom w:val="nil"/>
              <w:right w:val="single" w:sz="4" w:space="0" w:color="auto"/>
            </w:tcBorders>
            <w:shd w:val="clear" w:color="auto" w:fill="auto"/>
            <w:noWrap/>
            <w:vAlign w:val="bottom"/>
            <w:hideMark/>
          </w:tcPr>
          <w:p w14:paraId="5F5BCE9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3,960</w:t>
            </w:r>
          </w:p>
        </w:tc>
        <w:tc>
          <w:tcPr>
            <w:tcW w:w="756" w:type="dxa"/>
            <w:tcBorders>
              <w:top w:val="nil"/>
              <w:left w:val="nil"/>
              <w:bottom w:val="nil"/>
              <w:right w:val="single" w:sz="4" w:space="0" w:color="auto"/>
            </w:tcBorders>
            <w:shd w:val="clear" w:color="auto" w:fill="auto"/>
            <w:noWrap/>
            <w:vAlign w:val="bottom"/>
            <w:hideMark/>
          </w:tcPr>
          <w:p w14:paraId="6011827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4,812</w:t>
            </w:r>
          </w:p>
        </w:tc>
        <w:tc>
          <w:tcPr>
            <w:tcW w:w="236" w:type="dxa"/>
            <w:tcBorders>
              <w:top w:val="nil"/>
              <w:left w:val="nil"/>
              <w:bottom w:val="nil"/>
              <w:right w:val="single" w:sz="4" w:space="0" w:color="auto"/>
            </w:tcBorders>
            <w:shd w:val="clear" w:color="auto" w:fill="auto"/>
            <w:noWrap/>
            <w:vAlign w:val="bottom"/>
            <w:hideMark/>
          </w:tcPr>
          <w:p w14:paraId="1AC6387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4,858</w:t>
            </w:r>
          </w:p>
        </w:tc>
        <w:tc>
          <w:tcPr>
            <w:tcW w:w="902" w:type="dxa"/>
            <w:vAlign w:val="center"/>
            <w:hideMark/>
          </w:tcPr>
          <w:p w14:paraId="4170FA0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634E5B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65D6B0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DEBB5CE" w14:textId="77777777" w:rsidTr="00550648">
        <w:trPr>
          <w:trHeight w:val="273"/>
        </w:trPr>
        <w:tc>
          <w:tcPr>
            <w:tcW w:w="1922" w:type="dxa"/>
            <w:tcBorders>
              <w:top w:val="nil"/>
              <w:left w:val="nil"/>
              <w:bottom w:val="nil"/>
              <w:right w:val="nil"/>
            </w:tcBorders>
            <w:shd w:val="clear" w:color="auto" w:fill="auto"/>
            <w:noWrap/>
            <w:vAlign w:val="bottom"/>
            <w:hideMark/>
          </w:tcPr>
          <w:p w14:paraId="2160F03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Non-technical</w:t>
            </w:r>
          </w:p>
        </w:tc>
        <w:tc>
          <w:tcPr>
            <w:tcW w:w="916" w:type="dxa"/>
            <w:tcBorders>
              <w:top w:val="nil"/>
              <w:left w:val="nil"/>
              <w:bottom w:val="nil"/>
              <w:right w:val="nil"/>
            </w:tcBorders>
            <w:shd w:val="clear" w:color="auto" w:fill="auto"/>
            <w:noWrap/>
            <w:vAlign w:val="bottom"/>
            <w:hideMark/>
          </w:tcPr>
          <w:p w14:paraId="1EEB3EF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1,010</w:t>
            </w:r>
          </w:p>
        </w:tc>
        <w:tc>
          <w:tcPr>
            <w:tcW w:w="756" w:type="dxa"/>
            <w:tcBorders>
              <w:top w:val="nil"/>
              <w:left w:val="nil"/>
              <w:bottom w:val="nil"/>
              <w:right w:val="nil"/>
            </w:tcBorders>
            <w:shd w:val="clear" w:color="auto" w:fill="auto"/>
            <w:noWrap/>
            <w:vAlign w:val="bottom"/>
            <w:hideMark/>
          </w:tcPr>
          <w:p w14:paraId="41DABE2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1,050</w:t>
            </w:r>
          </w:p>
        </w:tc>
        <w:tc>
          <w:tcPr>
            <w:tcW w:w="756" w:type="dxa"/>
            <w:tcBorders>
              <w:top w:val="nil"/>
              <w:left w:val="nil"/>
              <w:bottom w:val="nil"/>
              <w:right w:val="nil"/>
            </w:tcBorders>
            <w:shd w:val="clear" w:color="auto" w:fill="auto"/>
            <w:noWrap/>
            <w:vAlign w:val="bottom"/>
            <w:hideMark/>
          </w:tcPr>
          <w:p w14:paraId="7FBCC74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1,083</w:t>
            </w:r>
          </w:p>
        </w:tc>
        <w:tc>
          <w:tcPr>
            <w:tcW w:w="756" w:type="dxa"/>
            <w:tcBorders>
              <w:top w:val="nil"/>
              <w:left w:val="nil"/>
              <w:bottom w:val="nil"/>
              <w:right w:val="nil"/>
            </w:tcBorders>
            <w:shd w:val="clear" w:color="auto" w:fill="auto"/>
            <w:noWrap/>
            <w:vAlign w:val="bottom"/>
            <w:hideMark/>
          </w:tcPr>
          <w:p w14:paraId="083535E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1,129</w:t>
            </w:r>
          </w:p>
        </w:tc>
        <w:tc>
          <w:tcPr>
            <w:tcW w:w="756" w:type="dxa"/>
            <w:tcBorders>
              <w:top w:val="nil"/>
              <w:left w:val="single" w:sz="4" w:space="0" w:color="auto"/>
              <w:bottom w:val="nil"/>
              <w:right w:val="nil"/>
            </w:tcBorders>
            <w:shd w:val="clear" w:color="auto" w:fill="auto"/>
            <w:noWrap/>
            <w:vAlign w:val="bottom"/>
            <w:hideMark/>
          </w:tcPr>
          <w:p w14:paraId="7C627DD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1,182</w:t>
            </w:r>
          </w:p>
        </w:tc>
        <w:tc>
          <w:tcPr>
            <w:tcW w:w="756" w:type="dxa"/>
            <w:tcBorders>
              <w:top w:val="nil"/>
              <w:left w:val="nil"/>
              <w:bottom w:val="nil"/>
              <w:right w:val="nil"/>
            </w:tcBorders>
            <w:shd w:val="clear" w:color="auto" w:fill="auto"/>
            <w:noWrap/>
            <w:vAlign w:val="bottom"/>
            <w:hideMark/>
          </w:tcPr>
          <w:p w14:paraId="6981A80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1,239</w:t>
            </w:r>
          </w:p>
        </w:tc>
        <w:tc>
          <w:tcPr>
            <w:tcW w:w="222" w:type="dxa"/>
            <w:tcBorders>
              <w:top w:val="nil"/>
              <w:left w:val="nil"/>
              <w:bottom w:val="nil"/>
              <w:right w:val="nil"/>
            </w:tcBorders>
            <w:shd w:val="clear" w:color="auto" w:fill="auto"/>
            <w:noWrap/>
            <w:vAlign w:val="bottom"/>
            <w:hideMark/>
          </w:tcPr>
          <w:p w14:paraId="2E17B3A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5E535CA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Non-technical</w:t>
            </w:r>
          </w:p>
        </w:tc>
        <w:tc>
          <w:tcPr>
            <w:tcW w:w="756" w:type="dxa"/>
            <w:tcBorders>
              <w:top w:val="nil"/>
              <w:left w:val="nil"/>
              <w:bottom w:val="nil"/>
              <w:right w:val="single" w:sz="4" w:space="0" w:color="auto"/>
            </w:tcBorders>
            <w:shd w:val="clear" w:color="auto" w:fill="auto"/>
            <w:noWrap/>
            <w:vAlign w:val="bottom"/>
            <w:hideMark/>
          </w:tcPr>
          <w:p w14:paraId="3F16C78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802</w:t>
            </w:r>
          </w:p>
        </w:tc>
        <w:tc>
          <w:tcPr>
            <w:tcW w:w="756" w:type="dxa"/>
            <w:tcBorders>
              <w:top w:val="nil"/>
              <w:left w:val="nil"/>
              <w:bottom w:val="nil"/>
              <w:right w:val="single" w:sz="4" w:space="0" w:color="auto"/>
            </w:tcBorders>
            <w:shd w:val="clear" w:color="auto" w:fill="auto"/>
            <w:noWrap/>
            <w:vAlign w:val="bottom"/>
            <w:hideMark/>
          </w:tcPr>
          <w:p w14:paraId="67F1D48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892</w:t>
            </w:r>
          </w:p>
        </w:tc>
        <w:tc>
          <w:tcPr>
            <w:tcW w:w="756" w:type="dxa"/>
            <w:tcBorders>
              <w:top w:val="nil"/>
              <w:left w:val="nil"/>
              <w:bottom w:val="nil"/>
              <w:right w:val="single" w:sz="4" w:space="0" w:color="auto"/>
            </w:tcBorders>
            <w:shd w:val="clear" w:color="auto" w:fill="auto"/>
            <w:noWrap/>
            <w:vAlign w:val="bottom"/>
            <w:hideMark/>
          </w:tcPr>
          <w:p w14:paraId="4373C96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1,074</w:t>
            </w:r>
          </w:p>
        </w:tc>
        <w:tc>
          <w:tcPr>
            <w:tcW w:w="236" w:type="dxa"/>
            <w:tcBorders>
              <w:top w:val="nil"/>
              <w:left w:val="nil"/>
              <w:bottom w:val="nil"/>
              <w:right w:val="single" w:sz="4" w:space="0" w:color="auto"/>
            </w:tcBorders>
            <w:shd w:val="clear" w:color="auto" w:fill="auto"/>
            <w:noWrap/>
            <w:vAlign w:val="bottom"/>
            <w:hideMark/>
          </w:tcPr>
          <w:p w14:paraId="4C02B71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1,129</w:t>
            </w:r>
          </w:p>
        </w:tc>
        <w:tc>
          <w:tcPr>
            <w:tcW w:w="902" w:type="dxa"/>
            <w:vAlign w:val="center"/>
            <w:hideMark/>
          </w:tcPr>
          <w:p w14:paraId="1F3676B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77565B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DCC9E8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bookmarkEnd w:id="25"/>
      <w:tr w:rsidR="00097D59" w:rsidRPr="00E139C5" w14:paraId="565264DA"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06AA823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xml:space="preserve">* The definition of “Technical Employees” has been agreed with the UK Takeover Panel, full details of which were set out in section 4 of the letter </w:t>
            </w:r>
          </w:p>
        </w:tc>
      </w:tr>
      <w:tr w:rsidR="00097D59" w:rsidRPr="00E139C5" w14:paraId="7269E4FB"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31F3D61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in the scheme documentation dated 3 August 2016 and which is available on www.arm.com</w:t>
            </w:r>
          </w:p>
        </w:tc>
      </w:tr>
      <w:tr w:rsidR="00D17616" w:rsidRPr="00E139C5" w14:paraId="1841AAC4" w14:textId="77777777" w:rsidTr="00550648">
        <w:trPr>
          <w:trHeight w:val="129"/>
        </w:trPr>
        <w:tc>
          <w:tcPr>
            <w:tcW w:w="1922" w:type="dxa"/>
            <w:tcBorders>
              <w:top w:val="nil"/>
              <w:left w:val="nil"/>
              <w:bottom w:val="nil"/>
              <w:right w:val="nil"/>
            </w:tcBorders>
            <w:shd w:val="clear" w:color="auto" w:fill="auto"/>
            <w:noWrap/>
            <w:vAlign w:val="bottom"/>
            <w:hideMark/>
          </w:tcPr>
          <w:p w14:paraId="6382783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16" w:type="dxa"/>
            <w:tcBorders>
              <w:top w:val="nil"/>
              <w:left w:val="nil"/>
              <w:bottom w:val="nil"/>
              <w:right w:val="nil"/>
            </w:tcBorders>
            <w:shd w:val="clear" w:color="auto" w:fill="auto"/>
            <w:noWrap/>
            <w:vAlign w:val="bottom"/>
            <w:hideMark/>
          </w:tcPr>
          <w:p w14:paraId="1F4A490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FE00E6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19520C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116E49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64BF8C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B92C8A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929500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40F07CA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4EAF79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52975C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29770C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46CDC82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5F84357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6E030F8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676D7C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8D8792D" w14:textId="77777777" w:rsidTr="00550648">
        <w:trPr>
          <w:trHeight w:val="129"/>
        </w:trPr>
        <w:tc>
          <w:tcPr>
            <w:tcW w:w="1922" w:type="dxa"/>
            <w:tcBorders>
              <w:top w:val="nil"/>
              <w:left w:val="nil"/>
              <w:bottom w:val="nil"/>
              <w:right w:val="nil"/>
            </w:tcBorders>
            <w:shd w:val="clear" w:color="000000" w:fill="DDEBF7"/>
            <w:noWrap/>
            <w:vAlign w:val="bottom"/>
            <w:hideMark/>
          </w:tcPr>
          <w:p w14:paraId="2A40EC2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Royalty Unit Analysis</w:t>
            </w:r>
          </w:p>
        </w:tc>
        <w:tc>
          <w:tcPr>
            <w:tcW w:w="916" w:type="dxa"/>
            <w:tcBorders>
              <w:top w:val="nil"/>
              <w:left w:val="nil"/>
              <w:bottom w:val="nil"/>
              <w:right w:val="nil"/>
            </w:tcBorders>
            <w:shd w:val="clear" w:color="000000" w:fill="DDEBF7"/>
            <w:noWrap/>
            <w:vAlign w:val="bottom"/>
            <w:hideMark/>
          </w:tcPr>
          <w:p w14:paraId="17AFA06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47A9774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4B51627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0C3B454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58DC6FC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1BBA1D9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222" w:type="dxa"/>
            <w:tcBorders>
              <w:top w:val="nil"/>
              <w:left w:val="nil"/>
              <w:bottom w:val="nil"/>
              <w:right w:val="nil"/>
            </w:tcBorders>
            <w:shd w:val="clear" w:color="auto" w:fill="auto"/>
            <w:noWrap/>
            <w:vAlign w:val="bottom"/>
            <w:hideMark/>
          </w:tcPr>
          <w:p w14:paraId="4E0DBE9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000000" w:fill="DDEBF7"/>
            <w:noWrap/>
            <w:vAlign w:val="bottom"/>
            <w:hideMark/>
          </w:tcPr>
          <w:p w14:paraId="00564C94"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Royalty Unit Analysis</w:t>
            </w:r>
          </w:p>
        </w:tc>
        <w:tc>
          <w:tcPr>
            <w:tcW w:w="756" w:type="dxa"/>
            <w:tcBorders>
              <w:top w:val="nil"/>
              <w:left w:val="nil"/>
              <w:bottom w:val="nil"/>
              <w:right w:val="nil"/>
            </w:tcBorders>
            <w:shd w:val="clear" w:color="000000" w:fill="DDEBF7"/>
            <w:noWrap/>
            <w:vAlign w:val="bottom"/>
            <w:hideMark/>
          </w:tcPr>
          <w:p w14:paraId="09C47E7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5233832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1D3A552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236" w:type="dxa"/>
            <w:tcBorders>
              <w:top w:val="nil"/>
              <w:left w:val="nil"/>
              <w:bottom w:val="nil"/>
              <w:right w:val="nil"/>
            </w:tcBorders>
            <w:shd w:val="clear" w:color="000000" w:fill="DDEBF7"/>
            <w:noWrap/>
            <w:vAlign w:val="bottom"/>
            <w:hideMark/>
          </w:tcPr>
          <w:p w14:paraId="61E2AC3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902" w:type="dxa"/>
            <w:vAlign w:val="center"/>
            <w:hideMark/>
          </w:tcPr>
          <w:p w14:paraId="4FF5800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183DD31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6D873A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206C868" w14:textId="77777777" w:rsidTr="00550648">
        <w:trPr>
          <w:trHeight w:val="129"/>
        </w:trPr>
        <w:tc>
          <w:tcPr>
            <w:tcW w:w="1922" w:type="dxa"/>
            <w:tcBorders>
              <w:top w:val="single" w:sz="4" w:space="0" w:color="auto"/>
              <w:left w:val="nil"/>
              <w:bottom w:val="single" w:sz="4" w:space="0" w:color="auto"/>
              <w:right w:val="nil"/>
            </w:tcBorders>
            <w:shd w:val="clear" w:color="auto" w:fill="auto"/>
            <w:noWrap/>
            <w:vAlign w:val="bottom"/>
            <w:hideMark/>
          </w:tcPr>
          <w:p w14:paraId="73AD61BA"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Total reported as shipped (bn)*</w:t>
            </w:r>
          </w:p>
        </w:tc>
        <w:tc>
          <w:tcPr>
            <w:tcW w:w="916" w:type="dxa"/>
            <w:tcBorders>
              <w:top w:val="single" w:sz="4" w:space="0" w:color="auto"/>
              <w:left w:val="nil"/>
              <w:bottom w:val="single" w:sz="4" w:space="0" w:color="auto"/>
              <w:right w:val="nil"/>
            </w:tcBorders>
            <w:shd w:val="clear" w:color="auto" w:fill="auto"/>
            <w:noWrap/>
            <w:vAlign w:val="bottom"/>
            <w:hideMark/>
          </w:tcPr>
          <w:p w14:paraId="5D8B071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5.5</w:t>
            </w:r>
          </w:p>
        </w:tc>
        <w:tc>
          <w:tcPr>
            <w:tcW w:w="756" w:type="dxa"/>
            <w:tcBorders>
              <w:top w:val="single" w:sz="4" w:space="0" w:color="auto"/>
              <w:left w:val="nil"/>
              <w:bottom w:val="single" w:sz="4" w:space="0" w:color="auto"/>
              <w:right w:val="nil"/>
            </w:tcBorders>
            <w:shd w:val="clear" w:color="auto" w:fill="auto"/>
            <w:noWrap/>
            <w:vAlign w:val="bottom"/>
            <w:hideMark/>
          </w:tcPr>
          <w:p w14:paraId="399CEF21"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5.6</w:t>
            </w:r>
          </w:p>
        </w:tc>
        <w:tc>
          <w:tcPr>
            <w:tcW w:w="756" w:type="dxa"/>
            <w:tcBorders>
              <w:top w:val="single" w:sz="4" w:space="0" w:color="auto"/>
              <w:left w:val="nil"/>
              <w:bottom w:val="single" w:sz="4" w:space="0" w:color="auto"/>
              <w:right w:val="nil"/>
            </w:tcBorders>
            <w:shd w:val="clear" w:color="auto" w:fill="auto"/>
            <w:noWrap/>
            <w:vAlign w:val="bottom"/>
            <w:hideMark/>
          </w:tcPr>
          <w:p w14:paraId="548E87AC"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6.2</w:t>
            </w:r>
          </w:p>
        </w:tc>
        <w:tc>
          <w:tcPr>
            <w:tcW w:w="756" w:type="dxa"/>
            <w:tcBorders>
              <w:top w:val="single" w:sz="4" w:space="0" w:color="auto"/>
              <w:left w:val="nil"/>
              <w:bottom w:val="single" w:sz="4" w:space="0" w:color="auto"/>
              <w:right w:val="nil"/>
            </w:tcBorders>
            <w:shd w:val="clear" w:color="auto" w:fill="auto"/>
            <w:noWrap/>
            <w:vAlign w:val="bottom"/>
            <w:hideMark/>
          </w:tcPr>
          <w:p w14:paraId="7AF7C4A5"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5.6</w:t>
            </w:r>
          </w:p>
        </w:tc>
        <w:tc>
          <w:tcPr>
            <w:tcW w:w="756" w:type="dxa"/>
            <w:tcBorders>
              <w:top w:val="single" w:sz="4" w:space="0" w:color="auto"/>
              <w:left w:val="single" w:sz="4" w:space="0" w:color="auto"/>
              <w:bottom w:val="single" w:sz="4" w:space="0" w:color="auto"/>
              <w:right w:val="nil"/>
            </w:tcBorders>
            <w:shd w:val="clear" w:color="auto" w:fill="auto"/>
            <w:noWrap/>
            <w:vAlign w:val="bottom"/>
            <w:hideMark/>
          </w:tcPr>
          <w:p w14:paraId="0E3FF51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4.8</w:t>
            </w:r>
          </w:p>
        </w:tc>
        <w:tc>
          <w:tcPr>
            <w:tcW w:w="756" w:type="dxa"/>
            <w:tcBorders>
              <w:top w:val="single" w:sz="4" w:space="0" w:color="auto"/>
              <w:left w:val="nil"/>
              <w:bottom w:val="single" w:sz="4" w:space="0" w:color="auto"/>
              <w:right w:val="nil"/>
            </w:tcBorders>
            <w:shd w:val="clear" w:color="auto" w:fill="auto"/>
            <w:noWrap/>
            <w:vAlign w:val="bottom"/>
            <w:hideMark/>
          </w:tcPr>
          <w:p w14:paraId="46AB2716"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5.6</w:t>
            </w:r>
          </w:p>
        </w:tc>
        <w:tc>
          <w:tcPr>
            <w:tcW w:w="222" w:type="dxa"/>
            <w:tcBorders>
              <w:top w:val="nil"/>
              <w:left w:val="nil"/>
              <w:bottom w:val="nil"/>
              <w:right w:val="nil"/>
            </w:tcBorders>
            <w:shd w:val="clear" w:color="auto" w:fill="auto"/>
            <w:noWrap/>
            <w:vAlign w:val="bottom"/>
            <w:hideMark/>
          </w:tcPr>
          <w:p w14:paraId="2F0750C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p>
        </w:tc>
        <w:tc>
          <w:tcPr>
            <w:tcW w:w="1483" w:type="dxa"/>
            <w:tcBorders>
              <w:top w:val="single" w:sz="4" w:space="0" w:color="auto"/>
              <w:left w:val="nil"/>
              <w:bottom w:val="single" w:sz="4" w:space="0" w:color="auto"/>
              <w:right w:val="nil"/>
            </w:tcBorders>
            <w:shd w:val="clear" w:color="auto" w:fill="auto"/>
            <w:noWrap/>
            <w:vAlign w:val="bottom"/>
            <w:hideMark/>
          </w:tcPr>
          <w:p w14:paraId="46B1ED2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Total reported as shipped</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32E4DB39"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15.1</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10BAE79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17.7</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6D522839"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21.3</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03DDF34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22.9</w:t>
            </w:r>
          </w:p>
        </w:tc>
        <w:tc>
          <w:tcPr>
            <w:tcW w:w="902" w:type="dxa"/>
            <w:vAlign w:val="center"/>
            <w:hideMark/>
          </w:tcPr>
          <w:p w14:paraId="74CB3CF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33EEBCD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8CED67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097D59" w:rsidRPr="00E139C5" w14:paraId="5F1EB2B9"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39431F90" w14:textId="454396E0"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xml:space="preserve">* Royalty unit analyses are based on shipments reported by Arm's licensees in the current </w:t>
            </w:r>
            <w:r w:rsidR="00BC59C1" w:rsidRPr="00E139C5">
              <w:rPr>
                <w:rFonts w:ascii="Times New Roman" w:eastAsia="Times New Roman" w:hAnsi="Times New Roman" w:cs="Times New Roman"/>
                <w:sz w:val="24"/>
                <w:szCs w:val="24"/>
                <w:lang w:eastAsia="en-GB"/>
              </w:rPr>
              <w:t>quarter and</w:t>
            </w:r>
            <w:r w:rsidRPr="00E139C5">
              <w:rPr>
                <w:rFonts w:ascii="Times New Roman" w:eastAsia="Times New Roman" w:hAnsi="Times New Roman" w:cs="Times New Roman"/>
                <w:sz w:val="24"/>
                <w:szCs w:val="24"/>
                <w:lang w:eastAsia="en-GB"/>
              </w:rPr>
              <w:t xml:space="preserve"> are therefore shipments from the prior quarter.</w:t>
            </w:r>
          </w:p>
        </w:tc>
      </w:tr>
      <w:tr w:rsidR="00D17616" w:rsidRPr="00E139C5" w14:paraId="31814E85" w14:textId="77777777" w:rsidTr="00550648">
        <w:trPr>
          <w:trHeight w:val="129"/>
        </w:trPr>
        <w:tc>
          <w:tcPr>
            <w:tcW w:w="1922" w:type="dxa"/>
            <w:tcBorders>
              <w:top w:val="nil"/>
              <w:left w:val="nil"/>
              <w:bottom w:val="nil"/>
              <w:right w:val="nil"/>
            </w:tcBorders>
            <w:shd w:val="clear" w:color="auto" w:fill="auto"/>
            <w:noWrap/>
            <w:vAlign w:val="bottom"/>
            <w:hideMark/>
          </w:tcPr>
          <w:p w14:paraId="37BB542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16" w:type="dxa"/>
            <w:tcBorders>
              <w:top w:val="nil"/>
              <w:left w:val="nil"/>
              <w:bottom w:val="nil"/>
              <w:right w:val="nil"/>
            </w:tcBorders>
            <w:shd w:val="clear" w:color="auto" w:fill="auto"/>
            <w:noWrap/>
            <w:vAlign w:val="bottom"/>
            <w:hideMark/>
          </w:tcPr>
          <w:p w14:paraId="28971F3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894BD9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D3B4B4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6C4172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BB8C84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AE8EDF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4FEEFB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733EC2B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9C0460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04BAE9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275E99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208E2C5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0947656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13095CC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938577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F3856C4" w14:textId="77777777" w:rsidTr="00550648">
        <w:trPr>
          <w:trHeight w:val="129"/>
        </w:trPr>
        <w:tc>
          <w:tcPr>
            <w:tcW w:w="1922" w:type="dxa"/>
            <w:tcBorders>
              <w:top w:val="nil"/>
              <w:left w:val="nil"/>
              <w:bottom w:val="nil"/>
              <w:right w:val="nil"/>
            </w:tcBorders>
            <w:shd w:val="clear" w:color="000000" w:fill="DDEBF7"/>
            <w:noWrap/>
            <w:vAlign w:val="bottom"/>
            <w:hideMark/>
          </w:tcPr>
          <w:p w14:paraId="48AE24AD"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Licensing Analysis</w:t>
            </w:r>
          </w:p>
        </w:tc>
        <w:tc>
          <w:tcPr>
            <w:tcW w:w="916" w:type="dxa"/>
            <w:tcBorders>
              <w:top w:val="nil"/>
              <w:left w:val="nil"/>
              <w:bottom w:val="nil"/>
              <w:right w:val="nil"/>
            </w:tcBorders>
            <w:shd w:val="clear" w:color="000000" w:fill="DDEBF7"/>
            <w:noWrap/>
            <w:vAlign w:val="bottom"/>
            <w:hideMark/>
          </w:tcPr>
          <w:p w14:paraId="5BC1CAF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3493BEC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230A540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5E46367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46A3FCE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1C29C79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222" w:type="dxa"/>
            <w:tcBorders>
              <w:top w:val="nil"/>
              <w:left w:val="nil"/>
              <w:bottom w:val="nil"/>
              <w:right w:val="nil"/>
            </w:tcBorders>
            <w:shd w:val="clear" w:color="auto" w:fill="auto"/>
            <w:noWrap/>
            <w:vAlign w:val="bottom"/>
            <w:hideMark/>
          </w:tcPr>
          <w:p w14:paraId="09DAC30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000000" w:fill="DDEBF7"/>
            <w:noWrap/>
            <w:vAlign w:val="bottom"/>
            <w:hideMark/>
          </w:tcPr>
          <w:p w14:paraId="287793F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Licensing Analysis</w:t>
            </w:r>
          </w:p>
        </w:tc>
        <w:tc>
          <w:tcPr>
            <w:tcW w:w="756" w:type="dxa"/>
            <w:tcBorders>
              <w:top w:val="nil"/>
              <w:left w:val="nil"/>
              <w:bottom w:val="nil"/>
              <w:right w:val="nil"/>
            </w:tcBorders>
            <w:shd w:val="clear" w:color="000000" w:fill="DDEBF7"/>
            <w:noWrap/>
            <w:vAlign w:val="bottom"/>
            <w:hideMark/>
          </w:tcPr>
          <w:p w14:paraId="0E754B9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44E0E0C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000000" w:fill="DDEBF7"/>
            <w:noWrap/>
            <w:vAlign w:val="bottom"/>
            <w:hideMark/>
          </w:tcPr>
          <w:p w14:paraId="021C09B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236" w:type="dxa"/>
            <w:tcBorders>
              <w:top w:val="nil"/>
              <w:left w:val="nil"/>
              <w:bottom w:val="nil"/>
              <w:right w:val="nil"/>
            </w:tcBorders>
            <w:shd w:val="clear" w:color="000000" w:fill="DDEBF7"/>
            <w:noWrap/>
            <w:vAlign w:val="bottom"/>
            <w:hideMark/>
          </w:tcPr>
          <w:p w14:paraId="08AE4A2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902" w:type="dxa"/>
            <w:vAlign w:val="center"/>
            <w:hideMark/>
          </w:tcPr>
          <w:p w14:paraId="215FF11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78B018C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16B314F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146E102F" w14:textId="77777777" w:rsidTr="00550648">
        <w:trPr>
          <w:trHeight w:val="129"/>
        </w:trPr>
        <w:tc>
          <w:tcPr>
            <w:tcW w:w="1922" w:type="dxa"/>
            <w:tcBorders>
              <w:top w:val="single" w:sz="4" w:space="0" w:color="auto"/>
              <w:left w:val="nil"/>
              <w:bottom w:val="single" w:sz="4" w:space="0" w:color="auto"/>
              <w:right w:val="nil"/>
            </w:tcBorders>
            <w:shd w:val="clear" w:color="auto" w:fill="auto"/>
            <w:noWrap/>
            <w:vAlign w:val="bottom"/>
            <w:hideMark/>
          </w:tcPr>
          <w:p w14:paraId="5F6593E3"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Licenses signed</w:t>
            </w:r>
          </w:p>
        </w:tc>
        <w:tc>
          <w:tcPr>
            <w:tcW w:w="916" w:type="dxa"/>
            <w:tcBorders>
              <w:top w:val="single" w:sz="4" w:space="0" w:color="auto"/>
              <w:left w:val="nil"/>
              <w:bottom w:val="single" w:sz="4" w:space="0" w:color="auto"/>
              <w:right w:val="nil"/>
            </w:tcBorders>
            <w:shd w:val="clear" w:color="auto" w:fill="auto"/>
            <w:noWrap/>
            <w:vAlign w:val="bottom"/>
            <w:hideMark/>
          </w:tcPr>
          <w:p w14:paraId="56E760E0"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w:t>
            </w:r>
          </w:p>
        </w:tc>
        <w:tc>
          <w:tcPr>
            <w:tcW w:w="756" w:type="dxa"/>
            <w:tcBorders>
              <w:top w:val="single" w:sz="4" w:space="0" w:color="auto"/>
              <w:left w:val="nil"/>
              <w:bottom w:val="single" w:sz="4" w:space="0" w:color="auto"/>
              <w:right w:val="nil"/>
            </w:tcBorders>
            <w:shd w:val="clear" w:color="auto" w:fill="auto"/>
            <w:noWrap/>
            <w:vAlign w:val="bottom"/>
            <w:hideMark/>
          </w:tcPr>
          <w:p w14:paraId="057C636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35</w:t>
            </w:r>
          </w:p>
        </w:tc>
        <w:tc>
          <w:tcPr>
            <w:tcW w:w="756" w:type="dxa"/>
            <w:tcBorders>
              <w:top w:val="single" w:sz="4" w:space="0" w:color="auto"/>
              <w:left w:val="nil"/>
              <w:bottom w:val="single" w:sz="4" w:space="0" w:color="auto"/>
              <w:right w:val="nil"/>
            </w:tcBorders>
            <w:shd w:val="clear" w:color="auto" w:fill="auto"/>
            <w:noWrap/>
            <w:vAlign w:val="bottom"/>
            <w:hideMark/>
          </w:tcPr>
          <w:p w14:paraId="0FFEC4E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42</w:t>
            </w:r>
          </w:p>
        </w:tc>
        <w:tc>
          <w:tcPr>
            <w:tcW w:w="756" w:type="dxa"/>
            <w:tcBorders>
              <w:top w:val="single" w:sz="4" w:space="0" w:color="auto"/>
              <w:left w:val="nil"/>
              <w:bottom w:val="single" w:sz="4" w:space="0" w:color="auto"/>
              <w:right w:val="nil"/>
            </w:tcBorders>
            <w:shd w:val="clear" w:color="auto" w:fill="auto"/>
            <w:noWrap/>
            <w:vAlign w:val="bottom"/>
            <w:hideMark/>
          </w:tcPr>
          <w:p w14:paraId="3BD3D0B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32</w:t>
            </w:r>
          </w:p>
        </w:tc>
        <w:tc>
          <w:tcPr>
            <w:tcW w:w="756" w:type="dxa"/>
            <w:tcBorders>
              <w:top w:val="single" w:sz="4" w:space="0" w:color="auto"/>
              <w:left w:val="single" w:sz="4" w:space="0" w:color="auto"/>
              <w:bottom w:val="single" w:sz="4" w:space="0" w:color="auto"/>
              <w:right w:val="nil"/>
            </w:tcBorders>
            <w:shd w:val="clear" w:color="auto" w:fill="auto"/>
            <w:noWrap/>
            <w:vAlign w:val="bottom"/>
            <w:hideMark/>
          </w:tcPr>
          <w:p w14:paraId="47FBDD2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28</w:t>
            </w:r>
          </w:p>
        </w:tc>
        <w:tc>
          <w:tcPr>
            <w:tcW w:w="756" w:type="dxa"/>
            <w:tcBorders>
              <w:top w:val="single" w:sz="4" w:space="0" w:color="auto"/>
              <w:left w:val="nil"/>
              <w:bottom w:val="single" w:sz="4" w:space="0" w:color="auto"/>
              <w:right w:val="nil"/>
            </w:tcBorders>
            <w:shd w:val="clear" w:color="auto" w:fill="auto"/>
            <w:noWrap/>
            <w:vAlign w:val="bottom"/>
            <w:hideMark/>
          </w:tcPr>
          <w:p w14:paraId="246093CA"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35</w:t>
            </w:r>
          </w:p>
        </w:tc>
        <w:tc>
          <w:tcPr>
            <w:tcW w:w="222" w:type="dxa"/>
            <w:tcBorders>
              <w:top w:val="nil"/>
              <w:left w:val="nil"/>
              <w:bottom w:val="nil"/>
              <w:right w:val="nil"/>
            </w:tcBorders>
            <w:shd w:val="clear" w:color="auto" w:fill="auto"/>
            <w:noWrap/>
            <w:vAlign w:val="bottom"/>
            <w:hideMark/>
          </w:tcPr>
          <w:p w14:paraId="281265B4"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p>
        </w:tc>
        <w:tc>
          <w:tcPr>
            <w:tcW w:w="1483" w:type="dxa"/>
            <w:tcBorders>
              <w:top w:val="single" w:sz="4" w:space="0" w:color="auto"/>
              <w:left w:val="nil"/>
              <w:bottom w:val="single" w:sz="4" w:space="0" w:color="auto"/>
              <w:right w:val="nil"/>
            </w:tcBorders>
            <w:shd w:val="clear" w:color="auto" w:fill="auto"/>
            <w:noWrap/>
            <w:vAlign w:val="bottom"/>
            <w:hideMark/>
          </w:tcPr>
          <w:p w14:paraId="64D48281"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Licenses signed</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479F8014"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182</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4D016AB6"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113</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4A67B417"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141</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0774A66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125</w:t>
            </w:r>
          </w:p>
        </w:tc>
        <w:tc>
          <w:tcPr>
            <w:tcW w:w="902" w:type="dxa"/>
            <w:vAlign w:val="center"/>
            <w:hideMark/>
          </w:tcPr>
          <w:p w14:paraId="211FB0C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7CD9E7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644B20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791680F6" w14:textId="77777777" w:rsidTr="00550648">
        <w:trPr>
          <w:trHeight w:val="129"/>
        </w:trPr>
        <w:tc>
          <w:tcPr>
            <w:tcW w:w="1922" w:type="dxa"/>
            <w:tcBorders>
              <w:top w:val="nil"/>
              <w:left w:val="nil"/>
              <w:bottom w:val="nil"/>
              <w:right w:val="nil"/>
            </w:tcBorders>
            <w:shd w:val="clear" w:color="auto" w:fill="auto"/>
            <w:noWrap/>
            <w:vAlign w:val="bottom"/>
            <w:hideMark/>
          </w:tcPr>
          <w:p w14:paraId="5D6F8E8C"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Breakdown by processor</w:t>
            </w:r>
          </w:p>
        </w:tc>
        <w:tc>
          <w:tcPr>
            <w:tcW w:w="916" w:type="dxa"/>
            <w:tcBorders>
              <w:top w:val="nil"/>
              <w:left w:val="nil"/>
              <w:bottom w:val="nil"/>
              <w:right w:val="nil"/>
            </w:tcBorders>
            <w:shd w:val="clear" w:color="auto" w:fill="auto"/>
            <w:noWrap/>
            <w:vAlign w:val="bottom"/>
            <w:hideMark/>
          </w:tcPr>
          <w:p w14:paraId="1BBC88E6"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p>
        </w:tc>
        <w:tc>
          <w:tcPr>
            <w:tcW w:w="756" w:type="dxa"/>
            <w:tcBorders>
              <w:top w:val="nil"/>
              <w:left w:val="nil"/>
              <w:bottom w:val="nil"/>
              <w:right w:val="nil"/>
            </w:tcBorders>
            <w:shd w:val="clear" w:color="auto" w:fill="auto"/>
            <w:noWrap/>
            <w:vAlign w:val="bottom"/>
            <w:hideMark/>
          </w:tcPr>
          <w:p w14:paraId="2ADC929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AF02C5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AE26AD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single" w:sz="4" w:space="0" w:color="auto"/>
              <w:bottom w:val="nil"/>
              <w:right w:val="nil"/>
            </w:tcBorders>
            <w:shd w:val="clear" w:color="auto" w:fill="auto"/>
            <w:noWrap/>
            <w:vAlign w:val="bottom"/>
            <w:hideMark/>
          </w:tcPr>
          <w:p w14:paraId="7B28799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auto" w:fill="auto"/>
            <w:noWrap/>
            <w:vAlign w:val="bottom"/>
            <w:hideMark/>
          </w:tcPr>
          <w:p w14:paraId="5ACE63E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3ADACC0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76D1730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Breakdown by processor</w:t>
            </w:r>
          </w:p>
        </w:tc>
        <w:tc>
          <w:tcPr>
            <w:tcW w:w="756" w:type="dxa"/>
            <w:tcBorders>
              <w:top w:val="nil"/>
              <w:left w:val="nil"/>
              <w:bottom w:val="nil"/>
              <w:right w:val="single" w:sz="4" w:space="0" w:color="auto"/>
            </w:tcBorders>
            <w:shd w:val="clear" w:color="auto" w:fill="auto"/>
            <w:noWrap/>
            <w:vAlign w:val="bottom"/>
            <w:hideMark/>
          </w:tcPr>
          <w:p w14:paraId="5C3752A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single" w:sz="4" w:space="0" w:color="auto"/>
            </w:tcBorders>
            <w:shd w:val="clear" w:color="auto" w:fill="auto"/>
            <w:noWrap/>
            <w:vAlign w:val="bottom"/>
            <w:hideMark/>
          </w:tcPr>
          <w:p w14:paraId="516B7D0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single" w:sz="4" w:space="0" w:color="auto"/>
            </w:tcBorders>
            <w:shd w:val="clear" w:color="auto" w:fill="auto"/>
            <w:noWrap/>
            <w:vAlign w:val="bottom"/>
            <w:hideMark/>
          </w:tcPr>
          <w:p w14:paraId="23A9637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236" w:type="dxa"/>
            <w:tcBorders>
              <w:top w:val="nil"/>
              <w:left w:val="nil"/>
              <w:bottom w:val="nil"/>
              <w:right w:val="single" w:sz="4" w:space="0" w:color="auto"/>
            </w:tcBorders>
            <w:shd w:val="clear" w:color="auto" w:fill="auto"/>
            <w:noWrap/>
            <w:vAlign w:val="bottom"/>
            <w:hideMark/>
          </w:tcPr>
          <w:p w14:paraId="345AB7B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902" w:type="dxa"/>
            <w:vAlign w:val="center"/>
            <w:hideMark/>
          </w:tcPr>
          <w:p w14:paraId="174679E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5BFD3B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2B29AE7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22F2143" w14:textId="77777777" w:rsidTr="00550648">
        <w:trPr>
          <w:trHeight w:val="129"/>
        </w:trPr>
        <w:tc>
          <w:tcPr>
            <w:tcW w:w="1922" w:type="dxa"/>
            <w:tcBorders>
              <w:top w:val="nil"/>
              <w:left w:val="nil"/>
              <w:bottom w:val="nil"/>
              <w:right w:val="nil"/>
            </w:tcBorders>
            <w:shd w:val="clear" w:color="auto" w:fill="auto"/>
            <w:noWrap/>
            <w:vAlign w:val="bottom"/>
            <w:hideMark/>
          </w:tcPr>
          <w:p w14:paraId="6F5E61F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Classic (Arm7, Arm9, Arm11)</w:t>
            </w:r>
          </w:p>
        </w:tc>
        <w:tc>
          <w:tcPr>
            <w:tcW w:w="916" w:type="dxa"/>
            <w:tcBorders>
              <w:top w:val="nil"/>
              <w:left w:val="nil"/>
              <w:bottom w:val="nil"/>
              <w:right w:val="nil"/>
            </w:tcBorders>
            <w:shd w:val="clear" w:color="auto" w:fill="auto"/>
            <w:noWrap/>
            <w:vAlign w:val="bottom"/>
            <w:hideMark/>
          </w:tcPr>
          <w:p w14:paraId="12E2143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756" w:type="dxa"/>
            <w:tcBorders>
              <w:top w:val="nil"/>
              <w:left w:val="nil"/>
              <w:bottom w:val="nil"/>
              <w:right w:val="nil"/>
            </w:tcBorders>
            <w:shd w:val="clear" w:color="auto" w:fill="auto"/>
            <w:noWrap/>
            <w:vAlign w:val="bottom"/>
            <w:hideMark/>
          </w:tcPr>
          <w:p w14:paraId="062EF5E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756" w:type="dxa"/>
            <w:tcBorders>
              <w:top w:val="nil"/>
              <w:left w:val="nil"/>
              <w:bottom w:val="nil"/>
              <w:right w:val="nil"/>
            </w:tcBorders>
            <w:shd w:val="clear" w:color="auto" w:fill="auto"/>
            <w:noWrap/>
            <w:vAlign w:val="bottom"/>
            <w:hideMark/>
          </w:tcPr>
          <w:p w14:paraId="529B4F1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756" w:type="dxa"/>
            <w:tcBorders>
              <w:top w:val="nil"/>
              <w:left w:val="nil"/>
              <w:bottom w:val="nil"/>
              <w:right w:val="nil"/>
            </w:tcBorders>
            <w:shd w:val="clear" w:color="auto" w:fill="auto"/>
            <w:noWrap/>
            <w:vAlign w:val="bottom"/>
            <w:hideMark/>
          </w:tcPr>
          <w:p w14:paraId="2B351DF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756" w:type="dxa"/>
            <w:tcBorders>
              <w:top w:val="nil"/>
              <w:left w:val="single" w:sz="4" w:space="0" w:color="auto"/>
              <w:bottom w:val="nil"/>
              <w:right w:val="nil"/>
            </w:tcBorders>
            <w:shd w:val="clear" w:color="auto" w:fill="auto"/>
            <w:noWrap/>
            <w:vAlign w:val="bottom"/>
            <w:hideMark/>
          </w:tcPr>
          <w:p w14:paraId="2FCB379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756" w:type="dxa"/>
            <w:tcBorders>
              <w:top w:val="nil"/>
              <w:left w:val="nil"/>
              <w:bottom w:val="nil"/>
              <w:right w:val="nil"/>
            </w:tcBorders>
            <w:shd w:val="clear" w:color="auto" w:fill="auto"/>
            <w:noWrap/>
            <w:vAlign w:val="bottom"/>
            <w:hideMark/>
          </w:tcPr>
          <w:p w14:paraId="222071C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222" w:type="dxa"/>
            <w:tcBorders>
              <w:top w:val="nil"/>
              <w:left w:val="nil"/>
              <w:bottom w:val="nil"/>
              <w:right w:val="nil"/>
            </w:tcBorders>
            <w:shd w:val="clear" w:color="auto" w:fill="auto"/>
            <w:noWrap/>
            <w:vAlign w:val="bottom"/>
            <w:hideMark/>
          </w:tcPr>
          <w:p w14:paraId="51BA860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7BB5DD5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Classic (Arm7, Arm9, Arm11)</w:t>
            </w:r>
          </w:p>
        </w:tc>
        <w:tc>
          <w:tcPr>
            <w:tcW w:w="756" w:type="dxa"/>
            <w:tcBorders>
              <w:top w:val="nil"/>
              <w:left w:val="nil"/>
              <w:bottom w:val="nil"/>
              <w:right w:val="single" w:sz="4" w:space="0" w:color="auto"/>
            </w:tcBorders>
            <w:shd w:val="clear" w:color="auto" w:fill="auto"/>
            <w:noWrap/>
            <w:vAlign w:val="bottom"/>
            <w:hideMark/>
          </w:tcPr>
          <w:p w14:paraId="0AF84D8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6</w:t>
            </w:r>
          </w:p>
        </w:tc>
        <w:tc>
          <w:tcPr>
            <w:tcW w:w="756" w:type="dxa"/>
            <w:tcBorders>
              <w:top w:val="nil"/>
              <w:left w:val="nil"/>
              <w:bottom w:val="nil"/>
              <w:right w:val="single" w:sz="4" w:space="0" w:color="auto"/>
            </w:tcBorders>
            <w:shd w:val="clear" w:color="auto" w:fill="auto"/>
            <w:noWrap/>
            <w:vAlign w:val="bottom"/>
            <w:hideMark/>
          </w:tcPr>
          <w:p w14:paraId="72C343D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8</w:t>
            </w:r>
          </w:p>
        </w:tc>
        <w:tc>
          <w:tcPr>
            <w:tcW w:w="756" w:type="dxa"/>
            <w:tcBorders>
              <w:top w:val="nil"/>
              <w:left w:val="nil"/>
              <w:bottom w:val="nil"/>
              <w:right w:val="single" w:sz="4" w:space="0" w:color="auto"/>
            </w:tcBorders>
            <w:shd w:val="clear" w:color="auto" w:fill="auto"/>
            <w:noWrap/>
            <w:vAlign w:val="bottom"/>
            <w:hideMark/>
          </w:tcPr>
          <w:p w14:paraId="480E0BA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236" w:type="dxa"/>
            <w:tcBorders>
              <w:top w:val="nil"/>
              <w:left w:val="nil"/>
              <w:bottom w:val="nil"/>
              <w:right w:val="single" w:sz="4" w:space="0" w:color="auto"/>
            </w:tcBorders>
            <w:shd w:val="clear" w:color="auto" w:fill="auto"/>
            <w:noWrap/>
            <w:vAlign w:val="bottom"/>
            <w:hideMark/>
          </w:tcPr>
          <w:p w14:paraId="5DE21EB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902" w:type="dxa"/>
            <w:vAlign w:val="center"/>
            <w:hideMark/>
          </w:tcPr>
          <w:p w14:paraId="46C262B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A531FA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1F2944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38AFF20B" w14:textId="77777777" w:rsidTr="00550648">
        <w:trPr>
          <w:trHeight w:val="129"/>
        </w:trPr>
        <w:tc>
          <w:tcPr>
            <w:tcW w:w="1922" w:type="dxa"/>
            <w:tcBorders>
              <w:top w:val="nil"/>
              <w:left w:val="nil"/>
              <w:bottom w:val="nil"/>
              <w:right w:val="nil"/>
            </w:tcBorders>
            <w:shd w:val="clear" w:color="auto" w:fill="auto"/>
            <w:noWrap/>
            <w:vAlign w:val="bottom"/>
            <w:hideMark/>
          </w:tcPr>
          <w:p w14:paraId="451BED6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Cortex-A</w:t>
            </w:r>
          </w:p>
        </w:tc>
        <w:tc>
          <w:tcPr>
            <w:tcW w:w="916" w:type="dxa"/>
            <w:tcBorders>
              <w:top w:val="nil"/>
              <w:left w:val="nil"/>
              <w:bottom w:val="nil"/>
              <w:right w:val="nil"/>
            </w:tcBorders>
            <w:shd w:val="clear" w:color="auto" w:fill="auto"/>
            <w:noWrap/>
            <w:vAlign w:val="bottom"/>
            <w:hideMark/>
          </w:tcPr>
          <w:p w14:paraId="5B6EFE4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w:t>
            </w:r>
          </w:p>
        </w:tc>
        <w:tc>
          <w:tcPr>
            <w:tcW w:w="756" w:type="dxa"/>
            <w:tcBorders>
              <w:top w:val="nil"/>
              <w:left w:val="nil"/>
              <w:bottom w:val="nil"/>
              <w:right w:val="nil"/>
            </w:tcBorders>
            <w:shd w:val="clear" w:color="auto" w:fill="auto"/>
            <w:noWrap/>
            <w:vAlign w:val="bottom"/>
            <w:hideMark/>
          </w:tcPr>
          <w:p w14:paraId="4C1EBC2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14</w:t>
            </w:r>
          </w:p>
        </w:tc>
        <w:tc>
          <w:tcPr>
            <w:tcW w:w="756" w:type="dxa"/>
            <w:tcBorders>
              <w:top w:val="nil"/>
              <w:left w:val="nil"/>
              <w:bottom w:val="nil"/>
              <w:right w:val="nil"/>
            </w:tcBorders>
            <w:shd w:val="clear" w:color="auto" w:fill="auto"/>
            <w:noWrap/>
            <w:vAlign w:val="bottom"/>
            <w:hideMark/>
          </w:tcPr>
          <w:p w14:paraId="5225A28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8</w:t>
            </w:r>
          </w:p>
        </w:tc>
        <w:tc>
          <w:tcPr>
            <w:tcW w:w="756" w:type="dxa"/>
            <w:tcBorders>
              <w:top w:val="nil"/>
              <w:left w:val="nil"/>
              <w:bottom w:val="nil"/>
              <w:right w:val="nil"/>
            </w:tcBorders>
            <w:shd w:val="clear" w:color="auto" w:fill="auto"/>
            <w:noWrap/>
            <w:vAlign w:val="bottom"/>
            <w:hideMark/>
          </w:tcPr>
          <w:p w14:paraId="08D9C86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w:t>
            </w:r>
          </w:p>
        </w:tc>
        <w:tc>
          <w:tcPr>
            <w:tcW w:w="756" w:type="dxa"/>
            <w:tcBorders>
              <w:top w:val="nil"/>
              <w:left w:val="single" w:sz="4" w:space="0" w:color="auto"/>
              <w:bottom w:val="nil"/>
              <w:right w:val="nil"/>
            </w:tcBorders>
            <w:shd w:val="clear" w:color="auto" w:fill="auto"/>
            <w:noWrap/>
            <w:vAlign w:val="bottom"/>
            <w:hideMark/>
          </w:tcPr>
          <w:p w14:paraId="25E9CE5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7</w:t>
            </w:r>
          </w:p>
        </w:tc>
        <w:tc>
          <w:tcPr>
            <w:tcW w:w="756" w:type="dxa"/>
            <w:tcBorders>
              <w:top w:val="nil"/>
              <w:left w:val="nil"/>
              <w:bottom w:val="nil"/>
              <w:right w:val="nil"/>
            </w:tcBorders>
            <w:shd w:val="clear" w:color="auto" w:fill="auto"/>
            <w:noWrap/>
            <w:vAlign w:val="bottom"/>
            <w:hideMark/>
          </w:tcPr>
          <w:p w14:paraId="159DBEE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14</w:t>
            </w:r>
          </w:p>
        </w:tc>
        <w:tc>
          <w:tcPr>
            <w:tcW w:w="222" w:type="dxa"/>
            <w:tcBorders>
              <w:top w:val="nil"/>
              <w:left w:val="nil"/>
              <w:bottom w:val="nil"/>
              <w:right w:val="nil"/>
            </w:tcBorders>
            <w:shd w:val="clear" w:color="auto" w:fill="auto"/>
            <w:noWrap/>
            <w:vAlign w:val="bottom"/>
            <w:hideMark/>
          </w:tcPr>
          <w:p w14:paraId="5FB1F2A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48B6836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Cortex-A</w:t>
            </w:r>
          </w:p>
        </w:tc>
        <w:tc>
          <w:tcPr>
            <w:tcW w:w="756" w:type="dxa"/>
            <w:tcBorders>
              <w:top w:val="nil"/>
              <w:left w:val="nil"/>
              <w:bottom w:val="nil"/>
              <w:right w:val="single" w:sz="4" w:space="0" w:color="auto"/>
            </w:tcBorders>
            <w:shd w:val="clear" w:color="auto" w:fill="auto"/>
            <w:noWrap/>
            <w:vAlign w:val="bottom"/>
            <w:hideMark/>
          </w:tcPr>
          <w:p w14:paraId="1CDBC9A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46</w:t>
            </w:r>
          </w:p>
        </w:tc>
        <w:tc>
          <w:tcPr>
            <w:tcW w:w="756" w:type="dxa"/>
            <w:tcBorders>
              <w:top w:val="nil"/>
              <w:left w:val="nil"/>
              <w:bottom w:val="nil"/>
              <w:right w:val="single" w:sz="4" w:space="0" w:color="auto"/>
            </w:tcBorders>
            <w:shd w:val="clear" w:color="auto" w:fill="auto"/>
            <w:noWrap/>
            <w:vAlign w:val="bottom"/>
            <w:hideMark/>
          </w:tcPr>
          <w:p w14:paraId="36D2FCB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21</w:t>
            </w:r>
          </w:p>
        </w:tc>
        <w:tc>
          <w:tcPr>
            <w:tcW w:w="756" w:type="dxa"/>
            <w:tcBorders>
              <w:top w:val="nil"/>
              <w:left w:val="nil"/>
              <w:bottom w:val="nil"/>
              <w:right w:val="single" w:sz="4" w:space="0" w:color="auto"/>
            </w:tcBorders>
            <w:shd w:val="clear" w:color="auto" w:fill="auto"/>
            <w:noWrap/>
            <w:vAlign w:val="bottom"/>
            <w:hideMark/>
          </w:tcPr>
          <w:p w14:paraId="57356FB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45</w:t>
            </w:r>
          </w:p>
        </w:tc>
        <w:tc>
          <w:tcPr>
            <w:tcW w:w="236" w:type="dxa"/>
            <w:tcBorders>
              <w:top w:val="nil"/>
              <w:left w:val="nil"/>
              <w:bottom w:val="nil"/>
              <w:right w:val="single" w:sz="4" w:space="0" w:color="auto"/>
            </w:tcBorders>
            <w:shd w:val="clear" w:color="auto" w:fill="auto"/>
            <w:noWrap/>
            <w:vAlign w:val="bottom"/>
            <w:hideMark/>
          </w:tcPr>
          <w:p w14:paraId="380B8FA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35</w:t>
            </w:r>
          </w:p>
        </w:tc>
        <w:tc>
          <w:tcPr>
            <w:tcW w:w="902" w:type="dxa"/>
            <w:vAlign w:val="center"/>
            <w:hideMark/>
          </w:tcPr>
          <w:p w14:paraId="2E92E12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3D41C5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B50E00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2A4A7229" w14:textId="77777777" w:rsidTr="00550648">
        <w:trPr>
          <w:trHeight w:val="129"/>
        </w:trPr>
        <w:tc>
          <w:tcPr>
            <w:tcW w:w="1922" w:type="dxa"/>
            <w:tcBorders>
              <w:top w:val="nil"/>
              <w:left w:val="nil"/>
              <w:bottom w:val="nil"/>
              <w:right w:val="nil"/>
            </w:tcBorders>
            <w:shd w:val="clear" w:color="auto" w:fill="auto"/>
            <w:noWrap/>
            <w:vAlign w:val="bottom"/>
            <w:hideMark/>
          </w:tcPr>
          <w:p w14:paraId="50E566F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Cortex-R</w:t>
            </w:r>
          </w:p>
        </w:tc>
        <w:tc>
          <w:tcPr>
            <w:tcW w:w="916" w:type="dxa"/>
            <w:tcBorders>
              <w:top w:val="nil"/>
              <w:left w:val="nil"/>
              <w:bottom w:val="nil"/>
              <w:right w:val="nil"/>
            </w:tcBorders>
            <w:shd w:val="clear" w:color="auto" w:fill="auto"/>
            <w:noWrap/>
            <w:vAlign w:val="bottom"/>
            <w:hideMark/>
          </w:tcPr>
          <w:p w14:paraId="0BACCD5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w:t>
            </w:r>
          </w:p>
        </w:tc>
        <w:tc>
          <w:tcPr>
            <w:tcW w:w="756" w:type="dxa"/>
            <w:tcBorders>
              <w:top w:val="nil"/>
              <w:left w:val="nil"/>
              <w:bottom w:val="nil"/>
              <w:right w:val="nil"/>
            </w:tcBorders>
            <w:shd w:val="clear" w:color="auto" w:fill="auto"/>
            <w:noWrap/>
            <w:vAlign w:val="bottom"/>
            <w:hideMark/>
          </w:tcPr>
          <w:p w14:paraId="7F4DEC0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w:t>
            </w:r>
          </w:p>
        </w:tc>
        <w:tc>
          <w:tcPr>
            <w:tcW w:w="756" w:type="dxa"/>
            <w:tcBorders>
              <w:top w:val="nil"/>
              <w:left w:val="nil"/>
              <w:bottom w:val="nil"/>
              <w:right w:val="nil"/>
            </w:tcBorders>
            <w:shd w:val="clear" w:color="auto" w:fill="auto"/>
            <w:noWrap/>
            <w:vAlign w:val="bottom"/>
            <w:hideMark/>
          </w:tcPr>
          <w:p w14:paraId="6B65951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w:t>
            </w:r>
          </w:p>
        </w:tc>
        <w:tc>
          <w:tcPr>
            <w:tcW w:w="756" w:type="dxa"/>
            <w:tcBorders>
              <w:top w:val="nil"/>
              <w:left w:val="nil"/>
              <w:bottom w:val="nil"/>
              <w:right w:val="nil"/>
            </w:tcBorders>
            <w:shd w:val="clear" w:color="auto" w:fill="auto"/>
            <w:noWrap/>
            <w:vAlign w:val="bottom"/>
            <w:hideMark/>
          </w:tcPr>
          <w:p w14:paraId="3314D88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w:t>
            </w:r>
          </w:p>
        </w:tc>
        <w:tc>
          <w:tcPr>
            <w:tcW w:w="756" w:type="dxa"/>
            <w:tcBorders>
              <w:top w:val="nil"/>
              <w:left w:val="single" w:sz="4" w:space="0" w:color="auto"/>
              <w:bottom w:val="nil"/>
              <w:right w:val="nil"/>
            </w:tcBorders>
            <w:shd w:val="clear" w:color="auto" w:fill="auto"/>
            <w:noWrap/>
            <w:vAlign w:val="bottom"/>
            <w:hideMark/>
          </w:tcPr>
          <w:p w14:paraId="41C3E97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w:t>
            </w:r>
          </w:p>
        </w:tc>
        <w:tc>
          <w:tcPr>
            <w:tcW w:w="756" w:type="dxa"/>
            <w:tcBorders>
              <w:top w:val="nil"/>
              <w:left w:val="nil"/>
              <w:bottom w:val="nil"/>
              <w:right w:val="nil"/>
            </w:tcBorders>
            <w:shd w:val="clear" w:color="auto" w:fill="auto"/>
            <w:noWrap/>
            <w:vAlign w:val="bottom"/>
            <w:hideMark/>
          </w:tcPr>
          <w:p w14:paraId="13E16BE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222" w:type="dxa"/>
            <w:tcBorders>
              <w:top w:val="nil"/>
              <w:left w:val="nil"/>
              <w:bottom w:val="nil"/>
              <w:right w:val="nil"/>
            </w:tcBorders>
            <w:shd w:val="clear" w:color="auto" w:fill="auto"/>
            <w:noWrap/>
            <w:vAlign w:val="bottom"/>
            <w:hideMark/>
          </w:tcPr>
          <w:p w14:paraId="49F6452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07C8C6A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Cortex-R</w:t>
            </w:r>
          </w:p>
        </w:tc>
        <w:tc>
          <w:tcPr>
            <w:tcW w:w="756" w:type="dxa"/>
            <w:tcBorders>
              <w:top w:val="nil"/>
              <w:left w:val="nil"/>
              <w:bottom w:val="nil"/>
              <w:right w:val="single" w:sz="4" w:space="0" w:color="auto"/>
            </w:tcBorders>
            <w:shd w:val="clear" w:color="auto" w:fill="auto"/>
            <w:noWrap/>
            <w:vAlign w:val="bottom"/>
            <w:hideMark/>
          </w:tcPr>
          <w:p w14:paraId="3C79154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19</w:t>
            </w:r>
          </w:p>
        </w:tc>
        <w:tc>
          <w:tcPr>
            <w:tcW w:w="756" w:type="dxa"/>
            <w:tcBorders>
              <w:top w:val="nil"/>
              <w:left w:val="nil"/>
              <w:bottom w:val="nil"/>
              <w:right w:val="single" w:sz="4" w:space="0" w:color="auto"/>
            </w:tcBorders>
            <w:shd w:val="clear" w:color="auto" w:fill="auto"/>
            <w:noWrap/>
            <w:vAlign w:val="bottom"/>
            <w:hideMark/>
          </w:tcPr>
          <w:p w14:paraId="0C32629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9</w:t>
            </w:r>
          </w:p>
        </w:tc>
        <w:tc>
          <w:tcPr>
            <w:tcW w:w="756" w:type="dxa"/>
            <w:tcBorders>
              <w:top w:val="nil"/>
              <w:left w:val="nil"/>
              <w:bottom w:val="nil"/>
              <w:right w:val="single" w:sz="4" w:space="0" w:color="auto"/>
            </w:tcBorders>
            <w:shd w:val="clear" w:color="auto" w:fill="auto"/>
            <w:noWrap/>
            <w:vAlign w:val="bottom"/>
            <w:hideMark/>
          </w:tcPr>
          <w:p w14:paraId="03FD293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16</w:t>
            </w:r>
          </w:p>
        </w:tc>
        <w:tc>
          <w:tcPr>
            <w:tcW w:w="236" w:type="dxa"/>
            <w:tcBorders>
              <w:top w:val="nil"/>
              <w:left w:val="nil"/>
              <w:bottom w:val="nil"/>
              <w:right w:val="single" w:sz="4" w:space="0" w:color="auto"/>
            </w:tcBorders>
            <w:shd w:val="clear" w:color="auto" w:fill="auto"/>
            <w:noWrap/>
            <w:vAlign w:val="bottom"/>
            <w:hideMark/>
          </w:tcPr>
          <w:p w14:paraId="22235E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12</w:t>
            </w:r>
          </w:p>
        </w:tc>
        <w:tc>
          <w:tcPr>
            <w:tcW w:w="902" w:type="dxa"/>
            <w:vAlign w:val="center"/>
            <w:hideMark/>
          </w:tcPr>
          <w:p w14:paraId="41FC8CA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10AD8AA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CAC551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6F237510" w14:textId="77777777" w:rsidTr="00550648">
        <w:trPr>
          <w:trHeight w:val="129"/>
        </w:trPr>
        <w:tc>
          <w:tcPr>
            <w:tcW w:w="1922" w:type="dxa"/>
            <w:tcBorders>
              <w:top w:val="nil"/>
              <w:left w:val="nil"/>
              <w:bottom w:val="nil"/>
              <w:right w:val="nil"/>
            </w:tcBorders>
            <w:shd w:val="clear" w:color="auto" w:fill="auto"/>
            <w:noWrap/>
            <w:vAlign w:val="bottom"/>
            <w:hideMark/>
          </w:tcPr>
          <w:p w14:paraId="050A57F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Cortex-M</w:t>
            </w:r>
          </w:p>
        </w:tc>
        <w:tc>
          <w:tcPr>
            <w:tcW w:w="916" w:type="dxa"/>
            <w:tcBorders>
              <w:top w:val="nil"/>
              <w:left w:val="nil"/>
              <w:bottom w:val="nil"/>
              <w:right w:val="nil"/>
            </w:tcBorders>
            <w:shd w:val="clear" w:color="auto" w:fill="auto"/>
            <w:noWrap/>
            <w:vAlign w:val="bottom"/>
            <w:hideMark/>
          </w:tcPr>
          <w:p w14:paraId="78DCE2E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11</w:t>
            </w:r>
          </w:p>
        </w:tc>
        <w:tc>
          <w:tcPr>
            <w:tcW w:w="756" w:type="dxa"/>
            <w:tcBorders>
              <w:top w:val="nil"/>
              <w:left w:val="nil"/>
              <w:bottom w:val="nil"/>
              <w:right w:val="nil"/>
            </w:tcBorders>
            <w:shd w:val="clear" w:color="auto" w:fill="auto"/>
            <w:noWrap/>
            <w:vAlign w:val="bottom"/>
            <w:hideMark/>
          </w:tcPr>
          <w:p w14:paraId="4CFAECF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13</w:t>
            </w:r>
          </w:p>
        </w:tc>
        <w:tc>
          <w:tcPr>
            <w:tcW w:w="756" w:type="dxa"/>
            <w:tcBorders>
              <w:top w:val="nil"/>
              <w:left w:val="nil"/>
              <w:bottom w:val="nil"/>
              <w:right w:val="nil"/>
            </w:tcBorders>
            <w:shd w:val="clear" w:color="auto" w:fill="auto"/>
            <w:noWrap/>
            <w:vAlign w:val="bottom"/>
            <w:hideMark/>
          </w:tcPr>
          <w:p w14:paraId="5161F9E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21</w:t>
            </w:r>
          </w:p>
        </w:tc>
        <w:tc>
          <w:tcPr>
            <w:tcW w:w="756" w:type="dxa"/>
            <w:tcBorders>
              <w:top w:val="nil"/>
              <w:left w:val="nil"/>
              <w:bottom w:val="nil"/>
              <w:right w:val="nil"/>
            </w:tcBorders>
            <w:shd w:val="clear" w:color="auto" w:fill="auto"/>
            <w:noWrap/>
            <w:vAlign w:val="bottom"/>
            <w:hideMark/>
          </w:tcPr>
          <w:p w14:paraId="36BDE16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14</w:t>
            </w:r>
          </w:p>
        </w:tc>
        <w:tc>
          <w:tcPr>
            <w:tcW w:w="756" w:type="dxa"/>
            <w:tcBorders>
              <w:top w:val="nil"/>
              <w:left w:val="single" w:sz="4" w:space="0" w:color="auto"/>
              <w:bottom w:val="nil"/>
              <w:right w:val="nil"/>
            </w:tcBorders>
            <w:shd w:val="clear" w:color="auto" w:fill="auto"/>
            <w:noWrap/>
            <w:vAlign w:val="bottom"/>
            <w:hideMark/>
          </w:tcPr>
          <w:p w14:paraId="2D7CD9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19</w:t>
            </w:r>
          </w:p>
        </w:tc>
        <w:tc>
          <w:tcPr>
            <w:tcW w:w="756" w:type="dxa"/>
            <w:tcBorders>
              <w:top w:val="nil"/>
              <w:left w:val="nil"/>
              <w:bottom w:val="nil"/>
              <w:right w:val="nil"/>
            </w:tcBorders>
            <w:shd w:val="clear" w:color="auto" w:fill="auto"/>
            <w:noWrap/>
            <w:vAlign w:val="bottom"/>
            <w:hideMark/>
          </w:tcPr>
          <w:p w14:paraId="29C0303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18</w:t>
            </w:r>
          </w:p>
        </w:tc>
        <w:tc>
          <w:tcPr>
            <w:tcW w:w="222" w:type="dxa"/>
            <w:tcBorders>
              <w:top w:val="nil"/>
              <w:left w:val="nil"/>
              <w:bottom w:val="nil"/>
              <w:right w:val="nil"/>
            </w:tcBorders>
            <w:shd w:val="clear" w:color="auto" w:fill="auto"/>
            <w:noWrap/>
            <w:vAlign w:val="bottom"/>
            <w:hideMark/>
          </w:tcPr>
          <w:p w14:paraId="4D06516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066E72D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Cortex-M</w:t>
            </w:r>
          </w:p>
        </w:tc>
        <w:tc>
          <w:tcPr>
            <w:tcW w:w="756" w:type="dxa"/>
            <w:tcBorders>
              <w:top w:val="nil"/>
              <w:left w:val="nil"/>
              <w:bottom w:val="nil"/>
              <w:right w:val="single" w:sz="4" w:space="0" w:color="auto"/>
            </w:tcBorders>
            <w:shd w:val="clear" w:color="auto" w:fill="auto"/>
            <w:noWrap/>
            <w:vAlign w:val="bottom"/>
            <w:hideMark/>
          </w:tcPr>
          <w:p w14:paraId="5638EE2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86</w:t>
            </w:r>
          </w:p>
        </w:tc>
        <w:tc>
          <w:tcPr>
            <w:tcW w:w="756" w:type="dxa"/>
            <w:tcBorders>
              <w:top w:val="nil"/>
              <w:left w:val="nil"/>
              <w:bottom w:val="nil"/>
              <w:right w:val="single" w:sz="4" w:space="0" w:color="auto"/>
            </w:tcBorders>
            <w:shd w:val="clear" w:color="auto" w:fill="auto"/>
            <w:noWrap/>
            <w:vAlign w:val="bottom"/>
            <w:hideMark/>
          </w:tcPr>
          <w:p w14:paraId="61147F7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60</w:t>
            </w:r>
          </w:p>
        </w:tc>
        <w:tc>
          <w:tcPr>
            <w:tcW w:w="756" w:type="dxa"/>
            <w:tcBorders>
              <w:top w:val="nil"/>
              <w:left w:val="nil"/>
              <w:bottom w:val="nil"/>
              <w:right w:val="single" w:sz="4" w:space="0" w:color="auto"/>
            </w:tcBorders>
            <w:shd w:val="clear" w:color="auto" w:fill="auto"/>
            <w:noWrap/>
            <w:vAlign w:val="bottom"/>
            <w:hideMark/>
          </w:tcPr>
          <w:p w14:paraId="6A6BE94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58</w:t>
            </w:r>
          </w:p>
        </w:tc>
        <w:tc>
          <w:tcPr>
            <w:tcW w:w="236" w:type="dxa"/>
            <w:tcBorders>
              <w:top w:val="nil"/>
              <w:left w:val="nil"/>
              <w:bottom w:val="nil"/>
              <w:right w:val="single" w:sz="4" w:space="0" w:color="auto"/>
            </w:tcBorders>
            <w:shd w:val="clear" w:color="auto" w:fill="auto"/>
            <w:noWrap/>
            <w:vAlign w:val="bottom"/>
            <w:hideMark/>
          </w:tcPr>
          <w:p w14:paraId="48E02C5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59</w:t>
            </w:r>
          </w:p>
        </w:tc>
        <w:tc>
          <w:tcPr>
            <w:tcW w:w="902" w:type="dxa"/>
            <w:vAlign w:val="center"/>
            <w:hideMark/>
          </w:tcPr>
          <w:p w14:paraId="5B11FB9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BEEB97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704DAE4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11D2441" w14:textId="77777777" w:rsidTr="00550648">
        <w:trPr>
          <w:trHeight w:val="129"/>
        </w:trPr>
        <w:tc>
          <w:tcPr>
            <w:tcW w:w="1922" w:type="dxa"/>
            <w:tcBorders>
              <w:top w:val="nil"/>
              <w:left w:val="nil"/>
              <w:bottom w:val="nil"/>
              <w:right w:val="nil"/>
            </w:tcBorders>
            <w:shd w:val="clear" w:color="auto" w:fill="auto"/>
            <w:noWrap/>
            <w:vAlign w:val="bottom"/>
            <w:hideMark/>
          </w:tcPr>
          <w:p w14:paraId="3E4EEB8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lastRenderedPageBreak/>
              <w:t>Mali</w:t>
            </w:r>
          </w:p>
        </w:tc>
        <w:tc>
          <w:tcPr>
            <w:tcW w:w="916" w:type="dxa"/>
            <w:tcBorders>
              <w:top w:val="nil"/>
              <w:left w:val="nil"/>
              <w:bottom w:val="nil"/>
              <w:right w:val="nil"/>
            </w:tcBorders>
            <w:shd w:val="clear" w:color="auto" w:fill="auto"/>
            <w:noWrap/>
            <w:vAlign w:val="bottom"/>
            <w:hideMark/>
          </w:tcPr>
          <w:p w14:paraId="74ADCE7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w:t>
            </w:r>
          </w:p>
        </w:tc>
        <w:tc>
          <w:tcPr>
            <w:tcW w:w="756" w:type="dxa"/>
            <w:tcBorders>
              <w:top w:val="nil"/>
              <w:left w:val="nil"/>
              <w:bottom w:val="nil"/>
              <w:right w:val="nil"/>
            </w:tcBorders>
            <w:shd w:val="clear" w:color="auto" w:fill="auto"/>
            <w:noWrap/>
            <w:vAlign w:val="bottom"/>
            <w:hideMark/>
          </w:tcPr>
          <w:p w14:paraId="4AD5945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w:t>
            </w:r>
          </w:p>
        </w:tc>
        <w:tc>
          <w:tcPr>
            <w:tcW w:w="756" w:type="dxa"/>
            <w:tcBorders>
              <w:top w:val="nil"/>
              <w:left w:val="nil"/>
              <w:bottom w:val="nil"/>
              <w:right w:val="nil"/>
            </w:tcBorders>
            <w:shd w:val="clear" w:color="auto" w:fill="auto"/>
            <w:noWrap/>
            <w:vAlign w:val="bottom"/>
            <w:hideMark/>
          </w:tcPr>
          <w:p w14:paraId="7EA814E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w:t>
            </w:r>
          </w:p>
        </w:tc>
        <w:tc>
          <w:tcPr>
            <w:tcW w:w="756" w:type="dxa"/>
            <w:tcBorders>
              <w:top w:val="nil"/>
              <w:left w:val="nil"/>
              <w:bottom w:val="nil"/>
              <w:right w:val="nil"/>
            </w:tcBorders>
            <w:shd w:val="clear" w:color="auto" w:fill="auto"/>
            <w:noWrap/>
            <w:vAlign w:val="bottom"/>
            <w:hideMark/>
          </w:tcPr>
          <w:p w14:paraId="11360F0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w:t>
            </w:r>
          </w:p>
        </w:tc>
        <w:tc>
          <w:tcPr>
            <w:tcW w:w="756" w:type="dxa"/>
            <w:tcBorders>
              <w:top w:val="nil"/>
              <w:left w:val="single" w:sz="4" w:space="0" w:color="auto"/>
              <w:bottom w:val="nil"/>
              <w:right w:val="nil"/>
            </w:tcBorders>
            <w:shd w:val="clear" w:color="auto" w:fill="auto"/>
            <w:noWrap/>
            <w:vAlign w:val="bottom"/>
            <w:hideMark/>
          </w:tcPr>
          <w:p w14:paraId="61EC1D6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0</w:t>
            </w:r>
          </w:p>
        </w:tc>
        <w:tc>
          <w:tcPr>
            <w:tcW w:w="756" w:type="dxa"/>
            <w:tcBorders>
              <w:top w:val="nil"/>
              <w:left w:val="nil"/>
              <w:bottom w:val="nil"/>
              <w:right w:val="nil"/>
            </w:tcBorders>
            <w:shd w:val="clear" w:color="auto" w:fill="auto"/>
            <w:noWrap/>
            <w:vAlign w:val="bottom"/>
            <w:hideMark/>
          </w:tcPr>
          <w:p w14:paraId="3A3083F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w:t>
            </w:r>
          </w:p>
        </w:tc>
        <w:tc>
          <w:tcPr>
            <w:tcW w:w="222" w:type="dxa"/>
            <w:tcBorders>
              <w:top w:val="nil"/>
              <w:left w:val="nil"/>
              <w:bottom w:val="nil"/>
              <w:right w:val="nil"/>
            </w:tcBorders>
            <w:shd w:val="clear" w:color="auto" w:fill="auto"/>
            <w:noWrap/>
            <w:vAlign w:val="bottom"/>
            <w:hideMark/>
          </w:tcPr>
          <w:p w14:paraId="724326C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15341CF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Mali</w:t>
            </w:r>
          </w:p>
        </w:tc>
        <w:tc>
          <w:tcPr>
            <w:tcW w:w="756" w:type="dxa"/>
            <w:tcBorders>
              <w:top w:val="nil"/>
              <w:left w:val="nil"/>
              <w:bottom w:val="nil"/>
              <w:right w:val="single" w:sz="4" w:space="0" w:color="auto"/>
            </w:tcBorders>
            <w:shd w:val="clear" w:color="auto" w:fill="auto"/>
            <w:noWrap/>
            <w:vAlign w:val="bottom"/>
            <w:hideMark/>
          </w:tcPr>
          <w:p w14:paraId="0B47830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25</w:t>
            </w:r>
          </w:p>
        </w:tc>
        <w:tc>
          <w:tcPr>
            <w:tcW w:w="756" w:type="dxa"/>
            <w:tcBorders>
              <w:top w:val="nil"/>
              <w:left w:val="nil"/>
              <w:bottom w:val="nil"/>
              <w:right w:val="single" w:sz="4" w:space="0" w:color="auto"/>
            </w:tcBorders>
            <w:shd w:val="clear" w:color="auto" w:fill="auto"/>
            <w:noWrap/>
            <w:vAlign w:val="bottom"/>
            <w:hideMark/>
          </w:tcPr>
          <w:p w14:paraId="51795FF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15</w:t>
            </w:r>
          </w:p>
        </w:tc>
        <w:tc>
          <w:tcPr>
            <w:tcW w:w="756" w:type="dxa"/>
            <w:tcBorders>
              <w:top w:val="nil"/>
              <w:left w:val="nil"/>
              <w:bottom w:val="nil"/>
              <w:right w:val="single" w:sz="4" w:space="0" w:color="auto"/>
            </w:tcBorders>
            <w:shd w:val="clear" w:color="auto" w:fill="auto"/>
            <w:noWrap/>
            <w:vAlign w:val="bottom"/>
            <w:hideMark/>
          </w:tcPr>
          <w:p w14:paraId="3863F6E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22</w:t>
            </w:r>
          </w:p>
        </w:tc>
        <w:tc>
          <w:tcPr>
            <w:tcW w:w="236" w:type="dxa"/>
            <w:tcBorders>
              <w:top w:val="nil"/>
              <w:left w:val="nil"/>
              <w:bottom w:val="nil"/>
              <w:right w:val="single" w:sz="4" w:space="0" w:color="auto"/>
            </w:tcBorders>
            <w:shd w:val="clear" w:color="auto" w:fill="auto"/>
            <w:noWrap/>
            <w:vAlign w:val="bottom"/>
            <w:hideMark/>
          </w:tcPr>
          <w:p w14:paraId="6E02CF4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19</w:t>
            </w:r>
          </w:p>
        </w:tc>
        <w:tc>
          <w:tcPr>
            <w:tcW w:w="902" w:type="dxa"/>
            <w:vAlign w:val="center"/>
            <w:hideMark/>
          </w:tcPr>
          <w:p w14:paraId="7CD6EA2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BE2A54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20EB620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77FB94A2" w14:textId="77777777" w:rsidTr="00550648">
        <w:trPr>
          <w:trHeight w:val="129"/>
        </w:trPr>
        <w:tc>
          <w:tcPr>
            <w:tcW w:w="1922" w:type="dxa"/>
            <w:tcBorders>
              <w:top w:val="nil"/>
              <w:left w:val="nil"/>
              <w:bottom w:val="nil"/>
              <w:right w:val="nil"/>
            </w:tcBorders>
            <w:shd w:val="clear" w:color="auto" w:fill="auto"/>
            <w:noWrap/>
            <w:vAlign w:val="bottom"/>
            <w:hideMark/>
          </w:tcPr>
          <w:p w14:paraId="5604867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16" w:type="dxa"/>
            <w:tcBorders>
              <w:top w:val="nil"/>
              <w:left w:val="nil"/>
              <w:bottom w:val="nil"/>
              <w:right w:val="nil"/>
            </w:tcBorders>
            <w:shd w:val="clear" w:color="auto" w:fill="auto"/>
            <w:noWrap/>
            <w:vAlign w:val="bottom"/>
            <w:hideMark/>
          </w:tcPr>
          <w:p w14:paraId="06A652B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5BF846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0F483CE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155A56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DB6B2A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4EFF1B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1419569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2B1BDFE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768B2B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69C4F7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25A0C12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231DB40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458F59D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777426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253B88C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097D59" w:rsidRPr="00E139C5" w14:paraId="58E9D821" w14:textId="77777777" w:rsidTr="00550648">
        <w:trPr>
          <w:gridAfter w:val="1"/>
          <w:wAfter w:w="15" w:type="dxa"/>
          <w:trHeight w:val="129"/>
        </w:trPr>
        <w:tc>
          <w:tcPr>
            <w:tcW w:w="12158" w:type="dxa"/>
            <w:gridSpan w:val="16"/>
            <w:tcBorders>
              <w:top w:val="nil"/>
              <w:left w:val="nil"/>
              <w:bottom w:val="nil"/>
              <w:right w:val="nil"/>
            </w:tcBorders>
            <w:shd w:val="clear" w:color="auto" w:fill="auto"/>
            <w:noWrap/>
            <w:vAlign w:val="bottom"/>
            <w:hideMark/>
          </w:tcPr>
          <w:p w14:paraId="0981F03C" w14:textId="1F424DB9"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 xml:space="preserve">Cumulative breakdown by processor (extant </w:t>
            </w:r>
            <w:r w:rsidR="00394AE2" w:rsidRPr="00E139C5">
              <w:rPr>
                <w:rFonts w:ascii="Times New Roman" w:eastAsia="Times New Roman" w:hAnsi="Times New Roman" w:cs="Times New Roman"/>
                <w:b/>
                <w:bCs/>
                <w:sz w:val="24"/>
                <w:szCs w:val="24"/>
                <w:lang w:eastAsia="en-GB"/>
              </w:rPr>
              <w:t>license</w:t>
            </w:r>
            <w:r w:rsidRPr="00E139C5">
              <w:rPr>
                <w:rFonts w:ascii="Times New Roman" w:eastAsia="Times New Roman" w:hAnsi="Times New Roman" w:cs="Times New Roman"/>
                <w:b/>
                <w:bCs/>
                <w:sz w:val="24"/>
                <w:szCs w:val="24"/>
                <w:lang w:eastAsia="en-GB"/>
              </w:rPr>
              <w:t xml:space="preserve"> still expected to generate a royalty)</w:t>
            </w:r>
          </w:p>
        </w:tc>
      </w:tr>
      <w:tr w:rsidR="00D17616" w:rsidRPr="00E139C5" w14:paraId="39BD5018" w14:textId="77777777" w:rsidTr="00550648">
        <w:trPr>
          <w:trHeight w:val="129"/>
        </w:trPr>
        <w:tc>
          <w:tcPr>
            <w:tcW w:w="1922" w:type="dxa"/>
            <w:tcBorders>
              <w:top w:val="single" w:sz="4" w:space="0" w:color="auto"/>
              <w:left w:val="nil"/>
              <w:bottom w:val="single" w:sz="4" w:space="0" w:color="auto"/>
              <w:right w:val="nil"/>
            </w:tcBorders>
            <w:shd w:val="clear" w:color="auto" w:fill="auto"/>
            <w:noWrap/>
            <w:vAlign w:val="bottom"/>
            <w:hideMark/>
          </w:tcPr>
          <w:p w14:paraId="1E155BE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Total number of Licenses Signed</w:t>
            </w:r>
          </w:p>
        </w:tc>
        <w:tc>
          <w:tcPr>
            <w:tcW w:w="916" w:type="dxa"/>
            <w:tcBorders>
              <w:top w:val="single" w:sz="4" w:space="0" w:color="auto"/>
              <w:left w:val="nil"/>
              <w:bottom w:val="single" w:sz="4" w:space="0" w:color="auto"/>
              <w:right w:val="nil"/>
            </w:tcBorders>
            <w:shd w:val="clear" w:color="auto" w:fill="auto"/>
            <w:noWrap/>
            <w:vAlign w:val="bottom"/>
            <w:hideMark/>
          </w:tcPr>
          <w:p w14:paraId="3472A42D"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1,593</w:t>
            </w:r>
          </w:p>
        </w:tc>
        <w:tc>
          <w:tcPr>
            <w:tcW w:w="756" w:type="dxa"/>
            <w:tcBorders>
              <w:top w:val="single" w:sz="4" w:space="0" w:color="auto"/>
              <w:left w:val="nil"/>
              <w:bottom w:val="single" w:sz="4" w:space="0" w:color="auto"/>
              <w:right w:val="nil"/>
            </w:tcBorders>
            <w:shd w:val="clear" w:color="auto" w:fill="auto"/>
            <w:noWrap/>
            <w:vAlign w:val="bottom"/>
            <w:hideMark/>
          </w:tcPr>
          <w:p w14:paraId="2D11193B"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1,627</w:t>
            </w:r>
          </w:p>
        </w:tc>
        <w:tc>
          <w:tcPr>
            <w:tcW w:w="756" w:type="dxa"/>
            <w:tcBorders>
              <w:top w:val="single" w:sz="4" w:space="0" w:color="auto"/>
              <w:left w:val="nil"/>
              <w:bottom w:val="single" w:sz="4" w:space="0" w:color="auto"/>
              <w:right w:val="nil"/>
            </w:tcBorders>
            <w:shd w:val="clear" w:color="auto" w:fill="auto"/>
            <w:noWrap/>
            <w:vAlign w:val="bottom"/>
            <w:hideMark/>
          </w:tcPr>
          <w:p w14:paraId="0401BFD5"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1,662</w:t>
            </w:r>
          </w:p>
        </w:tc>
        <w:tc>
          <w:tcPr>
            <w:tcW w:w="756" w:type="dxa"/>
            <w:tcBorders>
              <w:top w:val="single" w:sz="4" w:space="0" w:color="auto"/>
              <w:left w:val="nil"/>
              <w:bottom w:val="single" w:sz="4" w:space="0" w:color="auto"/>
              <w:right w:val="nil"/>
            </w:tcBorders>
            <w:shd w:val="clear" w:color="auto" w:fill="auto"/>
            <w:noWrap/>
            <w:vAlign w:val="bottom"/>
            <w:hideMark/>
          </w:tcPr>
          <w:p w14:paraId="52290839"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1,694</w:t>
            </w:r>
          </w:p>
        </w:tc>
        <w:tc>
          <w:tcPr>
            <w:tcW w:w="756" w:type="dxa"/>
            <w:tcBorders>
              <w:top w:val="single" w:sz="4" w:space="0" w:color="auto"/>
              <w:left w:val="single" w:sz="4" w:space="0" w:color="auto"/>
              <w:bottom w:val="single" w:sz="4" w:space="0" w:color="auto"/>
              <w:right w:val="nil"/>
            </w:tcBorders>
            <w:shd w:val="clear" w:color="auto" w:fill="auto"/>
            <w:noWrap/>
            <w:vAlign w:val="bottom"/>
            <w:hideMark/>
          </w:tcPr>
          <w:p w14:paraId="0B2D553E"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1,671</w:t>
            </w:r>
          </w:p>
        </w:tc>
        <w:tc>
          <w:tcPr>
            <w:tcW w:w="756" w:type="dxa"/>
            <w:tcBorders>
              <w:top w:val="single" w:sz="4" w:space="0" w:color="auto"/>
              <w:left w:val="nil"/>
              <w:bottom w:val="single" w:sz="4" w:space="0" w:color="auto"/>
              <w:right w:val="nil"/>
            </w:tcBorders>
            <w:shd w:val="clear" w:color="auto" w:fill="auto"/>
            <w:noWrap/>
            <w:vAlign w:val="bottom"/>
            <w:hideMark/>
          </w:tcPr>
          <w:p w14:paraId="652BD987"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1,692</w:t>
            </w:r>
          </w:p>
        </w:tc>
        <w:tc>
          <w:tcPr>
            <w:tcW w:w="222" w:type="dxa"/>
            <w:tcBorders>
              <w:top w:val="nil"/>
              <w:left w:val="nil"/>
              <w:bottom w:val="nil"/>
              <w:right w:val="nil"/>
            </w:tcBorders>
            <w:shd w:val="clear" w:color="auto" w:fill="auto"/>
            <w:noWrap/>
            <w:vAlign w:val="bottom"/>
            <w:hideMark/>
          </w:tcPr>
          <w:p w14:paraId="5E44FE1C"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p>
        </w:tc>
        <w:tc>
          <w:tcPr>
            <w:tcW w:w="1483" w:type="dxa"/>
            <w:tcBorders>
              <w:top w:val="single" w:sz="4" w:space="0" w:color="auto"/>
              <w:left w:val="nil"/>
              <w:bottom w:val="single" w:sz="4" w:space="0" w:color="auto"/>
              <w:right w:val="nil"/>
            </w:tcBorders>
            <w:shd w:val="clear" w:color="auto" w:fill="auto"/>
            <w:noWrap/>
            <w:vAlign w:val="bottom"/>
            <w:hideMark/>
          </w:tcPr>
          <w:p w14:paraId="17D571DC"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Total number of Licenses Signed</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727DB7CC"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1,348</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5C00F3C2"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1,442</w:t>
            </w:r>
          </w:p>
        </w:tc>
        <w:tc>
          <w:tcPr>
            <w:tcW w:w="756" w:type="dxa"/>
            <w:tcBorders>
              <w:top w:val="single" w:sz="4" w:space="0" w:color="auto"/>
              <w:left w:val="nil"/>
              <w:bottom w:val="single" w:sz="4" w:space="0" w:color="auto"/>
              <w:right w:val="single" w:sz="4" w:space="0" w:color="auto"/>
            </w:tcBorders>
            <w:shd w:val="clear" w:color="auto" w:fill="auto"/>
            <w:noWrap/>
            <w:vAlign w:val="bottom"/>
            <w:hideMark/>
          </w:tcPr>
          <w:p w14:paraId="2B9453FC"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1,577</w:t>
            </w:r>
          </w:p>
        </w:tc>
        <w:tc>
          <w:tcPr>
            <w:tcW w:w="236" w:type="dxa"/>
            <w:tcBorders>
              <w:top w:val="single" w:sz="4" w:space="0" w:color="auto"/>
              <w:left w:val="nil"/>
              <w:bottom w:val="single" w:sz="4" w:space="0" w:color="auto"/>
              <w:right w:val="single" w:sz="4" w:space="0" w:color="auto"/>
            </w:tcBorders>
            <w:shd w:val="clear" w:color="auto" w:fill="auto"/>
            <w:noWrap/>
            <w:vAlign w:val="bottom"/>
            <w:hideMark/>
          </w:tcPr>
          <w:p w14:paraId="7466C3B5"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1,694</w:t>
            </w:r>
          </w:p>
        </w:tc>
        <w:tc>
          <w:tcPr>
            <w:tcW w:w="902" w:type="dxa"/>
            <w:vAlign w:val="center"/>
            <w:hideMark/>
          </w:tcPr>
          <w:p w14:paraId="256EFCC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2DE51CA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4989779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F9F7CCD" w14:textId="77777777" w:rsidTr="00550648">
        <w:trPr>
          <w:trHeight w:val="129"/>
        </w:trPr>
        <w:tc>
          <w:tcPr>
            <w:tcW w:w="1922" w:type="dxa"/>
            <w:tcBorders>
              <w:top w:val="nil"/>
              <w:left w:val="nil"/>
              <w:bottom w:val="nil"/>
              <w:right w:val="nil"/>
            </w:tcBorders>
            <w:shd w:val="clear" w:color="auto" w:fill="auto"/>
            <w:noWrap/>
            <w:vAlign w:val="bottom"/>
            <w:hideMark/>
          </w:tcPr>
          <w:p w14:paraId="2EB66EB4"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Breakdown by processor</w:t>
            </w:r>
          </w:p>
        </w:tc>
        <w:tc>
          <w:tcPr>
            <w:tcW w:w="916" w:type="dxa"/>
            <w:tcBorders>
              <w:top w:val="nil"/>
              <w:left w:val="single" w:sz="4" w:space="0" w:color="auto"/>
              <w:bottom w:val="nil"/>
              <w:right w:val="nil"/>
            </w:tcBorders>
            <w:shd w:val="clear" w:color="auto" w:fill="auto"/>
            <w:noWrap/>
            <w:vAlign w:val="bottom"/>
            <w:hideMark/>
          </w:tcPr>
          <w:p w14:paraId="27C1BBE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auto" w:fill="auto"/>
            <w:noWrap/>
            <w:vAlign w:val="bottom"/>
            <w:hideMark/>
          </w:tcPr>
          <w:p w14:paraId="4E52052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B9B7AA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56BD7DA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single" w:sz="4" w:space="0" w:color="auto"/>
              <w:bottom w:val="nil"/>
              <w:right w:val="nil"/>
            </w:tcBorders>
            <w:shd w:val="clear" w:color="auto" w:fill="auto"/>
            <w:noWrap/>
            <w:vAlign w:val="bottom"/>
            <w:hideMark/>
          </w:tcPr>
          <w:p w14:paraId="3E8A952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nil"/>
            </w:tcBorders>
            <w:shd w:val="clear" w:color="auto" w:fill="auto"/>
            <w:noWrap/>
            <w:vAlign w:val="bottom"/>
            <w:hideMark/>
          </w:tcPr>
          <w:p w14:paraId="658A0F4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7C79038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4988A7EF" w14:textId="77777777" w:rsidR="00097D59" w:rsidRPr="00E139C5" w:rsidRDefault="00097D59" w:rsidP="00E139C5">
            <w:pPr>
              <w:spacing w:after="0" w:line="360" w:lineRule="auto"/>
              <w:jc w:val="both"/>
              <w:rPr>
                <w:rFonts w:ascii="Times New Roman" w:eastAsia="Times New Roman" w:hAnsi="Times New Roman" w:cs="Times New Roman"/>
                <w:b/>
                <w:bCs/>
                <w:sz w:val="24"/>
                <w:szCs w:val="24"/>
                <w:lang w:eastAsia="en-GB"/>
              </w:rPr>
            </w:pPr>
            <w:r w:rsidRPr="00E139C5">
              <w:rPr>
                <w:rFonts w:ascii="Times New Roman" w:eastAsia="Times New Roman" w:hAnsi="Times New Roman" w:cs="Times New Roman"/>
                <w:b/>
                <w:bCs/>
                <w:sz w:val="24"/>
                <w:szCs w:val="24"/>
                <w:lang w:eastAsia="en-GB"/>
              </w:rPr>
              <w:t>Breakdown by processor</w:t>
            </w:r>
          </w:p>
        </w:tc>
        <w:tc>
          <w:tcPr>
            <w:tcW w:w="756" w:type="dxa"/>
            <w:tcBorders>
              <w:top w:val="nil"/>
              <w:left w:val="nil"/>
              <w:bottom w:val="nil"/>
              <w:right w:val="single" w:sz="4" w:space="0" w:color="auto"/>
            </w:tcBorders>
            <w:shd w:val="clear" w:color="auto" w:fill="auto"/>
            <w:noWrap/>
            <w:vAlign w:val="bottom"/>
            <w:hideMark/>
          </w:tcPr>
          <w:p w14:paraId="1A9F52A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single" w:sz="4" w:space="0" w:color="auto"/>
            </w:tcBorders>
            <w:shd w:val="clear" w:color="auto" w:fill="auto"/>
            <w:noWrap/>
            <w:vAlign w:val="bottom"/>
            <w:hideMark/>
          </w:tcPr>
          <w:p w14:paraId="6D33319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756" w:type="dxa"/>
            <w:tcBorders>
              <w:top w:val="nil"/>
              <w:left w:val="nil"/>
              <w:bottom w:val="nil"/>
              <w:right w:val="single" w:sz="4" w:space="0" w:color="auto"/>
            </w:tcBorders>
            <w:shd w:val="clear" w:color="auto" w:fill="auto"/>
            <w:noWrap/>
            <w:vAlign w:val="bottom"/>
            <w:hideMark/>
          </w:tcPr>
          <w:p w14:paraId="6002C5B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236" w:type="dxa"/>
            <w:tcBorders>
              <w:top w:val="nil"/>
              <w:left w:val="nil"/>
              <w:bottom w:val="nil"/>
              <w:right w:val="single" w:sz="4" w:space="0" w:color="auto"/>
            </w:tcBorders>
            <w:shd w:val="clear" w:color="auto" w:fill="auto"/>
            <w:noWrap/>
            <w:vAlign w:val="bottom"/>
            <w:hideMark/>
          </w:tcPr>
          <w:p w14:paraId="65682FE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w:t>
            </w:r>
          </w:p>
        </w:tc>
        <w:tc>
          <w:tcPr>
            <w:tcW w:w="902" w:type="dxa"/>
            <w:vAlign w:val="center"/>
            <w:hideMark/>
          </w:tcPr>
          <w:p w14:paraId="6901DD9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79F110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7C5CCFD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19504CF7" w14:textId="77777777" w:rsidTr="00550648">
        <w:trPr>
          <w:trHeight w:val="129"/>
        </w:trPr>
        <w:tc>
          <w:tcPr>
            <w:tcW w:w="1922" w:type="dxa"/>
            <w:tcBorders>
              <w:top w:val="nil"/>
              <w:left w:val="nil"/>
              <w:bottom w:val="nil"/>
              <w:right w:val="nil"/>
            </w:tcBorders>
            <w:shd w:val="clear" w:color="auto" w:fill="auto"/>
            <w:noWrap/>
            <w:vAlign w:val="bottom"/>
            <w:hideMark/>
          </w:tcPr>
          <w:p w14:paraId="74836F6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Classic (Arm7, Arm9, Arm11)</w:t>
            </w:r>
          </w:p>
        </w:tc>
        <w:tc>
          <w:tcPr>
            <w:tcW w:w="916" w:type="dxa"/>
            <w:tcBorders>
              <w:top w:val="nil"/>
              <w:left w:val="nil"/>
              <w:bottom w:val="nil"/>
              <w:right w:val="nil"/>
            </w:tcBorders>
            <w:shd w:val="clear" w:color="auto" w:fill="auto"/>
            <w:noWrap/>
            <w:vAlign w:val="bottom"/>
            <w:hideMark/>
          </w:tcPr>
          <w:p w14:paraId="7155C5B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499</w:t>
            </w:r>
          </w:p>
        </w:tc>
        <w:tc>
          <w:tcPr>
            <w:tcW w:w="756" w:type="dxa"/>
            <w:tcBorders>
              <w:top w:val="nil"/>
              <w:left w:val="nil"/>
              <w:bottom w:val="nil"/>
              <w:right w:val="nil"/>
            </w:tcBorders>
            <w:shd w:val="clear" w:color="auto" w:fill="auto"/>
            <w:noWrap/>
            <w:vAlign w:val="bottom"/>
            <w:hideMark/>
          </w:tcPr>
          <w:p w14:paraId="028DFA2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499</w:t>
            </w:r>
          </w:p>
        </w:tc>
        <w:tc>
          <w:tcPr>
            <w:tcW w:w="756" w:type="dxa"/>
            <w:tcBorders>
              <w:top w:val="nil"/>
              <w:left w:val="nil"/>
              <w:bottom w:val="nil"/>
              <w:right w:val="nil"/>
            </w:tcBorders>
            <w:shd w:val="clear" w:color="auto" w:fill="auto"/>
            <w:noWrap/>
            <w:vAlign w:val="bottom"/>
            <w:hideMark/>
          </w:tcPr>
          <w:p w14:paraId="1BC1B44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499</w:t>
            </w:r>
          </w:p>
        </w:tc>
        <w:tc>
          <w:tcPr>
            <w:tcW w:w="756" w:type="dxa"/>
            <w:tcBorders>
              <w:top w:val="nil"/>
              <w:left w:val="nil"/>
              <w:bottom w:val="nil"/>
              <w:right w:val="nil"/>
            </w:tcBorders>
            <w:shd w:val="clear" w:color="auto" w:fill="auto"/>
            <w:noWrap/>
            <w:vAlign w:val="bottom"/>
            <w:hideMark/>
          </w:tcPr>
          <w:p w14:paraId="712EF8E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499</w:t>
            </w:r>
          </w:p>
        </w:tc>
        <w:tc>
          <w:tcPr>
            <w:tcW w:w="756" w:type="dxa"/>
            <w:tcBorders>
              <w:top w:val="nil"/>
              <w:left w:val="single" w:sz="4" w:space="0" w:color="auto"/>
              <w:bottom w:val="nil"/>
              <w:right w:val="nil"/>
            </w:tcBorders>
            <w:shd w:val="clear" w:color="auto" w:fill="auto"/>
            <w:noWrap/>
            <w:vAlign w:val="bottom"/>
            <w:hideMark/>
          </w:tcPr>
          <w:p w14:paraId="320F2A8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452</w:t>
            </w:r>
          </w:p>
        </w:tc>
        <w:tc>
          <w:tcPr>
            <w:tcW w:w="756" w:type="dxa"/>
            <w:tcBorders>
              <w:top w:val="nil"/>
              <w:left w:val="nil"/>
              <w:bottom w:val="nil"/>
              <w:right w:val="nil"/>
            </w:tcBorders>
            <w:shd w:val="clear" w:color="auto" w:fill="auto"/>
            <w:noWrap/>
            <w:vAlign w:val="bottom"/>
            <w:hideMark/>
          </w:tcPr>
          <w:p w14:paraId="0ADF65D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451</w:t>
            </w:r>
          </w:p>
        </w:tc>
        <w:tc>
          <w:tcPr>
            <w:tcW w:w="222" w:type="dxa"/>
            <w:tcBorders>
              <w:top w:val="nil"/>
              <w:left w:val="nil"/>
              <w:bottom w:val="nil"/>
              <w:right w:val="nil"/>
            </w:tcBorders>
            <w:shd w:val="clear" w:color="auto" w:fill="auto"/>
            <w:noWrap/>
            <w:vAlign w:val="bottom"/>
            <w:hideMark/>
          </w:tcPr>
          <w:p w14:paraId="3753D3E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25F5587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Classic (Arm7, Arm9, Arm11)</w:t>
            </w:r>
          </w:p>
        </w:tc>
        <w:tc>
          <w:tcPr>
            <w:tcW w:w="756" w:type="dxa"/>
            <w:tcBorders>
              <w:top w:val="nil"/>
              <w:left w:val="nil"/>
              <w:bottom w:val="nil"/>
              <w:right w:val="single" w:sz="4" w:space="0" w:color="auto"/>
            </w:tcBorders>
            <w:shd w:val="clear" w:color="auto" w:fill="auto"/>
            <w:noWrap/>
            <w:vAlign w:val="bottom"/>
            <w:hideMark/>
          </w:tcPr>
          <w:p w14:paraId="504F269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517</w:t>
            </w:r>
          </w:p>
        </w:tc>
        <w:tc>
          <w:tcPr>
            <w:tcW w:w="756" w:type="dxa"/>
            <w:tcBorders>
              <w:top w:val="nil"/>
              <w:left w:val="nil"/>
              <w:bottom w:val="nil"/>
              <w:right w:val="single" w:sz="4" w:space="0" w:color="auto"/>
            </w:tcBorders>
            <w:shd w:val="clear" w:color="auto" w:fill="auto"/>
            <w:noWrap/>
            <w:vAlign w:val="bottom"/>
            <w:hideMark/>
          </w:tcPr>
          <w:p w14:paraId="07876D0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500</w:t>
            </w:r>
          </w:p>
        </w:tc>
        <w:tc>
          <w:tcPr>
            <w:tcW w:w="756" w:type="dxa"/>
            <w:tcBorders>
              <w:top w:val="nil"/>
              <w:left w:val="nil"/>
              <w:bottom w:val="nil"/>
              <w:right w:val="single" w:sz="4" w:space="0" w:color="auto"/>
            </w:tcBorders>
            <w:shd w:val="clear" w:color="auto" w:fill="auto"/>
            <w:noWrap/>
            <w:vAlign w:val="bottom"/>
            <w:hideMark/>
          </w:tcPr>
          <w:p w14:paraId="716DA18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499</w:t>
            </w:r>
          </w:p>
        </w:tc>
        <w:tc>
          <w:tcPr>
            <w:tcW w:w="236" w:type="dxa"/>
            <w:tcBorders>
              <w:top w:val="nil"/>
              <w:left w:val="nil"/>
              <w:bottom w:val="nil"/>
              <w:right w:val="single" w:sz="4" w:space="0" w:color="auto"/>
            </w:tcBorders>
            <w:shd w:val="clear" w:color="auto" w:fill="auto"/>
            <w:noWrap/>
            <w:vAlign w:val="bottom"/>
            <w:hideMark/>
          </w:tcPr>
          <w:p w14:paraId="15DA433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499</w:t>
            </w:r>
          </w:p>
        </w:tc>
        <w:tc>
          <w:tcPr>
            <w:tcW w:w="902" w:type="dxa"/>
            <w:vAlign w:val="center"/>
            <w:hideMark/>
          </w:tcPr>
          <w:p w14:paraId="715124A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50F77FF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41F61A0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088876F3" w14:textId="77777777" w:rsidTr="00550648">
        <w:trPr>
          <w:trHeight w:val="129"/>
        </w:trPr>
        <w:tc>
          <w:tcPr>
            <w:tcW w:w="1922" w:type="dxa"/>
            <w:tcBorders>
              <w:top w:val="nil"/>
              <w:left w:val="nil"/>
              <w:bottom w:val="nil"/>
              <w:right w:val="nil"/>
            </w:tcBorders>
            <w:shd w:val="clear" w:color="auto" w:fill="auto"/>
            <w:noWrap/>
            <w:vAlign w:val="bottom"/>
            <w:hideMark/>
          </w:tcPr>
          <w:p w14:paraId="38A566D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Cortex-A</w:t>
            </w:r>
          </w:p>
        </w:tc>
        <w:tc>
          <w:tcPr>
            <w:tcW w:w="916" w:type="dxa"/>
            <w:tcBorders>
              <w:top w:val="nil"/>
              <w:left w:val="nil"/>
              <w:bottom w:val="nil"/>
              <w:right w:val="nil"/>
            </w:tcBorders>
            <w:shd w:val="clear" w:color="auto" w:fill="auto"/>
            <w:noWrap/>
            <w:vAlign w:val="bottom"/>
            <w:hideMark/>
          </w:tcPr>
          <w:p w14:paraId="3C67080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337</w:t>
            </w:r>
          </w:p>
        </w:tc>
        <w:tc>
          <w:tcPr>
            <w:tcW w:w="756" w:type="dxa"/>
            <w:tcBorders>
              <w:top w:val="nil"/>
              <w:left w:val="nil"/>
              <w:bottom w:val="nil"/>
              <w:right w:val="nil"/>
            </w:tcBorders>
            <w:shd w:val="clear" w:color="auto" w:fill="auto"/>
            <w:noWrap/>
            <w:vAlign w:val="bottom"/>
            <w:hideMark/>
          </w:tcPr>
          <w:p w14:paraId="57AC61D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350</w:t>
            </w:r>
          </w:p>
        </w:tc>
        <w:tc>
          <w:tcPr>
            <w:tcW w:w="756" w:type="dxa"/>
            <w:tcBorders>
              <w:top w:val="nil"/>
              <w:left w:val="nil"/>
              <w:bottom w:val="nil"/>
              <w:right w:val="nil"/>
            </w:tcBorders>
            <w:shd w:val="clear" w:color="auto" w:fill="auto"/>
            <w:noWrap/>
            <w:vAlign w:val="bottom"/>
            <w:hideMark/>
          </w:tcPr>
          <w:p w14:paraId="0B3258C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353</w:t>
            </w:r>
          </w:p>
        </w:tc>
        <w:tc>
          <w:tcPr>
            <w:tcW w:w="756" w:type="dxa"/>
            <w:tcBorders>
              <w:top w:val="nil"/>
              <w:left w:val="nil"/>
              <w:bottom w:val="nil"/>
              <w:right w:val="nil"/>
            </w:tcBorders>
            <w:shd w:val="clear" w:color="auto" w:fill="auto"/>
            <w:noWrap/>
            <w:vAlign w:val="bottom"/>
            <w:hideMark/>
          </w:tcPr>
          <w:p w14:paraId="2583FAA5"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363</w:t>
            </w:r>
          </w:p>
        </w:tc>
        <w:tc>
          <w:tcPr>
            <w:tcW w:w="756" w:type="dxa"/>
            <w:tcBorders>
              <w:top w:val="nil"/>
              <w:left w:val="single" w:sz="4" w:space="0" w:color="auto"/>
              <w:bottom w:val="nil"/>
              <w:right w:val="nil"/>
            </w:tcBorders>
            <w:shd w:val="clear" w:color="auto" w:fill="auto"/>
            <w:noWrap/>
            <w:vAlign w:val="bottom"/>
            <w:hideMark/>
          </w:tcPr>
          <w:p w14:paraId="5333628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367</w:t>
            </w:r>
          </w:p>
        </w:tc>
        <w:tc>
          <w:tcPr>
            <w:tcW w:w="756" w:type="dxa"/>
            <w:tcBorders>
              <w:top w:val="nil"/>
              <w:left w:val="nil"/>
              <w:bottom w:val="nil"/>
              <w:right w:val="nil"/>
            </w:tcBorders>
            <w:shd w:val="clear" w:color="auto" w:fill="auto"/>
            <w:noWrap/>
            <w:vAlign w:val="bottom"/>
            <w:hideMark/>
          </w:tcPr>
          <w:p w14:paraId="7558E0E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373</w:t>
            </w:r>
          </w:p>
        </w:tc>
        <w:tc>
          <w:tcPr>
            <w:tcW w:w="222" w:type="dxa"/>
            <w:tcBorders>
              <w:top w:val="nil"/>
              <w:left w:val="nil"/>
              <w:bottom w:val="nil"/>
              <w:right w:val="nil"/>
            </w:tcBorders>
            <w:shd w:val="clear" w:color="auto" w:fill="auto"/>
            <w:noWrap/>
            <w:vAlign w:val="bottom"/>
            <w:hideMark/>
          </w:tcPr>
          <w:p w14:paraId="6DB8559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53B8FFF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Cortex-A</w:t>
            </w:r>
          </w:p>
        </w:tc>
        <w:tc>
          <w:tcPr>
            <w:tcW w:w="756" w:type="dxa"/>
            <w:tcBorders>
              <w:top w:val="nil"/>
              <w:left w:val="nil"/>
              <w:bottom w:val="nil"/>
              <w:right w:val="single" w:sz="4" w:space="0" w:color="auto"/>
            </w:tcBorders>
            <w:shd w:val="clear" w:color="auto" w:fill="auto"/>
            <w:noWrap/>
            <w:vAlign w:val="bottom"/>
            <w:hideMark/>
          </w:tcPr>
          <w:p w14:paraId="7B3F71E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265</w:t>
            </w:r>
          </w:p>
        </w:tc>
        <w:tc>
          <w:tcPr>
            <w:tcW w:w="756" w:type="dxa"/>
            <w:tcBorders>
              <w:top w:val="nil"/>
              <w:left w:val="nil"/>
              <w:bottom w:val="nil"/>
              <w:right w:val="single" w:sz="4" w:space="0" w:color="auto"/>
            </w:tcBorders>
            <w:shd w:val="clear" w:color="auto" w:fill="auto"/>
            <w:noWrap/>
            <w:vAlign w:val="bottom"/>
            <w:hideMark/>
          </w:tcPr>
          <w:p w14:paraId="4C0285D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290</w:t>
            </w:r>
          </w:p>
        </w:tc>
        <w:tc>
          <w:tcPr>
            <w:tcW w:w="756" w:type="dxa"/>
            <w:tcBorders>
              <w:top w:val="nil"/>
              <w:left w:val="nil"/>
              <w:bottom w:val="nil"/>
              <w:right w:val="single" w:sz="4" w:space="0" w:color="auto"/>
            </w:tcBorders>
            <w:shd w:val="clear" w:color="auto" w:fill="auto"/>
            <w:noWrap/>
            <w:vAlign w:val="bottom"/>
            <w:hideMark/>
          </w:tcPr>
          <w:p w14:paraId="17D53C9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334</w:t>
            </w:r>
          </w:p>
        </w:tc>
        <w:tc>
          <w:tcPr>
            <w:tcW w:w="236" w:type="dxa"/>
            <w:tcBorders>
              <w:top w:val="nil"/>
              <w:left w:val="nil"/>
              <w:bottom w:val="nil"/>
              <w:right w:val="single" w:sz="4" w:space="0" w:color="auto"/>
            </w:tcBorders>
            <w:shd w:val="clear" w:color="auto" w:fill="auto"/>
            <w:noWrap/>
            <w:vAlign w:val="bottom"/>
            <w:hideMark/>
          </w:tcPr>
          <w:p w14:paraId="6A81F1C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363</w:t>
            </w:r>
          </w:p>
        </w:tc>
        <w:tc>
          <w:tcPr>
            <w:tcW w:w="902" w:type="dxa"/>
            <w:vAlign w:val="center"/>
            <w:hideMark/>
          </w:tcPr>
          <w:p w14:paraId="16261ED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4F7AD28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35EAB75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2DACEA96" w14:textId="77777777" w:rsidTr="00550648">
        <w:trPr>
          <w:trHeight w:val="129"/>
        </w:trPr>
        <w:tc>
          <w:tcPr>
            <w:tcW w:w="1922" w:type="dxa"/>
            <w:tcBorders>
              <w:top w:val="nil"/>
              <w:left w:val="nil"/>
              <w:bottom w:val="nil"/>
              <w:right w:val="nil"/>
            </w:tcBorders>
            <w:shd w:val="clear" w:color="auto" w:fill="auto"/>
            <w:noWrap/>
            <w:vAlign w:val="bottom"/>
            <w:hideMark/>
          </w:tcPr>
          <w:p w14:paraId="764802C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Cortex-R</w:t>
            </w:r>
          </w:p>
        </w:tc>
        <w:tc>
          <w:tcPr>
            <w:tcW w:w="916" w:type="dxa"/>
            <w:tcBorders>
              <w:top w:val="nil"/>
              <w:left w:val="nil"/>
              <w:bottom w:val="nil"/>
              <w:right w:val="nil"/>
            </w:tcBorders>
            <w:shd w:val="clear" w:color="auto" w:fill="auto"/>
            <w:noWrap/>
            <w:vAlign w:val="bottom"/>
            <w:hideMark/>
          </w:tcPr>
          <w:p w14:paraId="43A020A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95</w:t>
            </w:r>
          </w:p>
        </w:tc>
        <w:tc>
          <w:tcPr>
            <w:tcW w:w="756" w:type="dxa"/>
            <w:tcBorders>
              <w:top w:val="nil"/>
              <w:left w:val="nil"/>
              <w:bottom w:val="nil"/>
              <w:right w:val="nil"/>
            </w:tcBorders>
            <w:shd w:val="clear" w:color="auto" w:fill="auto"/>
            <w:noWrap/>
            <w:vAlign w:val="bottom"/>
            <w:hideMark/>
          </w:tcPr>
          <w:p w14:paraId="7110962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100</w:t>
            </w:r>
          </w:p>
        </w:tc>
        <w:tc>
          <w:tcPr>
            <w:tcW w:w="756" w:type="dxa"/>
            <w:tcBorders>
              <w:top w:val="nil"/>
              <w:left w:val="nil"/>
              <w:bottom w:val="nil"/>
              <w:right w:val="nil"/>
            </w:tcBorders>
            <w:shd w:val="clear" w:color="auto" w:fill="auto"/>
            <w:noWrap/>
            <w:vAlign w:val="bottom"/>
            <w:hideMark/>
          </w:tcPr>
          <w:p w14:paraId="245C616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103</w:t>
            </w:r>
          </w:p>
        </w:tc>
        <w:tc>
          <w:tcPr>
            <w:tcW w:w="756" w:type="dxa"/>
            <w:tcBorders>
              <w:top w:val="nil"/>
              <w:left w:val="nil"/>
              <w:bottom w:val="nil"/>
              <w:right w:val="nil"/>
            </w:tcBorders>
            <w:shd w:val="clear" w:color="auto" w:fill="auto"/>
            <w:noWrap/>
            <w:vAlign w:val="bottom"/>
            <w:hideMark/>
          </w:tcPr>
          <w:p w14:paraId="0712931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106</w:t>
            </w:r>
          </w:p>
        </w:tc>
        <w:tc>
          <w:tcPr>
            <w:tcW w:w="756" w:type="dxa"/>
            <w:tcBorders>
              <w:top w:val="nil"/>
              <w:left w:val="single" w:sz="4" w:space="0" w:color="auto"/>
              <w:bottom w:val="nil"/>
              <w:right w:val="nil"/>
            </w:tcBorders>
            <w:shd w:val="clear" w:color="auto" w:fill="auto"/>
            <w:noWrap/>
            <w:vAlign w:val="bottom"/>
            <w:hideMark/>
          </w:tcPr>
          <w:p w14:paraId="6EA213A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109</w:t>
            </w:r>
          </w:p>
        </w:tc>
        <w:tc>
          <w:tcPr>
            <w:tcW w:w="756" w:type="dxa"/>
            <w:tcBorders>
              <w:top w:val="nil"/>
              <w:left w:val="nil"/>
              <w:bottom w:val="nil"/>
              <w:right w:val="nil"/>
            </w:tcBorders>
            <w:shd w:val="clear" w:color="auto" w:fill="auto"/>
            <w:noWrap/>
            <w:vAlign w:val="bottom"/>
            <w:hideMark/>
          </w:tcPr>
          <w:p w14:paraId="5AD7D06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108</w:t>
            </w:r>
          </w:p>
        </w:tc>
        <w:tc>
          <w:tcPr>
            <w:tcW w:w="222" w:type="dxa"/>
            <w:tcBorders>
              <w:top w:val="nil"/>
              <w:left w:val="nil"/>
              <w:bottom w:val="nil"/>
              <w:right w:val="nil"/>
            </w:tcBorders>
            <w:shd w:val="clear" w:color="auto" w:fill="auto"/>
            <w:noWrap/>
            <w:vAlign w:val="bottom"/>
            <w:hideMark/>
          </w:tcPr>
          <w:p w14:paraId="2462827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7234E06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Cortex-R</w:t>
            </w:r>
          </w:p>
        </w:tc>
        <w:tc>
          <w:tcPr>
            <w:tcW w:w="756" w:type="dxa"/>
            <w:tcBorders>
              <w:top w:val="nil"/>
              <w:left w:val="nil"/>
              <w:bottom w:val="nil"/>
              <w:right w:val="single" w:sz="4" w:space="0" w:color="auto"/>
            </w:tcBorders>
            <w:shd w:val="clear" w:color="auto" w:fill="auto"/>
            <w:noWrap/>
            <w:vAlign w:val="bottom"/>
            <w:hideMark/>
          </w:tcPr>
          <w:p w14:paraId="7191DE4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65</w:t>
            </w:r>
          </w:p>
        </w:tc>
        <w:tc>
          <w:tcPr>
            <w:tcW w:w="756" w:type="dxa"/>
            <w:tcBorders>
              <w:top w:val="nil"/>
              <w:left w:val="nil"/>
              <w:bottom w:val="nil"/>
              <w:right w:val="single" w:sz="4" w:space="0" w:color="auto"/>
            </w:tcBorders>
            <w:shd w:val="clear" w:color="auto" w:fill="auto"/>
            <w:noWrap/>
            <w:vAlign w:val="bottom"/>
            <w:hideMark/>
          </w:tcPr>
          <w:p w14:paraId="040A3F2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78</w:t>
            </w:r>
          </w:p>
        </w:tc>
        <w:tc>
          <w:tcPr>
            <w:tcW w:w="756" w:type="dxa"/>
            <w:tcBorders>
              <w:top w:val="nil"/>
              <w:left w:val="nil"/>
              <w:bottom w:val="nil"/>
              <w:right w:val="single" w:sz="4" w:space="0" w:color="auto"/>
            </w:tcBorders>
            <w:shd w:val="clear" w:color="auto" w:fill="auto"/>
            <w:noWrap/>
            <w:vAlign w:val="bottom"/>
            <w:hideMark/>
          </w:tcPr>
          <w:p w14:paraId="1825E63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94</w:t>
            </w:r>
          </w:p>
        </w:tc>
        <w:tc>
          <w:tcPr>
            <w:tcW w:w="236" w:type="dxa"/>
            <w:tcBorders>
              <w:top w:val="nil"/>
              <w:left w:val="nil"/>
              <w:bottom w:val="nil"/>
              <w:right w:val="single" w:sz="4" w:space="0" w:color="auto"/>
            </w:tcBorders>
            <w:shd w:val="clear" w:color="auto" w:fill="auto"/>
            <w:noWrap/>
            <w:vAlign w:val="bottom"/>
            <w:hideMark/>
          </w:tcPr>
          <w:p w14:paraId="00FE333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106</w:t>
            </w:r>
          </w:p>
        </w:tc>
        <w:tc>
          <w:tcPr>
            <w:tcW w:w="902" w:type="dxa"/>
            <w:vAlign w:val="center"/>
            <w:hideMark/>
          </w:tcPr>
          <w:p w14:paraId="32FF66E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B1C507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5846C2D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787A3592" w14:textId="77777777" w:rsidTr="00550648">
        <w:trPr>
          <w:trHeight w:val="129"/>
        </w:trPr>
        <w:tc>
          <w:tcPr>
            <w:tcW w:w="1922" w:type="dxa"/>
            <w:tcBorders>
              <w:top w:val="nil"/>
              <w:left w:val="nil"/>
              <w:bottom w:val="nil"/>
              <w:right w:val="nil"/>
            </w:tcBorders>
            <w:shd w:val="clear" w:color="auto" w:fill="auto"/>
            <w:noWrap/>
            <w:vAlign w:val="bottom"/>
            <w:hideMark/>
          </w:tcPr>
          <w:p w14:paraId="5DB05B0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Cortex-M</w:t>
            </w:r>
          </w:p>
        </w:tc>
        <w:tc>
          <w:tcPr>
            <w:tcW w:w="916" w:type="dxa"/>
            <w:tcBorders>
              <w:top w:val="nil"/>
              <w:left w:val="nil"/>
              <w:bottom w:val="nil"/>
              <w:right w:val="nil"/>
            </w:tcBorders>
            <w:shd w:val="clear" w:color="auto" w:fill="auto"/>
            <w:noWrap/>
            <w:vAlign w:val="bottom"/>
            <w:hideMark/>
          </w:tcPr>
          <w:p w14:paraId="51A1E46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493</w:t>
            </w:r>
          </w:p>
        </w:tc>
        <w:tc>
          <w:tcPr>
            <w:tcW w:w="756" w:type="dxa"/>
            <w:tcBorders>
              <w:top w:val="nil"/>
              <w:left w:val="nil"/>
              <w:bottom w:val="nil"/>
              <w:right w:val="nil"/>
            </w:tcBorders>
            <w:shd w:val="clear" w:color="auto" w:fill="auto"/>
            <w:noWrap/>
            <w:vAlign w:val="bottom"/>
            <w:hideMark/>
          </w:tcPr>
          <w:p w14:paraId="4AC425B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506</w:t>
            </w:r>
          </w:p>
        </w:tc>
        <w:tc>
          <w:tcPr>
            <w:tcW w:w="756" w:type="dxa"/>
            <w:tcBorders>
              <w:top w:val="nil"/>
              <w:left w:val="nil"/>
              <w:bottom w:val="nil"/>
              <w:right w:val="nil"/>
            </w:tcBorders>
            <w:shd w:val="clear" w:color="auto" w:fill="auto"/>
            <w:noWrap/>
            <w:vAlign w:val="bottom"/>
            <w:hideMark/>
          </w:tcPr>
          <w:p w14:paraId="61E8100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525</w:t>
            </w:r>
          </w:p>
        </w:tc>
        <w:tc>
          <w:tcPr>
            <w:tcW w:w="756" w:type="dxa"/>
            <w:tcBorders>
              <w:top w:val="nil"/>
              <w:left w:val="nil"/>
              <w:bottom w:val="nil"/>
              <w:right w:val="nil"/>
            </w:tcBorders>
            <w:shd w:val="clear" w:color="auto" w:fill="auto"/>
            <w:noWrap/>
            <w:vAlign w:val="bottom"/>
            <w:hideMark/>
          </w:tcPr>
          <w:p w14:paraId="1EBBFD5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539</w:t>
            </w:r>
          </w:p>
        </w:tc>
        <w:tc>
          <w:tcPr>
            <w:tcW w:w="756" w:type="dxa"/>
            <w:tcBorders>
              <w:top w:val="nil"/>
              <w:left w:val="single" w:sz="4" w:space="0" w:color="auto"/>
              <w:bottom w:val="nil"/>
              <w:right w:val="nil"/>
            </w:tcBorders>
            <w:shd w:val="clear" w:color="auto" w:fill="auto"/>
            <w:noWrap/>
            <w:vAlign w:val="bottom"/>
            <w:hideMark/>
          </w:tcPr>
          <w:p w14:paraId="2CF2C4C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556</w:t>
            </w:r>
          </w:p>
        </w:tc>
        <w:tc>
          <w:tcPr>
            <w:tcW w:w="756" w:type="dxa"/>
            <w:tcBorders>
              <w:top w:val="nil"/>
              <w:left w:val="nil"/>
              <w:bottom w:val="nil"/>
              <w:right w:val="nil"/>
            </w:tcBorders>
            <w:shd w:val="clear" w:color="auto" w:fill="auto"/>
            <w:noWrap/>
            <w:vAlign w:val="bottom"/>
            <w:hideMark/>
          </w:tcPr>
          <w:p w14:paraId="7874D04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573</w:t>
            </w:r>
          </w:p>
        </w:tc>
        <w:tc>
          <w:tcPr>
            <w:tcW w:w="222" w:type="dxa"/>
            <w:tcBorders>
              <w:top w:val="nil"/>
              <w:left w:val="nil"/>
              <w:bottom w:val="nil"/>
              <w:right w:val="nil"/>
            </w:tcBorders>
            <w:shd w:val="clear" w:color="auto" w:fill="auto"/>
            <w:noWrap/>
            <w:vAlign w:val="bottom"/>
            <w:hideMark/>
          </w:tcPr>
          <w:p w14:paraId="34670B8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7032553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Cortex-M</w:t>
            </w:r>
          </w:p>
        </w:tc>
        <w:tc>
          <w:tcPr>
            <w:tcW w:w="756" w:type="dxa"/>
            <w:tcBorders>
              <w:top w:val="nil"/>
              <w:left w:val="nil"/>
              <w:bottom w:val="nil"/>
              <w:right w:val="single" w:sz="4" w:space="0" w:color="auto"/>
            </w:tcBorders>
            <w:shd w:val="clear" w:color="auto" w:fill="auto"/>
            <w:noWrap/>
            <w:vAlign w:val="bottom"/>
            <w:hideMark/>
          </w:tcPr>
          <w:p w14:paraId="55FC260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363</w:t>
            </w:r>
          </w:p>
        </w:tc>
        <w:tc>
          <w:tcPr>
            <w:tcW w:w="756" w:type="dxa"/>
            <w:tcBorders>
              <w:top w:val="nil"/>
              <w:left w:val="nil"/>
              <w:bottom w:val="nil"/>
              <w:right w:val="single" w:sz="4" w:space="0" w:color="auto"/>
            </w:tcBorders>
            <w:shd w:val="clear" w:color="auto" w:fill="auto"/>
            <w:noWrap/>
            <w:vAlign w:val="bottom"/>
            <w:hideMark/>
          </w:tcPr>
          <w:p w14:paraId="454AB42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425</w:t>
            </w:r>
          </w:p>
        </w:tc>
        <w:tc>
          <w:tcPr>
            <w:tcW w:w="756" w:type="dxa"/>
            <w:tcBorders>
              <w:top w:val="nil"/>
              <w:left w:val="nil"/>
              <w:bottom w:val="nil"/>
              <w:right w:val="single" w:sz="4" w:space="0" w:color="auto"/>
            </w:tcBorders>
            <w:shd w:val="clear" w:color="auto" w:fill="auto"/>
            <w:noWrap/>
            <w:vAlign w:val="bottom"/>
            <w:hideMark/>
          </w:tcPr>
          <w:p w14:paraId="5DED1F9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482</w:t>
            </w:r>
          </w:p>
        </w:tc>
        <w:tc>
          <w:tcPr>
            <w:tcW w:w="236" w:type="dxa"/>
            <w:tcBorders>
              <w:top w:val="nil"/>
              <w:left w:val="nil"/>
              <w:bottom w:val="nil"/>
              <w:right w:val="single" w:sz="4" w:space="0" w:color="auto"/>
            </w:tcBorders>
            <w:shd w:val="clear" w:color="auto" w:fill="auto"/>
            <w:noWrap/>
            <w:vAlign w:val="bottom"/>
            <w:hideMark/>
          </w:tcPr>
          <w:p w14:paraId="6CE0E5C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539</w:t>
            </w:r>
          </w:p>
        </w:tc>
        <w:tc>
          <w:tcPr>
            <w:tcW w:w="902" w:type="dxa"/>
            <w:vAlign w:val="center"/>
            <w:hideMark/>
          </w:tcPr>
          <w:p w14:paraId="0ADADC0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0938CEB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636017B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D17616" w:rsidRPr="00E139C5" w14:paraId="4BFB46B9" w14:textId="77777777" w:rsidTr="00550648">
        <w:trPr>
          <w:trHeight w:val="129"/>
        </w:trPr>
        <w:tc>
          <w:tcPr>
            <w:tcW w:w="1922" w:type="dxa"/>
            <w:tcBorders>
              <w:top w:val="nil"/>
              <w:left w:val="nil"/>
              <w:bottom w:val="nil"/>
              <w:right w:val="nil"/>
            </w:tcBorders>
            <w:shd w:val="clear" w:color="auto" w:fill="auto"/>
            <w:noWrap/>
            <w:vAlign w:val="bottom"/>
            <w:hideMark/>
          </w:tcPr>
          <w:p w14:paraId="0366126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Mali</w:t>
            </w:r>
          </w:p>
        </w:tc>
        <w:tc>
          <w:tcPr>
            <w:tcW w:w="916" w:type="dxa"/>
            <w:tcBorders>
              <w:top w:val="nil"/>
              <w:left w:val="nil"/>
              <w:bottom w:val="nil"/>
              <w:right w:val="nil"/>
            </w:tcBorders>
            <w:shd w:val="clear" w:color="auto" w:fill="auto"/>
            <w:noWrap/>
            <w:vAlign w:val="bottom"/>
            <w:hideMark/>
          </w:tcPr>
          <w:p w14:paraId="7DDDF17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169</w:t>
            </w:r>
          </w:p>
        </w:tc>
        <w:tc>
          <w:tcPr>
            <w:tcW w:w="756" w:type="dxa"/>
            <w:tcBorders>
              <w:top w:val="nil"/>
              <w:left w:val="nil"/>
              <w:bottom w:val="nil"/>
              <w:right w:val="nil"/>
            </w:tcBorders>
            <w:shd w:val="clear" w:color="auto" w:fill="auto"/>
            <w:noWrap/>
            <w:vAlign w:val="bottom"/>
            <w:hideMark/>
          </w:tcPr>
          <w:p w14:paraId="4685EEA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172</w:t>
            </w:r>
          </w:p>
        </w:tc>
        <w:tc>
          <w:tcPr>
            <w:tcW w:w="756" w:type="dxa"/>
            <w:tcBorders>
              <w:top w:val="nil"/>
              <w:left w:val="nil"/>
              <w:bottom w:val="nil"/>
              <w:right w:val="nil"/>
            </w:tcBorders>
            <w:shd w:val="clear" w:color="auto" w:fill="auto"/>
            <w:noWrap/>
            <w:vAlign w:val="bottom"/>
            <w:hideMark/>
          </w:tcPr>
          <w:p w14:paraId="1B203C2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182</w:t>
            </w:r>
          </w:p>
        </w:tc>
        <w:tc>
          <w:tcPr>
            <w:tcW w:w="756" w:type="dxa"/>
            <w:tcBorders>
              <w:top w:val="nil"/>
              <w:left w:val="nil"/>
              <w:bottom w:val="nil"/>
              <w:right w:val="nil"/>
            </w:tcBorders>
            <w:shd w:val="clear" w:color="auto" w:fill="auto"/>
            <w:noWrap/>
            <w:vAlign w:val="bottom"/>
            <w:hideMark/>
          </w:tcPr>
          <w:p w14:paraId="3EB1723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187</w:t>
            </w:r>
          </w:p>
        </w:tc>
        <w:tc>
          <w:tcPr>
            <w:tcW w:w="756" w:type="dxa"/>
            <w:tcBorders>
              <w:top w:val="nil"/>
              <w:left w:val="single" w:sz="4" w:space="0" w:color="auto"/>
              <w:bottom w:val="nil"/>
              <w:right w:val="nil"/>
            </w:tcBorders>
            <w:shd w:val="clear" w:color="auto" w:fill="auto"/>
            <w:noWrap/>
            <w:vAlign w:val="bottom"/>
            <w:hideMark/>
          </w:tcPr>
          <w:p w14:paraId="3876DEE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187</w:t>
            </w:r>
          </w:p>
        </w:tc>
        <w:tc>
          <w:tcPr>
            <w:tcW w:w="756" w:type="dxa"/>
            <w:tcBorders>
              <w:top w:val="nil"/>
              <w:left w:val="nil"/>
              <w:bottom w:val="nil"/>
              <w:right w:val="nil"/>
            </w:tcBorders>
            <w:shd w:val="clear" w:color="auto" w:fill="auto"/>
            <w:noWrap/>
            <w:vAlign w:val="bottom"/>
            <w:hideMark/>
          </w:tcPr>
          <w:p w14:paraId="4353001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187</w:t>
            </w:r>
          </w:p>
        </w:tc>
        <w:tc>
          <w:tcPr>
            <w:tcW w:w="222" w:type="dxa"/>
            <w:tcBorders>
              <w:top w:val="nil"/>
              <w:left w:val="nil"/>
              <w:bottom w:val="nil"/>
              <w:right w:val="nil"/>
            </w:tcBorders>
            <w:shd w:val="clear" w:color="auto" w:fill="auto"/>
            <w:noWrap/>
            <w:vAlign w:val="bottom"/>
            <w:hideMark/>
          </w:tcPr>
          <w:p w14:paraId="6238467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23F3BBE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Mali</w:t>
            </w:r>
          </w:p>
        </w:tc>
        <w:tc>
          <w:tcPr>
            <w:tcW w:w="756" w:type="dxa"/>
            <w:tcBorders>
              <w:top w:val="nil"/>
              <w:left w:val="nil"/>
              <w:bottom w:val="nil"/>
              <w:right w:val="single" w:sz="4" w:space="0" w:color="auto"/>
            </w:tcBorders>
            <w:shd w:val="clear" w:color="auto" w:fill="auto"/>
            <w:noWrap/>
            <w:vAlign w:val="bottom"/>
            <w:hideMark/>
          </w:tcPr>
          <w:p w14:paraId="587BD4F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138</w:t>
            </w:r>
          </w:p>
        </w:tc>
        <w:tc>
          <w:tcPr>
            <w:tcW w:w="756" w:type="dxa"/>
            <w:tcBorders>
              <w:top w:val="nil"/>
              <w:left w:val="nil"/>
              <w:bottom w:val="nil"/>
              <w:right w:val="single" w:sz="4" w:space="0" w:color="auto"/>
            </w:tcBorders>
            <w:shd w:val="clear" w:color="auto" w:fill="auto"/>
            <w:noWrap/>
            <w:vAlign w:val="bottom"/>
            <w:hideMark/>
          </w:tcPr>
          <w:p w14:paraId="21A52DD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149</w:t>
            </w:r>
          </w:p>
        </w:tc>
        <w:tc>
          <w:tcPr>
            <w:tcW w:w="756" w:type="dxa"/>
            <w:tcBorders>
              <w:top w:val="nil"/>
              <w:left w:val="nil"/>
              <w:bottom w:val="nil"/>
              <w:right w:val="single" w:sz="4" w:space="0" w:color="auto"/>
            </w:tcBorders>
            <w:shd w:val="clear" w:color="auto" w:fill="auto"/>
            <w:noWrap/>
            <w:vAlign w:val="bottom"/>
            <w:hideMark/>
          </w:tcPr>
          <w:p w14:paraId="58DB85F6"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168</w:t>
            </w:r>
          </w:p>
        </w:tc>
        <w:tc>
          <w:tcPr>
            <w:tcW w:w="236" w:type="dxa"/>
            <w:tcBorders>
              <w:top w:val="nil"/>
              <w:left w:val="nil"/>
              <w:bottom w:val="nil"/>
              <w:right w:val="single" w:sz="4" w:space="0" w:color="auto"/>
            </w:tcBorders>
            <w:shd w:val="clear" w:color="auto" w:fill="auto"/>
            <w:noWrap/>
            <w:vAlign w:val="bottom"/>
            <w:hideMark/>
          </w:tcPr>
          <w:p w14:paraId="78AF22C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187</w:t>
            </w:r>
          </w:p>
        </w:tc>
        <w:tc>
          <w:tcPr>
            <w:tcW w:w="902" w:type="dxa"/>
            <w:vAlign w:val="center"/>
            <w:hideMark/>
          </w:tcPr>
          <w:p w14:paraId="71D71D0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6480F6B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4286E49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r w:rsidR="00097D59" w:rsidRPr="00E139C5" w14:paraId="62D283D3" w14:textId="77777777" w:rsidTr="00550648">
        <w:trPr>
          <w:gridAfter w:val="1"/>
          <w:wAfter w:w="15" w:type="dxa"/>
          <w:trHeight w:val="47"/>
        </w:trPr>
        <w:tc>
          <w:tcPr>
            <w:tcW w:w="12158" w:type="dxa"/>
            <w:gridSpan w:val="16"/>
            <w:tcBorders>
              <w:top w:val="nil"/>
              <w:left w:val="nil"/>
              <w:bottom w:val="nil"/>
              <w:right w:val="nil"/>
            </w:tcBorders>
            <w:shd w:val="clear" w:color="auto" w:fill="auto"/>
            <w:noWrap/>
            <w:vAlign w:val="bottom"/>
            <w:hideMark/>
          </w:tcPr>
          <w:p w14:paraId="01D4FBF4"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During the quarter, following a review of older licenses, a  number of licenses that are no longer expected to deliver a royalty have been removed.</w:t>
            </w:r>
          </w:p>
        </w:tc>
      </w:tr>
      <w:tr w:rsidR="00097D59" w:rsidRPr="00E139C5" w14:paraId="54C66A0C" w14:textId="77777777" w:rsidTr="00550648">
        <w:trPr>
          <w:gridAfter w:val="1"/>
          <w:wAfter w:w="15" w:type="dxa"/>
          <w:trHeight w:val="47"/>
        </w:trPr>
        <w:tc>
          <w:tcPr>
            <w:tcW w:w="12158" w:type="dxa"/>
            <w:gridSpan w:val="16"/>
            <w:tcBorders>
              <w:top w:val="nil"/>
              <w:left w:val="nil"/>
              <w:bottom w:val="nil"/>
              <w:right w:val="nil"/>
            </w:tcBorders>
            <w:shd w:val="clear" w:color="auto" w:fill="auto"/>
            <w:noWrap/>
            <w:vAlign w:val="bottom"/>
            <w:hideMark/>
          </w:tcPr>
          <w:p w14:paraId="41181ABC"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r w:rsidRPr="00E139C5">
              <w:rPr>
                <w:rFonts w:ascii="Times New Roman" w:eastAsia="Times New Roman" w:hAnsi="Times New Roman" w:cs="Times New Roman"/>
                <w:sz w:val="24"/>
                <w:szCs w:val="24"/>
                <w:lang w:eastAsia="en-GB"/>
              </w:rPr>
              <w:t xml:space="preserve">This has resulted in lowering the "Total Number of Licenses Signed" </w:t>
            </w:r>
          </w:p>
        </w:tc>
      </w:tr>
      <w:tr w:rsidR="00D17616" w:rsidRPr="00E139C5" w14:paraId="02B88904" w14:textId="77777777" w:rsidTr="00550648">
        <w:trPr>
          <w:trHeight w:val="129"/>
        </w:trPr>
        <w:tc>
          <w:tcPr>
            <w:tcW w:w="1922" w:type="dxa"/>
            <w:tcBorders>
              <w:top w:val="nil"/>
              <w:left w:val="nil"/>
              <w:bottom w:val="nil"/>
              <w:right w:val="nil"/>
            </w:tcBorders>
            <w:shd w:val="clear" w:color="auto" w:fill="auto"/>
            <w:noWrap/>
            <w:vAlign w:val="bottom"/>
            <w:hideMark/>
          </w:tcPr>
          <w:p w14:paraId="5ADF40B3"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16" w:type="dxa"/>
            <w:tcBorders>
              <w:top w:val="nil"/>
              <w:left w:val="nil"/>
              <w:bottom w:val="nil"/>
              <w:right w:val="nil"/>
            </w:tcBorders>
            <w:shd w:val="clear" w:color="auto" w:fill="auto"/>
            <w:noWrap/>
            <w:vAlign w:val="bottom"/>
            <w:hideMark/>
          </w:tcPr>
          <w:p w14:paraId="41C1F3E9"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48B7062A"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30744EE7"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7903BEF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FC316A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A47D7D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tcBorders>
              <w:top w:val="nil"/>
              <w:left w:val="nil"/>
              <w:bottom w:val="nil"/>
              <w:right w:val="nil"/>
            </w:tcBorders>
            <w:shd w:val="clear" w:color="auto" w:fill="auto"/>
            <w:noWrap/>
            <w:vAlign w:val="bottom"/>
            <w:hideMark/>
          </w:tcPr>
          <w:p w14:paraId="512EF850"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1483" w:type="dxa"/>
            <w:tcBorders>
              <w:top w:val="nil"/>
              <w:left w:val="nil"/>
              <w:bottom w:val="nil"/>
              <w:right w:val="nil"/>
            </w:tcBorders>
            <w:shd w:val="clear" w:color="auto" w:fill="auto"/>
            <w:noWrap/>
            <w:vAlign w:val="bottom"/>
            <w:hideMark/>
          </w:tcPr>
          <w:p w14:paraId="11F90648"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1972BD3E"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1D2B921"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756" w:type="dxa"/>
            <w:tcBorders>
              <w:top w:val="nil"/>
              <w:left w:val="nil"/>
              <w:bottom w:val="nil"/>
              <w:right w:val="nil"/>
            </w:tcBorders>
            <w:shd w:val="clear" w:color="auto" w:fill="auto"/>
            <w:noWrap/>
            <w:vAlign w:val="bottom"/>
            <w:hideMark/>
          </w:tcPr>
          <w:p w14:paraId="6C151D5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36" w:type="dxa"/>
            <w:tcBorders>
              <w:top w:val="nil"/>
              <w:left w:val="nil"/>
              <w:bottom w:val="nil"/>
              <w:right w:val="nil"/>
            </w:tcBorders>
            <w:shd w:val="clear" w:color="auto" w:fill="auto"/>
            <w:noWrap/>
            <w:vAlign w:val="bottom"/>
            <w:hideMark/>
          </w:tcPr>
          <w:p w14:paraId="0114C56B"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902" w:type="dxa"/>
            <w:vAlign w:val="center"/>
            <w:hideMark/>
          </w:tcPr>
          <w:p w14:paraId="14E64FBF"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vAlign w:val="center"/>
            <w:hideMark/>
          </w:tcPr>
          <w:p w14:paraId="628E1CDD"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c>
          <w:tcPr>
            <w:tcW w:w="222" w:type="dxa"/>
            <w:gridSpan w:val="2"/>
            <w:vAlign w:val="center"/>
            <w:hideMark/>
          </w:tcPr>
          <w:p w14:paraId="00F644C2" w14:textId="77777777" w:rsidR="00097D59" w:rsidRPr="00E139C5" w:rsidRDefault="00097D59" w:rsidP="00E139C5">
            <w:pPr>
              <w:spacing w:after="0" w:line="360" w:lineRule="auto"/>
              <w:jc w:val="both"/>
              <w:rPr>
                <w:rFonts w:ascii="Times New Roman" w:eastAsia="Times New Roman" w:hAnsi="Times New Roman" w:cs="Times New Roman"/>
                <w:sz w:val="24"/>
                <w:szCs w:val="24"/>
                <w:lang w:eastAsia="en-GB"/>
              </w:rPr>
            </w:pPr>
          </w:p>
        </w:tc>
      </w:tr>
    </w:tbl>
    <w:p w14:paraId="2F53F048" w14:textId="2366096C" w:rsidR="00E139C5" w:rsidRPr="00BC59C1" w:rsidRDefault="007C4375" w:rsidP="00E139C5">
      <w:pPr>
        <w:spacing w:after="200" w:line="360" w:lineRule="auto"/>
        <w:contextualSpacing/>
        <w:jc w:val="both"/>
        <w:rPr>
          <w:rFonts w:ascii="Times New Roman" w:eastAsiaTheme="minorEastAsia" w:hAnsi="Times New Roman" w:cs="Times New Roman"/>
          <w:sz w:val="24"/>
          <w:szCs w:val="24"/>
          <w:lang w:eastAsia="tr-TR"/>
        </w:rPr>
      </w:pPr>
      <w:hyperlink r:id="rId35" w:history="1">
        <w:r w:rsidR="00E139C5" w:rsidRPr="00BC59C1">
          <w:rPr>
            <w:rStyle w:val="Hyperlink"/>
            <w:rFonts w:ascii="Times New Roman" w:eastAsiaTheme="minorEastAsia" w:hAnsi="Times New Roman" w:cs="Times New Roman"/>
            <w:color w:val="auto"/>
            <w:sz w:val="24"/>
            <w:szCs w:val="24"/>
            <w:lang w:eastAsia="tr-TR"/>
          </w:rPr>
          <w:t>/group.softbank/system/files/pdf/ir/financials/annual_reports/annual-report_fy2019_01_en.pdf</w:t>
        </w:r>
      </w:hyperlink>
    </w:p>
    <w:p w14:paraId="1995B2D2" w14:textId="77777777" w:rsidR="00012FA3" w:rsidRDefault="00012FA3" w:rsidP="00E139C5">
      <w:pPr>
        <w:spacing w:line="360" w:lineRule="auto"/>
        <w:jc w:val="both"/>
        <w:rPr>
          <w:rFonts w:ascii="Times New Roman" w:hAnsi="Times New Roman" w:cs="Times New Roman"/>
          <w:sz w:val="24"/>
          <w:szCs w:val="24"/>
        </w:rPr>
      </w:pPr>
    </w:p>
    <w:p w14:paraId="71051187" w14:textId="77777777" w:rsidR="00012FA3" w:rsidRDefault="00012FA3" w:rsidP="00E139C5">
      <w:pPr>
        <w:spacing w:line="360" w:lineRule="auto"/>
        <w:jc w:val="both"/>
        <w:rPr>
          <w:rFonts w:ascii="Times New Roman" w:hAnsi="Times New Roman" w:cs="Times New Roman"/>
          <w:sz w:val="24"/>
          <w:szCs w:val="24"/>
        </w:rPr>
      </w:pPr>
    </w:p>
    <w:p w14:paraId="0EFEE43A" w14:textId="77777777" w:rsidR="00012FA3" w:rsidRDefault="00012FA3" w:rsidP="00E139C5">
      <w:pPr>
        <w:spacing w:line="360" w:lineRule="auto"/>
        <w:jc w:val="both"/>
        <w:rPr>
          <w:rFonts w:ascii="Times New Roman" w:hAnsi="Times New Roman" w:cs="Times New Roman"/>
          <w:sz w:val="24"/>
          <w:szCs w:val="24"/>
        </w:rPr>
      </w:pPr>
    </w:p>
    <w:p w14:paraId="2D9ED6C5" w14:textId="77777777" w:rsidR="00012FA3" w:rsidRDefault="00012FA3" w:rsidP="00E139C5">
      <w:pPr>
        <w:spacing w:line="360" w:lineRule="auto"/>
        <w:jc w:val="both"/>
        <w:rPr>
          <w:rFonts w:ascii="Times New Roman" w:hAnsi="Times New Roman" w:cs="Times New Roman"/>
          <w:sz w:val="24"/>
          <w:szCs w:val="24"/>
        </w:rPr>
      </w:pPr>
    </w:p>
    <w:p w14:paraId="7E5589BE" w14:textId="77777777" w:rsidR="00012FA3" w:rsidRDefault="00012FA3" w:rsidP="00E139C5">
      <w:pPr>
        <w:spacing w:line="360" w:lineRule="auto"/>
        <w:jc w:val="both"/>
        <w:rPr>
          <w:rFonts w:ascii="Times New Roman" w:hAnsi="Times New Roman" w:cs="Times New Roman"/>
          <w:sz w:val="24"/>
          <w:szCs w:val="24"/>
        </w:rPr>
      </w:pPr>
    </w:p>
    <w:p w14:paraId="737619F0" w14:textId="77777777" w:rsidR="00BF05A2" w:rsidRDefault="00BF05A2" w:rsidP="00E139C5">
      <w:pPr>
        <w:spacing w:line="360" w:lineRule="auto"/>
        <w:jc w:val="both"/>
        <w:rPr>
          <w:rFonts w:ascii="Times New Roman" w:hAnsi="Times New Roman" w:cs="Times New Roman"/>
          <w:sz w:val="24"/>
          <w:szCs w:val="24"/>
        </w:rPr>
      </w:pPr>
    </w:p>
    <w:p w14:paraId="3E7678D2" w14:textId="77777777" w:rsidR="00BF05A2" w:rsidRDefault="00BF05A2" w:rsidP="00E139C5">
      <w:pPr>
        <w:spacing w:line="360" w:lineRule="auto"/>
        <w:jc w:val="both"/>
        <w:rPr>
          <w:rFonts w:ascii="Times New Roman" w:hAnsi="Times New Roman" w:cs="Times New Roman"/>
          <w:sz w:val="24"/>
          <w:szCs w:val="24"/>
        </w:rPr>
      </w:pPr>
    </w:p>
    <w:p w14:paraId="5953D229" w14:textId="77777777" w:rsidR="00550648" w:rsidRDefault="00550648" w:rsidP="00E139C5">
      <w:pPr>
        <w:spacing w:line="360" w:lineRule="auto"/>
        <w:jc w:val="both"/>
        <w:rPr>
          <w:rFonts w:ascii="Times New Roman" w:hAnsi="Times New Roman" w:cs="Times New Roman"/>
          <w:sz w:val="24"/>
          <w:szCs w:val="24"/>
        </w:rPr>
      </w:pPr>
    </w:p>
    <w:p w14:paraId="4E7C94D7" w14:textId="4A647521" w:rsidR="00DC79C5" w:rsidRPr="00030C3E" w:rsidRDefault="00BF05A2" w:rsidP="00E139C5">
      <w:pPr>
        <w:spacing w:line="360" w:lineRule="auto"/>
        <w:jc w:val="both"/>
        <w:rPr>
          <w:rFonts w:ascii="Times New Roman" w:hAnsi="Times New Roman" w:cs="Times New Roman"/>
          <w:sz w:val="24"/>
          <w:szCs w:val="24"/>
        </w:rPr>
      </w:pPr>
      <w:r w:rsidRPr="00E139C5">
        <w:rPr>
          <w:rFonts w:ascii="Times New Roman" w:hAnsi="Times New Roman" w:cs="Times New Roman"/>
          <w:sz w:val="24"/>
          <w:szCs w:val="24"/>
        </w:rPr>
        <w:lastRenderedPageBreak/>
        <w:t>Below SoftBank</w:t>
      </w:r>
      <w:r w:rsidR="00644212" w:rsidRPr="00E139C5">
        <w:rPr>
          <w:rFonts w:ascii="Times New Roman" w:hAnsi="Times New Roman" w:cs="Times New Roman"/>
          <w:sz w:val="24"/>
          <w:szCs w:val="24"/>
        </w:rPr>
        <w:t xml:space="preserve"> earned Yen 3746.3 in </w:t>
      </w:r>
    </w:p>
    <w:tbl>
      <w:tblPr>
        <w:tblW w:w="9191" w:type="dxa"/>
        <w:tblLook w:val="04A0" w:firstRow="1" w:lastRow="0" w:firstColumn="1" w:lastColumn="0" w:noHBand="0" w:noVBand="1"/>
      </w:tblPr>
      <w:tblGrid>
        <w:gridCol w:w="2105"/>
        <w:gridCol w:w="1416"/>
        <w:gridCol w:w="1416"/>
        <w:gridCol w:w="1416"/>
        <w:gridCol w:w="1416"/>
        <w:gridCol w:w="1422"/>
      </w:tblGrid>
      <w:tr w:rsidR="00644212" w:rsidRPr="00E139C5" w14:paraId="36CE2AF7" w14:textId="77777777" w:rsidTr="00D17616">
        <w:trPr>
          <w:trHeight w:val="386"/>
        </w:trPr>
        <w:tc>
          <w:tcPr>
            <w:tcW w:w="9191" w:type="dxa"/>
            <w:gridSpan w:val="6"/>
            <w:tcBorders>
              <w:top w:val="nil"/>
              <w:left w:val="nil"/>
              <w:bottom w:val="nil"/>
              <w:right w:val="nil"/>
            </w:tcBorders>
            <w:shd w:val="clear" w:color="auto" w:fill="auto"/>
            <w:vAlign w:val="center"/>
            <w:hideMark/>
          </w:tcPr>
          <w:p w14:paraId="6D74D9A3"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[Notes]</w:t>
            </w:r>
            <w:r w:rsidRPr="00E139C5">
              <w:rPr>
                <w:rFonts w:ascii="Times New Roman" w:eastAsia="MS PGothic" w:hAnsi="Times New Roman" w:cs="Times New Roman"/>
                <w:color w:val="000000"/>
                <w:sz w:val="24"/>
                <w:szCs w:val="24"/>
                <w:lang w:eastAsia="en-GB"/>
              </w:rPr>
              <w:br/>
              <w:t>* Net sales, adjusted EBITDA and operating income are presented based on the amounts from continuing operations only since FY2014.</w:t>
            </w:r>
            <w:r w:rsidRPr="00E139C5">
              <w:rPr>
                <w:rFonts w:ascii="Times New Roman" w:eastAsia="MS PGothic" w:hAnsi="Times New Roman" w:cs="Times New Roman"/>
                <w:color w:val="000000"/>
                <w:sz w:val="24"/>
                <w:szCs w:val="24"/>
                <w:lang w:eastAsia="en-GB"/>
              </w:rPr>
              <w:br/>
              <w:t xml:space="preserve">* In FY2018Q1, the Company adopted IFRS 9 and IFRS 15 (collectively, the "new standards"). </w:t>
            </w:r>
          </w:p>
        </w:tc>
      </w:tr>
      <w:tr w:rsidR="00644212" w:rsidRPr="00E139C5" w14:paraId="0B2608D8" w14:textId="77777777" w:rsidTr="00D17616">
        <w:trPr>
          <w:trHeight w:val="134"/>
        </w:trPr>
        <w:tc>
          <w:tcPr>
            <w:tcW w:w="2105" w:type="dxa"/>
            <w:tcBorders>
              <w:top w:val="nil"/>
              <w:left w:val="nil"/>
              <w:bottom w:val="nil"/>
              <w:right w:val="nil"/>
            </w:tcBorders>
            <w:shd w:val="clear" w:color="auto" w:fill="auto"/>
            <w:noWrap/>
            <w:vAlign w:val="center"/>
            <w:hideMark/>
          </w:tcPr>
          <w:p w14:paraId="1E531D2D"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■Operating results</w:t>
            </w:r>
          </w:p>
        </w:tc>
        <w:tc>
          <w:tcPr>
            <w:tcW w:w="1416" w:type="dxa"/>
            <w:tcBorders>
              <w:top w:val="nil"/>
              <w:left w:val="nil"/>
              <w:bottom w:val="nil"/>
              <w:right w:val="nil"/>
            </w:tcBorders>
            <w:shd w:val="clear" w:color="auto" w:fill="auto"/>
            <w:noWrap/>
            <w:vAlign w:val="center"/>
            <w:hideMark/>
          </w:tcPr>
          <w:p w14:paraId="7592F9D9"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p>
        </w:tc>
        <w:tc>
          <w:tcPr>
            <w:tcW w:w="1416" w:type="dxa"/>
            <w:tcBorders>
              <w:top w:val="nil"/>
              <w:left w:val="nil"/>
              <w:bottom w:val="nil"/>
              <w:right w:val="nil"/>
            </w:tcBorders>
            <w:shd w:val="clear" w:color="auto" w:fill="auto"/>
            <w:noWrap/>
            <w:vAlign w:val="bottom"/>
            <w:hideMark/>
          </w:tcPr>
          <w:p w14:paraId="2287E402"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5242E30A"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6B0CC6F4"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noWrap/>
            <w:vAlign w:val="bottom"/>
            <w:hideMark/>
          </w:tcPr>
          <w:p w14:paraId="6439740D"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(Millions of yen)</w:t>
            </w:r>
          </w:p>
        </w:tc>
      </w:tr>
      <w:tr w:rsidR="00644212" w:rsidRPr="00E139C5" w14:paraId="5120344E" w14:textId="77777777" w:rsidTr="00D17616">
        <w:trPr>
          <w:trHeight w:val="115"/>
        </w:trPr>
        <w:tc>
          <w:tcPr>
            <w:tcW w:w="2105" w:type="dxa"/>
            <w:tcBorders>
              <w:top w:val="single" w:sz="4" w:space="0" w:color="auto"/>
              <w:left w:val="single" w:sz="4" w:space="0" w:color="auto"/>
              <w:bottom w:val="nil"/>
              <w:right w:val="single" w:sz="4" w:space="0" w:color="auto"/>
            </w:tcBorders>
            <w:shd w:val="clear" w:color="000000" w:fill="F2F2F2"/>
            <w:vAlign w:val="center"/>
            <w:hideMark/>
          </w:tcPr>
          <w:p w14:paraId="4D2DEC15"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75C6C282"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FY2014</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6520F01B"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FY2015</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3BA837D1"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FY2016</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3F721801"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FY2017</w:t>
            </w:r>
          </w:p>
        </w:tc>
        <w:tc>
          <w:tcPr>
            <w:tcW w:w="1422" w:type="dxa"/>
            <w:tcBorders>
              <w:top w:val="single" w:sz="4" w:space="0" w:color="auto"/>
              <w:left w:val="nil"/>
              <w:bottom w:val="single" w:sz="4" w:space="0" w:color="auto"/>
              <w:right w:val="single" w:sz="4" w:space="0" w:color="auto"/>
            </w:tcBorders>
            <w:shd w:val="clear" w:color="000000" w:fill="F2F2F2"/>
            <w:vAlign w:val="center"/>
            <w:hideMark/>
          </w:tcPr>
          <w:p w14:paraId="170FB85B"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FY2018 New standards</w:t>
            </w:r>
          </w:p>
        </w:tc>
      </w:tr>
      <w:tr w:rsidR="00644212" w:rsidRPr="00E139C5" w14:paraId="392748B9" w14:textId="77777777" w:rsidTr="00D17616">
        <w:trPr>
          <w:trHeight w:val="115"/>
        </w:trPr>
        <w:tc>
          <w:tcPr>
            <w:tcW w:w="2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3657B"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Net sales</w:t>
            </w:r>
          </w:p>
        </w:tc>
        <w:tc>
          <w:tcPr>
            <w:tcW w:w="1416" w:type="dxa"/>
            <w:tcBorders>
              <w:top w:val="nil"/>
              <w:left w:val="nil"/>
              <w:bottom w:val="single" w:sz="4" w:space="0" w:color="auto"/>
              <w:right w:val="single" w:sz="4" w:space="0" w:color="auto"/>
            </w:tcBorders>
            <w:shd w:val="clear" w:color="auto" w:fill="auto"/>
            <w:vAlign w:val="center"/>
            <w:hideMark/>
          </w:tcPr>
          <w:p w14:paraId="5AD9150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8,504,135</w:t>
            </w:r>
          </w:p>
        </w:tc>
        <w:tc>
          <w:tcPr>
            <w:tcW w:w="1416" w:type="dxa"/>
            <w:tcBorders>
              <w:top w:val="nil"/>
              <w:left w:val="nil"/>
              <w:bottom w:val="single" w:sz="4" w:space="0" w:color="auto"/>
              <w:right w:val="single" w:sz="4" w:space="0" w:color="auto"/>
            </w:tcBorders>
            <w:shd w:val="clear" w:color="auto" w:fill="auto"/>
            <w:vAlign w:val="center"/>
            <w:hideMark/>
          </w:tcPr>
          <w:p w14:paraId="55084BE3"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8,881,777</w:t>
            </w:r>
          </w:p>
        </w:tc>
        <w:tc>
          <w:tcPr>
            <w:tcW w:w="1416" w:type="dxa"/>
            <w:tcBorders>
              <w:top w:val="nil"/>
              <w:left w:val="nil"/>
              <w:bottom w:val="single" w:sz="4" w:space="0" w:color="auto"/>
              <w:right w:val="single" w:sz="4" w:space="0" w:color="auto"/>
            </w:tcBorders>
            <w:shd w:val="clear" w:color="auto" w:fill="auto"/>
            <w:vAlign w:val="center"/>
            <w:hideMark/>
          </w:tcPr>
          <w:p w14:paraId="3A5432F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8,901,004</w:t>
            </w:r>
          </w:p>
        </w:tc>
        <w:tc>
          <w:tcPr>
            <w:tcW w:w="1416" w:type="dxa"/>
            <w:tcBorders>
              <w:top w:val="nil"/>
              <w:left w:val="nil"/>
              <w:bottom w:val="single" w:sz="4" w:space="0" w:color="auto"/>
              <w:right w:val="single" w:sz="4" w:space="0" w:color="auto"/>
            </w:tcBorders>
            <w:shd w:val="clear" w:color="auto" w:fill="auto"/>
            <w:vAlign w:val="center"/>
            <w:hideMark/>
          </w:tcPr>
          <w:p w14:paraId="4B33C5A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9,158,765</w:t>
            </w:r>
          </w:p>
        </w:tc>
        <w:tc>
          <w:tcPr>
            <w:tcW w:w="1422" w:type="dxa"/>
            <w:tcBorders>
              <w:top w:val="nil"/>
              <w:left w:val="nil"/>
              <w:bottom w:val="single" w:sz="4" w:space="0" w:color="auto"/>
              <w:right w:val="single" w:sz="4" w:space="0" w:color="auto"/>
            </w:tcBorders>
            <w:shd w:val="clear" w:color="auto" w:fill="auto"/>
            <w:vAlign w:val="center"/>
            <w:hideMark/>
          </w:tcPr>
          <w:p w14:paraId="1C31AF8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9,602,236</w:t>
            </w:r>
          </w:p>
        </w:tc>
      </w:tr>
      <w:tr w:rsidR="00644212" w:rsidRPr="00E139C5" w14:paraId="0A3BD49B" w14:textId="77777777" w:rsidTr="00D17616">
        <w:trPr>
          <w:trHeight w:val="121"/>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331DBF05"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Adjusted EBITDA</w:t>
            </w:r>
            <w:r w:rsidRPr="00E139C5">
              <w:rPr>
                <w:rFonts w:ascii="Times New Roman" w:eastAsia="MS PGothic" w:hAnsi="Times New Roman" w:cs="Times New Roman"/>
                <w:b/>
                <w:bCs/>
                <w:color w:val="000000"/>
                <w:sz w:val="24"/>
                <w:szCs w:val="24"/>
                <w:vertAlign w:val="superscript"/>
                <w:lang w:eastAsia="en-GB"/>
              </w:rPr>
              <w:t>*1</w:t>
            </w:r>
          </w:p>
        </w:tc>
        <w:tc>
          <w:tcPr>
            <w:tcW w:w="1416" w:type="dxa"/>
            <w:tcBorders>
              <w:top w:val="nil"/>
              <w:left w:val="nil"/>
              <w:bottom w:val="single" w:sz="4" w:space="0" w:color="auto"/>
              <w:right w:val="single" w:sz="4" w:space="0" w:color="auto"/>
            </w:tcBorders>
            <w:shd w:val="clear" w:color="auto" w:fill="auto"/>
            <w:vAlign w:val="center"/>
            <w:hideMark/>
          </w:tcPr>
          <w:p w14:paraId="1735E62E"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2,041,633</w:t>
            </w:r>
          </w:p>
        </w:tc>
        <w:tc>
          <w:tcPr>
            <w:tcW w:w="1416" w:type="dxa"/>
            <w:tcBorders>
              <w:top w:val="nil"/>
              <w:left w:val="nil"/>
              <w:bottom w:val="single" w:sz="4" w:space="0" w:color="auto"/>
              <w:right w:val="single" w:sz="4" w:space="0" w:color="auto"/>
            </w:tcBorders>
            <w:shd w:val="clear" w:color="auto" w:fill="auto"/>
            <w:vAlign w:val="center"/>
            <w:hideMark/>
          </w:tcPr>
          <w:p w14:paraId="09CC3181"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2,325,153</w:t>
            </w:r>
          </w:p>
        </w:tc>
        <w:tc>
          <w:tcPr>
            <w:tcW w:w="1416" w:type="dxa"/>
            <w:tcBorders>
              <w:top w:val="nil"/>
              <w:left w:val="nil"/>
              <w:bottom w:val="single" w:sz="4" w:space="0" w:color="auto"/>
              <w:right w:val="single" w:sz="4" w:space="0" w:color="auto"/>
            </w:tcBorders>
            <w:shd w:val="clear" w:color="auto" w:fill="auto"/>
            <w:vAlign w:val="center"/>
            <w:hideMark/>
          </w:tcPr>
          <w:p w14:paraId="7993DD9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2,564,467</w:t>
            </w:r>
          </w:p>
        </w:tc>
        <w:tc>
          <w:tcPr>
            <w:tcW w:w="1416" w:type="dxa"/>
            <w:tcBorders>
              <w:top w:val="nil"/>
              <w:left w:val="nil"/>
              <w:bottom w:val="single" w:sz="4" w:space="0" w:color="auto"/>
              <w:right w:val="single" w:sz="4" w:space="0" w:color="auto"/>
            </w:tcBorders>
            <w:shd w:val="clear" w:color="auto" w:fill="auto"/>
            <w:vAlign w:val="center"/>
            <w:hideMark/>
          </w:tcPr>
          <w:p w14:paraId="38A86E0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2,605,117</w:t>
            </w:r>
          </w:p>
        </w:tc>
        <w:tc>
          <w:tcPr>
            <w:tcW w:w="1422" w:type="dxa"/>
            <w:tcBorders>
              <w:top w:val="nil"/>
              <w:left w:val="nil"/>
              <w:bottom w:val="single" w:sz="4" w:space="0" w:color="auto"/>
              <w:right w:val="single" w:sz="4" w:space="0" w:color="auto"/>
            </w:tcBorders>
            <w:shd w:val="clear" w:color="auto" w:fill="auto"/>
            <w:vAlign w:val="center"/>
            <w:hideMark/>
          </w:tcPr>
          <w:p w14:paraId="3092C928"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3,153,461</w:t>
            </w:r>
          </w:p>
        </w:tc>
      </w:tr>
      <w:tr w:rsidR="00644212" w:rsidRPr="00E139C5" w14:paraId="427F9F32" w14:textId="77777777" w:rsidTr="00D17616">
        <w:trPr>
          <w:trHeight w:val="206"/>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34580651"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Operating income (excluding income from SoftBank Vision Fund and Delta Fund)</w:t>
            </w:r>
          </w:p>
        </w:tc>
        <w:tc>
          <w:tcPr>
            <w:tcW w:w="1416" w:type="dxa"/>
            <w:tcBorders>
              <w:top w:val="nil"/>
              <w:left w:val="nil"/>
              <w:bottom w:val="single" w:sz="4" w:space="0" w:color="auto"/>
              <w:right w:val="single" w:sz="4" w:space="0" w:color="auto"/>
            </w:tcBorders>
            <w:shd w:val="clear" w:color="auto" w:fill="auto"/>
            <w:vAlign w:val="center"/>
            <w:hideMark/>
          </w:tcPr>
          <w:p w14:paraId="2FF71A4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35B71EBC"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4D22D41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4C2F15E6"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1,000,820</w:t>
            </w:r>
          </w:p>
        </w:tc>
        <w:tc>
          <w:tcPr>
            <w:tcW w:w="1422" w:type="dxa"/>
            <w:tcBorders>
              <w:top w:val="nil"/>
              <w:left w:val="nil"/>
              <w:bottom w:val="single" w:sz="4" w:space="0" w:color="auto"/>
              <w:right w:val="single" w:sz="4" w:space="0" w:color="auto"/>
            </w:tcBorders>
            <w:shd w:val="clear" w:color="auto" w:fill="auto"/>
            <w:vAlign w:val="center"/>
            <w:hideMark/>
          </w:tcPr>
          <w:p w14:paraId="4568047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1,097,290</w:t>
            </w:r>
          </w:p>
        </w:tc>
      </w:tr>
      <w:tr w:rsidR="00644212" w:rsidRPr="00E139C5" w14:paraId="3880DA39"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350B1ED3"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Operating income from SoftBank Vision Fund and Delta Fund</w:t>
            </w:r>
          </w:p>
        </w:tc>
        <w:tc>
          <w:tcPr>
            <w:tcW w:w="1416" w:type="dxa"/>
            <w:tcBorders>
              <w:top w:val="nil"/>
              <w:left w:val="nil"/>
              <w:bottom w:val="single" w:sz="4" w:space="0" w:color="auto"/>
              <w:right w:val="single" w:sz="4" w:space="0" w:color="auto"/>
            </w:tcBorders>
            <w:shd w:val="clear" w:color="auto" w:fill="auto"/>
            <w:vAlign w:val="center"/>
            <w:hideMark/>
          </w:tcPr>
          <w:p w14:paraId="06AA6071"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5142961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028484F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30EDA956"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302,981</w:t>
            </w:r>
          </w:p>
        </w:tc>
        <w:tc>
          <w:tcPr>
            <w:tcW w:w="1422" w:type="dxa"/>
            <w:tcBorders>
              <w:top w:val="nil"/>
              <w:left w:val="nil"/>
              <w:bottom w:val="single" w:sz="4" w:space="0" w:color="auto"/>
              <w:right w:val="single" w:sz="4" w:space="0" w:color="auto"/>
            </w:tcBorders>
            <w:shd w:val="clear" w:color="auto" w:fill="auto"/>
            <w:vAlign w:val="center"/>
            <w:hideMark/>
          </w:tcPr>
          <w:p w14:paraId="2886052A"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1,256,641</w:t>
            </w:r>
          </w:p>
        </w:tc>
      </w:tr>
      <w:tr w:rsidR="00644212" w:rsidRPr="00E139C5" w14:paraId="432ECD10"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42409EDD"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Operating income</w:t>
            </w:r>
          </w:p>
        </w:tc>
        <w:tc>
          <w:tcPr>
            <w:tcW w:w="1416" w:type="dxa"/>
            <w:tcBorders>
              <w:top w:val="nil"/>
              <w:left w:val="nil"/>
              <w:bottom w:val="single" w:sz="4" w:space="0" w:color="auto"/>
              <w:right w:val="single" w:sz="4" w:space="0" w:color="auto"/>
            </w:tcBorders>
            <w:shd w:val="clear" w:color="auto" w:fill="auto"/>
            <w:vAlign w:val="center"/>
            <w:hideMark/>
          </w:tcPr>
          <w:p w14:paraId="441B5C2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918,720</w:t>
            </w:r>
          </w:p>
        </w:tc>
        <w:tc>
          <w:tcPr>
            <w:tcW w:w="1416" w:type="dxa"/>
            <w:tcBorders>
              <w:top w:val="nil"/>
              <w:left w:val="nil"/>
              <w:bottom w:val="single" w:sz="4" w:space="0" w:color="auto"/>
              <w:right w:val="single" w:sz="4" w:space="0" w:color="auto"/>
            </w:tcBorders>
            <w:shd w:val="clear" w:color="auto" w:fill="auto"/>
            <w:vAlign w:val="center"/>
            <w:hideMark/>
          </w:tcPr>
          <w:p w14:paraId="68AC06A8"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908,907</w:t>
            </w:r>
          </w:p>
        </w:tc>
        <w:tc>
          <w:tcPr>
            <w:tcW w:w="1416" w:type="dxa"/>
            <w:tcBorders>
              <w:top w:val="nil"/>
              <w:left w:val="nil"/>
              <w:bottom w:val="single" w:sz="4" w:space="0" w:color="auto"/>
              <w:right w:val="single" w:sz="4" w:space="0" w:color="auto"/>
            </w:tcBorders>
            <w:shd w:val="clear" w:color="auto" w:fill="auto"/>
            <w:vAlign w:val="center"/>
            <w:hideMark/>
          </w:tcPr>
          <w:p w14:paraId="2A8852D8"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1,025,999</w:t>
            </w:r>
          </w:p>
        </w:tc>
        <w:tc>
          <w:tcPr>
            <w:tcW w:w="1416" w:type="dxa"/>
            <w:tcBorders>
              <w:top w:val="nil"/>
              <w:left w:val="nil"/>
              <w:bottom w:val="single" w:sz="4" w:space="0" w:color="auto"/>
              <w:right w:val="single" w:sz="4" w:space="0" w:color="auto"/>
            </w:tcBorders>
            <w:shd w:val="clear" w:color="auto" w:fill="auto"/>
            <w:vAlign w:val="center"/>
            <w:hideMark/>
          </w:tcPr>
          <w:p w14:paraId="4ADEECF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1,303,801</w:t>
            </w:r>
          </w:p>
        </w:tc>
        <w:tc>
          <w:tcPr>
            <w:tcW w:w="1422" w:type="dxa"/>
            <w:tcBorders>
              <w:top w:val="nil"/>
              <w:left w:val="nil"/>
              <w:bottom w:val="single" w:sz="4" w:space="0" w:color="auto"/>
              <w:right w:val="single" w:sz="4" w:space="0" w:color="auto"/>
            </w:tcBorders>
            <w:shd w:val="clear" w:color="auto" w:fill="auto"/>
            <w:vAlign w:val="center"/>
            <w:hideMark/>
          </w:tcPr>
          <w:p w14:paraId="6535273A"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2,353,931</w:t>
            </w:r>
          </w:p>
        </w:tc>
      </w:tr>
      <w:tr w:rsidR="00644212" w:rsidRPr="00E139C5" w14:paraId="25282297"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757DB55A"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Net income attributable to owners of the parent</w:t>
            </w:r>
          </w:p>
        </w:tc>
        <w:tc>
          <w:tcPr>
            <w:tcW w:w="1416" w:type="dxa"/>
            <w:tcBorders>
              <w:top w:val="nil"/>
              <w:left w:val="nil"/>
              <w:bottom w:val="single" w:sz="4" w:space="0" w:color="auto"/>
              <w:right w:val="single" w:sz="4" w:space="0" w:color="auto"/>
            </w:tcBorders>
            <w:shd w:val="clear" w:color="auto" w:fill="auto"/>
            <w:vAlign w:val="center"/>
            <w:hideMark/>
          </w:tcPr>
          <w:p w14:paraId="72A3360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668,361</w:t>
            </w:r>
          </w:p>
        </w:tc>
        <w:tc>
          <w:tcPr>
            <w:tcW w:w="1416" w:type="dxa"/>
            <w:tcBorders>
              <w:top w:val="nil"/>
              <w:left w:val="nil"/>
              <w:bottom w:val="single" w:sz="4" w:space="0" w:color="auto"/>
              <w:right w:val="single" w:sz="4" w:space="0" w:color="auto"/>
            </w:tcBorders>
            <w:shd w:val="clear" w:color="auto" w:fill="auto"/>
            <w:vAlign w:val="center"/>
            <w:hideMark/>
          </w:tcPr>
          <w:p w14:paraId="7A5C9FF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474,172</w:t>
            </w:r>
          </w:p>
        </w:tc>
        <w:tc>
          <w:tcPr>
            <w:tcW w:w="1416" w:type="dxa"/>
            <w:tcBorders>
              <w:top w:val="nil"/>
              <w:left w:val="nil"/>
              <w:bottom w:val="single" w:sz="4" w:space="0" w:color="auto"/>
              <w:right w:val="single" w:sz="4" w:space="0" w:color="auto"/>
            </w:tcBorders>
            <w:shd w:val="clear" w:color="auto" w:fill="auto"/>
            <w:vAlign w:val="center"/>
            <w:hideMark/>
          </w:tcPr>
          <w:p w14:paraId="4E7145C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1,426,308</w:t>
            </w:r>
          </w:p>
        </w:tc>
        <w:tc>
          <w:tcPr>
            <w:tcW w:w="1416" w:type="dxa"/>
            <w:tcBorders>
              <w:top w:val="nil"/>
              <w:left w:val="nil"/>
              <w:bottom w:val="single" w:sz="4" w:space="0" w:color="auto"/>
              <w:right w:val="single" w:sz="4" w:space="0" w:color="auto"/>
            </w:tcBorders>
            <w:shd w:val="clear" w:color="auto" w:fill="auto"/>
            <w:vAlign w:val="center"/>
            <w:hideMark/>
          </w:tcPr>
          <w:p w14:paraId="6A8DEF8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1,038,977</w:t>
            </w:r>
          </w:p>
        </w:tc>
        <w:tc>
          <w:tcPr>
            <w:tcW w:w="1422" w:type="dxa"/>
            <w:tcBorders>
              <w:top w:val="nil"/>
              <w:left w:val="nil"/>
              <w:bottom w:val="single" w:sz="4" w:space="0" w:color="auto"/>
              <w:right w:val="single" w:sz="4" w:space="0" w:color="auto"/>
            </w:tcBorders>
            <w:shd w:val="clear" w:color="auto" w:fill="auto"/>
            <w:vAlign w:val="center"/>
            <w:hideMark/>
          </w:tcPr>
          <w:p w14:paraId="622AF5E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1,411,199</w:t>
            </w:r>
          </w:p>
        </w:tc>
      </w:tr>
      <w:tr w:rsidR="00644212" w:rsidRPr="00E139C5" w14:paraId="6630E8EE" w14:textId="77777777" w:rsidTr="00D17616">
        <w:trPr>
          <w:trHeight w:val="437"/>
        </w:trPr>
        <w:tc>
          <w:tcPr>
            <w:tcW w:w="9191" w:type="dxa"/>
            <w:gridSpan w:val="6"/>
            <w:tcBorders>
              <w:top w:val="single" w:sz="4" w:space="0" w:color="auto"/>
              <w:left w:val="nil"/>
              <w:bottom w:val="nil"/>
              <w:right w:val="nil"/>
            </w:tcBorders>
            <w:shd w:val="clear" w:color="auto" w:fill="auto"/>
            <w:hideMark/>
          </w:tcPr>
          <w:p w14:paraId="0FC3D0E0" w14:textId="47C107AF"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[Note]</w:t>
            </w:r>
            <w:r w:rsidRPr="00E139C5">
              <w:rPr>
                <w:rFonts w:ascii="Times New Roman" w:eastAsia="MS PGothic" w:hAnsi="Times New Roman" w:cs="Times New Roman"/>
                <w:color w:val="000000"/>
                <w:sz w:val="24"/>
                <w:szCs w:val="24"/>
                <w:lang w:eastAsia="en-GB"/>
              </w:rPr>
              <w:br/>
              <w:t xml:space="preserve">*1 Adjusted EBITDA = operating income + depreciation and amortization - gain relating to loss of control over subsidiaries ± adjustments relating to investments in SoftBank Vision Fund and Delta Fund (unrealized gain and loss on valuation of </w:t>
            </w:r>
            <w:r w:rsidR="00955D9F" w:rsidRPr="00E139C5">
              <w:rPr>
                <w:rFonts w:ascii="Times New Roman" w:eastAsia="MS PGothic" w:hAnsi="Times New Roman" w:cs="Times New Roman"/>
                <w:color w:val="000000"/>
                <w:sz w:val="24"/>
                <w:szCs w:val="24"/>
                <w:lang w:eastAsia="en-GB"/>
              </w:rPr>
              <w:t>investments</w:t>
            </w:r>
            <w:r w:rsidRPr="00E139C5">
              <w:rPr>
                <w:rFonts w:ascii="Times New Roman" w:eastAsia="MS PGothic" w:hAnsi="Times New Roman" w:cs="Times New Roman"/>
                <w:color w:val="000000"/>
                <w:sz w:val="24"/>
                <w:szCs w:val="24"/>
                <w:lang w:eastAsia="en-GB"/>
              </w:rPr>
              <w:t xml:space="preserve"> and effect of foreign exchange translation) ± other adjustments</w:t>
            </w:r>
            <w:r w:rsidRPr="00E139C5">
              <w:rPr>
                <w:rFonts w:ascii="Times New Roman" w:eastAsia="MS PGothic" w:hAnsi="Times New Roman" w:cs="Times New Roman"/>
                <w:color w:val="000000"/>
                <w:sz w:val="24"/>
                <w:szCs w:val="24"/>
                <w:lang w:eastAsia="en-GB"/>
              </w:rPr>
              <w:br/>
            </w:r>
            <w:r w:rsidRPr="00E139C5">
              <w:rPr>
                <w:rFonts w:ascii="Times New Roman" w:eastAsia="MS PGothic" w:hAnsi="Times New Roman" w:cs="Times New Roman"/>
                <w:color w:val="000000"/>
                <w:sz w:val="24"/>
                <w:szCs w:val="24"/>
                <w:lang w:eastAsia="en-GB"/>
              </w:rPr>
              <w:lastRenderedPageBreak/>
              <w:t xml:space="preserve">     The amount disclosed as EBITDA through to FY2014 is now presented as adjusted EBITDA from FY2015</w:t>
            </w:r>
          </w:p>
        </w:tc>
      </w:tr>
      <w:tr w:rsidR="00644212" w:rsidRPr="00E139C5" w14:paraId="3FAAC80D" w14:textId="77777777" w:rsidTr="00D17616">
        <w:trPr>
          <w:trHeight w:val="115"/>
        </w:trPr>
        <w:tc>
          <w:tcPr>
            <w:tcW w:w="2105" w:type="dxa"/>
            <w:tcBorders>
              <w:top w:val="nil"/>
              <w:left w:val="nil"/>
              <w:bottom w:val="nil"/>
              <w:right w:val="nil"/>
            </w:tcBorders>
            <w:shd w:val="clear" w:color="auto" w:fill="auto"/>
            <w:vAlign w:val="center"/>
            <w:hideMark/>
          </w:tcPr>
          <w:p w14:paraId="7D64DE34"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p>
        </w:tc>
        <w:tc>
          <w:tcPr>
            <w:tcW w:w="1416" w:type="dxa"/>
            <w:tcBorders>
              <w:top w:val="nil"/>
              <w:left w:val="nil"/>
              <w:bottom w:val="nil"/>
              <w:right w:val="nil"/>
            </w:tcBorders>
            <w:shd w:val="clear" w:color="auto" w:fill="auto"/>
            <w:vAlign w:val="center"/>
            <w:hideMark/>
          </w:tcPr>
          <w:p w14:paraId="21AD78BD"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16FDAA47"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1C7A2170"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14618FA5"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vAlign w:val="center"/>
            <w:hideMark/>
          </w:tcPr>
          <w:p w14:paraId="7DD06B21"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r>
      <w:tr w:rsidR="00644212" w:rsidRPr="00E139C5" w14:paraId="709DCCF5" w14:textId="77777777" w:rsidTr="00D17616">
        <w:trPr>
          <w:trHeight w:val="121"/>
        </w:trPr>
        <w:tc>
          <w:tcPr>
            <w:tcW w:w="2105" w:type="dxa"/>
            <w:tcBorders>
              <w:top w:val="nil"/>
              <w:left w:val="nil"/>
              <w:bottom w:val="nil"/>
              <w:right w:val="nil"/>
            </w:tcBorders>
            <w:shd w:val="clear" w:color="auto" w:fill="auto"/>
            <w:vAlign w:val="center"/>
            <w:hideMark/>
          </w:tcPr>
          <w:p w14:paraId="15C96654"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■Financial position</w:t>
            </w:r>
          </w:p>
        </w:tc>
        <w:tc>
          <w:tcPr>
            <w:tcW w:w="1416" w:type="dxa"/>
            <w:tcBorders>
              <w:top w:val="nil"/>
              <w:left w:val="nil"/>
              <w:bottom w:val="nil"/>
              <w:right w:val="nil"/>
            </w:tcBorders>
            <w:shd w:val="clear" w:color="auto" w:fill="auto"/>
            <w:vAlign w:val="center"/>
            <w:hideMark/>
          </w:tcPr>
          <w:p w14:paraId="6A67628E"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p>
        </w:tc>
        <w:tc>
          <w:tcPr>
            <w:tcW w:w="1416" w:type="dxa"/>
            <w:tcBorders>
              <w:top w:val="nil"/>
              <w:left w:val="nil"/>
              <w:bottom w:val="nil"/>
              <w:right w:val="nil"/>
            </w:tcBorders>
            <w:shd w:val="clear" w:color="auto" w:fill="auto"/>
            <w:noWrap/>
            <w:vAlign w:val="bottom"/>
            <w:hideMark/>
          </w:tcPr>
          <w:p w14:paraId="1B3CCAB7"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06397BE4"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66529026"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noWrap/>
            <w:vAlign w:val="bottom"/>
            <w:hideMark/>
          </w:tcPr>
          <w:p w14:paraId="0870F619"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(Millions of yen)</w:t>
            </w:r>
          </w:p>
        </w:tc>
      </w:tr>
      <w:tr w:rsidR="00644212" w:rsidRPr="00E139C5" w14:paraId="008D6B08" w14:textId="77777777" w:rsidTr="00D17616">
        <w:trPr>
          <w:trHeight w:val="115"/>
        </w:trPr>
        <w:tc>
          <w:tcPr>
            <w:tcW w:w="2105" w:type="dxa"/>
            <w:tcBorders>
              <w:top w:val="single" w:sz="4" w:space="0" w:color="auto"/>
              <w:left w:val="single" w:sz="4" w:space="0" w:color="auto"/>
              <w:bottom w:val="nil"/>
              <w:right w:val="single" w:sz="4" w:space="0" w:color="auto"/>
            </w:tcBorders>
            <w:shd w:val="clear" w:color="000000" w:fill="F2F2F2"/>
            <w:vAlign w:val="center"/>
            <w:hideMark/>
          </w:tcPr>
          <w:p w14:paraId="70CCD5D3"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7D34058C"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FY2014</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4FC5BC7A"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FY2015</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6FDC6E75"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FY2016</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76866C0C"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FY2017</w:t>
            </w:r>
          </w:p>
        </w:tc>
        <w:tc>
          <w:tcPr>
            <w:tcW w:w="1422" w:type="dxa"/>
            <w:tcBorders>
              <w:top w:val="single" w:sz="4" w:space="0" w:color="auto"/>
              <w:left w:val="nil"/>
              <w:bottom w:val="single" w:sz="4" w:space="0" w:color="auto"/>
              <w:right w:val="single" w:sz="4" w:space="0" w:color="auto"/>
            </w:tcBorders>
            <w:shd w:val="clear" w:color="000000" w:fill="F2F2F2"/>
            <w:vAlign w:val="center"/>
            <w:hideMark/>
          </w:tcPr>
          <w:p w14:paraId="1DEBF7C8"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FY2018 New standards</w:t>
            </w:r>
          </w:p>
        </w:tc>
      </w:tr>
      <w:tr w:rsidR="00644212" w:rsidRPr="00E139C5" w14:paraId="40AFD886" w14:textId="77777777" w:rsidTr="00D17616">
        <w:trPr>
          <w:trHeight w:val="115"/>
        </w:trPr>
        <w:tc>
          <w:tcPr>
            <w:tcW w:w="2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FCE4C"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Total assets</w:t>
            </w:r>
          </w:p>
        </w:tc>
        <w:tc>
          <w:tcPr>
            <w:tcW w:w="1416" w:type="dxa"/>
            <w:tcBorders>
              <w:top w:val="nil"/>
              <w:left w:val="nil"/>
              <w:bottom w:val="single" w:sz="4" w:space="0" w:color="auto"/>
              <w:right w:val="single" w:sz="4" w:space="0" w:color="auto"/>
            </w:tcBorders>
            <w:shd w:val="clear" w:color="auto" w:fill="auto"/>
            <w:vAlign w:val="center"/>
            <w:hideMark/>
          </w:tcPr>
          <w:p w14:paraId="2CAA22E3"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21,034,169</w:t>
            </w:r>
          </w:p>
        </w:tc>
        <w:tc>
          <w:tcPr>
            <w:tcW w:w="1416" w:type="dxa"/>
            <w:tcBorders>
              <w:top w:val="nil"/>
              <w:left w:val="nil"/>
              <w:bottom w:val="single" w:sz="4" w:space="0" w:color="auto"/>
              <w:right w:val="single" w:sz="4" w:space="0" w:color="auto"/>
            </w:tcBorders>
            <w:shd w:val="clear" w:color="auto" w:fill="auto"/>
            <w:vAlign w:val="center"/>
            <w:hideMark/>
          </w:tcPr>
          <w:p w14:paraId="16092546"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20,707,192</w:t>
            </w:r>
          </w:p>
        </w:tc>
        <w:tc>
          <w:tcPr>
            <w:tcW w:w="1416" w:type="dxa"/>
            <w:tcBorders>
              <w:top w:val="nil"/>
              <w:left w:val="nil"/>
              <w:bottom w:val="single" w:sz="4" w:space="0" w:color="auto"/>
              <w:right w:val="single" w:sz="4" w:space="0" w:color="auto"/>
            </w:tcBorders>
            <w:shd w:val="clear" w:color="auto" w:fill="auto"/>
            <w:vAlign w:val="center"/>
            <w:hideMark/>
          </w:tcPr>
          <w:p w14:paraId="77E7BADA"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24,634,212</w:t>
            </w:r>
          </w:p>
        </w:tc>
        <w:tc>
          <w:tcPr>
            <w:tcW w:w="1416" w:type="dxa"/>
            <w:tcBorders>
              <w:top w:val="nil"/>
              <w:left w:val="nil"/>
              <w:bottom w:val="single" w:sz="4" w:space="0" w:color="auto"/>
              <w:right w:val="single" w:sz="4" w:space="0" w:color="auto"/>
            </w:tcBorders>
            <w:shd w:val="clear" w:color="auto" w:fill="auto"/>
            <w:vAlign w:val="center"/>
            <w:hideMark/>
          </w:tcPr>
          <w:p w14:paraId="0FF847E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31,180,466</w:t>
            </w:r>
          </w:p>
        </w:tc>
        <w:tc>
          <w:tcPr>
            <w:tcW w:w="1422" w:type="dxa"/>
            <w:tcBorders>
              <w:top w:val="nil"/>
              <w:left w:val="nil"/>
              <w:bottom w:val="single" w:sz="4" w:space="0" w:color="auto"/>
              <w:right w:val="single" w:sz="4" w:space="0" w:color="auto"/>
            </w:tcBorders>
            <w:shd w:val="clear" w:color="auto" w:fill="auto"/>
            <w:vAlign w:val="center"/>
            <w:hideMark/>
          </w:tcPr>
          <w:p w14:paraId="42EAB1B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36,096,476</w:t>
            </w:r>
          </w:p>
        </w:tc>
      </w:tr>
      <w:tr w:rsidR="00644212" w:rsidRPr="00E139C5" w14:paraId="793B97D5"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351264DF"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Equity attributable to owners of the parent</w:t>
            </w:r>
          </w:p>
        </w:tc>
        <w:tc>
          <w:tcPr>
            <w:tcW w:w="1416" w:type="dxa"/>
            <w:tcBorders>
              <w:top w:val="nil"/>
              <w:left w:val="nil"/>
              <w:bottom w:val="single" w:sz="4" w:space="0" w:color="auto"/>
              <w:right w:val="single" w:sz="4" w:space="0" w:color="auto"/>
            </w:tcBorders>
            <w:shd w:val="clear" w:color="auto" w:fill="auto"/>
            <w:vAlign w:val="center"/>
            <w:hideMark/>
          </w:tcPr>
          <w:p w14:paraId="1DB490D6"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2,846,306</w:t>
            </w:r>
          </w:p>
        </w:tc>
        <w:tc>
          <w:tcPr>
            <w:tcW w:w="1416" w:type="dxa"/>
            <w:tcBorders>
              <w:top w:val="nil"/>
              <w:left w:val="nil"/>
              <w:bottom w:val="single" w:sz="4" w:space="0" w:color="auto"/>
              <w:right w:val="single" w:sz="4" w:space="0" w:color="auto"/>
            </w:tcBorders>
            <w:shd w:val="clear" w:color="auto" w:fill="auto"/>
            <w:vAlign w:val="center"/>
            <w:hideMark/>
          </w:tcPr>
          <w:p w14:paraId="332522B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2,613,613</w:t>
            </w:r>
          </w:p>
        </w:tc>
        <w:tc>
          <w:tcPr>
            <w:tcW w:w="1416" w:type="dxa"/>
            <w:tcBorders>
              <w:top w:val="nil"/>
              <w:left w:val="nil"/>
              <w:bottom w:val="single" w:sz="4" w:space="0" w:color="auto"/>
              <w:right w:val="single" w:sz="4" w:space="0" w:color="auto"/>
            </w:tcBorders>
            <w:shd w:val="clear" w:color="auto" w:fill="auto"/>
            <w:vAlign w:val="center"/>
            <w:hideMark/>
          </w:tcPr>
          <w:p w14:paraId="32B13FB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3,586,352</w:t>
            </w:r>
          </w:p>
        </w:tc>
        <w:tc>
          <w:tcPr>
            <w:tcW w:w="1416" w:type="dxa"/>
            <w:tcBorders>
              <w:top w:val="nil"/>
              <w:left w:val="nil"/>
              <w:bottom w:val="single" w:sz="4" w:space="0" w:color="auto"/>
              <w:right w:val="single" w:sz="4" w:space="0" w:color="auto"/>
            </w:tcBorders>
            <w:shd w:val="clear" w:color="auto" w:fill="auto"/>
            <w:vAlign w:val="center"/>
            <w:hideMark/>
          </w:tcPr>
          <w:p w14:paraId="54E70229"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5,184,176</w:t>
            </w:r>
          </w:p>
        </w:tc>
        <w:tc>
          <w:tcPr>
            <w:tcW w:w="1422" w:type="dxa"/>
            <w:tcBorders>
              <w:top w:val="nil"/>
              <w:left w:val="nil"/>
              <w:bottom w:val="single" w:sz="4" w:space="0" w:color="auto"/>
              <w:right w:val="single" w:sz="4" w:space="0" w:color="auto"/>
            </w:tcBorders>
            <w:shd w:val="clear" w:color="auto" w:fill="auto"/>
            <w:vAlign w:val="center"/>
            <w:hideMark/>
          </w:tcPr>
          <w:p w14:paraId="3D4ACA31"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7,621,481</w:t>
            </w:r>
          </w:p>
        </w:tc>
      </w:tr>
      <w:tr w:rsidR="00644212" w:rsidRPr="00E139C5" w14:paraId="4A8A66F0" w14:textId="77777777" w:rsidTr="00D17616">
        <w:trPr>
          <w:trHeight w:val="121"/>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7E3CC501"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Interest-bearing debt</w:t>
            </w:r>
            <w:r w:rsidRPr="00E139C5">
              <w:rPr>
                <w:rFonts w:ascii="Times New Roman" w:eastAsia="MS PGothic" w:hAnsi="Times New Roman" w:cs="Times New Roman"/>
                <w:b/>
                <w:bCs/>
                <w:color w:val="000000"/>
                <w:sz w:val="24"/>
                <w:szCs w:val="24"/>
                <w:vertAlign w:val="superscript"/>
                <w:lang w:eastAsia="en-GB"/>
              </w:rPr>
              <w:t>*2</w:t>
            </w:r>
          </w:p>
        </w:tc>
        <w:tc>
          <w:tcPr>
            <w:tcW w:w="1416" w:type="dxa"/>
            <w:tcBorders>
              <w:top w:val="nil"/>
              <w:left w:val="nil"/>
              <w:bottom w:val="single" w:sz="4" w:space="0" w:color="auto"/>
              <w:right w:val="single" w:sz="4" w:space="0" w:color="auto"/>
            </w:tcBorders>
            <w:shd w:val="clear" w:color="auto" w:fill="auto"/>
            <w:vAlign w:val="center"/>
            <w:hideMark/>
          </w:tcPr>
          <w:p w14:paraId="7C5EB6AA"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11,607,244</w:t>
            </w:r>
          </w:p>
        </w:tc>
        <w:tc>
          <w:tcPr>
            <w:tcW w:w="1416" w:type="dxa"/>
            <w:tcBorders>
              <w:top w:val="nil"/>
              <w:left w:val="nil"/>
              <w:bottom w:val="single" w:sz="4" w:space="0" w:color="auto"/>
              <w:right w:val="single" w:sz="4" w:space="0" w:color="auto"/>
            </w:tcBorders>
            <w:shd w:val="clear" w:color="auto" w:fill="auto"/>
            <w:vAlign w:val="center"/>
            <w:hideMark/>
          </w:tcPr>
          <w:p w14:paraId="589288F9"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11,922,431</w:t>
            </w:r>
          </w:p>
        </w:tc>
        <w:tc>
          <w:tcPr>
            <w:tcW w:w="1416" w:type="dxa"/>
            <w:tcBorders>
              <w:top w:val="nil"/>
              <w:left w:val="nil"/>
              <w:bottom w:val="single" w:sz="4" w:space="0" w:color="auto"/>
              <w:right w:val="single" w:sz="4" w:space="0" w:color="auto"/>
            </w:tcBorders>
            <w:shd w:val="clear" w:color="auto" w:fill="auto"/>
            <w:vAlign w:val="center"/>
            <w:hideMark/>
          </w:tcPr>
          <w:p w14:paraId="089DA3FC"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14,142,922</w:t>
            </w:r>
          </w:p>
        </w:tc>
        <w:tc>
          <w:tcPr>
            <w:tcW w:w="1416" w:type="dxa"/>
            <w:tcBorders>
              <w:top w:val="nil"/>
              <w:left w:val="nil"/>
              <w:bottom w:val="single" w:sz="4" w:space="0" w:color="auto"/>
              <w:right w:val="single" w:sz="4" w:space="0" w:color="auto"/>
            </w:tcBorders>
            <w:shd w:val="clear" w:color="auto" w:fill="auto"/>
            <w:vAlign w:val="center"/>
            <w:hideMark/>
          </w:tcPr>
          <w:p w14:paraId="22A8A0C3"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16,353,856</w:t>
            </w:r>
          </w:p>
        </w:tc>
        <w:tc>
          <w:tcPr>
            <w:tcW w:w="1422" w:type="dxa"/>
            <w:tcBorders>
              <w:top w:val="nil"/>
              <w:left w:val="nil"/>
              <w:bottom w:val="single" w:sz="4" w:space="0" w:color="auto"/>
              <w:right w:val="single" w:sz="4" w:space="0" w:color="auto"/>
            </w:tcBorders>
            <w:shd w:val="clear" w:color="auto" w:fill="auto"/>
            <w:vAlign w:val="center"/>
            <w:hideMark/>
          </w:tcPr>
          <w:p w14:paraId="3A2C24BE"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14,954,506</w:t>
            </w:r>
          </w:p>
        </w:tc>
      </w:tr>
      <w:tr w:rsidR="00644212" w:rsidRPr="00E139C5" w14:paraId="4B987D75" w14:textId="77777777" w:rsidTr="00D17616">
        <w:trPr>
          <w:trHeight w:val="121"/>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3A9BDDD4"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Net interest-bearing debt</w:t>
            </w:r>
            <w:r w:rsidRPr="00E139C5">
              <w:rPr>
                <w:rFonts w:ascii="Times New Roman" w:eastAsia="MS PGothic" w:hAnsi="Times New Roman" w:cs="Times New Roman"/>
                <w:b/>
                <w:bCs/>
                <w:color w:val="000000"/>
                <w:sz w:val="24"/>
                <w:szCs w:val="24"/>
                <w:vertAlign w:val="superscript"/>
                <w:lang w:eastAsia="en-GB"/>
              </w:rPr>
              <w:t>*3</w:t>
            </w:r>
          </w:p>
        </w:tc>
        <w:tc>
          <w:tcPr>
            <w:tcW w:w="1416" w:type="dxa"/>
            <w:tcBorders>
              <w:top w:val="nil"/>
              <w:left w:val="nil"/>
              <w:bottom w:val="single" w:sz="4" w:space="0" w:color="auto"/>
              <w:right w:val="single" w:sz="4" w:space="0" w:color="auto"/>
            </w:tcBorders>
            <w:shd w:val="clear" w:color="auto" w:fill="auto"/>
            <w:vAlign w:val="center"/>
            <w:hideMark/>
          </w:tcPr>
          <w:p w14:paraId="0899E34A"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8,182,817</w:t>
            </w:r>
          </w:p>
        </w:tc>
        <w:tc>
          <w:tcPr>
            <w:tcW w:w="1416" w:type="dxa"/>
            <w:tcBorders>
              <w:top w:val="nil"/>
              <w:left w:val="nil"/>
              <w:bottom w:val="single" w:sz="4" w:space="0" w:color="auto"/>
              <w:right w:val="single" w:sz="4" w:space="0" w:color="auto"/>
            </w:tcBorders>
            <w:shd w:val="clear" w:color="auto" w:fill="auto"/>
            <w:vAlign w:val="center"/>
            <w:hideMark/>
          </w:tcPr>
          <w:p w14:paraId="12B1361F"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9,248,363</w:t>
            </w:r>
          </w:p>
        </w:tc>
        <w:tc>
          <w:tcPr>
            <w:tcW w:w="1416" w:type="dxa"/>
            <w:tcBorders>
              <w:top w:val="nil"/>
              <w:left w:val="nil"/>
              <w:bottom w:val="single" w:sz="4" w:space="0" w:color="auto"/>
              <w:right w:val="single" w:sz="4" w:space="0" w:color="auto"/>
            </w:tcBorders>
            <w:shd w:val="clear" w:color="auto" w:fill="auto"/>
            <w:vAlign w:val="center"/>
            <w:hideMark/>
          </w:tcPr>
          <w:p w14:paraId="33760B7E"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11,207,617</w:t>
            </w:r>
          </w:p>
        </w:tc>
        <w:tc>
          <w:tcPr>
            <w:tcW w:w="1416" w:type="dxa"/>
            <w:tcBorders>
              <w:top w:val="nil"/>
              <w:left w:val="nil"/>
              <w:bottom w:val="single" w:sz="4" w:space="0" w:color="auto"/>
              <w:right w:val="single" w:sz="4" w:space="0" w:color="auto"/>
            </w:tcBorders>
            <w:shd w:val="clear" w:color="auto" w:fill="auto"/>
            <w:vAlign w:val="center"/>
            <w:hideMark/>
          </w:tcPr>
          <w:p w14:paraId="52A3BE8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12,928,922</w:t>
            </w:r>
          </w:p>
        </w:tc>
        <w:tc>
          <w:tcPr>
            <w:tcW w:w="1422" w:type="dxa"/>
            <w:tcBorders>
              <w:top w:val="nil"/>
              <w:left w:val="nil"/>
              <w:bottom w:val="single" w:sz="4" w:space="0" w:color="auto"/>
              <w:right w:val="single" w:sz="4" w:space="0" w:color="auto"/>
            </w:tcBorders>
            <w:shd w:val="clear" w:color="auto" w:fill="auto"/>
            <w:vAlign w:val="center"/>
            <w:hideMark/>
          </w:tcPr>
          <w:p w14:paraId="6ED063FB"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11,325,430</w:t>
            </w:r>
          </w:p>
        </w:tc>
      </w:tr>
      <w:tr w:rsidR="00644212" w:rsidRPr="00E139C5" w14:paraId="2AE372EF" w14:textId="77777777" w:rsidTr="00D17616">
        <w:trPr>
          <w:trHeight w:val="444"/>
        </w:trPr>
        <w:tc>
          <w:tcPr>
            <w:tcW w:w="9191" w:type="dxa"/>
            <w:gridSpan w:val="6"/>
            <w:tcBorders>
              <w:top w:val="single" w:sz="4" w:space="0" w:color="auto"/>
              <w:left w:val="nil"/>
              <w:bottom w:val="nil"/>
              <w:right w:val="nil"/>
            </w:tcBorders>
            <w:shd w:val="clear" w:color="auto" w:fill="auto"/>
            <w:hideMark/>
          </w:tcPr>
          <w:p w14:paraId="3411D349" w14:textId="4220FD90"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[Notes]</w:t>
            </w:r>
            <w:r w:rsidRPr="00E139C5">
              <w:rPr>
                <w:rFonts w:ascii="Times New Roman" w:eastAsia="MS PGothic" w:hAnsi="Times New Roman" w:cs="Times New Roman"/>
                <w:color w:val="000000"/>
                <w:sz w:val="24"/>
                <w:szCs w:val="24"/>
                <w:lang w:eastAsia="en-GB"/>
              </w:rPr>
              <w:br/>
              <w:t>*</w:t>
            </w:r>
            <w:r w:rsidR="00BC59C1" w:rsidRPr="00E139C5">
              <w:rPr>
                <w:rFonts w:ascii="Times New Roman" w:eastAsia="MS PGothic" w:hAnsi="Times New Roman" w:cs="Times New Roman"/>
                <w:color w:val="000000"/>
                <w:sz w:val="24"/>
                <w:szCs w:val="24"/>
                <w:lang w:eastAsia="en-GB"/>
              </w:rPr>
              <w:t>2 Interest</w:t>
            </w:r>
            <w:r w:rsidRPr="00E139C5">
              <w:rPr>
                <w:rFonts w:ascii="Times New Roman" w:eastAsia="MS PGothic" w:hAnsi="Times New Roman" w:cs="Times New Roman"/>
                <w:color w:val="000000"/>
                <w:sz w:val="24"/>
                <w:szCs w:val="24"/>
                <w:lang w:eastAsia="en-GB"/>
              </w:rPr>
              <w:t>-bearing debt above excludes financial liabilities relating to variable prepaid forward contract for sale of Alibaba shares. Deposits for banking business of The Japan Net Bank are not included in interest-bearing debt.</w:t>
            </w:r>
            <w:r w:rsidRPr="00E139C5">
              <w:rPr>
                <w:rFonts w:ascii="Times New Roman" w:eastAsia="MS PGothic" w:hAnsi="Times New Roman" w:cs="Times New Roman"/>
                <w:color w:val="000000"/>
                <w:sz w:val="24"/>
                <w:szCs w:val="24"/>
                <w:lang w:eastAsia="en-GB"/>
              </w:rPr>
              <w:br/>
              <w:t>*3  Net interest-bearing debt = interest-bearing debt - cash position</w:t>
            </w:r>
            <w:r w:rsidRPr="00E139C5">
              <w:rPr>
                <w:rFonts w:ascii="Times New Roman" w:eastAsia="MS PGothic" w:hAnsi="Times New Roman" w:cs="Times New Roman"/>
                <w:color w:val="000000"/>
                <w:sz w:val="24"/>
                <w:szCs w:val="24"/>
                <w:lang w:eastAsia="en-GB"/>
              </w:rPr>
              <w:br/>
              <w:t xml:space="preserve">      Cash position = cash and cash equivalents + short-term investments recorded as current assets (both exclude those of The Japan Net Bank)</w:t>
            </w:r>
          </w:p>
        </w:tc>
      </w:tr>
      <w:tr w:rsidR="00644212" w:rsidRPr="00E139C5" w14:paraId="2E1EBC14" w14:textId="77777777" w:rsidTr="00D17616">
        <w:trPr>
          <w:trHeight w:val="115"/>
        </w:trPr>
        <w:tc>
          <w:tcPr>
            <w:tcW w:w="2105" w:type="dxa"/>
            <w:tcBorders>
              <w:top w:val="nil"/>
              <w:left w:val="nil"/>
              <w:bottom w:val="nil"/>
              <w:right w:val="nil"/>
            </w:tcBorders>
            <w:shd w:val="clear" w:color="auto" w:fill="auto"/>
            <w:vAlign w:val="center"/>
            <w:hideMark/>
          </w:tcPr>
          <w:p w14:paraId="72BD0560"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p>
        </w:tc>
        <w:tc>
          <w:tcPr>
            <w:tcW w:w="1416" w:type="dxa"/>
            <w:tcBorders>
              <w:top w:val="nil"/>
              <w:left w:val="nil"/>
              <w:bottom w:val="nil"/>
              <w:right w:val="nil"/>
            </w:tcBorders>
            <w:shd w:val="clear" w:color="auto" w:fill="auto"/>
            <w:vAlign w:val="center"/>
            <w:hideMark/>
          </w:tcPr>
          <w:p w14:paraId="588429D0"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6144E6CE"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2B57494D"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4EA3C7FE"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vAlign w:val="center"/>
            <w:hideMark/>
          </w:tcPr>
          <w:p w14:paraId="7C3C3DE0"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r>
      <w:tr w:rsidR="00644212" w:rsidRPr="00E139C5" w14:paraId="04E5691C" w14:textId="77777777" w:rsidTr="00D17616">
        <w:trPr>
          <w:trHeight w:val="121"/>
        </w:trPr>
        <w:tc>
          <w:tcPr>
            <w:tcW w:w="2105" w:type="dxa"/>
            <w:tcBorders>
              <w:top w:val="nil"/>
              <w:left w:val="nil"/>
              <w:bottom w:val="nil"/>
              <w:right w:val="nil"/>
            </w:tcBorders>
            <w:shd w:val="clear" w:color="auto" w:fill="auto"/>
            <w:vAlign w:val="center"/>
            <w:hideMark/>
          </w:tcPr>
          <w:p w14:paraId="5E8DBE30" w14:textId="77777777" w:rsidR="00030C3E" w:rsidRDefault="00030C3E" w:rsidP="00E139C5">
            <w:pPr>
              <w:spacing w:after="0" w:line="360" w:lineRule="auto"/>
              <w:jc w:val="both"/>
              <w:rPr>
                <w:rFonts w:ascii="Times New Roman" w:eastAsia="MS PGothic" w:hAnsi="Times New Roman" w:cs="Times New Roman"/>
                <w:b/>
                <w:bCs/>
                <w:color w:val="000000"/>
                <w:sz w:val="24"/>
                <w:szCs w:val="24"/>
                <w:lang w:eastAsia="en-GB"/>
              </w:rPr>
            </w:pPr>
          </w:p>
          <w:p w14:paraId="105DB949" w14:textId="77777777" w:rsidR="00030C3E" w:rsidRDefault="00030C3E" w:rsidP="00E139C5">
            <w:pPr>
              <w:spacing w:after="0" w:line="360" w:lineRule="auto"/>
              <w:jc w:val="both"/>
              <w:rPr>
                <w:rFonts w:ascii="Times New Roman" w:eastAsia="MS PGothic" w:hAnsi="Times New Roman" w:cs="Times New Roman"/>
                <w:b/>
                <w:bCs/>
                <w:color w:val="000000"/>
                <w:sz w:val="24"/>
                <w:szCs w:val="24"/>
                <w:lang w:eastAsia="en-GB"/>
              </w:rPr>
            </w:pPr>
          </w:p>
          <w:p w14:paraId="093D2842" w14:textId="77777777" w:rsidR="00030C3E" w:rsidRDefault="00030C3E" w:rsidP="00E139C5">
            <w:pPr>
              <w:spacing w:after="0" w:line="360" w:lineRule="auto"/>
              <w:jc w:val="both"/>
              <w:rPr>
                <w:rFonts w:ascii="Times New Roman" w:eastAsia="MS PGothic" w:hAnsi="Times New Roman" w:cs="Times New Roman"/>
                <w:b/>
                <w:bCs/>
                <w:color w:val="000000"/>
                <w:sz w:val="24"/>
                <w:szCs w:val="24"/>
                <w:lang w:eastAsia="en-GB"/>
              </w:rPr>
            </w:pPr>
          </w:p>
          <w:p w14:paraId="6C220EEC" w14:textId="7699E6EE"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■Cash</w:t>
            </w:r>
            <w:r w:rsidR="00030C3E">
              <w:rPr>
                <w:rFonts w:ascii="Times New Roman" w:eastAsia="MS PGothic" w:hAnsi="Times New Roman" w:cs="Times New Roman"/>
                <w:b/>
                <w:bCs/>
                <w:color w:val="000000"/>
                <w:sz w:val="24"/>
                <w:szCs w:val="24"/>
                <w:lang w:eastAsia="en-GB"/>
              </w:rPr>
              <w:t xml:space="preserve"> </w:t>
            </w:r>
            <w:r w:rsidRPr="00E139C5">
              <w:rPr>
                <w:rFonts w:ascii="Times New Roman" w:eastAsia="MS PGothic" w:hAnsi="Times New Roman" w:cs="Times New Roman"/>
                <w:b/>
                <w:bCs/>
                <w:color w:val="000000"/>
                <w:sz w:val="24"/>
                <w:szCs w:val="24"/>
                <w:lang w:eastAsia="en-GB"/>
              </w:rPr>
              <w:t>flows</w:t>
            </w:r>
          </w:p>
        </w:tc>
        <w:tc>
          <w:tcPr>
            <w:tcW w:w="1416" w:type="dxa"/>
            <w:tcBorders>
              <w:top w:val="nil"/>
              <w:left w:val="nil"/>
              <w:bottom w:val="nil"/>
              <w:right w:val="nil"/>
            </w:tcBorders>
            <w:shd w:val="clear" w:color="auto" w:fill="auto"/>
            <w:vAlign w:val="center"/>
            <w:hideMark/>
          </w:tcPr>
          <w:p w14:paraId="71A374C2"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p>
        </w:tc>
        <w:tc>
          <w:tcPr>
            <w:tcW w:w="1416" w:type="dxa"/>
            <w:tcBorders>
              <w:top w:val="nil"/>
              <w:left w:val="nil"/>
              <w:bottom w:val="nil"/>
              <w:right w:val="nil"/>
            </w:tcBorders>
            <w:shd w:val="clear" w:color="auto" w:fill="auto"/>
            <w:noWrap/>
            <w:vAlign w:val="bottom"/>
            <w:hideMark/>
          </w:tcPr>
          <w:p w14:paraId="26C32E97"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28DF10ED"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1099252C"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noWrap/>
            <w:vAlign w:val="bottom"/>
            <w:hideMark/>
          </w:tcPr>
          <w:p w14:paraId="286C51CE" w14:textId="77777777" w:rsidR="00D17616" w:rsidRDefault="00D17616" w:rsidP="00E139C5">
            <w:pPr>
              <w:spacing w:after="0" w:line="360" w:lineRule="auto"/>
              <w:jc w:val="both"/>
              <w:rPr>
                <w:rFonts w:ascii="Times New Roman" w:eastAsia="MS PGothic" w:hAnsi="Times New Roman" w:cs="Times New Roman"/>
                <w:color w:val="000000"/>
                <w:sz w:val="24"/>
                <w:szCs w:val="24"/>
                <w:lang w:eastAsia="en-GB"/>
              </w:rPr>
            </w:pPr>
          </w:p>
          <w:p w14:paraId="2AF9B9E6" w14:textId="77777777" w:rsidR="00D17616" w:rsidRDefault="00D17616" w:rsidP="00E139C5">
            <w:pPr>
              <w:spacing w:after="0" w:line="360" w:lineRule="auto"/>
              <w:jc w:val="both"/>
              <w:rPr>
                <w:rFonts w:ascii="Times New Roman" w:eastAsia="MS PGothic" w:hAnsi="Times New Roman" w:cs="Times New Roman"/>
                <w:color w:val="000000"/>
                <w:sz w:val="24"/>
                <w:szCs w:val="24"/>
                <w:lang w:eastAsia="en-GB"/>
              </w:rPr>
            </w:pPr>
          </w:p>
          <w:p w14:paraId="20730AF9" w14:textId="77777777" w:rsidR="00D17616" w:rsidRDefault="00D17616" w:rsidP="00E139C5">
            <w:pPr>
              <w:spacing w:after="0" w:line="360" w:lineRule="auto"/>
              <w:jc w:val="both"/>
              <w:rPr>
                <w:rFonts w:ascii="Times New Roman" w:eastAsia="MS PGothic" w:hAnsi="Times New Roman" w:cs="Times New Roman"/>
                <w:color w:val="000000"/>
                <w:sz w:val="24"/>
                <w:szCs w:val="24"/>
                <w:lang w:eastAsia="en-GB"/>
              </w:rPr>
            </w:pPr>
          </w:p>
          <w:p w14:paraId="4BA463E7" w14:textId="77777777" w:rsidR="00D17616" w:rsidRDefault="00D17616" w:rsidP="00E139C5">
            <w:pPr>
              <w:spacing w:after="0" w:line="360" w:lineRule="auto"/>
              <w:jc w:val="both"/>
              <w:rPr>
                <w:rFonts w:ascii="Times New Roman" w:eastAsia="MS PGothic" w:hAnsi="Times New Roman" w:cs="Times New Roman"/>
                <w:color w:val="000000"/>
                <w:sz w:val="24"/>
                <w:szCs w:val="24"/>
                <w:lang w:eastAsia="en-GB"/>
              </w:rPr>
            </w:pPr>
          </w:p>
          <w:p w14:paraId="5E33D0FD" w14:textId="74F72DAA"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(Millions of yen)</w:t>
            </w:r>
          </w:p>
        </w:tc>
      </w:tr>
      <w:tr w:rsidR="00644212" w:rsidRPr="00E139C5" w14:paraId="4699CE42" w14:textId="77777777" w:rsidTr="00D17616">
        <w:trPr>
          <w:trHeight w:val="115"/>
        </w:trPr>
        <w:tc>
          <w:tcPr>
            <w:tcW w:w="2105" w:type="dxa"/>
            <w:tcBorders>
              <w:top w:val="single" w:sz="4" w:space="0" w:color="auto"/>
              <w:left w:val="single" w:sz="4" w:space="0" w:color="auto"/>
              <w:bottom w:val="nil"/>
              <w:right w:val="single" w:sz="4" w:space="0" w:color="auto"/>
            </w:tcBorders>
            <w:shd w:val="clear" w:color="000000" w:fill="F2F2F2"/>
            <w:vAlign w:val="center"/>
            <w:hideMark/>
          </w:tcPr>
          <w:p w14:paraId="6FFDF990"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7D5BF176"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FY2014</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4B4B284A"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FY2015</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1D55726E"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FY2016</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7213ADBD"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FY2017</w:t>
            </w:r>
          </w:p>
        </w:tc>
        <w:tc>
          <w:tcPr>
            <w:tcW w:w="1422" w:type="dxa"/>
            <w:tcBorders>
              <w:top w:val="single" w:sz="4" w:space="0" w:color="auto"/>
              <w:left w:val="nil"/>
              <w:bottom w:val="single" w:sz="4" w:space="0" w:color="auto"/>
              <w:right w:val="single" w:sz="4" w:space="0" w:color="auto"/>
            </w:tcBorders>
            <w:shd w:val="clear" w:color="000000" w:fill="F2F2F2"/>
            <w:vAlign w:val="center"/>
            <w:hideMark/>
          </w:tcPr>
          <w:p w14:paraId="77FD2C4F"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FY2018 New standards</w:t>
            </w:r>
          </w:p>
        </w:tc>
      </w:tr>
      <w:tr w:rsidR="00644212" w:rsidRPr="00E139C5" w14:paraId="5FB8F27A" w14:textId="77777777" w:rsidTr="00D17616">
        <w:trPr>
          <w:trHeight w:val="115"/>
        </w:trPr>
        <w:tc>
          <w:tcPr>
            <w:tcW w:w="2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8A81B0"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lastRenderedPageBreak/>
              <w:t>Cash flows from operating activities</w:t>
            </w:r>
          </w:p>
        </w:tc>
        <w:tc>
          <w:tcPr>
            <w:tcW w:w="1416" w:type="dxa"/>
            <w:tcBorders>
              <w:top w:val="nil"/>
              <w:left w:val="nil"/>
              <w:bottom w:val="single" w:sz="4" w:space="0" w:color="auto"/>
              <w:right w:val="single" w:sz="4" w:space="0" w:color="auto"/>
            </w:tcBorders>
            <w:shd w:val="clear" w:color="auto" w:fill="auto"/>
            <w:vAlign w:val="center"/>
            <w:hideMark/>
          </w:tcPr>
          <w:p w14:paraId="7D9DE9E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1,155,174</w:t>
            </w:r>
          </w:p>
        </w:tc>
        <w:tc>
          <w:tcPr>
            <w:tcW w:w="1416" w:type="dxa"/>
            <w:tcBorders>
              <w:top w:val="nil"/>
              <w:left w:val="nil"/>
              <w:bottom w:val="single" w:sz="4" w:space="0" w:color="auto"/>
              <w:right w:val="single" w:sz="4" w:space="0" w:color="auto"/>
            </w:tcBorders>
            <w:shd w:val="clear" w:color="auto" w:fill="auto"/>
            <w:vAlign w:val="center"/>
            <w:hideMark/>
          </w:tcPr>
          <w:p w14:paraId="2E22CF6F"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940,186</w:t>
            </w:r>
          </w:p>
        </w:tc>
        <w:tc>
          <w:tcPr>
            <w:tcW w:w="1416" w:type="dxa"/>
            <w:tcBorders>
              <w:top w:val="nil"/>
              <w:left w:val="nil"/>
              <w:bottom w:val="single" w:sz="4" w:space="0" w:color="auto"/>
              <w:right w:val="single" w:sz="4" w:space="0" w:color="auto"/>
            </w:tcBorders>
            <w:shd w:val="clear" w:color="auto" w:fill="auto"/>
            <w:vAlign w:val="center"/>
            <w:hideMark/>
          </w:tcPr>
          <w:p w14:paraId="087C95B1"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1,500,728</w:t>
            </w:r>
          </w:p>
        </w:tc>
        <w:tc>
          <w:tcPr>
            <w:tcW w:w="1416" w:type="dxa"/>
            <w:tcBorders>
              <w:top w:val="nil"/>
              <w:left w:val="nil"/>
              <w:bottom w:val="single" w:sz="4" w:space="0" w:color="auto"/>
              <w:right w:val="single" w:sz="4" w:space="0" w:color="auto"/>
            </w:tcBorders>
            <w:shd w:val="clear" w:color="auto" w:fill="auto"/>
            <w:vAlign w:val="center"/>
            <w:hideMark/>
          </w:tcPr>
          <w:p w14:paraId="2E875BE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1,088,623</w:t>
            </w:r>
          </w:p>
        </w:tc>
        <w:tc>
          <w:tcPr>
            <w:tcW w:w="1422" w:type="dxa"/>
            <w:tcBorders>
              <w:top w:val="nil"/>
              <w:left w:val="nil"/>
              <w:bottom w:val="single" w:sz="4" w:space="0" w:color="auto"/>
              <w:right w:val="single" w:sz="4" w:space="0" w:color="auto"/>
            </w:tcBorders>
            <w:shd w:val="clear" w:color="auto" w:fill="auto"/>
            <w:vAlign w:val="center"/>
            <w:hideMark/>
          </w:tcPr>
          <w:p w14:paraId="19DD740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1,171,864</w:t>
            </w:r>
          </w:p>
        </w:tc>
      </w:tr>
      <w:tr w:rsidR="00644212" w:rsidRPr="00E139C5" w14:paraId="28C9CAFA"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553B2C87"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Cash flows from investing activities</w:t>
            </w:r>
          </w:p>
        </w:tc>
        <w:tc>
          <w:tcPr>
            <w:tcW w:w="1416" w:type="dxa"/>
            <w:tcBorders>
              <w:top w:val="nil"/>
              <w:left w:val="nil"/>
              <w:bottom w:val="single" w:sz="4" w:space="0" w:color="auto"/>
              <w:right w:val="single" w:sz="4" w:space="0" w:color="auto"/>
            </w:tcBorders>
            <w:shd w:val="clear" w:color="auto" w:fill="auto"/>
            <w:vAlign w:val="center"/>
            <w:hideMark/>
          </w:tcPr>
          <w:p w14:paraId="5A281AB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-1,667,271</w:t>
            </w:r>
          </w:p>
        </w:tc>
        <w:tc>
          <w:tcPr>
            <w:tcW w:w="1416" w:type="dxa"/>
            <w:tcBorders>
              <w:top w:val="nil"/>
              <w:left w:val="nil"/>
              <w:bottom w:val="single" w:sz="4" w:space="0" w:color="auto"/>
              <w:right w:val="single" w:sz="4" w:space="0" w:color="auto"/>
            </w:tcBorders>
            <w:shd w:val="clear" w:color="auto" w:fill="auto"/>
            <w:vAlign w:val="center"/>
            <w:hideMark/>
          </w:tcPr>
          <w:p w14:paraId="4F950ED5"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-1,651,682</w:t>
            </w:r>
          </w:p>
        </w:tc>
        <w:tc>
          <w:tcPr>
            <w:tcW w:w="1416" w:type="dxa"/>
            <w:tcBorders>
              <w:top w:val="nil"/>
              <w:left w:val="nil"/>
              <w:bottom w:val="single" w:sz="4" w:space="0" w:color="auto"/>
              <w:right w:val="single" w:sz="4" w:space="0" w:color="auto"/>
            </w:tcBorders>
            <w:shd w:val="clear" w:color="auto" w:fill="auto"/>
            <w:vAlign w:val="center"/>
            <w:hideMark/>
          </w:tcPr>
          <w:p w14:paraId="2466D7FF"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-4,213,597</w:t>
            </w:r>
          </w:p>
        </w:tc>
        <w:tc>
          <w:tcPr>
            <w:tcW w:w="1416" w:type="dxa"/>
            <w:tcBorders>
              <w:top w:val="nil"/>
              <w:left w:val="nil"/>
              <w:bottom w:val="single" w:sz="4" w:space="0" w:color="auto"/>
              <w:right w:val="single" w:sz="4" w:space="0" w:color="auto"/>
            </w:tcBorders>
            <w:shd w:val="clear" w:color="auto" w:fill="auto"/>
            <w:vAlign w:val="center"/>
            <w:hideMark/>
          </w:tcPr>
          <w:p w14:paraId="18792A9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-4,484,822</w:t>
            </w:r>
          </w:p>
        </w:tc>
        <w:tc>
          <w:tcPr>
            <w:tcW w:w="1422" w:type="dxa"/>
            <w:tcBorders>
              <w:top w:val="nil"/>
              <w:left w:val="nil"/>
              <w:bottom w:val="single" w:sz="4" w:space="0" w:color="auto"/>
              <w:right w:val="single" w:sz="4" w:space="0" w:color="auto"/>
            </w:tcBorders>
            <w:shd w:val="clear" w:color="auto" w:fill="auto"/>
            <w:vAlign w:val="center"/>
            <w:hideMark/>
          </w:tcPr>
          <w:p w14:paraId="7B633A8A"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-2,908,016</w:t>
            </w:r>
          </w:p>
        </w:tc>
      </w:tr>
      <w:tr w:rsidR="00644212" w:rsidRPr="00E139C5" w14:paraId="039E29B3"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607CA29F"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Cash flows from financing activities</w:t>
            </w:r>
          </w:p>
        </w:tc>
        <w:tc>
          <w:tcPr>
            <w:tcW w:w="1416" w:type="dxa"/>
            <w:tcBorders>
              <w:top w:val="nil"/>
              <w:left w:val="nil"/>
              <w:bottom w:val="single" w:sz="4" w:space="0" w:color="auto"/>
              <w:right w:val="single" w:sz="4" w:space="0" w:color="auto"/>
            </w:tcBorders>
            <w:shd w:val="clear" w:color="auto" w:fill="auto"/>
            <w:vAlign w:val="center"/>
            <w:hideMark/>
          </w:tcPr>
          <w:p w14:paraId="2877AABE"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1,719,923</w:t>
            </w:r>
          </w:p>
        </w:tc>
        <w:tc>
          <w:tcPr>
            <w:tcW w:w="1416" w:type="dxa"/>
            <w:tcBorders>
              <w:top w:val="nil"/>
              <w:left w:val="nil"/>
              <w:bottom w:val="single" w:sz="4" w:space="0" w:color="auto"/>
              <w:right w:val="single" w:sz="4" w:space="0" w:color="auto"/>
            </w:tcBorders>
            <w:shd w:val="clear" w:color="auto" w:fill="auto"/>
            <w:vAlign w:val="center"/>
            <w:hideMark/>
          </w:tcPr>
          <w:p w14:paraId="11DE13F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43,270</w:t>
            </w:r>
          </w:p>
        </w:tc>
        <w:tc>
          <w:tcPr>
            <w:tcW w:w="1416" w:type="dxa"/>
            <w:tcBorders>
              <w:top w:val="nil"/>
              <w:left w:val="nil"/>
              <w:bottom w:val="single" w:sz="4" w:space="0" w:color="auto"/>
              <w:right w:val="single" w:sz="4" w:space="0" w:color="auto"/>
            </w:tcBorders>
            <w:shd w:val="clear" w:color="auto" w:fill="auto"/>
            <w:vAlign w:val="center"/>
            <w:hideMark/>
          </w:tcPr>
          <w:p w14:paraId="0FB0B583"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2,380,746</w:t>
            </w:r>
          </w:p>
        </w:tc>
        <w:tc>
          <w:tcPr>
            <w:tcW w:w="1416" w:type="dxa"/>
            <w:tcBorders>
              <w:top w:val="nil"/>
              <w:left w:val="nil"/>
              <w:bottom w:val="single" w:sz="4" w:space="0" w:color="auto"/>
              <w:right w:val="single" w:sz="4" w:space="0" w:color="auto"/>
            </w:tcBorders>
            <w:shd w:val="clear" w:color="auto" w:fill="auto"/>
            <w:vAlign w:val="center"/>
            <w:hideMark/>
          </w:tcPr>
          <w:p w14:paraId="093020B6"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4,626,421</w:t>
            </w:r>
          </w:p>
        </w:tc>
        <w:tc>
          <w:tcPr>
            <w:tcW w:w="1422" w:type="dxa"/>
            <w:tcBorders>
              <w:top w:val="nil"/>
              <w:left w:val="nil"/>
              <w:bottom w:val="single" w:sz="4" w:space="0" w:color="auto"/>
              <w:right w:val="single" w:sz="4" w:space="0" w:color="auto"/>
            </w:tcBorders>
            <w:shd w:val="clear" w:color="auto" w:fill="auto"/>
            <w:vAlign w:val="center"/>
            <w:hideMark/>
          </w:tcPr>
          <w:p w14:paraId="1663897C"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2,202,291</w:t>
            </w:r>
          </w:p>
        </w:tc>
      </w:tr>
      <w:tr w:rsidR="00644212" w:rsidRPr="00E139C5" w14:paraId="641F5E39" w14:textId="77777777" w:rsidTr="00D17616">
        <w:trPr>
          <w:trHeight w:val="115"/>
        </w:trPr>
        <w:tc>
          <w:tcPr>
            <w:tcW w:w="2105" w:type="dxa"/>
            <w:tcBorders>
              <w:top w:val="nil"/>
              <w:left w:val="nil"/>
              <w:bottom w:val="nil"/>
              <w:right w:val="nil"/>
            </w:tcBorders>
            <w:shd w:val="clear" w:color="auto" w:fill="auto"/>
            <w:vAlign w:val="center"/>
            <w:hideMark/>
          </w:tcPr>
          <w:p w14:paraId="65B26EB9"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p>
        </w:tc>
        <w:tc>
          <w:tcPr>
            <w:tcW w:w="1416" w:type="dxa"/>
            <w:tcBorders>
              <w:top w:val="nil"/>
              <w:left w:val="nil"/>
              <w:bottom w:val="nil"/>
              <w:right w:val="nil"/>
            </w:tcBorders>
            <w:shd w:val="clear" w:color="auto" w:fill="auto"/>
            <w:vAlign w:val="center"/>
            <w:hideMark/>
          </w:tcPr>
          <w:p w14:paraId="094E9FFA"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285BFB76"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6BCA95D6"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55E326E1"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vAlign w:val="center"/>
            <w:hideMark/>
          </w:tcPr>
          <w:p w14:paraId="06577490"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r>
      <w:tr w:rsidR="00644212" w:rsidRPr="00E139C5" w14:paraId="6FB217E4" w14:textId="77777777" w:rsidTr="00D17616">
        <w:trPr>
          <w:trHeight w:val="121"/>
        </w:trPr>
        <w:tc>
          <w:tcPr>
            <w:tcW w:w="2105" w:type="dxa"/>
            <w:tcBorders>
              <w:top w:val="nil"/>
              <w:left w:val="nil"/>
              <w:bottom w:val="nil"/>
              <w:right w:val="nil"/>
            </w:tcBorders>
            <w:shd w:val="clear" w:color="auto" w:fill="auto"/>
            <w:vAlign w:val="center"/>
            <w:hideMark/>
          </w:tcPr>
          <w:p w14:paraId="226EAD77"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■Major Indicators</w:t>
            </w:r>
          </w:p>
        </w:tc>
        <w:tc>
          <w:tcPr>
            <w:tcW w:w="1416" w:type="dxa"/>
            <w:tcBorders>
              <w:top w:val="nil"/>
              <w:left w:val="nil"/>
              <w:bottom w:val="nil"/>
              <w:right w:val="nil"/>
            </w:tcBorders>
            <w:shd w:val="clear" w:color="auto" w:fill="auto"/>
            <w:vAlign w:val="center"/>
            <w:hideMark/>
          </w:tcPr>
          <w:p w14:paraId="0B017245"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p>
        </w:tc>
        <w:tc>
          <w:tcPr>
            <w:tcW w:w="1416" w:type="dxa"/>
            <w:tcBorders>
              <w:top w:val="nil"/>
              <w:left w:val="nil"/>
              <w:bottom w:val="nil"/>
              <w:right w:val="nil"/>
            </w:tcBorders>
            <w:shd w:val="clear" w:color="auto" w:fill="auto"/>
            <w:vAlign w:val="center"/>
            <w:hideMark/>
          </w:tcPr>
          <w:p w14:paraId="518971D8"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20E14ED3"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7E99C8F1"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noWrap/>
            <w:vAlign w:val="bottom"/>
            <w:hideMark/>
          </w:tcPr>
          <w:p w14:paraId="6CBED303"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r>
      <w:tr w:rsidR="00644212" w:rsidRPr="00E139C5" w14:paraId="03AEE029" w14:textId="77777777" w:rsidTr="00D17616">
        <w:trPr>
          <w:trHeight w:val="115"/>
        </w:trPr>
        <w:tc>
          <w:tcPr>
            <w:tcW w:w="2105" w:type="dxa"/>
            <w:tcBorders>
              <w:top w:val="single" w:sz="4" w:space="0" w:color="auto"/>
              <w:left w:val="single" w:sz="4" w:space="0" w:color="auto"/>
              <w:bottom w:val="nil"/>
              <w:right w:val="single" w:sz="4" w:space="0" w:color="auto"/>
            </w:tcBorders>
            <w:shd w:val="clear" w:color="000000" w:fill="F2F2F2"/>
            <w:vAlign w:val="center"/>
            <w:hideMark/>
          </w:tcPr>
          <w:p w14:paraId="1E4B8522"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523F3434"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FY2014</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5DC29A56"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FY2015</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0DA7C138"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FY2016</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77AC2B00"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FY2017</w:t>
            </w:r>
          </w:p>
        </w:tc>
        <w:tc>
          <w:tcPr>
            <w:tcW w:w="1422" w:type="dxa"/>
            <w:tcBorders>
              <w:top w:val="single" w:sz="4" w:space="0" w:color="auto"/>
              <w:left w:val="nil"/>
              <w:bottom w:val="single" w:sz="4" w:space="0" w:color="auto"/>
              <w:right w:val="single" w:sz="4" w:space="0" w:color="auto"/>
            </w:tcBorders>
            <w:shd w:val="clear" w:color="000000" w:fill="F2F2F2"/>
            <w:vAlign w:val="center"/>
            <w:hideMark/>
          </w:tcPr>
          <w:p w14:paraId="22FA9EE8"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FY2018 New standards</w:t>
            </w:r>
          </w:p>
        </w:tc>
      </w:tr>
      <w:tr w:rsidR="00644212" w:rsidRPr="00E139C5" w14:paraId="72ACD9DB" w14:textId="77777777" w:rsidTr="00D17616">
        <w:trPr>
          <w:trHeight w:val="121"/>
        </w:trPr>
        <w:tc>
          <w:tcPr>
            <w:tcW w:w="2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DA2902"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xml:space="preserve">Adjusted EBITDA margin </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vertAlign w:val="superscript"/>
                <w:lang w:eastAsia="en-GB"/>
              </w:rPr>
              <w:t>*4</w:t>
            </w:r>
          </w:p>
        </w:tc>
        <w:tc>
          <w:tcPr>
            <w:tcW w:w="1416" w:type="dxa"/>
            <w:tcBorders>
              <w:top w:val="nil"/>
              <w:left w:val="nil"/>
              <w:bottom w:val="single" w:sz="4" w:space="0" w:color="auto"/>
              <w:right w:val="single" w:sz="4" w:space="0" w:color="auto"/>
            </w:tcBorders>
            <w:shd w:val="clear" w:color="auto" w:fill="auto"/>
            <w:vAlign w:val="center"/>
            <w:hideMark/>
          </w:tcPr>
          <w:p w14:paraId="5A6420B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24.0 </w:t>
            </w:r>
          </w:p>
        </w:tc>
        <w:tc>
          <w:tcPr>
            <w:tcW w:w="1416" w:type="dxa"/>
            <w:tcBorders>
              <w:top w:val="nil"/>
              <w:left w:val="nil"/>
              <w:bottom w:val="single" w:sz="4" w:space="0" w:color="auto"/>
              <w:right w:val="single" w:sz="4" w:space="0" w:color="auto"/>
            </w:tcBorders>
            <w:shd w:val="clear" w:color="auto" w:fill="auto"/>
            <w:vAlign w:val="center"/>
            <w:hideMark/>
          </w:tcPr>
          <w:p w14:paraId="4E4726E1"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26.2 </w:t>
            </w:r>
          </w:p>
        </w:tc>
        <w:tc>
          <w:tcPr>
            <w:tcW w:w="1416" w:type="dxa"/>
            <w:tcBorders>
              <w:top w:val="nil"/>
              <w:left w:val="nil"/>
              <w:bottom w:val="single" w:sz="4" w:space="0" w:color="auto"/>
              <w:right w:val="single" w:sz="4" w:space="0" w:color="auto"/>
            </w:tcBorders>
            <w:shd w:val="clear" w:color="auto" w:fill="auto"/>
            <w:vAlign w:val="center"/>
            <w:hideMark/>
          </w:tcPr>
          <w:p w14:paraId="1AAB53E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28.8 </w:t>
            </w:r>
          </w:p>
        </w:tc>
        <w:tc>
          <w:tcPr>
            <w:tcW w:w="1416" w:type="dxa"/>
            <w:tcBorders>
              <w:top w:val="nil"/>
              <w:left w:val="nil"/>
              <w:bottom w:val="single" w:sz="4" w:space="0" w:color="auto"/>
              <w:right w:val="single" w:sz="4" w:space="0" w:color="auto"/>
            </w:tcBorders>
            <w:shd w:val="clear" w:color="auto" w:fill="auto"/>
            <w:vAlign w:val="center"/>
            <w:hideMark/>
          </w:tcPr>
          <w:p w14:paraId="39BE169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28.4 </w:t>
            </w:r>
          </w:p>
        </w:tc>
        <w:tc>
          <w:tcPr>
            <w:tcW w:w="1422" w:type="dxa"/>
            <w:tcBorders>
              <w:top w:val="nil"/>
              <w:left w:val="nil"/>
              <w:bottom w:val="single" w:sz="4" w:space="0" w:color="auto"/>
              <w:right w:val="single" w:sz="4" w:space="0" w:color="auto"/>
            </w:tcBorders>
            <w:shd w:val="clear" w:color="auto" w:fill="auto"/>
            <w:vAlign w:val="center"/>
            <w:hideMark/>
          </w:tcPr>
          <w:p w14:paraId="4C76552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32.8 </w:t>
            </w:r>
          </w:p>
        </w:tc>
      </w:tr>
      <w:tr w:rsidR="00644212" w:rsidRPr="00E139C5" w14:paraId="7043D7DB" w14:textId="77777777" w:rsidTr="00D17616">
        <w:trPr>
          <w:trHeight w:val="206"/>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6C2EA4F6"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Operating margin (excluding income from SoftBank Vision Fund and Delta Fund) (%)</w:t>
            </w:r>
          </w:p>
        </w:tc>
        <w:tc>
          <w:tcPr>
            <w:tcW w:w="1416" w:type="dxa"/>
            <w:tcBorders>
              <w:top w:val="nil"/>
              <w:left w:val="nil"/>
              <w:bottom w:val="single" w:sz="4" w:space="0" w:color="auto"/>
              <w:right w:val="single" w:sz="4" w:space="0" w:color="auto"/>
            </w:tcBorders>
            <w:shd w:val="clear" w:color="auto" w:fill="auto"/>
            <w:vAlign w:val="center"/>
            <w:hideMark/>
          </w:tcPr>
          <w:p w14:paraId="547B5BB1"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1B79658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1B399A4E"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0BE17223"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10.9</w:t>
            </w:r>
          </w:p>
        </w:tc>
        <w:tc>
          <w:tcPr>
            <w:tcW w:w="1422" w:type="dxa"/>
            <w:tcBorders>
              <w:top w:val="nil"/>
              <w:left w:val="nil"/>
              <w:bottom w:val="single" w:sz="4" w:space="0" w:color="auto"/>
              <w:right w:val="single" w:sz="4" w:space="0" w:color="auto"/>
            </w:tcBorders>
            <w:shd w:val="clear" w:color="auto" w:fill="auto"/>
            <w:vAlign w:val="center"/>
            <w:hideMark/>
          </w:tcPr>
          <w:p w14:paraId="62E46D59"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11.4</w:t>
            </w:r>
          </w:p>
        </w:tc>
      </w:tr>
      <w:tr w:rsidR="00644212" w:rsidRPr="00E139C5" w14:paraId="2C020420"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75BCD54E"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xml:space="preserve">Operating margin </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68500F23"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10.8 </w:t>
            </w:r>
          </w:p>
        </w:tc>
        <w:tc>
          <w:tcPr>
            <w:tcW w:w="1416" w:type="dxa"/>
            <w:tcBorders>
              <w:top w:val="nil"/>
              <w:left w:val="nil"/>
              <w:bottom w:val="single" w:sz="4" w:space="0" w:color="auto"/>
              <w:right w:val="single" w:sz="4" w:space="0" w:color="auto"/>
            </w:tcBorders>
            <w:shd w:val="clear" w:color="auto" w:fill="auto"/>
            <w:vAlign w:val="center"/>
            <w:hideMark/>
          </w:tcPr>
          <w:p w14:paraId="6261B10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10.2 </w:t>
            </w:r>
          </w:p>
        </w:tc>
        <w:tc>
          <w:tcPr>
            <w:tcW w:w="1416" w:type="dxa"/>
            <w:tcBorders>
              <w:top w:val="nil"/>
              <w:left w:val="nil"/>
              <w:bottom w:val="single" w:sz="4" w:space="0" w:color="auto"/>
              <w:right w:val="single" w:sz="4" w:space="0" w:color="auto"/>
            </w:tcBorders>
            <w:shd w:val="clear" w:color="auto" w:fill="auto"/>
            <w:vAlign w:val="center"/>
            <w:hideMark/>
          </w:tcPr>
          <w:p w14:paraId="58D0D798"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11.5 </w:t>
            </w:r>
          </w:p>
        </w:tc>
        <w:tc>
          <w:tcPr>
            <w:tcW w:w="1416" w:type="dxa"/>
            <w:tcBorders>
              <w:top w:val="nil"/>
              <w:left w:val="nil"/>
              <w:bottom w:val="single" w:sz="4" w:space="0" w:color="auto"/>
              <w:right w:val="single" w:sz="4" w:space="0" w:color="auto"/>
            </w:tcBorders>
            <w:shd w:val="clear" w:color="auto" w:fill="auto"/>
            <w:vAlign w:val="center"/>
            <w:hideMark/>
          </w:tcPr>
          <w:p w14:paraId="5EEBC6B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14.2 </w:t>
            </w:r>
          </w:p>
        </w:tc>
        <w:tc>
          <w:tcPr>
            <w:tcW w:w="1422" w:type="dxa"/>
            <w:tcBorders>
              <w:top w:val="nil"/>
              <w:left w:val="nil"/>
              <w:bottom w:val="single" w:sz="4" w:space="0" w:color="auto"/>
              <w:right w:val="single" w:sz="4" w:space="0" w:color="auto"/>
            </w:tcBorders>
            <w:shd w:val="clear" w:color="auto" w:fill="auto"/>
            <w:vAlign w:val="center"/>
            <w:hideMark/>
          </w:tcPr>
          <w:p w14:paraId="16328AC2"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24.5 </w:t>
            </w:r>
          </w:p>
        </w:tc>
      </w:tr>
      <w:tr w:rsidR="00644212" w:rsidRPr="00E139C5" w14:paraId="59B27B95" w14:textId="77777777" w:rsidTr="00D17616">
        <w:trPr>
          <w:trHeight w:val="121"/>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64651CAF"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xml:space="preserve">Net income attributable to owners of the parent ratio </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vertAlign w:val="superscript"/>
                <w:lang w:eastAsia="en-GB"/>
              </w:rPr>
              <w:t>*5</w:t>
            </w:r>
          </w:p>
        </w:tc>
        <w:tc>
          <w:tcPr>
            <w:tcW w:w="1416" w:type="dxa"/>
            <w:tcBorders>
              <w:top w:val="nil"/>
              <w:left w:val="nil"/>
              <w:bottom w:val="single" w:sz="4" w:space="0" w:color="auto"/>
              <w:right w:val="single" w:sz="4" w:space="0" w:color="auto"/>
            </w:tcBorders>
            <w:shd w:val="clear" w:color="auto" w:fill="auto"/>
            <w:vAlign w:val="center"/>
            <w:hideMark/>
          </w:tcPr>
          <w:p w14:paraId="160A5658"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28.0 </w:t>
            </w:r>
          </w:p>
        </w:tc>
        <w:tc>
          <w:tcPr>
            <w:tcW w:w="1416" w:type="dxa"/>
            <w:tcBorders>
              <w:top w:val="nil"/>
              <w:left w:val="nil"/>
              <w:bottom w:val="single" w:sz="4" w:space="0" w:color="auto"/>
              <w:right w:val="single" w:sz="4" w:space="0" w:color="auto"/>
            </w:tcBorders>
            <w:shd w:val="clear" w:color="auto" w:fill="auto"/>
            <w:vAlign w:val="center"/>
            <w:hideMark/>
          </w:tcPr>
          <w:p w14:paraId="259F2F9C"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17.4 </w:t>
            </w:r>
          </w:p>
        </w:tc>
        <w:tc>
          <w:tcPr>
            <w:tcW w:w="1416" w:type="dxa"/>
            <w:tcBorders>
              <w:top w:val="nil"/>
              <w:left w:val="nil"/>
              <w:bottom w:val="single" w:sz="4" w:space="0" w:color="auto"/>
              <w:right w:val="single" w:sz="4" w:space="0" w:color="auto"/>
            </w:tcBorders>
            <w:shd w:val="clear" w:color="auto" w:fill="auto"/>
            <w:vAlign w:val="center"/>
            <w:hideMark/>
          </w:tcPr>
          <w:p w14:paraId="66F22BA4"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46.0 </w:t>
            </w:r>
          </w:p>
        </w:tc>
        <w:tc>
          <w:tcPr>
            <w:tcW w:w="1416" w:type="dxa"/>
            <w:tcBorders>
              <w:top w:val="nil"/>
              <w:left w:val="nil"/>
              <w:bottom w:val="single" w:sz="4" w:space="0" w:color="auto"/>
              <w:right w:val="single" w:sz="4" w:space="0" w:color="auto"/>
            </w:tcBorders>
            <w:shd w:val="clear" w:color="auto" w:fill="auto"/>
            <w:vAlign w:val="center"/>
            <w:hideMark/>
          </w:tcPr>
          <w:p w14:paraId="738126B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23.7 </w:t>
            </w:r>
          </w:p>
        </w:tc>
        <w:tc>
          <w:tcPr>
            <w:tcW w:w="1422" w:type="dxa"/>
            <w:tcBorders>
              <w:top w:val="nil"/>
              <w:left w:val="nil"/>
              <w:bottom w:val="single" w:sz="4" w:space="0" w:color="auto"/>
              <w:right w:val="single" w:sz="4" w:space="0" w:color="auto"/>
            </w:tcBorders>
            <w:shd w:val="clear" w:color="auto" w:fill="auto"/>
            <w:vAlign w:val="center"/>
            <w:hideMark/>
          </w:tcPr>
          <w:p w14:paraId="3CB72926"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22.0 </w:t>
            </w:r>
          </w:p>
        </w:tc>
      </w:tr>
      <w:tr w:rsidR="00644212" w:rsidRPr="00E139C5" w14:paraId="430D5E9B" w14:textId="77777777" w:rsidTr="00D17616">
        <w:trPr>
          <w:trHeight w:val="115"/>
        </w:trPr>
        <w:tc>
          <w:tcPr>
            <w:tcW w:w="2105" w:type="dxa"/>
            <w:tcBorders>
              <w:top w:val="nil"/>
              <w:left w:val="single" w:sz="4" w:space="0" w:color="auto"/>
              <w:bottom w:val="single" w:sz="4" w:space="0" w:color="auto"/>
              <w:right w:val="single" w:sz="4" w:space="0" w:color="auto"/>
            </w:tcBorders>
            <w:shd w:val="clear" w:color="auto" w:fill="auto"/>
            <w:vAlign w:val="center"/>
            <w:hideMark/>
          </w:tcPr>
          <w:p w14:paraId="2F3BE8BC"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xml:space="preserve">Equity attributable to owners of the parent ratio </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r w:rsidRPr="00E139C5">
              <w:rPr>
                <w:rFonts w:ascii="Times New Roman" w:eastAsia="MS PGothic" w:hAnsi="Times New Roman" w:cs="Times New Roman"/>
                <w:b/>
                <w:bCs/>
                <w:color w:val="000000"/>
                <w:sz w:val="24"/>
                <w:szCs w:val="24"/>
                <w:lang w:eastAsia="en-GB"/>
              </w:rPr>
              <w:t>）</w:t>
            </w:r>
          </w:p>
        </w:tc>
        <w:tc>
          <w:tcPr>
            <w:tcW w:w="1416" w:type="dxa"/>
            <w:tcBorders>
              <w:top w:val="nil"/>
              <w:left w:val="nil"/>
              <w:bottom w:val="single" w:sz="4" w:space="0" w:color="auto"/>
              <w:right w:val="single" w:sz="4" w:space="0" w:color="auto"/>
            </w:tcBorders>
            <w:shd w:val="clear" w:color="auto" w:fill="auto"/>
            <w:vAlign w:val="center"/>
            <w:hideMark/>
          </w:tcPr>
          <w:p w14:paraId="285C337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13.5 </w:t>
            </w:r>
          </w:p>
        </w:tc>
        <w:tc>
          <w:tcPr>
            <w:tcW w:w="1416" w:type="dxa"/>
            <w:tcBorders>
              <w:top w:val="nil"/>
              <w:left w:val="nil"/>
              <w:bottom w:val="single" w:sz="4" w:space="0" w:color="auto"/>
              <w:right w:val="single" w:sz="4" w:space="0" w:color="auto"/>
            </w:tcBorders>
            <w:shd w:val="clear" w:color="auto" w:fill="auto"/>
            <w:vAlign w:val="center"/>
            <w:hideMark/>
          </w:tcPr>
          <w:p w14:paraId="742F146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12.6 </w:t>
            </w:r>
          </w:p>
        </w:tc>
        <w:tc>
          <w:tcPr>
            <w:tcW w:w="1416" w:type="dxa"/>
            <w:tcBorders>
              <w:top w:val="nil"/>
              <w:left w:val="nil"/>
              <w:bottom w:val="single" w:sz="4" w:space="0" w:color="auto"/>
              <w:right w:val="single" w:sz="4" w:space="0" w:color="auto"/>
            </w:tcBorders>
            <w:shd w:val="clear" w:color="auto" w:fill="auto"/>
            <w:vAlign w:val="center"/>
            <w:hideMark/>
          </w:tcPr>
          <w:p w14:paraId="4D2F7C47"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14.6 </w:t>
            </w:r>
          </w:p>
        </w:tc>
        <w:tc>
          <w:tcPr>
            <w:tcW w:w="1416" w:type="dxa"/>
            <w:tcBorders>
              <w:top w:val="nil"/>
              <w:left w:val="nil"/>
              <w:bottom w:val="single" w:sz="4" w:space="0" w:color="auto"/>
              <w:right w:val="single" w:sz="4" w:space="0" w:color="auto"/>
            </w:tcBorders>
            <w:shd w:val="clear" w:color="auto" w:fill="auto"/>
            <w:vAlign w:val="center"/>
            <w:hideMark/>
          </w:tcPr>
          <w:p w14:paraId="31BF922D"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16.6 </w:t>
            </w:r>
          </w:p>
        </w:tc>
        <w:tc>
          <w:tcPr>
            <w:tcW w:w="1422" w:type="dxa"/>
            <w:tcBorders>
              <w:top w:val="nil"/>
              <w:left w:val="nil"/>
              <w:bottom w:val="single" w:sz="4" w:space="0" w:color="auto"/>
              <w:right w:val="single" w:sz="4" w:space="0" w:color="auto"/>
            </w:tcBorders>
            <w:shd w:val="clear" w:color="auto" w:fill="auto"/>
            <w:vAlign w:val="center"/>
            <w:hideMark/>
          </w:tcPr>
          <w:p w14:paraId="1D578EC8" w14:textId="77777777" w:rsidR="00644212" w:rsidRPr="00E139C5" w:rsidRDefault="00644212" w:rsidP="00E139C5">
            <w:pPr>
              <w:spacing w:after="0" w:line="360" w:lineRule="auto"/>
              <w:jc w:val="both"/>
              <w:rPr>
                <w:rFonts w:ascii="Times New Roman" w:eastAsia="MS PGothic" w:hAnsi="Times New Roman" w:cs="Times New Roman"/>
                <w:color w:val="333333"/>
                <w:sz w:val="24"/>
                <w:szCs w:val="24"/>
                <w:lang w:eastAsia="en-GB"/>
              </w:rPr>
            </w:pPr>
            <w:r w:rsidRPr="00E139C5">
              <w:rPr>
                <w:rFonts w:ascii="Times New Roman" w:eastAsia="MS PGothic" w:hAnsi="Times New Roman" w:cs="Times New Roman"/>
                <w:color w:val="333333"/>
                <w:sz w:val="24"/>
                <w:szCs w:val="24"/>
                <w:lang w:eastAsia="en-GB"/>
              </w:rPr>
              <w:t xml:space="preserve">21.1 </w:t>
            </w:r>
          </w:p>
        </w:tc>
      </w:tr>
      <w:tr w:rsidR="00644212" w:rsidRPr="00E139C5" w14:paraId="76F3C205" w14:textId="77777777" w:rsidTr="00D17616">
        <w:trPr>
          <w:trHeight w:val="321"/>
        </w:trPr>
        <w:tc>
          <w:tcPr>
            <w:tcW w:w="9191" w:type="dxa"/>
            <w:gridSpan w:val="6"/>
            <w:tcBorders>
              <w:top w:val="single" w:sz="4" w:space="0" w:color="auto"/>
              <w:left w:val="nil"/>
              <w:bottom w:val="nil"/>
              <w:right w:val="nil"/>
            </w:tcBorders>
            <w:shd w:val="clear" w:color="auto" w:fill="auto"/>
            <w:hideMark/>
          </w:tcPr>
          <w:p w14:paraId="72F332E0"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lastRenderedPageBreak/>
              <w:t>[Notes]</w:t>
            </w:r>
            <w:r w:rsidRPr="00E139C5">
              <w:rPr>
                <w:rFonts w:ascii="Times New Roman" w:eastAsia="MS PGothic" w:hAnsi="Times New Roman" w:cs="Times New Roman"/>
                <w:color w:val="000000"/>
                <w:sz w:val="24"/>
                <w:szCs w:val="24"/>
                <w:lang w:eastAsia="en-GB"/>
              </w:rPr>
              <w:br/>
              <w:t>*4   Adjusted EBITDA margin = adjusted EBITDA / net sales</w:t>
            </w:r>
            <w:r w:rsidRPr="00E139C5">
              <w:rPr>
                <w:rFonts w:ascii="Times New Roman" w:eastAsia="MS PGothic" w:hAnsi="Times New Roman" w:cs="Times New Roman"/>
                <w:color w:val="000000"/>
                <w:sz w:val="24"/>
                <w:szCs w:val="24"/>
                <w:lang w:eastAsia="en-GB"/>
              </w:rPr>
              <w:br/>
              <w:t>*5   ROE = net income attributable to owners of the parent / average equity attributable to owners of the parent for the period</w:t>
            </w:r>
          </w:p>
        </w:tc>
      </w:tr>
      <w:tr w:rsidR="00644212" w:rsidRPr="00E139C5" w14:paraId="3F8B047F" w14:textId="77777777" w:rsidTr="00D17616">
        <w:trPr>
          <w:trHeight w:val="115"/>
        </w:trPr>
        <w:tc>
          <w:tcPr>
            <w:tcW w:w="2105" w:type="dxa"/>
            <w:tcBorders>
              <w:top w:val="nil"/>
              <w:left w:val="nil"/>
              <w:bottom w:val="nil"/>
              <w:right w:val="nil"/>
            </w:tcBorders>
            <w:shd w:val="clear" w:color="auto" w:fill="auto"/>
            <w:vAlign w:val="center"/>
            <w:hideMark/>
          </w:tcPr>
          <w:p w14:paraId="00672365"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p>
        </w:tc>
        <w:tc>
          <w:tcPr>
            <w:tcW w:w="1416" w:type="dxa"/>
            <w:tcBorders>
              <w:top w:val="nil"/>
              <w:left w:val="nil"/>
              <w:bottom w:val="nil"/>
              <w:right w:val="nil"/>
            </w:tcBorders>
            <w:shd w:val="clear" w:color="auto" w:fill="auto"/>
            <w:vAlign w:val="center"/>
            <w:hideMark/>
          </w:tcPr>
          <w:p w14:paraId="0FC58A9F"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2863C0B1"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15E420B9"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vAlign w:val="center"/>
            <w:hideMark/>
          </w:tcPr>
          <w:p w14:paraId="6BC81DC4"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vAlign w:val="center"/>
            <w:hideMark/>
          </w:tcPr>
          <w:p w14:paraId="772AC9C2"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r>
      <w:tr w:rsidR="00644212" w:rsidRPr="00E139C5" w14:paraId="1D128464" w14:textId="77777777" w:rsidTr="00D17616">
        <w:trPr>
          <w:trHeight w:val="121"/>
        </w:trPr>
        <w:tc>
          <w:tcPr>
            <w:tcW w:w="2105" w:type="dxa"/>
            <w:tcBorders>
              <w:top w:val="nil"/>
              <w:left w:val="nil"/>
              <w:bottom w:val="nil"/>
              <w:right w:val="nil"/>
            </w:tcBorders>
            <w:shd w:val="clear" w:color="auto" w:fill="auto"/>
            <w:vAlign w:val="center"/>
            <w:hideMark/>
          </w:tcPr>
          <w:p w14:paraId="53386110"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■Per share data</w:t>
            </w:r>
          </w:p>
        </w:tc>
        <w:tc>
          <w:tcPr>
            <w:tcW w:w="1416" w:type="dxa"/>
            <w:tcBorders>
              <w:top w:val="nil"/>
              <w:left w:val="nil"/>
              <w:bottom w:val="nil"/>
              <w:right w:val="nil"/>
            </w:tcBorders>
            <w:shd w:val="clear" w:color="auto" w:fill="auto"/>
            <w:vAlign w:val="center"/>
            <w:hideMark/>
          </w:tcPr>
          <w:p w14:paraId="34F0965A"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p>
        </w:tc>
        <w:tc>
          <w:tcPr>
            <w:tcW w:w="1416" w:type="dxa"/>
            <w:tcBorders>
              <w:top w:val="nil"/>
              <w:left w:val="nil"/>
              <w:bottom w:val="nil"/>
              <w:right w:val="nil"/>
            </w:tcBorders>
            <w:shd w:val="clear" w:color="auto" w:fill="auto"/>
            <w:noWrap/>
            <w:vAlign w:val="bottom"/>
            <w:hideMark/>
          </w:tcPr>
          <w:p w14:paraId="0CC4D7FC"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769E977D"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16" w:type="dxa"/>
            <w:tcBorders>
              <w:top w:val="nil"/>
              <w:left w:val="nil"/>
              <w:bottom w:val="nil"/>
              <w:right w:val="nil"/>
            </w:tcBorders>
            <w:shd w:val="clear" w:color="auto" w:fill="auto"/>
            <w:noWrap/>
            <w:vAlign w:val="bottom"/>
            <w:hideMark/>
          </w:tcPr>
          <w:p w14:paraId="3D269869" w14:textId="77777777" w:rsidR="00644212" w:rsidRPr="00E139C5" w:rsidRDefault="00644212" w:rsidP="00E139C5">
            <w:pPr>
              <w:spacing w:after="0" w:line="360" w:lineRule="auto"/>
              <w:jc w:val="both"/>
              <w:rPr>
                <w:rFonts w:ascii="Times New Roman" w:eastAsia="Times New Roman" w:hAnsi="Times New Roman" w:cs="Times New Roman"/>
                <w:sz w:val="24"/>
                <w:szCs w:val="24"/>
                <w:lang w:eastAsia="en-GB"/>
              </w:rPr>
            </w:pPr>
          </w:p>
        </w:tc>
        <w:tc>
          <w:tcPr>
            <w:tcW w:w="1422" w:type="dxa"/>
            <w:tcBorders>
              <w:top w:val="nil"/>
              <w:left w:val="nil"/>
              <w:bottom w:val="nil"/>
              <w:right w:val="nil"/>
            </w:tcBorders>
            <w:shd w:val="clear" w:color="auto" w:fill="auto"/>
            <w:noWrap/>
            <w:vAlign w:val="bottom"/>
            <w:hideMark/>
          </w:tcPr>
          <w:p w14:paraId="0CB1D3AE"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(Yen)</w:t>
            </w:r>
          </w:p>
        </w:tc>
      </w:tr>
      <w:tr w:rsidR="00644212" w:rsidRPr="00E139C5" w14:paraId="4BDA288B" w14:textId="77777777" w:rsidTr="00D17616">
        <w:trPr>
          <w:trHeight w:val="115"/>
        </w:trPr>
        <w:tc>
          <w:tcPr>
            <w:tcW w:w="2105" w:type="dxa"/>
            <w:tcBorders>
              <w:top w:val="single" w:sz="4" w:space="0" w:color="auto"/>
              <w:left w:val="single" w:sz="4" w:space="0" w:color="auto"/>
              <w:bottom w:val="nil"/>
              <w:right w:val="single" w:sz="4" w:space="0" w:color="auto"/>
            </w:tcBorders>
            <w:shd w:val="clear" w:color="000000" w:fill="F2F2F2"/>
            <w:vAlign w:val="center"/>
            <w:hideMark/>
          </w:tcPr>
          <w:p w14:paraId="6A6DC36C"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 </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0FEEF0EF"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FY2014</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5C9DCD79"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FY2015</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2CE09431"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FY2016</w:t>
            </w:r>
          </w:p>
        </w:tc>
        <w:tc>
          <w:tcPr>
            <w:tcW w:w="1416" w:type="dxa"/>
            <w:tcBorders>
              <w:top w:val="single" w:sz="4" w:space="0" w:color="auto"/>
              <w:left w:val="nil"/>
              <w:bottom w:val="single" w:sz="4" w:space="0" w:color="auto"/>
              <w:right w:val="single" w:sz="4" w:space="0" w:color="auto"/>
            </w:tcBorders>
            <w:shd w:val="clear" w:color="000000" w:fill="F2F2F2"/>
            <w:vAlign w:val="center"/>
            <w:hideMark/>
          </w:tcPr>
          <w:p w14:paraId="3EA1F198"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FY2017</w:t>
            </w:r>
          </w:p>
        </w:tc>
        <w:tc>
          <w:tcPr>
            <w:tcW w:w="1422" w:type="dxa"/>
            <w:tcBorders>
              <w:top w:val="single" w:sz="4" w:space="0" w:color="auto"/>
              <w:left w:val="nil"/>
              <w:bottom w:val="single" w:sz="4" w:space="0" w:color="auto"/>
              <w:right w:val="single" w:sz="4" w:space="0" w:color="auto"/>
            </w:tcBorders>
            <w:shd w:val="clear" w:color="000000" w:fill="F2F2F2"/>
            <w:vAlign w:val="center"/>
            <w:hideMark/>
          </w:tcPr>
          <w:p w14:paraId="65BE2D3B"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FY2018 New standards</w:t>
            </w:r>
          </w:p>
        </w:tc>
      </w:tr>
      <w:tr w:rsidR="00644212" w:rsidRPr="00E139C5" w14:paraId="29BB8415" w14:textId="77777777" w:rsidTr="00D17616">
        <w:trPr>
          <w:trHeight w:val="115"/>
        </w:trPr>
        <w:tc>
          <w:tcPr>
            <w:tcW w:w="2105"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B523CDB"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Basic earnings per share</w:t>
            </w:r>
          </w:p>
        </w:tc>
        <w:tc>
          <w:tcPr>
            <w:tcW w:w="1416" w:type="dxa"/>
            <w:tcBorders>
              <w:top w:val="nil"/>
              <w:left w:val="nil"/>
              <w:bottom w:val="single" w:sz="4" w:space="0" w:color="auto"/>
              <w:right w:val="single" w:sz="4" w:space="0" w:color="auto"/>
            </w:tcBorders>
            <w:shd w:val="clear" w:color="auto" w:fill="auto"/>
            <w:vAlign w:val="center"/>
            <w:hideMark/>
          </w:tcPr>
          <w:p w14:paraId="6CF567A9"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562.2</w:t>
            </w:r>
          </w:p>
        </w:tc>
        <w:tc>
          <w:tcPr>
            <w:tcW w:w="1416" w:type="dxa"/>
            <w:tcBorders>
              <w:top w:val="nil"/>
              <w:left w:val="nil"/>
              <w:bottom w:val="single" w:sz="4" w:space="0" w:color="auto"/>
              <w:right w:val="single" w:sz="4" w:space="0" w:color="auto"/>
            </w:tcBorders>
            <w:shd w:val="clear" w:color="auto" w:fill="auto"/>
            <w:vAlign w:val="center"/>
            <w:hideMark/>
          </w:tcPr>
          <w:p w14:paraId="1D96B0E3"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402.49</w:t>
            </w:r>
          </w:p>
        </w:tc>
        <w:tc>
          <w:tcPr>
            <w:tcW w:w="1416" w:type="dxa"/>
            <w:tcBorders>
              <w:top w:val="nil"/>
              <w:left w:val="nil"/>
              <w:bottom w:val="single" w:sz="4" w:space="0" w:color="auto"/>
              <w:right w:val="single" w:sz="4" w:space="0" w:color="auto"/>
            </w:tcBorders>
            <w:shd w:val="clear" w:color="auto" w:fill="auto"/>
            <w:vAlign w:val="center"/>
            <w:hideMark/>
          </w:tcPr>
          <w:p w14:paraId="390CBCEC"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 xml:space="preserve">1287.01 </w:t>
            </w:r>
          </w:p>
        </w:tc>
        <w:tc>
          <w:tcPr>
            <w:tcW w:w="1416" w:type="dxa"/>
            <w:tcBorders>
              <w:top w:val="nil"/>
              <w:left w:val="nil"/>
              <w:bottom w:val="single" w:sz="4" w:space="0" w:color="auto"/>
              <w:right w:val="single" w:sz="4" w:space="0" w:color="auto"/>
            </w:tcBorders>
            <w:shd w:val="clear" w:color="auto" w:fill="auto"/>
            <w:vAlign w:val="center"/>
            <w:hideMark/>
          </w:tcPr>
          <w:p w14:paraId="38B87603"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933.54</w:t>
            </w:r>
          </w:p>
        </w:tc>
        <w:tc>
          <w:tcPr>
            <w:tcW w:w="1422" w:type="dxa"/>
            <w:tcBorders>
              <w:top w:val="nil"/>
              <w:left w:val="nil"/>
              <w:bottom w:val="single" w:sz="4" w:space="0" w:color="auto"/>
              <w:right w:val="single" w:sz="4" w:space="0" w:color="auto"/>
            </w:tcBorders>
            <w:shd w:val="clear" w:color="auto" w:fill="auto"/>
            <w:vAlign w:val="center"/>
            <w:hideMark/>
          </w:tcPr>
          <w:p w14:paraId="1794277C"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 xml:space="preserve">                                           1,268.15 </w:t>
            </w:r>
          </w:p>
        </w:tc>
      </w:tr>
      <w:tr w:rsidR="00644212" w:rsidRPr="00E139C5" w14:paraId="671B6549" w14:textId="77777777" w:rsidTr="00D17616">
        <w:trPr>
          <w:trHeight w:val="115"/>
        </w:trPr>
        <w:tc>
          <w:tcPr>
            <w:tcW w:w="2105" w:type="dxa"/>
            <w:tcBorders>
              <w:top w:val="nil"/>
              <w:left w:val="single" w:sz="4" w:space="0" w:color="auto"/>
              <w:bottom w:val="single" w:sz="4" w:space="0" w:color="auto"/>
              <w:right w:val="single" w:sz="4" w:space="0" w:color="auto"/>
            </w:tcBorders>
            <w:shd w:val="clear" w:color="000000" w:fill="F2F2F2"/>
            <w:vAlign w:val="center"/>
            <w:hideMark/>
          </w:tcPr>
          <w:p w14:paraId="19C6F0C6"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Diluted earnings per share</w:t>
            </w:r>
          </w:p>
        </w:tc>
        <w:tc>
          <w:tcPr>
            <w:tcW w:w="1416" w:type="dxa"/>
            <w:tcBorders>
              <w:top w:val="nil"/>
              <w:left w:val="nil"/>
              <w:bottom w:val="single" w:sz="4" w:space="0" w:color="auto"/>
              <w:right w:val="single" w:sz="4" w:space="0" w:color="auto"/>
            </w:tcBorders>
            <w:shd w:val="clear" w:color="auto" w:fill="auto"/>
            <w:vAlign w:val="center"/>
            <w:hideMark/>
          </w:tcPr>
          <w:p w14:paraId="000F98ED"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558.75</w:t>
            </w:r>
          </w:p>
        </w:tc>
        <w:tc>
          <w:tcPr>
            <w:tcW w:w="1416" w:type="dxa"/>
            <w:tcBorders>
              <w:top w:val="nil"/>
              <w:left w:val="nil"/>
              <w:bottom w:val="single" w:sz="4" w:space="0" w:color="auto"/>
              <w:right w:val="single" w:sz="4" w:space="0" w:color="auto"/>
            </w:tcBorders>
            <w:shd w:val="clear" w:color="auto" w:fill="auto"/>
            <w:vAlign w:val="center"/>
            <w:hideMark/>
          </w:tcPr>
          <w:p w14:paraId="716A6A07"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388.32</w:t>
            </w:r>
          </w:p>
        </w:tc>
        <w:tc>
          <w:tcPr>
            <w:tcW w:w="1416" w:type="dxa"/>
            <w:tcBorders>
              <w:top w:val="nil"/>
              <w:left w:val="nil"/>
              <w:bottom w:val="single" w:sz="4" w:space="0" w:color="auto"/>
              <w:right w:val="single" w:sz="4" w:space="0" w:color="auto"/>
            </w:tcBorders>
            <w:shd w:val="clear" w:color="auto" w:fill="auto"/>
            <w:vAlign w:val="center"/>
            <w:hideMark/>
          </w:tcPr>
          <w:p w14:paraId="1A7275A6"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1275.64</w:t>
            </w:r>
          </w:p>
        </w:tc>
        <w:tc>
          <w:tcPr>
            <w:tcW w:w="1416" w:type="dxa"/>
            <w:tcBorders>
              <w:top w:val="nil"/>
              <w:left w:val="nil"/>
              <w:bottom w:val="single" w:sz="4" w:space="0" w:color="auto"/>
              <w:right w:val="single" w:sz="4" w:space="0" w:color="auto"/>
            </w:tcBorders>
            <w:shd w:val="clear" w:color="auto" w:fill="auto"/>
            <w:vAlign w:val="center"/>
            <w:hideMark/>
          </w:tcPr>
          <w:p w14:paraId="3418202C"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908.38</w:t>
            </w:r>
          </w:p>
        </w:tc>
        <w:tc>
          <w:tcPr>
            <w:tcW w:w="1422" w:type="dxa"/>
            <w:tcBorders>
              <w:top w:val="nil"/>
              <w:left w:val="nil"/>
              <w:bottom w:val="single" w:sz="4" w:space="0" w:color="auto"/>
              <w:right w:val="single" w:sz="4" w:space="0" w:color="auto"/>
            </w:tcBorders>
            <w:shd w:val="clear" w:color="auto" w:fill="auto"/>
            <w:vAlign w:val="center"/>
            <w:hideMark/>
          </w:tcPr>
          <w:p w14:paraId="1C96FAAC"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1,256.53</w:t>
            </w:r>
          </w:p>
        </w:tc>
      </w:tr>
      <w:tr w:rsidR="00644212" w:rsidRPr="00E139C5" w14:paraId="3750A298" w14:textId="77777777" w:rsidTr="00D17616">
        <w:trPr>
          <w:trHeight w:val="115"/>
        </w:trPr>
        <w:tc>
          <w:tcPr>
            <w:tcW w:w="2105" w:type="dxa"/>
            <w:tcBorders>
              <w:top w:val="nil"/>
              <w:left w:val="single" w:sz="4" w:space="0" w:color="auto"/>
              <w:bottom w:val="single" w:sz="4" w:space="0" w:color="auto"/>
              <w:right w:val="single" w:sz="4" w:space="0" w:color="auto"/>
            </w:tcBorders>
            <w:shd w:val="clear" w:color="000000" w:fill="F2F2F2"/>
            <w:vAlign w:val="center"/>
            <w:hideMark/>
          </w:tcPr>
          <w:p w14:paraId="21098254"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Equity per share attributable to owners of the parent</w:t>
            </w:r>
          </w:p>
        </w:tc>
        <w:tc>
          <w:tcPr>
            <w:tcW w:w="1416" w:type="dxa"/>
            <w:tcBorders>
              <w:top w:val="nil"/>
              <w:left w:val="nil"/>
              <w:bottom w:val="single" w:sz="4" w:space="0" w:color="auto"/>
              <w:right w:val="single" w:sz="4" w:space="0" w:color="auto"/>
            </w:tcBorders>
            <w:shd w:val="clear" w:color="auto" w:fill="auto"/>
            <w:vAlign w:val="center"/>
            <w:hideMark/>
          </w:tcPr>
          <w:p w14:paraId="04D99E12"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2,393.47</w:t>
            </w:r>
          </w:p>
        </w:tc>
        <w:tc>
          <w:tcPr>
            <w:tcW w:w="1416" w:type="dxa"/>
            <w:tcBorders>
              <w:top w:val="nil"/>
              <w:left w:val="nil"/>
              <w:bottom w:val="single" w:sz="4" w:space="0" w:color="auto"/>
              <w:right w:val="single" w:sz="4" w:space="0" w:color="auto"/>
            </w:tcBorders>
            <w:shd w:val="clear" w:color="auto" w:fill="auto"/>
            <w:vAlign w:val="center"/>
            <w:hideMark/>
          </w:tcPr>
          <w:p w14:paraId="2B91CBF1"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2,278.85</w:t>
            </w:r>
          </w:p>
        </w:tc>
        <w:tc>
          <w:tcPr>
            <w:tcW w:w="1416" w:type="dxa"/>
            <w:tcBorders>
              <w:top w:val="nil"/>
              <w:left w:val="nil"/>
              <w:bottom w:val="single" w:sz="4" w:space="0" w:color="auto"/>
              <w:right w:val="single" w:sz="4" w:space="0" w:color="auto"/>
            </w:tcBorders>
            <w:shd w:val="clear" w:color="auto" w:fill="auto"/>
            <w:vAlign w:val="center"/>
            <w:hideMark/>
          </w:tcPr>
          <w:p w14:paraId="1349A742"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3,292.40</w:t>
            </w:r>
          </w:p>
        </w:tc>
        <w:tc>
          <w:tcPr>
            <w:tcW w:w="1416" w:type="dxa"/>
            <w:tcBorders>
              <w:top w:val="nil"/>
              <w:left w:val="nil"/>
              <w:bottom w:val="single" w:sz="4" w:space="0" w:color="auto"/>
              <w:right w:val="single" w:sz="4" w:space="0" w:color="auto"/>
            </w:tcBorders>
            <w:shd w:val="clear" w:color="auto" w:fill="auto"/>
            <w:vAlign w:val="center"/>
            <w:hideMark/>
          </w:tcPr>
          <w:p w14:paraId="0BA24621"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4,302.26</w:t>
            </w:r>
          </w:p>
        </w:tc>
        <w:tc>
          <w:tcPr>
            <w:tcW w:w="1422" w:type="dxa"/>
            <w:tcBorders>
              <w:top w:val="nil"/>
              <w:left w:val="nil"/>
              <w:bottom w:val="single" w:sz="4" w:space="0" w:color="auto"/>
              <w:right w:val="single" w:sz="4" w:space="0" w:color="auto"/>
            </w:tcBorders>
            <w:shd w:val="clear" w:color="auto" w:fill="auto"/>
            <w:vAlign w:val="center"/>
            <w:hideMark/>
          </w:tcPr>
          <w:p w14:paraId="6B690779"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6,760.66</w:t>
            </w:r>
          </w:p>
        </w:tc>
      </w:tr>
      <w:tr w:rsidR="00644212" w:rsidRPr="00E139C5" w14:paraId="0D054AED" w14:textId="77777777" w:rsidTr="00D17616">
        <w:trPr>
          <w:trHeight w:val="115"/>
        </w:trPr>
        <w:tc>
          <w:tcPr>
            <w:tcW w:w="2105" w:type="dxa"/>
            <w:tcBorders>
              <w:top w:val="nil"/>
              <w:left w:val="single" w:sz="4" w:space="0" w:color="auto"/>
              <w:bottom w:val="single" w:sz="4" w:space="0" w:color="auto"/>
              <w:right w:val="single" w:sz="4" w:space="0" w:color="auto"/>
            </w:tcBorders>
            <w:shd w:val="clear" w:color="000000" w:fill="F2F2F2"/>
            <w:vAlign w:val="center"/>
            <w:hideMark/>
          </w:tcPr>
          <w:p w14:paraId="2B7A81F4" w14:textId="77777777" w:rsidR="00644212" w:rsidRPr="00E139C5" w:rsidRDefault="00644212" w:rsidP="00E139C5">
            <w:pPr>
              <w:spacing w:after="0" w:line="360" w:lineRule="auto"/>
              <w:jc w:val="both"/>
              <w:rPr>
                <w:rFonts w:ascii="Times New Roman" w:eastAsia="MS PGothic" w:hAnsi="Times New Roman" w:cs="Times New Roman"/>
                <w:b/>
                <w:bCs/>
                <w:color w:val="000000"/>
                <w:sz w:val="24"/>
                <w:szCs w:val="24"/>
                <w:lang w:eastAsia="en-GB"/>
              </w:rPr>
            </w:pPr>
            <w:r w:rsidRPr="00E139C5">
              <w:rPr>
                <w:rFonts w:ascii="Times New Roman" w:eastAsia="MS PGothic" w:hAnsi="Times New Roman" w:cs="Times New Roman"/>
                <w:b/>
                <w:bCs/>
                <w:color w:val="000000"/>
                <w:sz w:val="24"/>
                <w:szCs w:val="24"/>
                <w:lang w:eastAsia="en-GB"/>
              </w:rPr>
              <w:t>Cash dividends per share</w:t>
            </w:r>
          </w:p>
        </w:tc>
        <w:tc>
          <w:tcPr>
            <w:tcW w:w="1416" w:type="dxa"/>
            <w:tcBorders>
              <w:top w:val="nil"/>
              <w:left w:val="nil"/>
              <w:bottom w:val="single" w:sz="4" w:space="0" w:color="auto"/>
              <w:right w:val="single" w:sz="4" w:space="0" w:color="auto"/>
            </w:tcBorders>
            <w:shd w:val="clear" w:color="auto" w:fill="auto"/>
            <w:vAlign w:val="center"/>
            <w:hideMark/>
          </w:tcPr>
          <w:p w14:paraId="15D8343A"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40.00</w:t>
            </w:r>
          </w:p>
        </w:tc>
        <w:tc>
          <w:tcPr>
            <w:tcW w:w="1416" w:type="dxa"/>
            <w:tcBorders>
              <w:top w:val="nil"/>
              <w:left w:val="nil"/>
              <w:bottom w:val="single" w:sz="4" w:space="0" w:color="auto"/>
              <w:right w:val="single" w:sz="4" w:space="0" w:color="auto"/>
            </w:tcBorders>
            <w:shd w:val="clear" w:color="auto" w:fill="auto"/>
            <w:vAlign w:val="center"/>
            <w:hideMark/>
          </w:tcPr>
          <w:p w14:paraId="22584C98"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41.00</w:t>
            </w:r>
          </w:p>
        </w:tc>
        <w:tc>
          <w:tcPr>
            <w:tcW w:w="1416" w:type="dxa"/>
            <w:tcBorders>
              <w:top w:val="nil"/>
              <w:left w:val="nil"/>
              <w:bottom w:val="single" w:sz="4" w:space="0" w:color="auto"/>
              <w:right w:val="single" w:sz="4" w:space="0" w:color="auto"/>
            </w:tcBorders>
            <w:shd w:val="clear" w:color="auto" w:fill="auto"/>
            <w:vAlign w:val="center"/>
            <w:hideMark/>
          </w:tcPr>
          <w:p w14:paraId="307F2D8D"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44.00</w:t>
            </w:r>
          </w:p>
        </w:tc>
        <w:tc>
          <w:tcPr>
            <w:tcW w:w="1416" w:type="dxa"/>
            <w:tcBorders>
              <w:top w:val="nil"/>
              <w:left w:val="nil"/>
              <w:bottom w:val="single" w:sz="4" w:space="0" w:color="auto"/>
              <w:right w:val="single" w:sz="4" w:space="0" w:color="auto"/>
            </w:tcBorders>
            <w:shd w:val="clear" w:color="auto" w:fill="auto"/>
            <w:vAlign w:val="center"/>
            <w:hideMark/>
          </w:tcPr>
          <w:p w14:paraId="1A0334E5"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44.00</w:t>
            </w:r>
          </w:p>
        </w:tc>
        <w:tc>
          <w:tcPr>
            <w:tcW w:w="1422" w:type="dxa"/>
            <w:tcBorders>
              <w:top w:val="nil"/>
              <w:left w:val="nil"/>
              <w:bottom w:val="single" w:sz="4" w:space="0" w:color="auto"/>
              <w:right w:val="single" w:sz="4" w:space="0" w:color="auto"/>
            </w:tcBorders>
            <w:shd w:val="clear" w:color="auto" w:fill="auto"/>
            <w:vAlign w:val="center"/>
            <w:hideMark/>
          </w:tcPr>
          <w:p w14:paraId="0810F14A" w14:textId="77777777" w:rsidR="00644212" w:rsidRPr="00E139C5" w:rsidRDefault="00644212" w:rsidP="00E139C5">
            <w:pPr>
              <w:spacing w:after="0" w:line="360" w:lineRule="auto"/>
              <w:jc w:val="both"/>
              <w:rPr>
                <w:rFonts w:ascii="Times New Roman" w:eastAsia="MS PGothic" w:hAnsi="Times New Roman" w:cs="Times New Roman"/>
                <w:color w:val="000000"/>
                <w:sz w:val="24"/>
                <w:szCs w:val="24"/>
                <w:lang w:eastAsia="en-GB"/>
              </w:rPr>
            </w:pPr>
            <w:r w:rsidRPr="00E139C5">
              <w:rPr>
                <w:rFonts w:ascii="Times New Roman" w:eastAsia="MS PGothic" w:hAnsi="Times New Roman" w:cs="Times New Roman"/>
                <w:color w:val="000000"/>
                <w:sz w:val="24"/>
                <w:szCs w:val="24"/>
                <w:lang w:eastAsia="en-GB"/>
              </w:rPr>
              <w:t>44.00</w:t>
            </w:r>
          </w:p>
        </w:tc>
      </w:tr>
    </w:tbl>
    <w:p w14:paraId="49F3F6E8" w14:textId="77777777" w:rsidR="00C36E51" w:rsidRPr="00E139C5" w:rsidRDefault="00C36E51" w:rsidP="00E139C5">
      <w:pPr>
        <w:spacing w:line="360" w:lineRule="auto"/>
        <w:jc w:val="both"/>
        <w:rPr>
          <w:rFonts w:ascii="Times New Roman" w:hAnsi="Times New Roman" w:cs="Times New Roman"/>
          <w:b/>
          <w:bCs/>
          <w:sz w:val="24"/>
          <w:szCs w:val="24"/>
        </w:rPr>
      </w:pPr>
    </w:p>
    <w:p w14:paraId="30E26E4F" w14:textId="3B306087" w:rsidR="00DC79C5" w:rsidRPr="00E139C5" w:rsidRDefault="00985652" w:rsidP="00E139C5">
      <w:pPr>
        <w:spacing w:line="360" w:lineRule="auto"/>
        <w:jc w:val="both"/>
        <w:rPr>
          <w:rFonts w:ascii="Times New Roman" w:hAnsi="Times New Roman" w:cs="Times New Roman"/>
          <w:b/>
          <w:bCs/>
          <w:sz w:val="24"/>
          <w:szCs w:val="24"/>
        </w:rPr>
      </w:pPr>
      <w:r w:rsidRPr="00E139C5">
        <w:rPr>
          <w:rFonts w:ascii="Times New Roman" w:hAnsi="Times New Roman" w:cs="Times New Roman"/>
          <w:b/>
          <w:bCs/>
          <w:sz w:val="24"/>
          <w:szCs w:val="24"/>
        </w:rPr>
        <w:t xml:space="preserve">SoftBank Group Corp </w:t>
      </w:r>
    </w:p>
    <w:p w14:paraId="7DB20630" w14:textId="0C3DD566" w:rsidR="00E139C5" w:rsidRPr="00BC59C1" w:rsidRDefault="007C4375" w:rsidP="00E139C5">
      <w:pPr>
        <w:spacing w:after="200" w:line="360" w:lineRule="auto"/>
        <w:contextualSpacing/>
        <w:jc w:val="both"/>
        <w:rPr>
          <w:rFonts w:ascii="Times New Roman" w:eastAsiaTheme="minorEastAsia" w:hAnsi="Times New Roman" w:cs="Times New Roman"/>
          <w:sz w:val="24"/>
          <w:szCs w:val="24"/>
          <w:lang w:eastAsia="tr-TR"/>
        </w:rPr>
      </w:pPr>
      <w:hyperlink r:id="rId36" w:history="1">
        <w:r w:rsidR="00E139C5" w:rsidRPr="00BC59C1">
          <w:rPr>
            <w:rStyle w:val="Hyperlink"/>
            <w:rFonts w:ascii="Times New Roman" w:eastAsiaTheme="minorEastAsia" w:hAnsi="Times New Roman" w:cs="Times New Roman"/>
            <w:color w:val="auto"/>
            <w:sz w:val="24"/>
            <w:szCs w:val="24"/>
            <w:lang w:eastAsia="tr-TR"/>
          </w:rPr>
          <w:t>https://group.softbank/system/files/pdf/ir/financials/annual_reports/annual-report_fy2019_01_en.pdf</w:t>
        </w:r>
      </w:hyperlink>
    </w:p>
    <w:p w14:paraId="23BA780F" w14:textId="77777777" w:rsidR="00DC79C5" w:rsidRPr="00BC59C1" w:rsidRDefault="00DC79C5" w:rsidP="00E139C5">
      <w:pPr>
        <w:spacing w:line="360" w:lineRule="auto"/>
        <w:jc w:val="both"/>
        <w:rPr>
          <w:rFonts w:ascii="Times New Roman" w:hAnsi="Times New Roman" w:cs="Times New Roman"/>
          <w:b/>
          <w:bCs/>
          <w:sz w:val="24"/>
          <w:szCs w:val="24"/>
        </w:rPr>
      </w:pPr>
    </w:p>
    <w:p w14:paraId="604C0E79" w14:textId="77777777" w:rsidR="00BC59C1" w:rsidRDefault="00BC59C1" w:rsidP="00E139C5">
      <w:pPr>
        <w:spacing w:line="360" w:lineRule="auto"/>
        <w:jc w:val="both"/>
        <w:rPr>
          <w:rFonts w:ascii="Times New Roman" w:hAnsi="Times New Roman" w:cs="Times New Roman"/>
          <w:b/>
          <w:bCs/>
          <w:sz w:val="24"/>
          <w:szCs w:val="24"/>
        </w:rPr>
      </w:pPr>
    </w:p>
    <w:p w14:paraId="45E34C71" w14:textId="77777777" w:rsidR="00BC59C1" w:rsidRDefault="00BC59C1" w:rsidP="00E139C5">
      <w:pPr>
        <w:spacing w:line="360" w:lineRule="auto"/>
        <w:jc w:val="both"/>
        <w:rPr>
          <w:rFonts w:ascii="Times New Roman" w:hAnsi="Times New Roman" w:cs="Times New Roman"/>
          <w:b/>
          <w:bCs/>
          <w:sz w:val="24"/>
          <w:szCs w:val="24"/>
        </w:rPr>
      </w:pPr>
    </w:p>
    <w:p w14:paraId="2A75D147" w14:textId="77777777" w:rsidR="00C2745A" w:rsidRDefault="00C2745A" w:rsidP="00E139C5">
      <w:pPr>
        <w:spacing w:line="360" w:lineRule="auto"/>
        <w:jc w:val="both"/>
        <w:rPr>
          <w:rFonts w:ascii="Times New Roman" w:hAnsi="Times New Roman" w:cs="Times New Roman"/>
          <w:b/>
          <w:bCs/>
          <w:sz w:val="24"/>
          <w:szCs w:val="24"/>
        </w:rPr>
      </w:pPr>
    </w:p>
    <w:p w14:paraId="2FEFBBB0" w14:textId="77777777" w:rsidR="00C2745A" w:rsidRDefault="00C2745A" w:rsidP="00E139C5">
      <w:pPr>
        <w:spacing w:line="360" w:lineRule="auto"/>
        <w:jc w:val="both"/>
        <w:rPr>
          <w:rFonts w:ascii="Times New Roman" w:hAnsi="Times New Roman" w:cs="Times New Roman"/>
          <w:b/>
          <w:bCs/>
          <w:sz w:val="24"/>
          <w:szCs w:val="24"/>
        </w:rPr>
      </w:pPr>
    </w:p>
    <w:p w14:paraId="6FE70EF0" w14:textId="77777777" w:rsidR="00C2745A" w:rsidRDefault="00C2745A" w:rsidP="00E139C5">
      <w:pPr>
        <w:spacing w:line="360" w:lineRule="auto"/>
        <w:jc w:val="both"/>
        <w:rPr>
          <w:rFonts w:ascii="Times New Roman" w:hAnsi="Times New Roman" w:cs="Times New Roman"/>
          <w:b/>
          <w:bCs/>
          <w:sz w:val="24"/>
          <w:szCs w:val="24"/>
        </w:rPr>
      </w:pPr>
    </w:p>
    <w:p w14:paraId="21334AFA" w14:textId="77777777" w:rsidR="00C2745A" w:rsidRDefault="00C2745A" w:rsidP="00E139C5">
      <w:pPr>
        <w:spacing w:line="360" w:lineRule="auto"/>
        <w:jc w:val="both"/>
        <w:rPr>
          <w:rFonts w:ascii="Times New Roman" w:hAnsi="Times New Roman" w:cs="Times New Roman"/>
          <w:b/>
          <w:bCs/>
          <w:sz w:val="24"/>
          <w:szCs w:val="24"/>
        </w:rPr>
      </w:pPr>
    </w:p>
    <w:p w14:paraId="1412AA2C" w14:textId="77777777" w:rsidR="00C2745A" w:rsidRDefault="00C2745A" w:rsidP="00E139C5">
      <w:pPr>
        <w:spacing w:line="360" w:lineRule="auto"/>
        <w:jc w:val="both"/>
        <w:rPr>
          <w:rFonts w:ascii="Times New Roman" w:hAnsi="Times New Roman" w:cs="Times New Roman"/>
          <w:b/>
          <w:bCs/>
          <w:sz w:val="24"/>
          <w:szCs w:val="24"/>
        </w:rPr>
      </w:pPr>
    </w:p>
    <w:p w14:paraId="2DDC0DAE" w14:textId="47D0106B" w:rsidR="00C36E51" w:rsidRPr="00C36E51" w:rsidRDefault="00C36E51" w:rsidP="00E139C5">
      <w:pPr>
        <w:spacing w:line="360" w:lineRule="auto"/>
        <w:jc w:val="both"/>
        <w:rPr>
          <w:rFonts w:ascii="Times New Roman" w:hAnsi="Times New Roman" w:cs="Times New Roman"/>
          <w:b/>
          <w:bCs/>
          <w:sz w:val="24"/>
          <w:szCs w:val="24"/>
        </w:rPr>
      </w:pPr>
      <w:r w:rsidRPr="00C36E51">
        <w:rPr>
          <w:rFonts w:ascii="Times New Roman" w:hAnsi="Times New Roman" w:cs="Times New Roman"/>
          <w:b/>
          <w:bCs/>
          <w:sz w:val="24"/>
          <w:szCs w:val="24"/>
        </w:rPr>
        <w:lastRenderedPageBreak/>
        <w:t>References</w:t>
      </w:r>
    </w:p>
    <w:p w14:paraId="6E0597A9"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(Balogun &amp; Hailey. (2008), p.18) Julia Balogun and Veronica Hope Hailey: Exploring Strategic Change 3</w:t>
      </w:r>
      <w:r w:rsidRPr="00C36E51">
        <w:rPr>
          <w:rFonts w:ascii="Times New Roman" w:eastAsiaTheme="minorEastAsia" w:hAnsi="Times New Roman" w:cs="Times New Roman"/>
          <w:sz w:val="24"/>
          <w:szCs w:val="24"/>
          <w:vertAlign w:val="superscript"/>
          <w:lang w:eastAsia="tr-TR"/>
        </w:rPr>
        <w:t xml:space="preserve">rd </w:t>
      </w:r>
      <w:r w:rsidRPr="00C36E51">
        <w:rPr>
          <w:rFonts w:ascii="Times New Roman" w:eastAsiaTheme="minorEastAsia" w:hAnsi="Times New Roman" w:cs="Times New Roman"/>
          <w:sz w:val="24"/>
          <w:szCs w:val="24"/>
          <w:lang w:eastAsia="tr-TR"/>
        </w:rPr>
        <w:t xml:space="preserve">Edition, 2008: Prentice Hall </w:t>
      </w:r>
    </w:p>
    <w:p w14:paraId="67982B39" w14:textId="571C3734"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shd w:val="clear" w:color="auto" w:fill="FFFFFF"/>
          <w:lang w:eastAsia="tr-TR"/>
        </w:rPr>
        <w:t>Child et al. </w:t>
      </w:r>
      <w:hyperlink r:id="rId37" w:anchor="acprof-9780199601462-bibItem-1456" w:history="1">
        <w:r w:rsidRPr="00C36E51">
          <w:rPr>
            <w:rFonts w:ascii="Times New Roman" w:eastAsiaTheme="minorEastAsia" w:hAnsi="Times New Roman" w:cs="Times New Roman"/>
            <w:sz w:val="24"/>
            <w:szCs w:val="24"/>
            <w:u w:val="single"/>
            <w:shd w:val="clear" w:color="auto" w:fill="FFFFFF"/>
            <w:lang w:eastAsia="tr-TR"/>
          </w:rPr>
          <w:t>2000</w:t>
        </w:r>
      </w:hyperlink>
      <w:r w:rsidRPr="00C36E51">
        <w:rPr>
          <w:rFonts w:ascii="Times New Roman" w:eastAsiaTheme="minorEastAsia" w:hAnsi="Times New Roman" w:cs="Times New Roman"/>
          <w:sz w:val="24"/>
          <w:szCs w:val="24"/>
          <w:shd w:val="clear" w:color="auto" w:fill="FFFFFF"/>
          <w:lang w:eastAsia="tr-TR"/>
        </w:rPr>
        <w:t>).  </w:t>
      </w:r>
      <w:bookmarkStart w:id="26" w:name="_Hlk39335979"/>
      <w:r w:rsidRPr="00C36E51">
        <w:rPr>
          <w:rFonts w:ascii="Times New Roman" w:eastAsiaTheme="minorEastAsia" w:hAnsi="Times New Roman" w:cs="Times New Roman"/>
          <w:sz w:val="24"/>
          <w:szCs w:val="24"/>
          <w:shd w:val="clear" w:color="auto" w:fill="FFFFFF"/>
          <w:lang w:eastAsia="tr-TR"/>
        </w:rPr>
        <w:t>Faulkner, D., Pitkethly, R., &amp; Child, J. (2012-06-07). </w:t>
      </w:r>
      <w:bookmarkEnd w:id="26"/>
      <w:r w:rsidRPr="00C36E51">
        <w:rPr>
          <w:rFonts w:ascii="Times New Roman" w:eastAsiaTheme="minorEastAsia" w:hAnsi="Times New Roman" w:cs="Times New Roman"/>
          <w:sz w:val="24"/>
          <w:szCs w:val="24"/>
          <w:shd w:val="clear" w:color="auto" w:fill="FFFFFF"/>
          <w:lang w:eastAsia="tr-TR"/>
        </w:rPr>
        <w:t>Country Cultural Differences in Acquisition Management 1. In </w:t>
      </w:r>
      <w:r w:rsidR="00955D9F" w:rsidRPr="00C36E51">
        <w:rPr>
          <w:rFonts w:ascii="Times New Roman" w:eastAsiaTheme="minorEastAsia" w:hAnsi="Times New Roman" w:cs="Times New Roman"/>
          <w:sz w:val="24"/>
          <w:szCs w:val="24"/>
          <w:shd w:val="clear" w:color="auto" w:fill="FFFFFF"/>
          <w:lang w:eastAsia="tr-TR"/>
        </w:rPr>
        <w:t>the</w:t>
      </w:r>
      <w:r w:rsidRPr="00C36E51">
        <w:rPr>
          <w:rFonts w:ascii="Times New Roman" w:eastAsiaTheme="minorEastAsia" w:hAnsi="Times New Roman" w:cs="Times New Roman"/>
          <w:sz w:val="24"/>
          <w:szCs w:val="24"/>
          <w:shd w:val="clear" w:color="auto" w:fill="FFFFFF"/>
          <w:lang w:eastAsia="tr-TR"/>
        </w:rPr>
        <w:t xml:space="preserve"> Handbook of Mergers and Acquisitions. : Oxford University Press. Retrieved 2 May. 2020, from </w:t>
      </w:r>
      <w:hyperlink r:id="rId38" w:history="1">
        <w:r w:rsidRPr="00C36E51">
          <w:rPr>
            <w:rFonts w:ascii="Times New Roman" w:eastAsiaTheme="minorEastAsia" w:hAnsi="Times New Roman" w:cs="Times New Roman"/>
            <w:sz w:val="24"/>
            <w:szCs w:val="24"/>
            <w:u w:val="single"/>
            <w:shd w:val="clear" w:color="auto" w:fill="FFFFFF"/>
            <w:lang w:eastAsia="tr-TR"/>
          </w:rPr>
          <w:t>https://www-oxfordscholarship-com</w:t>
        </w:r>
      </w:hyperlink>
    </w:p>
    <w:p w14:paraId="53BF1B39" w14:textId="77777777" w:rsidR="00E139C5" w:rsidRPr="00C36E51" w:rsidRDefault="007C4375"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hyperlink r:id="rId39" w:tooltip="Ben Chapman" w:history="1">
        <w:r w:rsidR="00E139C5" w:rsidRPr="00C36E51">
          <w:rPr>
            <w:rFonts w:ascii="Times New Roman" w:eastAsia="Times New Roman" w:hAnsi="Times New Roman" w:cs="Times New Roman"/>
            <w:sz w:val="24"/>
            <w:szCs w:val="24"/>
            <w:bdr w:val="none" w:sz="0" w:space="0" w:color="auto" w:frame="1"/>
            <w:lang w:eastAsia="en-GB"/>
          </w:rPr>
          <w:t>Chapman</w:t>
        </w:r>
      </w:hyperlink>
      <w:r w:rsidR="00E139C5" w:rsidRPr="00C36E51">
        <w:rPr>
          <w:rFonts w:ascii="Times New Roman" w:eastAsia="Times New Roman" w:hAnsi="Times New Roman" w:cs="Times New Roman"/>
          <w:sz w:val="24"/>
          <w:szCs w:val="24"/>
          <w:lang w:eastAsia="en-GB"/>
        </w:rPr>
        <w:t xml:space="preserve">, B. (27 July 2016, Wednesday, 12:02). </w:t>
      </w:r>
      <w:hyperlink r:id="rId40" w:history="1">
        <w:r w:rsidR="00E139C5" w:rsidRPr="00C36E51">
          <w:rPr>
            <w:rFonts w:ascii="Times New Roman" w:eastAsiaTheme="minorEastAsia" w:hAnsi="Times New Roman" w:cs="Times New Roman"/>
            <w:sz w:val="24"/>
            <w:szCs w:val="24"/>
            <w:u w:val="single"/>
            <w:lang w:eastAsia="tr-TR"/>
          </w:rPr>
          <w:t xml:space="preserve">arm-holdings-sales-jump-17-ahead-of-softbank-takeover  </w:t>
        </w:r>
      </w:hyperlink>
      <w:r w:rsidR="00E139C5" w:rsidRPr="00C36E51">
        <w:rPr>
          <w:rFonts w:ascii="Times New Roman" w:eastAsiaTheme="minorEastAsia" w:hAnsi="Times New Roman" w:cs="Times New Roman"/>
          <w:sz w:val="24"/>
          <w:szCs w:val="24"/>
          <w:lang w:eastAsia="tr-TR"/>
        </w:rPr>
        <w:t xml:space="preserve">;  [Accessed], </w:t>
      </w:r>
      <w:hyperlink r:id="rId41" w:history="1">
        <w:r w:rsidR="00E139C5" w:rsidRPr="00C36E51">
          <w:rPr>
            <w:rFonts w:ascii="Times New Roman" w:eastAsiaTheme="minorEastAsia" w:hAnsi="Times New Roman" w:cs="Times New Roman"/>
            <w:sz w:val="24"/>
            <w:szCs w:val="24"/>
            <w:u w:val="single"/>
            <w:lang w:eastAsia="tr-TR"/>
          </w:rPr>
          <w:t>https://www.independent.co.uk</w:t>
        </w:r>
      </w:hyperlink>
    </w:p>
    <w:p w14:paraId="65843AAA"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imes New Roman" w:hAnsi="Times New Roman" w:cs="Times New Roman"/>
          <w:sz w:val="24"/>
          <w:szCs w:val="24"/>
          <w:lang w:eastAsia="en-GB"/>
        </w:rPr>
        <w:t>Domínguez, B., Gómez, J. and Maícas, J. P. (2018).</w:t>
      </w:r>
    </w:p>
    <w:p w14:paraId="1CCB673F"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imes New Roman" w:hAnsi="Times New Roman" w:cs="Times New Roman"/>
          <w:sz w:val="24"/>
          <w:szCs w:val="24"/>
          <w:lang w:eastAsia="en-GB"/>
        </w:rPr>
        <w:t xml:space="preserve"> </w:t>
      </w:r>
      <w:r w:rsidRPr="00C36E51">
        <w:rPr>
          <w:rFonts w:ascii="Times New Roman" w:eastAsia="Times New Roman" w:hAnsi="Times New Roman" w:cs="Times New Roman"/>
          <w:sz w:val="24"/>
          <w:szCs w:val="24"/>
          <w:shd w:val="clear" w:color="auto" w:fill="FFFFFF"/>
          <w:lang w:eastAsia="en-GB"/>
        </w:rPr>
        <w:t xml:space="preserve">(Hovenkamp and Carl, 2018, p. 1999) </w:t>
      </w:r>
    </w:p>
    <w:p w14:paraId="4244AD69" w14:textId="47BC5855" w:rsidR="00E139C5" w:rsidRPr="00C36E51" w:rsidRDefault="00C36E51" w:rsidP="00E139C5">
      <w:pPr>
        <w:numPr>
          <w:ilvl w:val="0"/>
          <w:numId w:val="23"/>
        </w:numPr>
        <w:spacing w:after="200" w:line="360" w:lineRule="auto"/>
        <w:contextualSpacing/>
        <w:jc w:val="both"/>
        <w:rPr>
          <w:rFonts w:ascii="Times New Roman" w:eastAsia="Times New Roman" w:hAnsi="Times New Roman" w:cs="Times New Roman"/>
          <w:sz w:val="24"/>
          <w:szCs w:val="24"/>
          <w:lang w:eastAsia="en-GB"/>
        </w:rPr>
      </w:pPr>
      <w:r w:rsidRPr="00C36E51">
        <w:rPr>
          <w:rFonts w:ascii="Times New Roman" w:eastAsiaTheme="minorEastAsia" w:hAnsi="Times New Roman" w:cs="Times New Roman"/>
          <w:sz w:val="24"/>
          <w:szCs w:val="24"/>
          <w:shd w:val="clear" w:color="auto" w:fill="FFFFFF"/>
          <w:lang w:eastAsia="tr-TR"/>
        </w:rPr>
        <w:t xml:space="preserve"> </w:t>
      </w:r>
      <w:bookmarkStart w:id="27" w:name="_Hlk39339065"/>
      <w:r w:rsidRPr="00C36E51">
        <w:rPr>
          <w:rFonts w:ascii="Times New Roman" w:eastAsiaTheme="minorEastAsia" w:hAnsi="Times New Roman" w:cs="Times New Roman"/>
          <w:sz w:val="24"/>
          <w:szCs w:val="24"/>
          <w:shd w:val="clear" w:color="auto" w:fill="FFFFFF"/>
          <w:lang w:eastAsia="tr-TR"/>
        </w:rPr>
        <w:t>Kolev, K., Haleblian, J., &amp; McNamara, G. (2012-06-07). </w:t>
      </w:r>
      <w:bookmarkEnd w:id="27"/>
      <w:r w:rsidRPr="00C36E51">
        <w:rPr>
          <w:rFonts w:ascii="Times New Roman" w:eastAsiaTheme="minorEastAsia" w:hAnsi="Times New Roman" w:cs="Times New Roman"/>
          <w:sz w:val="24"/>
          <w:szCs w:val="24"/>
          <w:shd w:val="clear" w:color="auto" w:fill="FFFFFF"/>
          <w:lang w:eastAsia="tr-TR"/>
        </w:rPr>
        <w:t>A Review of the Merger and Acquisition wave Literature: History, Antecedents, Consequences, and Future Directions. In </w:t>
      </w:r>
      <w:r w:rsidR="00955D9F" w:rsidRPr="00C36E51">
        <w:rPr>
          <w:rFonts w:ascii="Times New Roman" w:eastAsiaTheme="minorEastAsia" w:hAnsi="Times New Roman" w:cs="Times New Roman"/>
          <w:sz w:val="24"/>
          <w:szCs w:val="24"/>
          <w:shd w:val="clear" w:color="auto" w:fill="FFFFFF"/>
          <w:lang w:eastAsia="tr-TR"/>
        </w:rPr>
        <w:t>the</w:t>
      </w:r>
      <w:r w:rsidRPr="00C36E51">
        <w:rPr>
          <w:rFonts w:ascii="Times New Roman" w:eastAsiaTheme="minorEastAsia" w:hAnsi="Times New Roman" w:cs="Times New Roman"/>
          <w:sz w:val="24"/>
          <w:szCs w:val="24"/>
          <w:shd w:val="clear" w:color="auto" w:fill="FFFFFF"/>
          <w:lang w:eastAsia="tr-TR"/>
        </w:rPr>
        <w:t xml:space="preserve"> Handbook of Mergers and Acquisitions. : Oxford University Press. Retrieved 2 May. 2020, from https://www-oxfordscholarship-com.</w:t>
      </w:r>
    </w:p>
    <w:p w14:paraId="5FBD6099"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Johnson, g, Scholes. K, &amp; Whittington. R (2009) Fundamentals of Strategy</w:t>
      </w:r>
    </w:p>
    <w:p w14:paraId="7F2FA40C" w14:textId="33086689" w:rsidR="00C36E51" w:rsidRPr="00C36E51" w:rsidRDefault="00C36E51" w:rsidP="00E139C5">
      <w:pPr>
        <w:numPr>
          <w:ilvl w:val="0"/>
          <w:numId w:val="23"/>
        </w:numPr>
        <w:shd w:val="clear" w:color="auto" w:fill="FFFFFF"/>
        <w:spacing w:after="0" w:line="360" w:lineRule="auto"/>
        <w:jc w:val="both"/>
        <w:rPr>
          <w:rFonts w:ascii="Times New Roman" w:eastAsia="Times New Roman" w:hAnsi="Times New Roman" w:cs="Times New Roman"/>
          <w:sz w:val="24"/>
          <w:szCs w:val="24"/>
          <w:lang w:eastAsia="en-GB"/>
        </w:rPr>
      </w:pPr>
      <w:r w:rsidRPr="00C36E51">
        <w:rPr>
          <w:rFonts w:ascii="Times New Roman" w:eastAsia="Times New Roman" w:hAnsi="Times New Roman" w:cs="Times New Roman"/>
          <w:sz w:val="24"/>
          <w:szCs w:val="24"/>
          <w:lang w:eastAsia="en-GB"/>
        </w:rPr>
        <w:t>Whittington, Scholes and Johnson, G., 2008. </w:t>
      </w:r>
      <w:r w:rsidRPr="00C36E51">
        <w:rPr>
          <w:rFonts w:ascii="Times New Roman" w:eastAsia="Times New Roman" w:hAnsi="Times New Roman" w:cs="Times New Roman"/>
          <w:i/>
          <w:iCs/>
          <w:sz w:val="24"/>
          <w:szCs w:val="24"/>
          <w:lang w:eastAsia="en-GB"/>
        </w:rPr>
        <w:t>Exploring Corporate Strategy</w:t>
      </w:r>
      <w:r w:rsidRPr="00C36E51">
        <w:rPr>
          <w:rFonts w:ascii="Times New Roman" w:eastAsia="Times New Roman" w:hAnsi="Times New Roman" w:cs="Times New Roman"/>
          <w:sz w:val="24"/>
          <w:szCs w:val="24"/>
          <w:lang w:eastAsia="en-GB"/>
        </w:rPr>
        <w:t>. Pearson. 8</w:t>
      </w:r>
      <w:r w:rsidRPr="00C36E51">
        <w:rPr>
          <w:rFonts w:ascii="Times New Roman" w:eastAsia="Times New Roman" w:hAnsi="Times New Roman" w:cs="Times New Roman"/>
          <w:sz w:val="24"/>
          <w:szCs w:val="24"/>
          <w:vertAlign w:val="superscript"/>
          <w:lang w:eastAsia="en-GB"/>
        </w:rPr>
        <w:t>th</w:t>
      </w:r>
      <w:r w:rsidRPr="00C36E51">
        <w:rPr>
          <w:rFonts w:ascii="Times New Roman" w:eastAsia="Times New Roman" w:hAnsi="Times New Roman" w:cs="Times New Roman"/>
          <w:sz w:val="24"/>
          <w:szCs w:val="24"/>
          <w:lang w:eastAsia="en-GB"/>
        </w:rPr>
        <w:t xml:space="preserve"> </w:t>
      </w:r>
      <w:r w:rsidR="00BC59C1" w:rsidRPr="00C36E51">
        <w:rPr>
          <w:rFonts w:ascii="Times New Roman" w:eastAsia="Times New Roman" w:hAnsi="Times New Roman" w:cs="Times New Roman"/>
          <w:sz w:val="24"/>
          <w:szCs w:val="24"/>
          <w:lang w:eastAsia="en-GB"/>
        </w:rPr>
        <w:t xml:space="preserve">Edition </w:t>
      </w:r>
      <w:r w:rsidR="00BC59C1" w:rsidRPr="00C36E51">
        <w:rPr>
          <w:rFonts w:ascii="Times New Roman" w:eastAsia="Times New Roman" w:hAnsi="Times New Roman" w:cs="Times New Roman"/>
          <w:sz w:val="24"/>
          <w:szCs w:val="24"/>
          <w:shd w:val="clear" w:color="auto" w:fill="FFFFFF"/>
          <w:lang w:eastAsia="en-GB"/>
        </w:rPr>
        <w:t>(</w:t>
      </w:r>
      <w:r w:rsidRPr="00C36E51">
        <w:rPr>
          <w:rFonts w:ascii="Times New Roman" w:eastAsia="Times New Roman" w:hAnsi="Times New Roman" w:cs="Times New Roman"/>
          <w:sz w:val="24"/>
          <w:szCs w:val="24"/>
          <w:shd w:val="clear" w:color="auto" w:fill="FFFFFF"/>
          <w:lang w:eastAsia="en-GB"/>
        </w:rPr>
        <w:t xml:space="preserve">Johnson. G. et.al 2009) pg. 83 Fundamentals of strategic management </w:t>
      </w:r>
    </w:p>
    <w:p w14:paraId="61B551B9" w14:textId="77777777" w:rsidR="00C36E51" w:rsidRPr="00C36E51" w:rsidRDefault="00C36E51" w:rsidP="00E139C5">
      <w:pPr>
        <w:numPr>
          <w:ilvl w:val="0"/>
          <w:numId w:val="23"/>
        </w:numPr>
        <w:spacing w:after="200" w:line="360" w:lineRule="auto"/>
        <w:contextualSpacing/>
        <w:jc w:val="both"/>
        <w:rPr>
          <w:rFonts w:ascii="Times New Roman" w:hAnsi="Times New Roman" w:cs="Times New Roman"/>
          <w:sz w:val="24"/>
          <w:szCs w:val="24"/>
        </w:rPr>
      </w:pPr>
      <w:r w:rsidRPr="00C36E51">
        <w:rPr>
          <w:rFonts w:ascii="Times New Roman" w:eastAsia="Times New Roman" w:hAnsi="Times New Roman" w:cs="Times New Roman"/>
          <w:sz w:val="24"/>
          <w:szCs w:val="24"/>
          <w:shd w:val="clear" w:color="auto" w:fill="FFFFFF"/>
          <w:lang w:eastAsia="en-GB"/>
        </w:rPr>
        <w:t>(Lambrecht </w:t>
      </w:r>
      <w:hyperlink r:id="rId42" w:anchor="acprof-9780199601462-bibItem-67" w:history="1">
        <w:r w:rsidRPr="00C36E51">
          <w:rPr>
            <w:rFonts w:ascii="Times New Roman" w:eastAsia="Times New Roman" w:hAnsi="Times New Roman" w:cs="Times New Roman"/>
            <w:sz w:val="24"/>
            <w:szCs w:val="24"/>
            <w:u w:val="single"/>
            <w:shd w:val="clear" w:color="auto" w:fill="FFFFFF"/>
            <w:lang w:eastAsia="en-GB"/>
          </w:rPr>
          <w:t>2004</w:t>
        </w:r>
      </w:hyperlink>
      <w:r w:rsidRPr="00C36E51">
        <w:rPr>
          <w:rFonts w:ascii="Times New Roman" w:eastAsia="Times New Roman" w:hAnsi="Times New Roman" w:cs="Times New Roman"/>
          <w:sz w:val="24"/>
          <w:szCs w:val="24"/>
          <w:lang w:eastAsia="en-GB"/>
        </w:rPr>
        <w:t>)</w:t>
      </w:r>
      <w:r w:rsidRPr="00C36E51">
        <w:rPr>
          <w:rFonts w:ascii="Times New Roman" w:eastAsiaTheme="minorEastAsia" w:hAnsi="Times New Roman" w:cs="Times New Roman"/>
          <w:sz w:val="24"/>
          <w:szCs w:val="24"/>
          <w:shd w:val="clear" w:color="auto" w:fill="FFFFFF"/>
          <w:lang w:eastAsia="tr-TR"/>
        </w:rPr>
        <w:t xml:space="preserve"> </w:t>
      </w:r>
      <w:bookmarkStart w:id="28" w:name="_Hlk39340842"/>
      <w:r w:rsidRPr="00C36E51">
        <w:rPr>
          <w:rFonts w:ascii="Times New Roman" w:eastAsiaTheme="minorEastAsia" w:hAnsi="Times New Roman" w:cs="Times New Roman"/>
          <w:sz w:val="24"/>
          <w:szCs w:val="24"/>
          <w:shd w:val="clear" w:color="auto" w:fill="FFFFFF"/>
          <w:lang w:eastAsia="tr-TR"/>
        </w:rPr>
        <w:t>Kolev, K., Haleblian, J., &amp; McNamara, G. (2012-06-07). </w:t>
      </w:r>
      <w:bookmarkEnd w:id="28"/>
      <w:r w:rsidRPr="00C36E51">
        <w:rPr>
          <w:rFonts w:ascii="Times New Roman" w:eastAsiaTheme="minorEastAsia" w:hAnsi="Times New Roman" w:cs="Times New Roman"/>
          <w:sz w:val="24"/>
          <w:szCs w:val="24"/>
          <w:shd w:val="clear" w:color="auto" w:fill="FFFFFF"/>
          <w:lang w:eastAsia="tr-TR"/>
        </w:rPr>
        <w:t>A Review of the Merger and Acquisition wave Literature: History, Antecedents, Consequences, and Future Directions. In The Handbook of Mergers and Acquisitions. : Oxford University Press. Retrieved 2 May. 2020, from https://www-oxfordscholarship-com.</w:t>
      </w:r>
    </w:p>
    <w:p w14:paraId="040D1FAB"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Lynch,  (2012, p.83</w:t>
      </w:r>
      <w:r w:rsidRPr="00C36E51">
        <w:rPr>
          <w:rFonts w:ascii="Times New Roman" w:eastAsiaTheme="minorEastAsia" w:hAnsi="Times New Roman" w:cs="Times New Roman"/>
          <w:b/>
          <w:bCs/>
          <w:sz w:val="24"/>
          <w:szCs w:val="24"/>
          <w:lang w:eastAsia="tr-TR"/>
        </w:rPr>
        <w:t>)</w:t>
      </w:r>
      <w:r w:rsidRPr="00C36E51">
        <w:rPr>
          <w:rFonts w:ascii="Times New Roman" w:eastAsiaTheme="minorEastAsia" w:hAnsi="Times New Roman" w:cs="Times New Roman"/>
          <w:sz w:val="24"/>
          <w:szCs w:val="24"/>
          <w:lang w:eastAsia="tr-TR"/>
        </w:rPr>
        <w:t>.  Richard Lynch : Strategic Management 6</w:t>
      </w:r>
      <w:r w:rsidRPr="00C36E51">
        <w:rPr>
          <w:rFonts w:ascii="Times New Roman" w:eastAsiaTheme="minorEastAsia" w:hAnsi="Times New Roman" w:cs="Times New Roman"/>
          <w:sz w:val="24"/>
          <w:szCs w:val="24"/>
          <w:vertAlign w:val="superscript"/>
          <w:lang w:eastAsia="tr-TR"/>
        </w:rPr>
        <w:t xml:space="preserve">th </w:t>
      </w:r>
      <w:r w:rsidRPr="00C36E51">
        <w:rPr>
          <w:rFonts w:ascii="Times New Roman" w:eastAsiaTheme="minorEastAsia" w:hAnsi="Times New Roman" w:cs="Times New Roman"/>
          <w:sz w:val="24"/>
          <w:szCs w:val="24"/>
          <w:lang w:eastAsia="tr-TR"/>
        </w:rPr>
        <w:t>Edition</w:t>
      </w:r>
    </w:p>
    <w:p w14:paraId="0684A776" w14:textId="1F08E785" w:rsidR="00E139C5" w:rsidRPr="00C36E51" w:rsidRDefault="00E139C5"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 xml:space="preserve">Lasserre,  (2003, p.17) Philippe Lasserre: Global Strategic Management </w:t>
      </w:r>
      <w:r w:rsidR="00C2745A" w:rsidRPr="00C36E51">
        <w:rPr>
          <w:rFonts w:ascii="Times New Roman" w:eastAsiaTheme="minorEastAsia" w:hAnsi="Times New Roman" w:cs="Times New Roman"/>
          <w:sz w:val="24"/>
          <w:szCs w:val="24"/>
          <w:lang w:eastAsia="tr-TR"/>
        </w:rPr>
        <w:t>1</w:t>
      </w:r>
      <w:r w:rsidR="00C2745A" w:rsidRPr="00C36E51">
        <w:rPr>
          <w:rFonts w:ascii="Times New Roman" w:eastAsiaTheme="minorEastAsia" w:hAnsi="Times New Roman" w:cs="Times New Roman"/>
          <w:sz w:val="24"/>
          <w:szCs w:val="24"/>
          <w:vertAlign w:val="superscript"/>
          <w:lang w:eastAsia="tr-TR"/>
        </w:rPr>
        <w:t>st</w:t>
      </w:r>
      <w:r w:rsidR="00C2745A" w:rsidRPr="00C36E51">
        <w:rPr>
          <w:rFonts w:ascii="Times New Roman" w:eastAsiaTheme="minorEastAsia" w:hAnsi="Times New Roman" w:cs="Times New Roman"/>
          <w:sz w:val="24"/>
          <w:szCs w:val="24"/>
          <w:lang w:eastAsia="tr-TR"/>
        </w:rPr>
        <w:t xml:space="preserve"> ed. Palgrave</w:t>
      </w:r>
    </w:p>
    <w:p w14:paraId="1C27D168" w14:textId="7F0CDF63" w:rsidR="00C36E51" w:rsidRPr="00C2745A" w:rsidRDefault="00C36E51" w:rsidP="00C2745A">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Lasserre,</w:t>
      </w:r>
      <w:r w:rsidR="00B52966">
        <w:rPr>
          <w:rFonts w:ascii="Times New Roman" w:eastAsiaTheme="minorEastAsia" w:hAnsi="Times New Roman" w:cs="Times New Roman"/>
          <w:sz w:val="24"/>
          <w:szCs w:val="24"/>
          <w:lang w:eastAsia="tr-TR"/>
        </w:rPr>
        <w:t xml:space="preserve"> </w:t>
      </w:r>
      <w:r w:rsidRPr="00C36E51">
        <w:rPr>
          <w:rFonts w:ascii="Times New Roman" w:eastAsiaTheme="minorEastAsia" w:hAnsi="Times New Roman" w:cs="Times New Roman"/>
          <w:sz w:val="24"/>
          <w:szCs w:val="24"/>
          <w:lang w:eastAsia="tr-TR"/>
        </w:rPr>
        <w:t xml:space="preserve">(2003, p.134. </w:t>
      </w:r>
      <w:r w:rsidR="00E139C5" w:rsidRPr="00C36E51">
        <w:rPr>
          <w:rFonts w:ascii="Times New Roman" w:eastAsiaTheme="minorEastAsia" w:hAnsi="Times New Roman" w:cs="Times New Roman"/>
          <w:sz w:val="24"/>
          <w:szCs w:val="24"/>
          <w:lang w:eastAsia="tr-TR"/>
        </w:rPr>
        <w:t xml:space="preserve">Philippe Lasserre: Global Strategic Management </w:t>
      </w:r>
      <w:r w:rsidR="00C2745A" w:rsidRPr="00C36E51">
        <w:rPr>
          <w:rFonts w:ascii="Times New Roman" w:eastAsiaTheme="minorEastAsia" w:hAnsi="Times New Roman" w:cs="Times New Roman"/>
          <w:sz w:val="24"/>
          <w:szCs w:val="24"/>
          <w:lang w:eastAsia="tr-TR"/>
        </w:rPr>
        <w:t>1</w:t>
      </w:r>
      <w:r w:rsidR="00C2745A" w:rsidRPr="00C36E51">
        <w:rPr>
          <w:rFonts w:ascii="Times New Roman" w:eastAsiaTheme="minorEastAsia" w:hAnsi="Times New Roman" w:cs="Times New Roman"/>
          <w:sz w:val="24"/>
          <w:szCs w:val="24"/>
          <w:vertAlign w:val="superscript"/>
          <w:lang w:eastAsia="tr-TR"/>
        </w:rPr>
        <w:t>st</w:t>
      </w:r>
      <w:r w:rsidR="00C2745A" w:rsidRPr="00C36E51">
        <w:rPr>
          <w:rFonts w:ascii="Times New Roman" w:eastAsiaTheme="minorEastAsia" w:hAnsi="Times New Roman" w:cs="Times New Roman"/>
          <w:sz w:val="24"/>
          <w:szCs w:val="24"/>
          <w:lang w:eastAsia="tr-TR"/>
        </w:rPr>
        <w:t xml:space="preserve"> ed. Palgrave</w:t>
      </w:r>
    </w:p>
    <w:p w14:paraId="16281AA3" w14:textId="3E806D6A" w:rsidR="00E139C5" w:rsidRPr="00C2745A" w:rsidRDefault="00C36E51" w:rsidP="00C2745A">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lang w:eastAsia="tr-TR"/>
        </w:rPr>
        <w:t xml:space="preserve">(Lasserre, 2003) p.148.  Lasserre 2003. Global Strategic Management </w:t>
      </w:r>
      <w:bookmarkStart w:id="29" w:name="_Hlk39503872"/>
      <w:r w:rsidRPr="00C36E51">
        <w:rPr>
          <w:rFonts w:ascii="Times New Roman" w:eastAsiaTheme="minorEastAsia" w:hAnsi="Times New Roman" w:cs="Times New Roman"/>
          <w:sz w:val="24"/>
          <w:szCs w:val="24"/>
          <w:lang w:eastAsia="tr-TR"/>
        </w:rPr>
        <w:t>1</w:t>
      </w:r>
      <w:r w:rsidRPr="00C36E51">
        <w:rPr>
          <w:rFonts w:ascii="Times New Roman" w:eastAsiaTheme="minorEastAsia" w:hAnsi="Times New Roman" w:cs="Times New Roman"/>
          <w:sz w:val="24"/>
          <w:szCs w:val="24"/>
          <w:vertAlign w:val="superscript"/>
          <w:lang w:eastAsia="tr-TR"/>
        </w:rPr>
        <w:t>st</w:t>
      </w:r>
      <w:r w:rsidRPr="00C36E51">
        <w:rPr>
          <w:rFonts w:ascii="Times New Roman" w:eastAsiaTheme="minorEastAsia" w:hAnsi="Times New Roman" w:cs="Times New Roman"/>
          <w:sz w:val="24"/>
          <w:szCs w:val="24"/>
          <w:lang w:eastAsia="tr-TR"/>
        </w:rPr>
        <w:t xml:space="preserve"> ed. Palgrave </w:t>
      </w:r>
      <w:bookmarkEnd w:id="29"/>
    </w:p>
    <w:p w14:paraId="1B928A9A" w14:textId="1FBC8A0D" w:rsidR="00E139C5" w:rsidRPr="00C36E51" w:rsidRDefault="00E139C5"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ajorEastAsia" w:hAnsi="Times New Roman" w:cs="Times New Roman"/>
          <w:sz w:val="24"/>
          <w:szCs w:val="24"/>
          <w:lang w:eastAsia="tr-TR"/>
        </w:rPr>
        <w:t>(Lasserre, 2003).</w:t>
      </w:r>
      <w:r w:rsidRPr="00C36E51">
        <w:rPr>
          <w:rFonts w:ascii="Times New Roman" w:eastAsiaTheme="minorEastAsia" w:hAnsi="Times New Roman" w:cs="Times New Roman"/>
          <w:sz w:val="24"/>
          <w:szCs w:val="24"/>
          <w:lang w:eastAsia="tr-TR"/>
        </w:rPr>
        <w:t xml:space="preserve"> </w:t>
      </w:r>
      <w:r w:rsidRPr="00C36E51">
        <w:rPr>
          <w:rFonts w:ascii="Times New Roman" w:eastAsiaTheme="minorEastAsia" w:hAnsi="Times New Roman" w:cs="Times New Roman"/>
          <w:i/>
          <w:iCs/>
          <w:sz w:val="24"/>
          <w:szCs w:val="24"/>
          <w:lang w:eastAsia="tr-TR"/>
        </w:rPr>
        <w:t>pg. 150</w:t>
      </w:r>
      <w:r w:rsidRPr="00C36E51">
        <w:rPr>
          <w:rFonts w:ascii="Times New Roman" w:eastAsiaTheme="minorEastAsia" w:hAnsi="Times New Roman" w:cs="Times New Roman"/>
          <w:sz w:val="24"/>
          <w:szCs w:val="24"/>
          <w:lang w:eastAsia="tr-TR"/>
        </w:rPr>
        <w:t xml:space="preserve"> Philippe Lasserre: Global Strategic Management </w:t>
      </w:r>
      <w:r w:rsidR="00C2745A" w:rsidRPr="00C36E51">
        <w:rPr>
          <w:rFonts w:ascii="Times New Roman" w:eastAsiaTheme="minorEastAsia" w:hAnsi="Times New Roman" w:cs="Times New Roman"/>
          <w:sz w:val="24"/>
          <w:szCs w:val="24"/>
          <w:lang w:eastAsia="tr-TR"/>
        </w:rPr>
        <w:t>1</w:t>
      </w:r>
      <w:r w:rsidR="00C2745A" w:rsidRPr="00C36E51">
        <w:rPr>
          <w:rFonts w:ascii="Times New Roman" w:eastAsiaTheme="minorEastAsia" w:hAnsi="Times New Roman" w:cs="Times New Roman"/>
          <w:sz w:val="24"/>
          <w:szCs w:val="24"/>
          <w:vertAlign w:val="superscript"/>
          <w:lang w:eastAsia="tr-TR"/>
        </w:rPr>
        <w:t>st</w:t>
      </w:r>
      <w:r w:rsidR="00C2745A" w:rsidRPr="00C36E51">
        <w:rPr>
          <w:rFonts w:ascii="Times New Roman" w:eastAsiaTheme="minorEastAsia" w:hAnsi="Times New Roman" w:cs="Times New Roman"/>
          <w:sz w:val="24"/>
          <w:szCs w:val="24"/>
          <w:lang w:eastAsia="tr-TR"/>
        </w:rPr>
        <w:t xml:space="preserve"> ed. Palgrave</w:t>
      </w:r>
    </w:p>
    <w:p w14:paraId="5FDBEFF0" w14:textId="77777777" w:rsidR="00C36E51" w:rsidRPr="00C36E51" w:rsidRDefault="00C36E51" w:rsidP="00E139C5">
      <w:pPr>
        <w:numPr>
          <w:ilvl w:val="0"/>
          <w:numId w:val="23"/>
        </w:numPr>
        <w:shd w:val="clear" w:color="auto" w:fill="FFFFFF"/>
        <w:spacing w:after="0" w:line="360" w:lineRule="auto"/>
        <w:jc w:val="both"/>
        <w:rPr>
          <w:rFonts w:ascii="Times New Roman" w:eastAsia="Times New Roman" w:hAnsi="Times New Roman" w:cs="Times New Roman"/>
          <w:sz w:val="24"/>
          <w:szCs w:val="24"/>
          <w:shd w:val="clear" w:color="auto" w:fill="FFFFFF"/>
          <w:lang w:eastAsia="en-GB"/>
        </w:rPr>
      </w:pPr>
      <w:bookmarkStart w:id="30" w:name="_Hlk39336107"/>
      <w:r w:rsidRPr="00C36E51">
        <w:rPr>
          <w:rFonts w:ascii="Times New Roman" w:eastAsia="Times New Roman" w:hAnsi="Times New Roman" w:cs="Times New Roman"/>
          <w:sz w:val="24"/>
          <w:szCs w:val="24"/>
          <w:shd w:val="clear" w:color="auto" w:fill="FFFFFF"/>
          <w:lang w:eastAsia="en-GB"/>
        </w:rPr>
        <w:t>Kolev, K., Haleblian, J., &amp; McNamara, G. (2012-06-07). ‘</w:t>
      </w:r>
      <w:bookmarkEnd w:id="30"/>
      <w:r w:rsidRPr="00C36E51">
        <w:rPr>
          <w:rFonts w:ascii="Times New Roman" w:eastAsia="Times New Roman" w:hAnsi="Times New Roman" w:cs="Times New Roman"/>
          <w:sz w:val="24"/>
          <w:szCs w:val="24"/>
          <w:shd w:val="clear" w:color="auto" w:fill="FFFFFF"/>
          <w:lang w:eastAsia="en-GB"/>
        </w:rPr>
        <w:t xml:space="preserve">A Review of the </w:t>
      </w:r>
      <w:r w:rsidRPr="00C36E51">
        <w:rPr>
          <w:rFonts w:ascii="Times New Roman" w:eastAsia="Times New Roman" w:hAnsi="Times New Roman" w:cs="Times New Roman"/>
          <w:i/>
          <w:iCs/>
          <w:sz w:val="24"/>
          <w:szCs w:val="24"/>
          <w:shd w:val="clear" w:color="auto" w:fill="FFFFFF"/>
          <w:lang w:eastAsia="en-GB"/>
        </w:rPr>
        <w:t>Merger and Acquisition wave</w:t>
      </w:r>
      <w:r w:rsidRPr="00C36E51">
        <w:rPr>
          <w:rFonts w:ascii="Times New Roman" w:eastAsia="Times New Roman" w:hAnsi="Times New Roman" w:cs="Times New Roman"/>
          <w:sz w:val="24"/>
          <w:szCs w:val="24"/>
          <w:shd w:val="clear" w:color="auto" w:fill="FFFFFF"/>
          <w:lang w:eastAsia="en-GB"/>
        </w:rPr>
        <w:t xml:space="preserve"> Literature: History, Antecedents, Consequences, and Future Directions’. In The Handbook of Mergers and Acquisitions. : Oxford University Press. Retrieved 2 May. 2020, from </w:t>
      </w:r>
      <w:hyperlink r:id="rId43" w:history="1">
        <w:r w:rsidRPr="00C36E51">
          <w:rPr>
            <w:rFonts w:ascii="Times New Roman" w:eastAsia="Times New Roman" w:hAnsi="Times New Roman" w:cs="Times New Roman"/>
            <w:sz w:val="24"/>
            <w:szCs w:val="24"/>
            <w:u w:val="single"/>
            <w:shd w:val="clear" w:color="auto" w:fill="FFFFFF"/>
            <w:lang w:eastAsia="en-GB"/>
          </w:rPr>
          <w:t>https://www-oxfordscholarship-com</w:t>
        </w:r>
      </w:hyperlink>
      <w:r w:rsidRPr="00C36E51">
        <w:rPr>
          <w:rFonts w:ascii="Times New Roman" w:eastAsia="Times New Roman" w:hAnsi="Times New Roman" w:cs="Times New Roman"/>
          <w:sz w:val="24"/>
          <w:szCs w:val="24"/>
          <w:shd w:val="clear" w:color="auto" w:fill="FFFFFF"/>
          <w:lang w:eastAsia="en-GB"/>
        </w:rPr>
        <w:t>.</w:t>
      </w:r>
    </w:p>
    <w:p w14:paraId="1390BAA8" w14:textId="77777777" w:rsidR="00C36E51" w:rsidRPr="00C36E51" w:rsidRDefault="00C36E51" w:rsidP="00E139C5">
      <w:pPr>
        <w:numPr>
          <w:ilvl w:val="0"/>
          <w:numId w:val="23"/>
        </w:numPr>
        <w:shd w:val="clear" w:color="auto" w:fill="FFFFFF"/>
        <w:spacing w:after="0" w:line="360" w:lineRule="auto"/>
        <w:jc w:val="both"/>
        <w:rPr>
          <w:rFonts w:ascii="Times New Roman" w:eastAsia="Times New Roman" w:hAnsi="Times New Roman" w:cs="Times New Roman"/>
          <w:sz w:val="24"/>
          <w:szCs w:val="24"/>
          <w:shd w:val="clear" w:color="auto" w:fill="FFFFFF"/>
          <w:lang w:eastAsia="en-GB"/>
        </w:rPr>
      </w:pPr>
      <w:r w:rsidRPr="00C36E51">
        <w:rPr>
          <w:rFonts w:ascii="Times New Roman" w:eastAsia="Times New Roman" w:hAnsi="Times New Roman" w:cs="Times New Roman"/>
          <w:sz w:val="24"/>
          <w:szCs w:val="24"/>
          <w:shd w:val="clear" w:color="auto" w:fill="FFFFFF"/>
          <w:lang w:eastAsia="en-GB"/>
        </w:rPr>
        <w:lastRenderedPageBreak/>
        <w:t>Kolev, K., Haleblian, J., &amp; McNamara, G. (2012-06-07). A Review of the Merger and Acquisition wave Literature: History, Antecedents, Consequences, and Future Directions. In The Handbook of Mergers and Acquisitions. : Oxford University Press. Retrieved 2 May. 2020, from https://www-oxfordscholarship-com.</w:t>
      </w:r>
    </w:p>
    <w:p w14:paraId="32558B29" w14:textId="77777777" w:rsidR="00C36E51" w:rsidRPr="00C36E51" w:rsidRDefault="00C36E51" w:rsidP="00E139C5">
      <w:pPr>
        <w:numPr>
          <w:ilvl w:val="0"/>
          <w:numId w:val="23"/>
        </w:numPr>
        <w:shd w:val="clear" w:color="auto" w:fill="FFFFFF"/>
        <w:spacing w:after="0" w:line="360" w:lineRule="auto"/>
        <w:jc w:val="both"/>
        <w:rPr>
          <w:rFonts w:ascii="Times New Roman" w:eastAsia="Times New Roman" w:hAnsi="Times New Roman" w:cs="Times New Roman"/>
          <w:sz w:val="24"/>
          <w:szCs w:val="24"/>
          <w:shd w:val="clear" w:color="auto" w:fill="FFFFFF"/>
          <w:lang w:eastAsia="en-GB"/>
        </w:rPr>
      </w:pPr>
      <w:r w:rsidRPr="00C36E51">
        <w:rPr>
          <w:rFonts w:ascii="Times New Roman" w:eastAsia="Times New Roman" w:hAnsi="Times New Roman" w:cs="Times New Roman"/>
          <w:sz w:val="24"/>
          <w:szCs w:val="24"/>
          <w:shd w:val="clear" w:color="auto" w:fill="FFFFFF"/>
          <w:lang w:eastAsia="en-GB"/>
        </w:rPr>
        <w:t>Kolev, K., Haleblian, J., &amp; McNamara, G. (2012-06-07). A Review of the Merger and Acquisition wave Literature: History, Antecedents, Consequences, and Future Directions. In The Handbook of Mergers and Acquisitions. : Oxford University Press. Retrieved 2 May. 2020, from https://www-oxfordscholarship-com.</w:t>
      </w:r>
    </w:p>
    <w:p w14:paraId="16C86C5A"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i/>
          <w:iCs/>
          <w:sz w:val="24"/>
          <w:szCs w:val="24"/>
          <w:lang w:eastAsia="tr-TR"/>
        </w:rPr>
      </w:pPr>
      <w:bookmarkStart w:id="31" w:name="_Hlk39340713"/>
      <w:r w:rsidRPr="00C36E51">
        <w:rPr>
          <w:rFonts w:ascii="Times New Roman" w:eastAsiaTheme="minorEastAsia" w:hAnsi="Times New Roman" w:cs="Times New Roman"/>
          <w:sz w:val="24"/>
          <w:szCs w:val="24"/>
          <w:shd w:val="clear" w:color="auto" w:fill="FFFFFF"/>
          <w:lang w:eastAsia="tr-TR"/>
        </w:rPr>
        <w:t>Kolev, K., Haleblian, J., &amp; McNamara, G. (2012-06-07). </w:t>
      </w:r>
      <w:bookmarkEnd w:id="31"/>
      <w:r w:rsidRPr="00C36E51">
        <w:rPr>
          <w:rFonts w:ascii="Times New Roman" w:eastAsiaTheme="minorEastAsia" w:hAnsi="Times New Roman" w:cs="Times New Roman"/>
          <w:sz w:val="24"/>
          <w:szCs w:val="24"/>
          <w:shd w:val="clear" w:color="auto" w:fill="FFFFFF"/>
          <w:lang w:eastAsia="tr-TR"/>
        </w:rPr>
        <w:t>A Review of the Merger and Acquisition wave Literature: History, Antecedents, Consequences, and Future Directions. In The Handbook of Mergers and Acquisitions. : Oxford University Press. Retrieved 2 May. 2020, from https://www-oxfordscholarship-com.</w:t>
      </w:r>
    </w:p>
    <w:p w14:paraId="21F184F9"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shd w:val="clear" w:color="auto" w:fill="FFFFFF"/>
          <w:lang w:eastAsia="tr-TR"/>
        </w:rPr>
        <w:t>Mitsuru Kodama, 2019. "</w:t>
      </w:r>
      <w:hyperlink r:id="rId44" w:history="1">
        <w:r w:rsidRPr="00C36E51">
          <w:rPr>
            <w:rFonts w:ascii="Times New Roman" w:eastAsiaTheme="minorEastAsia" w:hAnsi="Times New Roman" w:cs="Times New Roman"/>
            <w:sz w:val="24"/>
            <w:szCs w:val="24"/>
            <w:u w:val="single"/>
            <w:lang w:eastAsia="tr-TR"/>
          </w:rPr>
          <w:t>New Business Model Innovation in the Mobile Telecommunication Industry — A Case Study of SoftBank</w:t>
        </w:r>
      </w:hyperlink>
      <w:r w:rsidRPr="00C36E51">
        <w:rPr>
          <w:rFonts w:ascii="Times New Roman" w:eastAsiaTheme="minorEastAsia" w:hAnsi="Times New Roman" w:cs="Times New Roman"/>
          <w:sz w:val="24"/>
          <w:szCs w:val="24"/>
          <w:shd w:val="clear" w:color="auto" w:fill="FFFFFF"/>
          <w:lang w:eastAsia="tr-TR"/>
        </w:rPr>
        <w:t>," </w:t>
      </w:r>
      <w:hyperlink r:id="rId45" w:history="1">
        <w:r w:rsidRPr="00C36E51">
          <w:rPr>
            <w:rFonts w:ascii="Times New Roman" w:eastAsiaTheme="minorEastAsia" w:hAnsi="Times New Roman" w:cs="Times New Roman"/>
            <w:sz w:val="24"/>
            <w:szCs w:val="24"/>
            <w:u w:val="single"/>
            <w:lang w:eastAsia="tr-TR"/>
          </w:rPr>
          <w:t>World Scientific Book Chapters</w:t>
        </w:r>
      </w:hyperlink>
      <w:r w:rsidRPr="00C36E51">
        <w:rPr>
          <w:rFonts w:ascii="Times New Roman" w:eastAsiaTheme="minorEastAsia" w:hAnsi="Times New Roman" w:cs="Times New Roman"/>
          <w:sz w:val="24"/>
          <w:szCs w:val="24"/>
          <w:shd w:val="clear" w:color="auto" w:fill="FFFFFF"/>
          <w:lang w:eastAsia="tr-TR"/>
        </w:rPr>
        <w:t>, in:</w:t>
      </w:r>
      <w:hyperlink r:id="rId46" w:history="1">
        <w:r w:rsidRPr="00C36E51">
          <w:rPr>
            <w:rFonts w:ascii="Times New Roman" w:eastAsiaTheme="minorEastAsia" w:hAnsi="Times New Roman" w:cs="Times New Roman"/>
            <w:sz w:val="24"/>
            <w:szCs w:val="24"/>
            <w:u w:val="single"/>
            <w:lang w:eastAsia="tr-TR"/>
          </w:rPr>
          <w:t> Developing Holistic Strategic Management in the Advanced ICT Era</w:t>
        </w:r>
      </w:hyperlink>
      <w:r w:rsidRPr="00C36E51">
        <w:rPr>
          <w:rFonts w:ascii="Times New Roman" w:eastAsiaTheme="minorEastAsia" w:hAnsi="Times New Roman" w:cs="Times New Roman"/>
          <w:sz w:val="24"/>
          <w:szCs w:val="24"/>
          <w:shd w:val="clear" w:color="auto" w:fill="FFFFFF"/>
          <w:lang w:eastAsia="tr-TR"/>
        </w:rPr>
        <w:t>, chapter 7, pages 275-325, World Scientific Publishing Co. Pt. Ltd</w:t>
      </w:r>
    </w:p>
    <w:p w14:paraId="49871AD9"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shd w:val="clear" w:color="auto" w:fill="FFFFFF"/>
          <w:lang w:eastAsia="tr-TR"/>
        </w:rPr>
      </w:pPr>
      <w:r w:rsidRPr="00C36E51">
        <w:rPr>
          <w:rFonts w:ascii="Times New Roman" w:eastAsiaTheme="minorEastAsia" w:hAnsi="Times New Roman" w:cs="Times New Roman"/>
          <w:sz w:val="24"/>
          <w:szCs w:val="24"/>
          <w:shd w:val="clear" w:color="auto" w:fill="FFFFFF"/>
          <w:lang w:eastAsia="tr-TR"/>
        </w:rPr>
        <w:t>Savitz, E., 2020. </w:t>
      </w:r>
      <w:r w:rsidRPr="00C36E51">
        <w:rPr>
          <w:rFonts w:ascii="Times New Roman" w:eastAsiaTheme="minorEastAsia" w:hAnsi="Times New Roman" w:cs="Times New Roman"/>
          <w:i/>
          <w:iCs/>
          <w:sz w:val="24"/>
          <w:szCs w:val="24"/>
          <w:shd w:val="clear" w:color="auto" w:fill="FFFFFF"/>
          <w:lang w:eastAsia="tr-TR"/>
        </w:rPr>
        <w:t>The Biggest Investing Bet On Tech Is Cheap—And Controversial</w:t>
      </w:r>
      <w:r w:rsidRPr="00C36E51">
        <w:rPr>
          <w:rFonts w:ascii="Times New Roman" w:eastAsiaTheme="minorEastAsia" w:hAnsi="Times New Roman" w:cs="Times New Roman"/>
          <w:sz w:val="24"/>
          <w:szCs w:val="24"/>
          <w:shd w:val="clear" w:color="auto" w:fill="FFFFFF"/>
          <w:lang w:eastAsia="tr-TR"/>
        </w:rPr>
        <w:t>. [online] Barrons.com. Available at: &lt;https://www.barrons.com/articles/investing-in-softbank-is-a-bet-on-the-future-of-tech-51563582602&gt; [Accessed 29 April 2020].</w:t>
      </w:r>
    </w:p>
    <w:p w14:paraId="5F1DE13B" w14:textId="6CF627C0" w:rsidR="00E139C5" w:rsidRPr="00C36E51" w:rsidRDefault="00B52966" w:rsidP="00E139C5">
      <w:pPr>
        <w:numPr>
          <w:ilvl w:val="0"/>
          <w:numId w:val="23"/>
        </w:numPr>
        <w:spacing w:after="200" w:line="360" w:lineRule="auto"/>
        <w:contextualSpacing/>
        <w:jc w:val="both"/>
        <w:rPr>
          <w:rFonts w:ascii="Times New Roman" w:eastAsiaTheme="minorEastAsia" w:hAnsi="Times New Roman" w:cs="Times New Roman"/>
          <w:sz w:val="24"/>
          <w:szCs w:val="24"/>
          <w:shd w:val="clear" w:color="auto" w:fill="FFFFFF"/>
          <w:lang w:eastAsia="tr-TR"/>
        </w:rPr>
      </w:pPr>
      <w:r>
        <w:rPr>
          <w:rFonts w:ascii="Times New Roman" w:eastAsiaTheme="minorEastAsia" w:hAnsi="Times New Roman" w:cs="Times New Roman"/>
          <w:sz w:val="24"/>
          <w:szCs w:val="24"/>
          <w:lang w:eastAsia="tr-TR"/>
        </w:rPr>
        <w:t>[Available]</w:t>
      </w:r>
      <w:r w:rsidR="00C36E51" w:rsidRPr="00C36E51">
        <w:rPr>
          <w:rFonts w:ascii="Times New Roman" w:eastAsiaTheme="minorEastAsia" w:hAnsi="Times New Roman" w:cs="Times New Roman"/>
          <w:sz w:val="24"/>
          <w:szCs w:val="24"/>
          <w:lang w:eastAsia="tr-TR"/>
        </w:rPr>
        <w:t>&lt;https://www.pwc.com.au/publications/pdf/unlocking-japans-potential.pdf.&gt;</w:t>
      </w:r>
      <w:r w:rsidR="00E139C5" w:rsidRPr="00C36E51">
        <w:rPr>
          <w:rFonts w:ascii="Times New Roman" w:eastAsiaTheme="minorEastAsia" w:hAnsi="Times New Roman" w:cs="Times New Roman"/>
          <w:sz w:val="24"/>
          <w:szCs w:val="24"/>
          <w:lang w:eastAsia="tr-TR"/>
        </w:rPr>
        <w:t>[Accessed 29 April 2020].</w:t>
      </w:r>
    </w:p>
    <w:p w14:paraId="18566B94"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shd w:val="clear" w:color="auto" w:fill="FFFFFF"/>
          <w:lang w:eastAsia="tr-TR"/>
        </w:rPr>
      </w:pPr>
      <w:r w:rsidRPr="00C36E51">
        <w:rPr>
          <w:rFonts w:ascii="Times New Roman" w:eastAsiaTheme="minorEastAsia" w:hAnsi="Times New Roman" w:cs="Times New Roman"/>
          <w:sz w:val="24"/>
          <w:szCs w:val="24"/>
          <w:shd w:val="clear" w:color="auto" w:fill="FFFFFF"/>
          <w:lang w:eastAsia="tr-TR"/>
        </w:rPr>
        <w:t>&lt;https://group.softbank/en/ir/financials/annual_reports/2018/message/segars&gt; [Accessed 29 April 2020].</w:t>
      </w:r>
    </w:p>
    <w:p w14:paraId="4669C9C2" w14:textId="524A7FA0" w:rsidR="00E139C5" w:rsidRPr="00B52966" w:rsidRDefault="00E139C5" w:rsidP="00B52966">
      <w:pPr>
        <w:numPr>
          <w:ilvl w:val="0"/>
          <w:numId w:val="23"/>
        </w:numPr>
        <w:spacing w:after="200" w:line="360" w:lineRule="auto"/>
        <w:contextualSpacing/>
        <w:jc w:val="both"/>
        <w:rPr>
          <w:rFonts w:ascii="Times New Roman" w:eastAsiaTheme="minorEastAsia" w:hAnsi="Times New Roman" w:cs="Times New Roman"/>
          <w:sz w:val="24"/>
          <w:szCs w:val="24"/>
          <w:shd w:val="clear" w:color="auto" w:fill="F5F5F5"/>
          <w:lang w:eastAsia="tr-TR"/>
        </w:rPr>
      </w:pPr>
      <w:r w:rsidRPr="00C36E51">
        <w:rPr>
          <w:rFonts w:ascii="Times New Roman" w:eastAsiaTheme="minorEastAsia" w:hAnsi="Times New Roman" w:cs="Times New Roman"/>
          <w:sz w:val="24"/>
          <w:szCs w:val="24"/>
          <w:shd w:val="clear" w:color="auto" w:fill="F5F5F5"/>
          <w:lang w:eastAsia="tr-TR"/>
        </w:rPr>
        <w:t>Softbank acquires ARM for $31.4 billion’ (2016) </w:t>
      </w:r>
      <w:r w:rsidRPr="00C36E51">
        <w:rPr>
          <w:rFonts w:ascii="Times New Roman" w:eastAsiaTheme="minorEastAsia" w:hAnsi="Times New Roman" w:cs="Times New Roman"/>
          <w:i/>
          <w:iCs/>
          <w:sz w:val="24"/>
          <w:szCs w:val="24"/>
          <w:bdr w:val="none" w:sz="0" w:space="0" w:color="auto" w:frame="1"/>
          <w:shd w:val="clear" w:color="auto" w:fill="F5F5F5"/>
          <w:lang w:eastAsia="tr-TR"/>
        </w:rPr>
        <w:t xml:space="preserve">FRPT- </w:t>
      </w:r>
      <w:r w:rsidRPr="00B52966">
        <w:rPr>
          <w:rFonts w:ascii="Times New Roman" w:eastAsiaTheme="minorEastAsia" w:hAnsi="Times New Roman" w:cs="Times New Roman"/>
          <w:i/>
          <w:iCs/>
          <w:sz w:val="24"/>
          <w:szCs w:val="24"/>
          <w:bdr w:val="none" w:sz="0" w:space="0" w:color="auto" w:frame="1"/>
          <w:shd w:val="clear" w:color="auto" w:fill="F5F5F5"/>
          <w:lang w:eastAsia="tr-TR"/>
        </w:rPr>
        <w:t>M&amp;A Snapshot</w:t>
      </w:r>
      <w:r w:rsidRPr="00B52966">
        <w:rPr>
          <w:rFonts w:ascii="Times New Roman" w:eastAsiaTheme="minorEastAsia" w:hAnsi="Times New Roman" w:cs="Times New Roman"/>
          <w:sz w:val="24"/>
          <w:szCs w:val="24"/>
          <w:shd w:val="clear" w:color="auto" w:fill="F5F5F5"/>
          <w:lang w:eastAsia="tr-TR"/>
        </w:rPr>
        <w:t>, pp. 4–5</w:t>
      </w:r>
      <w:r w:rsidR="00B52966">
        <w:rPr>
          <w:rFonts w:ascii="Times New Roman" w:eastAsiaTheme="minorEastAsia" w:hAnsi="Times New Roman" w:cs="Times New Roman"/>
          <w:sz w:val="24"/>
          <w:szCs w:val="24"/>
          <w:shd w:val="clear" w:color="auto" w:fill="F5F5F5"/>
          <w:lang w:eastAsia="tr-TR"/>
        </w:rPr>
        <w:t xml:space="preserve"> </w:t>
      </w:r>
      <w:r w:rsidRPr="00B52966">
        <w:rPr>
          <w:rFonts w:ascii="Times New Roman" w:eastAsiaTheme="minorEastAsia" w:hAnsi="Times New Roman" w:cs="Times New Roman"/>
          <w:sz w:val="24"/>
          <w:szCs w:val="24"/>
          <w:shd w:val="clear" w:color="auto" w:fill="F5F5F5"/>
          <w:lang w:eastAsia="tr-TR"/>
        </w:rPr>
        <w:t>Available</w:t>
      </w:r>
      <w:r w:rsidR="00B52966">
        <w:rPr>
          <w:rFonts w:ascii="Times New Roman" w:eastAsiaTheme="minorEastAsia" w:hAnsi="Times New Roman" w:cs="Times New Roman"/>
          <w:sz w:val="24"/>
          <w:szCs w:val="24"/>
          <w:shd w:val="clear" w:color="auto" w:fill="F5F5F5"/>
          <w:lang w:eastAsia="tr-TR"/>
        </w:rPr>
        <w:t xml:space="preserve"> </w:t>
      </w:r>
      <w:bookmarkStart w:id="32" w:name="_GoBack"/>
      <w:bookmarkEnd w:id="32"/>
      <w:r w:rsidRPr="00B52966">
        <w:rPr>
          <w:rFonts w:ascii="Times New Roman" w:eastAsiaTheme="minorEastAsia" w:hAnsi="Times New Roman" w:cs="Times New Roman"/>
          <w:sz w:val="24"/>
          <w:szCs w:val="24"/>
          <w:shd w:val="clear" w:color="auto" w:fill="F5F5F5"/>
          <w:lang w:eastAsia="tr-TR"/>
        </w:rPr>
        <w:t>at</w:t>
      </w:r>
      <w:r w:rsidR="00B52966">
        <w:rPr>
          <w:rFonts w:ascii="Times New Roman" w:eastAsiaTheme="minorEastAsia" w:hAnsi="Times New Roman" w:cs="Times New Roman"/>
          <w:sz w:val="24"/>
          <w:szCs w:val="24"/>
          <w:shd w:val="clear" w:color="auto" w:fill="F5F5F5"/>
          <w:lang w:eastAsia="tr-TR"/>
        </w:rPr>
        <w:t xml:space="preserve">:     </w:t>
      </w:r>
      <w:r w:rsidRPr="00B52966">
        <w:rPr>
          <w:rFonts w:ascii="Times New Roman" w:eastAsiaTheme="minorEastAsia" w:hAnsi="Times New Roman" w:cs="Times New Roman"/>
          <w:sz w:val="24"/>
          <w:szCs w:val="24"/>
          <w:shd w:val="clear" w:color="auto" w:fill="F5F5F5"/>
          <w:lang w:eastAsia="tr-TR"/>
        </w:rPr>
        <w:t>https://search-ebscohost-com.ezproxy.uwtsd.ac.uk/login.aspx?direct=true&amp;db=bth&amp;AN=118805558&amp;site=ehost-live (Accessed: 17 March 2020).</w:t>
      </w:r>
    </w:p>
    <w:p w14:paraId="636DEBC5" w14:textId="41D65A01" w:rsidR="00E139C5" w:rsidRPr="00C36E51" w:rsidRDefault="00E139C5" w:rsidP="00E139C5">
      <w:pPr>
        <w:numPr>
          <w:ilvl w:val="0"/>
          <w:numId w:val="23"/>
        </w:numPr>
        <w:spacing w:after="200" w:line="360" w:lineRule="auto"/>
        <w:contextualSpacing/>
        <w:jc w:val="both"/>
        <w:rPr>
          <w:rFonts w:ascii="Times New Roman" w:eastAsiaTheme="minorEastAsia" w:hAnsi="Times New Roman" w:cs="Times New Roman"/>
          <w:sz w:val="24"/>
          <w:szCs w:val="24"/>
          <w:shd w:val="clear" w:color="auto" w:fill="F5F5F5"/>
          <w:lang w:eastAsia="tr-TR"/>
        </w:rPr>
      </w:pPr>
      <w:r w:rsidRPr="00C36E51">
        <w:rPr>
          <w:rFonts w:ascii="Times New Roman" w:eastAsiaTheme="minorEastAsia" w:hAnsi="Times New Roman" w:cs="Times New Roman"/>
          <w:sz w:val="24"/>
          <w:szCs w:val="24"/>
          <w:shd w:val="clear" w:color="auto" w:fill="FFFFFF"/>
          <w:lang w:eastAsia="tr-TR"/>
        </w:rPr>
        <w:t>Anon, </w:t>
      </w:r>
      <w:r w:rsidRPr="00C36E51">
        <w:rPr>
          <w:rFonts w:ascii="Times New Roman" w:eastAsiaTheme="minorEastAsia" w:hAnsi="Times New Roman" w:cs="Times New Roman"/>
          <w:i/>
          <w:iCs/>
          <w:sz w:val="24"/>
          <w:szCs w:val="24"/>
          <w:shd w:val="clear" w:color="auto" w:fill="FFFFFF"/>
          <w:lang w:eastAsia="tr-TR"/>
        </w:rPr>
        <w:t>Softbank Corporation SWOT Analysis</w:t>
      </w:r>
      <w:r w:rsidRPr="00C36E51">
        <w:rPr>
          <w:rFonts w:ascii="Times New Roman" w:eastAsiaTheme="minorEastAsia" w:hAnsi="Times New Roman" w:cs="Times New Roman"/>
          <w:sz w:val="24"/>
          <w:szCs w:val="24"/>
          <w:shd w:val="clear" w:color="auto" w:fill="FFFFFF"/>
          <w:lang w:eastAsia="tr-TR"/>
        </w:rPr>
        <w:t>.</w:t>
      </w:r>
      <w:r w:rsidRPr="00C36E51">
        <w:rPr>
          <w:rFonts w:ascii="Times New Roman" w:eastAsiaTheme="minorEastAsia" w:hAnsi="Times New Roman" w:cs="Times New Roman"/>
          <w:sz w:val="24"/>
          <w:szCs w:val="24"/>
          <w:shd w:val="clear" w:color="auto" w:fill="F5F5F5"/>
          <w:lang w:eastAsia="tr-TR"/>
        </w:rPr>
        <w:t xml:space="preserve"> ‘Softbank Corporation SWOT Analysis’ 2015, </w:t>
      </w:r>
      <w:r w:rsidRPr="00C36E51">
        <w:rPr>
          <w:rFonts w:ascii="Times New Roman" w:eastAsiaTheme="minorEastAsia" w:hAnsi="Times New Roman" w:cs="Times New Roman"/>
          <w:i/>
          <w:iCs/>
          <w:sz w:val="24"/>
          <w:szCs w:val="24"/>
          <w:bdr w:val="none" w:sz="0" w:space="0" w:color="auto" w:frame="1"/>
          <w:shd w:val="clear" w:color="auto" w:fill="F5F5F5"/>
          <w:lang w:eastAsia="tr-TR"/>
        </w:rPr>
        <w:t>Softbank Corporation SWOT Analysis</w:t>
      </w:r>
      <w:r w:rsidRPr="00C36E51">
        <w:rPr>
          <w:rFonts w:ascii="Times New Roman" w:eastAsiaTheme="minorEastAsia" w:hAnsi="Times New Roman" w:cs="Times New Roman"/>
          <w:sz w:val="24"/>
          <w:szCs w:val="24"/>
          <w:shd w:val="clear" w:color="auto" w:fill="F5F5F5"/>
          <w:lang w:eastAsia="tr-TR"/>
        </w:rPr>
        <w:t>, pp. 1–9, viewed 17 March 2020, &lt;https://searchebscohostcom.ezproxy.uwtsd.ac.uk/login.aspx?direct=true&amp;db=bth&amp;AN=102705401&amp;site=ehost-live&gt;.</w:t>
      </w:r>
    </w:p>
    <w:p w14:paraId="0AFACBAC" w14:textId="6A10F22D" w:rsidR="00E139C5" w:rsidRPr="00B52966" w:rsidRDefault="00B52966"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B52966">
        <w:t>(Available)</w:t>
      </w:r>
      <w:hyperlink r:id="rId47" w:history="1">
        <w:r w:rsidRPr="00B52966">
          <w:rPr>
            <w:rStyle w:val="Hyperlink"/>
            <w:rFonts w:ascii="Times New Roman" w:eastAsiaTheme="minorEastAsia" w:hAnsi="Times New Roman" w:cs="Times New Roman"/>
            <w:color w:val="auto"/>
            <w:sz w:val="24"/>
            <w:szCs w:val="24"/>
            <w:lang w:eastAsia="tr-TR"/>
          </w:rPr>
          <w:t>https://group.softbank/system/files/pdf/ir/financials/annual_reports/annual-report_fy2019_01_en.pdf</w:t>
        </w:r>
      </w:hyperlink>
      <w:r w:rsidRPr="00B52966">
        <w:rPr>
          <w:rFonts w:ascii="Times New Roman" w:eastAsiaTheme="minorEastAsia" w:hAnsi="Times New Roman" w:cs="Times New Roman"/>
          <w:sz w:val="24"/>
          <w:szCs w:val="24"/>
          <w:u w:val="single"/>
          <w:lang w:eastAsia="tr-TR"/>
        </w:rPr>
        <w:t xml:space="preserve"> (Accessed 25th April 2020)</w:t>
      </w:r>
    </w:p>
    <w:p w14:paraId="52643690" w14:textId="77777777" w:rsidR="00E139C5" w:rsidRPr="00C36E51" w:rsidRDefault="00E139C5" w:rsidP="00E139C5">
      <w:pPr>
        <w:spacing w:after="200" w:line="360" w:lineRule="auto"/>
        <w:ind w:left="720"/>
        <w:contextualSpacing/>
        <w:jc w:val="both"/>
        <w:rPr>
          <w:rFonts w:ascii="Times New Roman" w:eastAsiaTheme="minorEastAsia" w:hAnsi="Times New Roman" w:cs="Times New Roman"/>
          <w:sz w:val="24"/>
          <w:szCs w:val="24"/>
          <w:shd w:val="clear" w:color="auto" w:fill="F5F5F5"/>
          <w:lang w:eastAsia="tr-TR"/>
        </w:rPr>
      </w:pPr>
    </w:p>
    <w:p w14:paraId="698E0B2D"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shd w:val="clear" w:color="auto" w:fill="FFFFFF"/>
          <w:lang w:eastAsia="tr-TR"/>
        </w:rPr>
        <w:lastRenderedPageBreak/>
        <w:t>&lt;https://www2.deloitte.com/us/en/pages/technology-media-and-telecommunications/articles/technology-industry-outlook.html&gt; [Accessed 29 April 2020].</w:t>
      </w:r>
    </w:p>
    <w:p w14:paraId="094FA786"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shd w:val="clear" w:color="auto" w:fill="FFFFFF"/>
          <w:lang w:eastAsia="tr-TR"/>
        </w:rPr>
        <w:t>https://www.independent.co.uk/news/business/news/arm-holdings-sales-jump-17-ahead-of-softbank-takeover-a7157831.html</w:t>
      </w:r>
    </w:p>
    <w:p w14:paraId="4FDA81EA"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shd w:val="clear" w:color="auto" w:fill="FFFFFF"/>
          <w:lang w:eastAsia="tr-TR"/>
        </w:rPr>
      </w:pPr>
      <w:r w:rsidRPr="00C36E51">
        <w:rPr>
          <w:rFonts w:ascii="Times New Roman" w:eastAsiaTheme="minorEastAsia" w:hAnsi="Times New Roman" w:cs="Times New Roman"/>
          <w:sz w:val="24"/>
          <w:szCs w:val="24"/>
          <w:shd w:val="clear" w:color="auto" w:fill="FFFFFF"/>
          <w:lang w:eastAsia="tr-TR"/>
        </w:rPr>
        <w:t>Ltd., A., 2020. </w:t>
      </w:r>
      <w:r w:rsidRPr="00C36E51">
        <w:rPr>
          <w:rFonts w:ascii="Times New Roman" w:eastAsiaTheme="minorEastAsia" w:hAnsi="Times New Roman" w:cs="Times New Roman"/>
          <w:i/>
          <w:iCs/>
          <w:sz w:val="24"/>
          <w:szCs w:val="24"/>
          <w:shd w:val="clear" w:color="auto" w:fill="FFFFFF"/>
          <w:lang w:eastAsia="tr-TR"/>
        </w:rPr>
        <w:t>The Arm Ecosystem: More Than Just An Ecosystem, It’s Oxygen For Soc Design Teams</w:t>
      </w:r>
      <w:r w:rsidRPr="00C36E51">
        <w:rPr>
          <w:rFonts w:ascii="Times New Roman" w:eastAsiaTheme="minorEastAsia" w:hAnsi="Times New Roman" w:cs="Times New Roman"/>
          <w:sz w:val="24"/>
          <w:szCs w:val="24"/>
          <w:shd w:val="clear" w:color="auto" w:fill="FFFFFF"/>
          <w:lang w:eastAsia="tr-TR"/>
        </w:rPr>
        <w:t xml:space="preserve">. [online] Arm | The Architecture for the Digital World. Available at: </w:t>
      </w:r>
      <w:bookmarkStart w:id="33" w:name="_Hlk39034572"/>
      <w:r w:rsidRPr="00C36E51">
        <w:rPr>
          <w:rFonts w:ascii="Times New Roman" w:eastAsiaTheme="minorEastAsia" w:hAnsi="Times New Roman" w:cs="Times New Roman"/>
          <w:sz w:val="24"/>
          <w:szCs w:val="24"/>
          <w:shd w:val="clear" w:color="auto" w:fill="FFFFFF"/>
          <w:lang w:eastAsia="tr-TR"/>
        </w:rPr>
        <w:t>&lt;https://www.arm.com/company/news/2019/04/the-arm-ecosystem-more-than-just-an-ecosystem&gt; [Accessed 29 April 2020].</w:t>
      </w:r>
      <w:bookmarkEnd w:id="33"/>
    </w:p>
    <w:p w14:paraId="0CB6DDBB" w14:textId="77777777" w:rsidR="00C36E51" w:rsidRPr="00C36E51" w:rsidRDefault="00C36E51" w:rsidP="00E139C5">
      <w:pPr>
        <w:numPr>
          <w:ilvl w:val="0"/>
          <w:numId w:val="23"/>
        </w:numPr>
        <w:spacing w:after="200" w:line="360" w:lineRule="auto"/>
        <w:contextualSpacing/>
        <w:jc w:val="both"/>
        <w:rPr>
          <w:rFonts w:ascii="Times New Roman" w:eastAsiaTheme="minorEastAsia" w:hAnsi="Times New Roman" w:cs="Times New Roman"/>
          <w:sz w:val="24"/>
          <w:szCs w:val="24"/>
          <w:lang w:eastAsia="tr-TR"/>
        </w:rPr>
      </w:pPr>
      <w:r w:rsidRPr="00C36E51">
        <w:rPr>
          <w:rFonts w:ascii="Times New Roman" w:eastAsiaTheme="minorEastAsia" w:hAnsi="Times New Roman" w:cs="Times New Roman"/>
          <w:sz w:val="24"/>
          <w:szCs w:val="24"/>
          <w:shd w:val="clear" w:color="auto" w:fill="FFFFFF"/>
          <w:lang w:eastAsia="tr-TR"/>
        </w:rPr>
        <w:t>&lt;https://www.arm.com/company/news/2019/04/the-arm-ecosystem-more-than-just-an-ecosystem&gt; [Accessed 29 April 2020].</w:t>
      </w:r>
    </w:p>
    <w:p w14:paraId="5E64FBBD" w14:textId="77777777" w:rsidR="00C36E51" w:rsidRPr="00C36E51" w:rsidRDefault="00C36E51" w:rsidP="00E139C5">
      <w:pPr>
        <w:spacing w:line="360" w:lineRule="auto"/>
        <w:jc w:val="both"/>
        <w:rPr>
          <w:rFonts w:ascii="Times New Roman" w:hAnsi="Times New Roman" w:cs="Times New Roman"/>
          <w:sz w:val="24"/>
          <w:szCs w:val="24"/>
        </w:rPr>
      </w:pPr>
    </w:p>
    <w:p w14:paraId="631A7353" w14:textId="77777777" w:rsidR="00C36E51" w:rsidRPr="00C36E51" w:rsidRDefault="00C36E51" w:rsidP="00E139C5">
      <w:pPr>
        <w:spacing w:line="360" w:lineRule="auto"/>
        <w:jc w:val="both"/>
        <w:rPr>
          <w:rFonts w:ascii="Times New Roman" w:hAnsi="Times New Roman" w:cs="Times New Roman"/>
          <w:b/>
          <w:bCs/>
          <w:sz w:val="24"/>
          <w:szCs w:val="24"/>
        </w:rPr>
      </w:pPr>
    </w:p>
    <w:p w14:paraId="6C7BD4DC" w14:textId="77777777" w:rsidR="002770CC" w:rsidRPr="00E139C5" w:rsidRDefault="002770CC" w:rsidP="00E139C5">
      <w:pPr>
        <w:spacing w:line="360" w:lineRule="auto"/>
        <w:jc w:val="both"/>
        <w:rPr>
          <w:rFonts w:ascii="Times New Roman" w:hAnsi="Times New Roman" w:cs="Times New Roman"/>
          <w:b/>
          <w:bCs/>
          <w:sz w:val="24"/>
          <w:szCs w:val="24"/>
        </w:rPr>
      </w:pPr>
    </w:p>
    <w:sectPr w:rsidR="002770CC" w:rsidRPr="00E139C5">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B0A24" w14:textId="77777777" w:rsidR="00794848" w:rsidRDefault="00794848" w:rsidP="005040D7">
      <w:pPr>
        <w:spacing w:after="0" w:line="240" w:lineRule="auto"/>
      </w:pPr>
      <w:r>
        <w:separator/>
      </w:r>
    </w:p>
  </w:endnote>
  <w:endnote w:type="continuationSeparator" w:id="0">
    <w:p w14:paraId="31DA9FFE" w14:textId="77777777" w:rsidR="00794848" w:rsidRDefault="00794848" w:rsidP="00504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FP-ヒラギノUD角ゴ StdN W3">
    <w:altName w:val="Yu Gothic"/>
    <w:panose1 w:val="00000000000000000000"/>
    <w:charset w:val="80"/>
    <w:family w:val="roman"/>
    <w:notTrueType/>
    <w:pitch w:val="default"/>
    <w:sig w:usb0="00000001" w:usb1="08070000" w:usb2="00000010" w:usb3="00000000" w:csb0="00020000"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6318753"/>
      <w:docPartObj>
        <w:docPartGallery w:val="Page Numbers (Bottom of Page)"/>
        <w:docPartUnique/>
      </w:docPartObj>
    </w:sdtPr>
    <w:sdtEndPr>
      <w:rPr>
        <w:noProof/>
      </w:rPr>
    </w:sdtEndPr>
    <w:sdtContent>
      <w:p w14:paraId="1B1445C8" w14:textId="03E453CE" w:rsidR="007C4375" w:rsidRDefault="007C43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A5A6F0" w14:textId="77777777" w:rsidR="007C4375" w:rsidRDefault="007C4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9CC891" w14:textId="77777777" w:rsidR="00794848" w:rsidRDefault="00794848" w:rsidP="005040D7">
      <w:pPr>
        <w:spacing w:after="0" w:line="240" w:lineRule="auto"/>
      </w:pPr>
      <w:r>
        <w:separator/>
      </w:r>
    </w:p>
  </w:footnote>
  <w:footnote w:type="continuationSeparator" w:id="0">
    <w:p w14:paraId="39A33A0F" w14:textId="77777777" w:rsidR="00794848" w:rsidRDefault="00794848" w:rsidP="00504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6677"/>
    <w:multiLevelType w:val="hybridMultilevel"/>
    <w:tmpl w:val="507C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D25CD"/>
    <w:multiLevelType w:val="multilevel"/>
    <w:tmpl w:val="B0C8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46B2B"/>
    <w:multiLevelType w:val="hybridMultilevel"/>
    <w:tmpl w:val="5D18C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32C90"/>
    <w:multiLevelType w:val="hybridMultilevel"/>
    <w:tmpl w:val="D8803066"/>
    <w:lvl w:ilvl="0" w:tplc="2538575C">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D7B6B05"/>
    <w:multiLevelType w:val="hybridMultilevel"/>
    <w:tmpl w:val="CF081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12B8F"/>
    <w:multiLevelType w:val="multilevel"/>
    <w:tmpl w:val="8820A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BF581A"/>
    <w:multiLevelType w:val="multilevel"/>
    <w:tmpl w:val="2B92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8938FD"/>
    <w:multiLevelType w:val="hybridMultilevel"/>
    <w:tmpl w:val="01149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CE4F0B"/>
    <w:multiLevelType w:val="hybridMultilevel"/>
    <w:tmpl w:val="4F08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D6FBD"/>
    <w:multiLevelType w:val="hybridMultilevel"/>
    <w:tmpl w:val="02C6A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E43FFE"/>
    <w:multiLevelType w:val="hybridMultilevel"/>
    <w:tmpl w:val="60C25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4508A"/>
    <w:multiLevelType w:val="hybridMultilevel"/>
    <w:tmpl w:val="10723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8635E"/>
    <w:multiLevelType w:val="hybridMultilevel"/>
    <w:tmpl w:val="C4326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495303"/>
    <w:multiLevelType w:val="multilevel"/>
    <w:tmpl w:val="A5066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4A7722"/>
    <w:multiLevelType w:val="hybridMultilevel"/>
    <w:tmpl w:val="4748F974"/>
    <w:lvl w:ilvl="0" w:tplc="041F0011">
      <w:start w:val="1"/>
      <w:numFmt w:val="decimal"/>
      <w:lvlText w:val="%1)"/>
      <w:lvlJc w:val="left"/>
      <w:pPr>
        <w:ind w:left="1440" w:hanging="360"/>
      </w:pPr>
    </w:lvl>
    <w:lvl w:ilvl="1" w:tplc="041F0019">
      <w:start w:val="1"/>
      <w:numFmt w:val="lowerLetter"/>
      <w:lvlText w:val="%2."/>
      <w:lvlJc w:val="left"/>
      <w:pPr>
        <w:ind w:left="2160" w:hanging="360"/>
      </w:pPr>
    </w:lvl>
    <w:lvl w:ilvl="2" w:tplc="041F001B">
      <w:start w:val="1"/>
      <w:numFmt w:val="lowerRoman"/>
      <w:lvlText w:val="%3."/>
      <w:lvlJc w:val="right"/>
      <w:pPr>
        <w:ind w:left="2880" w:hanging="180"/>
      </w:pPr>
    </w:lvl>
    <w:lvl w:ilvl="3" w:tplc="041F000F">
      <w:start w:val="1"/>
      <w:numFmt w:val="decimal"/>
      <w:lvlText w:val="%4."/>
      <w:lvlJc w:val="left"/>
      <w:pPr>
        <w:ind w:left="3600" w:hanging="360"/>
      </w:pPr>
    </w:lvl>
    <w:lvl w:ilvl="4" w:tplc="041F0019">
      <w:start w:val="1"/>
      <w:numFmt w:val="lowerLetter"/>
      <w:lvlText w:val="%5."/>
      <w:lvlJc w:val="left"/>
      <w:pPr>
        <w:ind w:left="4320" w:hanging="360"/>
      </w:pPr>
    </w:lvl>
    <w:lvl w:ilvl="5" w:tplc="041F001B">
      <w:start w:val="1"/>
      <w:numFmt w:val="lowerRoman"/>
      <w:lvlText w:val="%6."/>
      <w:lvlJc w:val="right"/>
      <w:pPr>
        <w:ind w:left="5040" w:hanging="180"/>
      </w:pPr>
    </w:lvl>
    <w:lvl w:ilvl="6" w:tplc="041F000F">
      <w:start w:val="1"/>
      <w:numFmt w:val="decimal"/>
      <w:lvlText w:val="%7."/>
      <w:lvlJc w:val="left"/>
      <w:pPr>
        <w:ind w:left="5760" w:hanging="360"/>
      </w:pPr>
    </w:lvl>
    <w:lvl w:ilvl="7" w:tplc="041F0019">
      <w:start w:val="1"/>
      <w:numFmt w:val="lowerLetter"/>
      <w:lvlText w:val="%8."/>
      <w:lvlJc w:val="left"/>
      <w:pPr>
        <w:ind w:left="6480" w:hanging="360"/>
      </w:pPr>
    </w:lvl>
    <w:lvl w:ilvl="8" w:tplc="041F001B">
      <w:start w:val="1"/>
      <w:numFmt w:val="lowerRoman"/>
      <w:lvlText w:val="%9."/>
      <w:lvlJc w:val="right"/>
      <w:pPr>
        <w:ind w:left="7200" w:hanging="180"/>
      </w:pPr>
    </w:lvl>
  </w:abstractNum>
  <w:abstractNum w:abstractNumId="15" w15:restartNumberingAfterBreak="0">
    <w:nsid w:val="5A7F71DE"/>
    <w:multiLevelType w:val="hybridMultilevel"/>
    <w:tmpl w:val="5310F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334482"/>
    <w:multiLevelType w:val="hybridMultilevel"/>
    <w:tmpl w:val="D89090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487488D"/>
    <w:multiLevelType w:val="hybridMultilevel"/>
    <w:tmpl w:val="ECD4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542DAD"/>
    <w:multiLevelType w:val="hybridMultilevel"/>
    <w:tmpl w:val="E23C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B55AD"/>
    <w:multiLevelType w:val="hybridMultilevel"/>
    <w:tmpl w:val="F9909DC0"/>
    <w:lvl w:ilvl="0" w:tplc="08D0622C">
      <w:numFmt w:val="bullet"/>
      <w:lvlText w:val=""/>
      <w:lvlJc w:val="left"/>
      <w:pPr>
        <w:ind w:left="580" w:hanging="360"/>
      </w:pPr>
      <w:rPr>
        <w:w w:val="100"/>
        <w:lang w:val="en-US" w:eastAsia="en-US" w:bidi="en-US"/>
      </w:rPr>
    </w:lvl>
    <w:lvl w:ilvl="1" w:tplc="BB2C3D50">
      <w:numFmt w:val="bullet"/>
      <w:lvlText w:val=""/>
      <w:lvlJc w:val="left"/>
      <w:pPr>
        <w:ind w:left="940" w:hanging="324"/>
      </w:pPr>
      <w:rPr>
        <w:rFonts w:ascii="Symbol" w:eastAsia="Symbol" w:hAnsi="Symbol" w:cs="Symbol" w:hint="default"/>
        <w:w w:val="100"/>
        <w:sz w:val="22"/>
        <w:szCs w:val="22"/>
        <w:lang w:val="en-US" w:eastAsia="en-US" w:bidi="en-US"/>
      </w:rPr>
    </w:lvl>
    <w:lvl w:ilvl="2" w:tplc="70BC39D4">
      <w:start w:val="1"/>
      <w:numFmt w:val="lowerLetter"/>
      <w:lvlText w:val="%3."/>
      <w:lvlJc w:val="left"/>
      <w:pPr>
        <w:ind w:left="1300" w:hanging="360"/>
      </w:pPr>
      <w:rPr>
        <w:rFonts w:ascii="Arial" w:eastAsia="Arial" w:hAnsi="Arial" w:cs="Arial" w:hint="default"/>
        <w:b/>
        <w:bCs/>
        <w:spacing w:val="-1"/>
        <w:w w:val="100"/>
        <w:sz w:val="28"/>
        <w:szCs w:val="28"/>
        <w:lang w:val="en-US" w:eastAsia="en-US" w:bidi="en-US"/>
      </w:rPr>
    </w:lvl>
    <w:lvl w:ilvl="3" w:tplc="D11CD3A4">
      <w:numFmt w:val="bullet"/>
      <w:lvlText w:val="•"/>
      <w:lvlJc w:val="left"/>
      <w:pPr>
        <w:ind w:left="1300" w:hanging="360"/>
      </w:pPr>
      <w:rPr>
        <w:lang w:val="en-US" w:eastAsia="en-US" w:bidi="en-US"/>
      </w:rPr>
    </w:lvl>
    <w:lvl w:ilvl="4" w:tplc="B51A141E">
      <w:numFmt w:val="bullet"/>
      <w:lvlText w:val="•"/>
      <w:lvlJc w:val="left"/>
      <w:pPr>
        <w:ind w:left="2670" w:hanging="360"/>
      </w:pPr>
      <w:rPr>
        <w:lang w:val="en-US" w:eastAsia="en-US" w:bidi="en-US"/>
      </w:rPr>
    </w:lvl>
    <w:lvl w:ilvl="5" w:tplc="39E2F15C">
      <w:numFmt w:val="bullet"/>
      <w:lvlText w:val="•"/>
      <w:lvlJc w:val="left"/>
      <w:pPr>
        <w:ind w:left="4041" w:hanging="360"/>
      </w:pPr>
      <w:rPr>
        <w:lang w:val="en-US" w:eastAsia="en-US" w:bidi="en-US"/>
      </w:rPr>
    </w:lvl>
    <w:lvl w:ilvl="6" w:tplc="1804D308">
      <w:numFmt w:val="bullet"/>
      <w:lvlText w:val="•"/>
      <w:lvlJc w:val="left"/>
      <w:pPr>
        <w:ind w:left="5411" w:hanging="360"/>
      </w:pPr>
      <w:rPr>
        <w:lang w:val="en-US" w:eastAsia="en-US" w:bidi="en-US"/>
      </w:rPr>
    </w:lvl>
    <w:lvl w:ilvl="7" w:tplc="848683E6">
      <w:numFmt w:val="bullet"/>
      <w:lvlText w:val="•"/>
      <w:lvlJc w:val="left"/>
      <w:pPr>
        <w:ind w:left="6782" w:hanging="360"/>
      </w:pPr>
      <w:rPr>
        <w:lang w:val="en-US" w:eastAsia="en-US" w:bidi="en-US"/>
      </w:rPr>
    </w:lvl>
    <w:lvl w:ilvl="8" w:tplc="8CAE5444">
      <w:numFmt w:val="bullet"/>
      <w:lvlText w:val="•"/>
      <w:lvlJc w:val="left"/>
      <w:pPr>
        <w:ind w:left="8153" w:hanging="360"/>
      </w:pPr>
      <w:rPr>
        <w:lang w:val="en-US" w:eastAsia="en-US" w:bidi="en-US"/>
      </w:rPr>
    </w:lvl>
  </w:abstractNum>
  <w:abstractNum w:abstractNumId="20" w15:restartNumberingAfterBreak="0">
    <w:nsid w:val="73764D87"/>
    <w:multiLevelType w:val="multilevel"/>
    <w:tmpl w:val="D5D83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E8126B"/>
    <w:multiLevelType w:val="hybridMultilevel"/>
    <w:tmpl w:val="A1467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9312F5"/>
    <w:multiLevelType w:val="hybridMultilevel"/>
    <w:tmpl w:val="EC7CEE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685661"/>
    <w:multiLevelType w:val="hybridMultilevel"/>
    <w:tmpl w:val="253C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5"/>
  </w:num>
  <w:num w:numId="4">
    <w:abstractNumId w:val="8"/>
  </w:num>
  <w:num w:numId="5">
    <w:abstractNumId w:val="10"/>
  </w:num>
  <w:num w:numId="6">
    <w:abstractNumId w:val="18"/>
  </w:num>
  <w:num w:numId="7">
    <w:abstractNumId w:val="4"/>
  </w:num>
  <w:num w:numId="8">
    <w:abstractNumId w:val="2"/>
  </w:num>
  <w:num w:numId="9">
    <w:abstractNumId w:val="22"/>
  </w:num>
  <w:num w:numId="10">
    <w:abstractNumId w:val="17"/>
  </w:num>
  <w:num w:numId="11">
    <w:abstractNumId w:val="21"/>
  </w:num>
  <w:num w:numId="12">
    <w:abstractNumId w:val="16"/>
  </w:num>
  <w:num w:numId="13">
    <w:abstractNumId w:val="13"/>
  </w:num>
  <w:num w:numId="14">
    <w:abstractNumId w:val="6"/>
  </w:num>
  <w:num w:numId="15">
    <w:abstractNumId w:val="20"/>
  </w:num>
  <w:num w:numId="16">
    <w:abstractNumId w:val="1"/>
  </w:num>
  <w:num w:numId="17">
    <w:abstractNumId w:val="5"/>
  </w:num>
  <w:num w:numId="18">
    <w:abstractNumId w:val="3"/>
  </w:num>
  <w:num w:numId="19">
    <w:abstractNumId w:val="12"/>
  </w:num>
  <w:num w:numId="20">
    <w:abstractNumId w:val="0"/>
  </w:num>
  <w:num w:numId="21">
    <w:abstractNumId w:val="23"/>
  </w:num>
  <w:num w:numId="22">
    <w:abstractNumId w:val="11"/>
  </w:num>
  <w:num w:numId="23">
    <w:abstractNumId w:val="7"/>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190"/>
    <w:rsid w:val="00012FA3"/>
    <w:rsid w:val="0001548B"/>
    <w:rsid w:val="0002487C"/>
    <w:rsid w:val="0002765B"/>
    <w:rsid w:val="00030C3E"/>
    <w:rsid w:val="00034B39"/>
    <w:rsid w:val="00035588"/>
    <w:rsid w:val="000361AD"/>
    <w:rsid w:val="0004472C"/>
    <w:rsid w:val="0005472C"/>
    <w:rsid w:val="00057DDE"/>
    <w:rsid w:val="00060308"/>
    <w:rsid w:val="00060D14"/>
    <w:rsid w:val="00067CFF"/>
    <w:rsid w:val="00070719"/>
    <w:rsid w:val="000779BA"/>
    <w:rsid w:val="000816AF"/>
    <w:rsid w:val="00081734"/>
    <w:rsid w:val="000863BF"/>
    <w:rsid w:val="0009162C"/>
    <w:rsid w:val="0009548F"/>
    <w:rsid w:val="000977CC"/>
    <w:rsid w:val="00097D59"/>
    <w:rsid w:val="000A219C"/>
    <w:rsid w:val="000A7631"/>
    <w:rsid w:val="000A77BD"/>
    <w:rsid w:val="000B5D6A"/>
    <w:rsid w:val="000B5F2A"/>
    <w:rsid w:val="000B60E3"/>
    <w:rsid w:val="000B7190"/>
    <w:rsid w:val="000C1780"/>
    <w:rsid w:val="000D397D"/>
    <w:rsid w:val="000D4E3D"/>
    <w:rsid w:val="000D5D70"/>
    <w:rsid w:val="000E1B92"/>
    <w:rsid w:val="000E5B98"/>
    <w:rsid w:val="000F1058"/>
    <w:rsid w:val="000F1AF0"/>
    <w:rsid w:val="000F4853"/>
    <w:rsid w:val="001071DA"/>
    <w:rsid w:val="0011280E"/>
    <w:rsid w:val="00115001"/>
    <w:rsid w:val="00115DCE"/>
    <w:rsid w:val="00130178"/>
    <w:rsid w:val="0014139B"/>
    <w:rsid w:val="0014291F"/>
    <w:rsid w:val="0014406B"/>
    <w:rsid w:val="0014431F"/>
    <w:rsid w:val="00146B92"/>
    <w:rsid w:val="00146CDE"/>
    <w:rsid w:val="001519DB"/>
    <w:rsid w:val="001571C4"/>
    <w:rsid w:val="001602D4"/>
    <w:rsid w:val="00161190"/>
    <w:rsid w:val="0016618F"/>
    <w:rsid w:val="00170EAE"/>
    <w:rsid w:val="0017140A"/>
    <w:rsid w:val="00172A89"/>
    <w:rsid w:val="00174DFE"/>
    <w:rsid w:val="00185B40"/>
    <w:rsid w:val="0018778F"/>
    <w:rsid w:val="00187D8A"/>
    <w:rsid w:val="00194811"/>
    <w:rsid w:val="001A3A99"/>
    <w:rsid w:val="001B05EA"/>
    <w:rsid w:val="001B148C"/>
    <w:rsid w:val="001B1C7C"/>
    <w:rsid w:val="001B39B1"/>
    <w:rsid w:val="001B6A67"/>
    <w:rsid w:val="001B7CDD"/>
    <w:rsid w:val="001C525C"/>
    <w:rsid w:val="001C7392"/>
    <w:rsid w:val="001D0A89"/>
    <w:rsid w:val="001E054D"/>
    <w:rsid w:val="001E47CF"/>
    <w:rsid w:val="001E58A6"/>
    <w:rsid w:val="001E75C6"/>
    <w:rsid w:val="001F00B5"/>
    <w:rsid w:val="001F16FD"/>
    <w:rsid w:val="001F3502"/>
    <w:rsid w:val="001F67FB"/>
    <w:rsid w:val="00211DC0"/>
    <w:rsid w:val="00233CC9"/>
    <w:rsid w:val="00235C03"/>
    <w:rsid w:val="002407C8"/>
    <w:rsid w:val="0025063C"/>
    <w:rsid w:val="00253B0A"/>
    <w:rsid w:val="00256F80"/>
    <w:rsid w:val="00257CFC"/>
    <w:rsid w:val="002602C5"/>
    <w:rsid w:val="00264D14"/>
    <w:rsid w:val="002770CC"/>
    <w:rsid w:val="0028535D"/>
    <w:rsid w:val="002857BF"/>
    <w:rsid w:val="00285DC9"/>
    <w:rsid w:val="002878BB"/>
    <w:rsid w:val="0029123F"/>
    <w:rsid w:val="002A391E"/>
    <w:rsid w:val="002B72A2"/>
    <w:rsid w:val="002C1542"/>
    <w:rsid w:val="002D0B82"/>
    <w:rsid w:val="002D1621"/>
    <w:rsid w:val="002D5239"/>
    <w:rsid w:val="002D54BD"/>
    <w:rsid w:val="002D76FC"/>
    <w:rsid w:val="002E1FF6"/>
    <w:rsid w:val="002E2A87"/>
    <w:rsid w:val="002E4AB4"/>
    <w:rsid w:val="002E69B8"/>
    <w:rsid w:val="002E6EA9"/>
    <w:rsid w:val="002F0419"/>
    <w:rsid w:val="00306BF6"/>
    <w:rsid w:val="003100A6"/>
    <w:rsid w:val="0031504C"/>
    <w:rsid w:val="00316511"/>
    <w:rsid w:val="003167B7"/>
    <w:rsid w:val="00317BDB"/>
    <w:rsid w:val="003200A4"/>
    <w:rsid w:val="003247E5"/>
    <w:rsid w:val="003265CA"/>
    <w:rsid w:val="00330AB2"/>
    <w:rsid w:val="00334018"/>
    <w:rsid w:val="00334D54"/>
    <w:rsid w:val="00343AF8"/>
    <w:rsid w:val="0034546B"/>
    <w:rsid w:val="00345DBD"/>
    <w:rsid w:val="003569B4"/>
    <w:rsid w:val="00364510"/>
    <w:rsid w:val="003733A0"/>
    <w:rsid w:val="003821B3"/>
    <w:rsid w:val="00387544"/>
    <w:rsid w:val="00391FA0"/>
    <w:rsid w:val="00394AE2"/>
    <w:rsid w:val="00395CF8"/>
    <w:rsid w:val="003A7755"/>
    <w:rsid w:val="003B4701"/>
    <w:rsid w:val="003B5F32"/>
    <w:rsid w:val="003C2343"/>
    <w:rsid w:val="003C435F"/>
    <w:rsid w:val="003E1605"/>
    <w:rsid w:val="003E4DF5"/>
    <w:rsid w:val="003E6B45"/>
    <w:rsid w:val="003F687D"/>
    <w:rsid w:val="00402EFE"/>
    <w:rsid w:val="00407F50"/>
    <w:rsid w:val="00414EE8"/>
    <w:rsid w:val="00415C1F"/>
    <w:rsid w:val="0043632E"/>
    <w:rsid w:val="004429F8"/>
    <w:rsid w:val="00442A1B"/>
    <w:rsid w:val="00444490"/>
    <w:rsid w:val="004444AF"/>
    <w:rsid w:val="00466297"/>
    <w:rsid w:val="0046739B"/>
    <w:rsid w:val="004709F6"/>
    <w:rsid w:val="0047494E"/>
    <w:rsid w:val="00475107"/>
    <w:rsid w:val="00475547"/>
    <w:rsid w:val="00476143"/>
    <w:rsid w:val="00476464"/>
    <w:rsid w:val="00480054"/>
    <w:rsid w:val="00485814"/>
    <w:rsid w:val="00485B78"/>
    <w:rsid w:val="00491142"/>
    <w:rsid w:val="00494BDE"/>
    <w:rsid w:val="004A43EB"/>
    <w:rsid w:val="004A675C"/>
    <w:rsid w:val="004B2569"/>
    <w:rsid w:val="004B7695"/>
    <w:rsid w:val="004C63AF"/>
    <w:rsid w:val="004D4312"/>
    <w:rsid w:val="004E1668"/>
    <w:rsid w:val="004E61FF"/>
    <w:rsid w:val="004F09BE"/>
    <w:rsid w:val="004F146C"/>
    <w:rsid w:val="004F52EC"/>
    <w:rsid w:val="00501B87"/>
    <w:rsid w:val="00503704"/>
    <w:rsid w:val="005040D7"/>
    <w:rsid w:val="0051572A"/>
    <w:rsid w:val="0052019D"/>
    <w:rsid w:val="005222ED"/>
    <w:rsid w:val="0052403F"/>
    <w:rsid w:val="00531D2D"/>
    <w:rsid w:val="00540C19"/>
    <w:rsid w:val="0054612A"/>
    <w:rsid w:val="00550648"/>
    <w:rsid w:val="005677EC"/>
    <w:rsid w:val="005779D0"/>
    <w:rsid w:val="00585455"/>
    <w:rsid w:val="00587042"/>
    <w:rsid w:val="00587F54"/>
    <w:rsid w:val="00595102"/>
    <w:rsid w:val="005A05A7"/>
    <w:rsid w:val="005A1329"/>
    <w:rsid w:val="005A193A"/>
    <w:rsid w:val="005A385E"/>
    <w:rsid w:val="005A46EC"/>
    <w:rsid w:val="005A52C8"/>
    <w:rsid w:val="005A5951"/>
    <w:rsid w:val="005B5929"/>
    <w:rsid w:val="005C1360"/>
    <w:rsid w:val="005C6206"/>
    <w:rsid w:val="005D0C78"/>
    <w:rsid w:val="005D241D"/>
    <w:rsid w:val="005D376B"/>
    <w:rsid w:val="005E1671"/>
    <w:rsid w:val="005F126E"/>
    <w:rsid w:val="00607B88"/>
    <w:rsid w:val="00607F1C"/>
    <w:rsid w:val="00607F62"/>
    <w:rsid w:val="006121C6"/>
    <w:rsid w:val="00613722"/>
    <w:rsid w:val="00614E99"/>
    <w:rsid w:val="006173F2"/>
    <w:rsid w:val="00617FAD"/>
    <w:rsid w:val="00634222"/>
    <w:rsid w:val="00637319"/>
    <w:rsid w:val="00644212"/>
    <w:rsid w:val="00646796"/>
    <w:rsid w:val="006505EA"/>
    <w:rsid w:val="006632A1"/>
    <w:rsid w:val="00673104"/>
    <w:rsid w:val="00673948"/>
    <w:rsid w:val="0069267C"/>
    <w:rsid w:val="00692D6E"/>
    <w:rsid w:val="00694767"/>
    <w:rsid w:val="006A4A8F"/>
    <w:rsid w:val="006A660C"/>
    <w:rsid w:val="006A7E9B"/>
    <w:rsid w:val="006B48CC"/>
    <w:rsid w:val="006C0D7D"/>
    <w:rsid w:val="006C60C7"/>
    <w:rsid w:val="006D164F"/>
    <w:rsid w:val="006D5D40"/>
    <w:rsid w:val="006D750A"/>
    <w:rsid w:val="006F156A"/>
    <w:rsid w:val="006F3CC6"/>
    <w:rsid w:val="006F4F74"/>
    <w:rsid w:val="007002A3"/>
    <w:rsid w:val="00700CCA"/>
    <w:rsid w:val="00705BB6"/>
    <w:rsid w:val="00710FD9"/>
    <w:rsid w:val="007120FA"/>
    <w:rsid w:val="0071211B"/>
    <w:rsid w:val="00715CC2"/>
    <w:rsid w:val="00717320"/>
    <w:rsid w:val="00717E19"/>
    <w:rsid w:val="00721B49"/>
    <w:rsid w:val="00725912"/>
    <w:rsid w:val="0072753C"/>
    <w:rsid w:val="00750228"/>
    <w:rsid w:val="007503A1"/>
    <w:rsid w:val="00752239"/>
    <w:rsid w:val="00753421"/>
    <w:rsid w:val="007543FE"/>
    <w:rsid w:val="00755710"/>
    <w:rsid w:val="00756AB7"/>
    <w:rsid w:val="00757E49"/>
    <w:rsid w:val="007603ED"/>
    <w:rsid w:val="007611C5"/>
    <w:rsid w:val="00763EAE"/>
    <w:rsid w:val="00765680"/>
    <w:rsid w:val="0076664C"/>
    <w:rsid w:val="0077027C"/>
    <w:rsid w:val="007712C0"/>
    <w:rsid w:val="007801C8"/>
    <w:rsid w:val="00780649"/>
    <w:rsid w:val="00785C96"/>
    <w:rsid w:val="007946AD"/>
    <w:rsid w:val="00794848"/>
    <w:rsid w:val="007A4A3F"/>
    <w:rsid w:val="007A52FB"/>
    <w:rsid w:val="007B4071"/>
    <w:rsid w:val="007C018D"/>
    <w:rsid w:val="007C4375"/>
    <w:rsid w:val="007C4A6C"/>
    <w:rsid w:val="007C4F73"/>
    <w:rsid w:val="007D7B82"/>
    <w:rsid w:val="007E2293"/>
    <w:rsid w:val="007E4409"/>
    <w:rsid w:val="007E65D3"/>
    <w:rsid w:val="007F1EE6"/>
    <w:rsid w:val="007F6C77"/>
    <w:rsid w:val="00802969"/>
    <w:rsid w:val="0080349E"/>
    <w:rsid w:val="00812554"/>
    <w:rsid w:val="00812A98"/>
    <w:rsid w:val="00824183"/>
    <w:rsid w:val="00824E70"/>
    <w:rsid w:val="008256CE"/>
    <w:rsid w:val="008312D5"/>
    <w:rsid w:val="008367D7"/>
    <w:rsid w:val="008419D0"/>
    <w:rsid w:val="00843E8C"/>
    <w:rsid w:val="00850438"/>
    <w:rsid w:val="00855BF2"/>
    <w:rsid w:val="0086151C"/>
    <w:rsid w:val="008771C0"/>
    <w:rsid w:val="00883D01"/>
    <w:rsid w:val="00884366"/>
    <w:rsid w:val="0088606E"/>
    <w:rsid w:val="0088627B"/>
    <w:rsid w:val="00892E92"/>
    <w:rsid w:val="00894688"/>
    <w:rsid w:val="008A1AC2"/>
    <w:rsid w:val="008A2356"/>
    <w:rsid w:val="008A2FF6"/>
    <w:rsid w:val="008A32B1"/>
    <w:rsid w:val="008B106B"/>
    <w:rsid w:val="008B3868"/>
    <w:rsid w:val="008B69F4"/>
    <w:rsid w:val="008B6A3D"/>
    <w:rsid w:val="008C6259"/>
    <w:rsid w:val="008D4BE8"/>
    <w:rsid w:val="008E6FD9"/>
    <w:rsid w:val="008F6C75"/>
    <w:rsid w:val="008F7739"/>
    <w:rsid w:val="00900C59"/>
    <w:rsid w:val="0090539C"/>
    <w:rsid w:val="00912323"/>
    <w:rsid w:val="009208D7"/>
    <w:rsid w:val="00925DD9"/>
    <w:rsid w:val="00927006"/>
    <w:rsid w:val="00927EA5"/>
    <w:rsid w:val="009303C6"/>
    <w:rsid w:val="0093139C"/>
    <w:rsid w:val="0093741E"/>
    <w:rsid w:val="00942818"/>
    <w:rsid w:val="0094406A"/>
    <w:rsid w:val="009530B3"/>
    <w:rsid w:val="00955D9F"/>
    <w:rsid w:val="00961033"/>
    <w:rsid w:val="009701AC"/>
    <w:rsid w:val="00970A2C"/>
    <w:rsid w:val="0097682C"/>
    <w:rsid w:val="009768B0"/>
    <w:rsid w:val="00985652"/>
    <w:rsid w:val="0098573F"/>
    <w:rsid w:val="00985E3E"/>
    <w:rsid w:val="009878B0"/>
    <w:rsid w:val="00990893"/>
    <w:rsid w:val="00993E0F"/>
    <w:rsid w:val="009963E8"/>
    <w:rsid w:val="0099670A"/>
    <w:rsid w:val="009A0DC5"/>
    <w:rsid w:val="009A16EA"/>
    <w:rsid w:val="009A5308"/>
    <w:rsid w:val="009A5835"/>
    <w:rsid w:val="009A5B7D"/>
    <w:rsid w:val="009A70BC"/>
    <w:rsid w:val="009A7821"/>
    <w:rsid w:val="009B488B"/>
    <w:rsid w:val="009B7B71"/>
    <w:rsid w:val="009C21CF"/>
    <w:rsid w:val="009D4F1E"/>
    <w:rsid w:val="009E059E"/>
    <w:rsid w:val="009E191D"/>
    <w:rsid w:val="009E1999"/>
    <w:rsid w:val="009E4954"/>
    <w:rsid w:val="009E5B81"/>
    <w:rsid w:val="009F534A"/>
    <w:rsid w:val="00A22F1F"/>
    <w:rsid w:val="00A35267"/>
    <w:rsid w:val="00A35852"/>
    <w:rsid w:val="00A3718E"/>
    <w:rsid w:val="00A401E8"/>
    <w:rsid w:val="00A40348"/>
    <w:rsid w:val="00A40C9C"/>
    <w:rsid w:val="00A4444B"/>
    <w:rsid w:val="00A449BA"/>
    <w:rsid w:val="00A5290A"/>
    <w:rsid w:val="00A611CE"/>
    <w:rsid w:val="00A77744"/>
    <w:rsid w:val="00A80BF3"/>
    <w:rsid w:val="00A81A7B"/>
    <w:rsid w:val="00A92F5A"/>
    <w:rsid w:val="00AA45AA"/>
    <w:rsid w:val="00AA58F1"/>
    <w:rsid w:val="00AA6688"/>
    <w:rsid w:val="00AB3C93"/>
    <w:rsid w:val="00AB7EDE"/>
    <w:rsid w:val="00AC5846"/>
    <w:rsid w:val="00AD065D"/>
    <w:rsid w:val="00AE5956"/>
    <w:rsid w:val="00AF00F4"/>
    <w:rsid w:val="00AF24CC"/>
    <w:rsid w:val="00AF6047"/>
    <w:rsid w:val="00B01B8F"/>
    <w:rsid w:val="00B23E2B"/>
    <w:rsid w:val="00B26586"/>
    <w:rsid w:val="00B30F9F"/>
    <w:rsid w:val="00B34C1C"/>
    <w:rsid w:val="00B45ED8"/>
    <w:rsid w:val="00B50645"/>
    <w:rsid w:val="00B52966"/>
    <w:rsid w:val="00B533ED"/>
    <w:rsid w:val="00B54AC2"/>
    <w:rsid w:val="00B72FD1"/>
    <w:rsid w:val="00B73438"/>
    <w:rsid w:val="00B7414B"/>
    <w:rsid w:val="00B76202"/>
    <w:rsid w:val="00B84AAC"/>
    <w:rsid w:val="00B84E19"/>
    <w:rsid w:val="00B8703F"/>
    <w:rsid w:val="00BA2AC2"/>
    <w:rsid w:val="00BA57D4"/>
    <w:rsid w:val="00BB0C86"/>
    <w:rsid w:val="00BB32A3"/>
    <w:rsid w:val="00BC59C1"/>
    <w:rsid w:val="00BE4A2E"/>
    <w:rsid w:val="00BF05A2"/>
    <w:rsid w:val="00BF0CB1"/>
    <w:rsid w:val="00BF5670"/>
    <w:rsid w:val="00BF5EC8"/>
    <w:rsid w:val="00C07702"/>
    <w:rsid w:val="00C16369"/>
    <w:rsid w:val="00C17078"/>
    <w:rsid w:val="00C217D2"/>
    <w:rsid w:val="00C24A71"/>
    <w:rsid w:val="00C25F56"/>
    <w:rsid w:val="00C2741C"/>
    <w:rsid w:val="00C2745A"/>
    <w:rsid w:val="00C3416F"/>
    <w:rsid w:val="00C36E51"/>
    <w:rsid w:val="00C435C7"/>
    <w:rsid w:val="00C52629"/>
    <w:rsid w:val="00C57EE9"/>
    <w:rsid w:val="00C60F6A"/>
    <w:rsid w:val="00C64E7F"/>
    <w:rsid w:val="00C82E6B"/>
    <w:rsid w:val="00C83466"/>
    <w:rsid w:val="00C86A83"/>
    <w:rsid w:val="00C9083E"/>
    <w:rsid w:val="00CA2B96"/>
    <w:rsid w:val="00CA4ECB"/>
    <w:rsid w:val="00CB181A"/>
    <w:rsid w:val="00CB5794"/>
    <w:rsid w:val="00CC0209"/>
    <w:rsid w:val="00CC220D"/>
    <w:rsid w:val="00CC487E"/>
    <w:rsid w:val="00CD0713"/>
    <w:rsid w:val="00CD0D74"/>
    <w:rsid w:val="00CE30BE"/>
    <w:rsid w:val="00CE4FB6"/>
    <w:rsid w:val="00D059AE"/>
    <w:rsid w:val="00D125F8"/>
    <w:rsid w:val="00D12C25"/>
    <w:rsid w:val="00D166ED"/>
    <w:rsid w:val="00D17616"/>
    <w:rsid w:val="00D20562"/>
    <w:rsid w:val="00D22DC0"/>
    <w:rsid w:val="00D23275"/>
    <w:rsid w:val="00D24C97"/>
    <w:rsid w:val="00D306B4"/>
    <w:rsid w:val="00D31AF3"/>
    <w:rsid w:val="00D41C1E"/>
    <w:rsid w:val="00D460AB"/>
    <w:rsid w:val="00D504C8"/>
    <w:rsid w:val="00D613F0"/>
    <w:rsid w:val="00D61F06"/>
    <w:rsid w:val="00D649F5"/>
    <w:rsid w:val="00D715FC"/>
    <w:rsid w:val="00D77E79"/>
    <w:rsid w:val="00D87DAB"/>
    <w:rsid w:val="00D92E06"/>
    <w:rsid w:val="00D95A48"/>
    <w:rsid w:val="00DA0338"/>
    <w:rsid w:val="00DA1725"/>
    <w:rsid w:val="00DB16BB"/>
    <w:rsid w:val="00DB39FA"/>
    <w:rsid w:val="00DC1D3F"/>
    <w:rsid w:val="00DC2B74"/>
    <w:rsid w:val="00DC4A4F"/>
    <w:rsid w:val="00DC79C5"/>
    <w:rsid w:val="00DE02A9"/>
    <w:rsid w:val="00DE2EF0"/>
    <w:rsid w:val="00DE3FF2"/>
    <w:rsid w:val="00DE72D4"/>
    <w:rsid w:val="00DF19A5"/>
    <w:rsid w:val="00DF79E3"/>
    <w:rsid w:val="00E07B63"/>
    <w:rsid w:val="00E11C6E"/>
    <w:rsid w:val="00E12981"/>
    <w:rsid w:val="00E139C5"/>
    <w:rsid w:val="00E143D9"/>
    <w:rsid w:val="00E166A9"/>
    <w:rsid w:val="00E2242E"/>
    <w:rsid w:val="00E25F7D"/>
    <w:rsid w:val="00E42B53"/>
    <w:rsid w:val="00E46DAE"/>
    <w:rsid w:val="00E47AB3"/>
    <w:rsid w:val="00E55003"/>
    <w:rsid w:val="00E56036"/>
    <w:rsid w:val="00E64FE5"/>
    <w:rsid w:val="00E74F6E"/>
    <w:rsid w:val="00E815DA"/>
    <w:rsid w:val="00E826CD"/>
    <w:rsid w:val="00E87DF7"/>
    <w:rsid w:val="00E91271"/>
    <w:rsid w:val="00E93486"/>
    <w:rsid w:val="00E97B5D"/>
    <w:rsid w:val="00EA3940"/>
    <w:rsid w:val="00EA7BBF"/>
    <w:rsid w:val="00EB1E1F"/>
    <w:rsid w:val="00EB236D"/>
    <w:rsid w:val="00EB4A19"/>
    <w:rsid w:val="00EC075C"/>
    <w:rsid w:val="00EC3F27"/>
    <w:rsid w:val="00EC4E6C"/>
    <w:rsid w:val="00EC6C12"/>
    <w:rsid w:val="00EC72C2"/>
    <w:rsid w:val="00ED08E7"/>
    <w:rsid w:val="00ED29C9"/>
    <w:rsid w:val="00ED585B"/>
    <w:rsid w:val="00ED68DC"/>
    <w:rsid w:val="00EF1921"/>
    <w:rsid w:val="00EF325A"/>
    <w:rsid w:val="00F128E0"/>
    <w:rsid w:val="00F12DE0"/>
    <w:rsid w:val="00F14270"/>
    <w:rsid w:val="00F1615A"/>
    <w:rsid w:val="00F20331"/>
    <w:rsid w:val="00F360DB"/>
    <w:rsid w:val="00F45DFE"/>
    <w:rsid w:val="00F46BDB"/>
    <w:rsid w:val="00F513C4"/>
    <w:rsid w:val="00F60A46"/>
    <w:rsid w:val="00F60BA2"/>
    <w:rsid w:val="00F60C78"/>
    <w:rsid w:val="00F61BE2"/>
    <w:rsid w:val="00F645FC"/>
    <w:rsid w:val="00F769FC"/>
    <w:rsid w:val="00F7788E"/>
    <w:rsid w:val="00F831EF"/>
    <w:rsid w:val="00F87559"/>
    <w:rsid w:val="00F93963"/>
    <w:rsid w:val="00F940A6"/>
    <w:rsid w:val="00F94247"/>
    <w:rsid w:val="00F95FFD"/>
    <w:rsid w:val="00FA11ED"/>
    <w:rsid w:val="00FA3DC1"/>
    <w:rsid w:val="00FA5994"/>
    <w:rsid w:val="00FA6C48"/>
    <w:rsid w:val="00FB4060"/>
    <w:rsid w:val="00FB7A18"/>
    <w:rsid w:val="00FC296C"/>
    <w:rsid w:val="00FC4630"/>
    <w:rsid w:val="00FC508D"/>
    <w:rsid w:val="00FD06E7"/>
    <w:rsid w:val="00FD2ADF"/>
    <w:rsid w:val="00FF1F84"/>
    <w:rsid w:val="00FF37A4"/>
    <w:rsid w:val="00FF7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06A67"/>
  <w15:chartTrackingRefBased/>
  <w15:docId w15:val="{C86EBDD1-6505-4603-813D-3C3CC671F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11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1C5"/>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D7B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4B39"/>
    <w:rPr>
      <w:color w:val="0000FF"/>
      <w:u w:val="single"/>
    </w:rPr>
  </w:style>
  <w:style w:type="paragraph" w:styleId="ListParagraph">
    <w:name w:val="List Paragraph"/>
    <w:basedOn w:val="Normal"/>
    <w:uiPriority w:val="34"/>
    <w:qFormat/>
    <w:rsid w:val="00E25F7D"/>
    <w:pPr>
      <w:spacing w:after="200" w:line="276" w:lineRule="auto"/>
      <w:ind w:left="720"/>
      <w:contextualSpacing/>
    </w:pPr>
    <w:rPr>
      <w:rFonts w:eastAsiaTheme="minorEastAsia" w:cs="Times New Roman"/>
      <w:lang w:eastAsia="tr-TR"/>
    </w:rPr>
  </w:style>
  <w:style w:type="character" w:styleId="CommentReference">
    <w:name w:val="annotation reference"/>
    <w:basedOn w:val="DefaultParagraphFont"/>
    <w:uiPriority w:val="99"/>
    <w:semiHidden/>
    <w:unhideWhenUsed/>
    <w:rsid w:val="007F1EE6"/>
    <w:rPr>
      <w:sz w:val="16"/>
      <w:szCs w:val="16"/>
    </w:rPr>
  </w:style>
  <w:style w:type="paragraph" w:styleId="CommentText">
    <w:name w:val="annotation text"/>
    <w:basedOn w:val="Normal"/>
    <w:link w:val="CommentTextChar"/>
    <w:uiPriority w:val="99"/>
    <w:semiHidden/>
    <w:unhideWhenUsed/>
    <w:rsid w:val="007F1EE6"/>
    <w:pPr>
      <w:spacing w:line="240" w:lineRule="auto"/>
    </w:pPr>
    <w:rPr>
      <w:sz w:val="20"/>
      <w:szCs w:val="20"/>
    </w:rPr>
  </w:style>
  <w:style w:type="character" w:customStyle="1" w:styleId="CommentTextChar">
    <w:name w:val="Comment Text Char"/>
    <w:basedOn w:val="DefaultParagraphFont"/>
    <w:link w:val="CommentText"/>
    <w:uiPriority w:val="99"/>
    <w:semiHidden/>
    <w:rsid w:val="007F1EE6"/>
    <w:rPr>
      <w:sz w:val="20"/>
      <w:szCs w:val="20"/>
    </w:rPr>
  </w:style>
  <w:style w:type="paragraph" w:styleId="CommentSubject">
    <w:name w:val="annotation subject"/>
    <w:basedOn w:val="CommentText"/>
    <w:next w:val="CommentText"/>
    <w:link w:val="CommentSubjectChar"/>
    <w:uiPriority w:val="99"/>
    <w:semiHidden/>
    <w:unhideWhenUsed/>
    <w:rsid w:val="007F1EE6"/>
    <w:rPr>
      <w:b/>
      <w:bCs/>
    </w:rPr>
  </w:style>
  <w:style w:type="character" w:customStyle="1" w:styleId="CommentSubjectChar">
    <w:name w:val="Comment Subject Char"/>
    <w:basedOn w:val="CommentTextChar"/>
    <w:link w:val="CommentSubject"/>
    <w:uiPriority w:val="99"/>
    <w:semiHidden/>
    <w:rsid w:val="007F1EE6"/>
    <w:rPr>
      <w:b/>
      <w:bCs/>
      <w:sz w:val="20"/>
      <w:szCs w:val="20"/>
    </w:rPr>
  </w:style>
  <w:style w:type="paragraph" w:styleId="BalloonText">
    <w:name w:val="Balloon Text"/>
    <w:basedOn w:val="Normal"/>
    <w:link w:val="BalloonTextChar"/>
    <w:uiPriority w:val="99"/>
    <w:semiHidden/>
    <w:unhideWhenUsed/>
    <w:rsid w:val="007F1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EE6"/>
    <w:rPr>
      <w:rFonts w:ascii="Segoe UI" w:hAnsi="Segoe UI" w:cs="Segoe UI"/>
      <w:sz w:val="18"/>
      <w:szCs w:val="18"/>
    </w:rPr>
  </w:style>
  <w:style w:type="paragraph" w:styleId="NormalWeb">
    <w:name w:val="Normal (Web)"/>
    <w:basedOn w:val="Normal"/>
    <w:uiPriority w:val="99"/>
    <w:unhideWhenUsed/>
    <w:rsid w:val="000A7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07F62"/>
    <w:rPr>
      <w:color w:val="605E5C"/>
      <w:shd w:val="clear" w:color="auto" w:fill="E1DFDD"/>
    </w:rPr>
  </w:style>
  <w:style w:type="paragraph" w:styleId="Header">
    <w:name w:val="header"/>
    <w:basedOn w:val="Normal"/>
    <w:link w:val="HeaderChar"/>
    <w:uiPriority w:val="99"/>
    <w:unhideWhenUsed/>
    <w:rsid w:val="00504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0D7"/>
  </w:style>
  <w:style w:type="paragraph" w:styleId="Footer">
    <w:name w:val="footer"/>
    <w:basedOn w:val="Normal"/>
    <w:link w:val="FooterChar"/>
    <w:uiPriority w:val="99"/>
    <w:unhideWhenUsed/>
    <w:rsid w:val="005040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0D7"/>
  </w:style>
  <w:style w:type="character" w:customStyle="1" w:styleId="pagenumber">
    <w:name w:val="pagenumber"/>
    <w:basedOn w:val="DefaultParagraphFont"/>
    <w:rsid w:val="004C63AF"/>
  </w:style>
  <w:style w:type="character" w:customStyle="1" w:styleId="selectable">
    <w:name w:val="selectable"/>
    <w:basedOn w:val="DefaultParagraphFont"/>
    <w:rsid w:val="00985652"/>
  </w:style>
  <w:style w:type="table" w:customStyle="1" w:styleId="TableGrid1">
    <w:name w:val="Table Grid1"/>
    <w:basedOn w:val="TableNormal"/>
    <w:next w:val="TableGrid"/>
    <w:uiPriority w:val="39"/>
    <w:rsid w:val="00FB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36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110622">
      <w:bodyDiv w:val="1"/>
      <w:marLeft w:val="0"/>
      <w:marRight w:val="0"/>
      <w:marTop w:val="0"/>
      <w:marBottom w:val="0"/>
      <w:divBdr>
        <w:top w:val="none" w:sz="0" w:space="0" w:color="auto"/>
        <w:left w:val="none" w:sz="0" w:space="0" w:color="auto"/>
        <w:bottom w:val="none" w:sz="0" w:space="0" w:color="auto"/>
        <w:right w:val="none" w:sz="0" w:space="0" w:color="auto"/>
      </w:divBdr>
    </w:div>
    <w:div w:id="542596201">
      <w:bodyDiv w:val="1"/>
      <w:marLeft w:val="0"/>
      <w:marRight w:val="0"/>
      <w:marTop w:val="0"/>
      <w:marBottom w:val="0"/>
      <w:divBdr>
        <w:top w:val="none" w:sz="0" w:space="0" w:color="auto"/>
        <w:left w:val="none" w:sz="0" w:space="0" w:color="auto"/>
        <w:bottom w:val="none" w:sz="0" w:space="0" w:color="auto"/>
        <w:right w:val="none" w:sz="0" w:space="0" w:color="auto"/>
      </w:divBdr>
    </w:div>
    <w:div w:id="543761323">
      <w:bodyDiv w:val="1"/>
      <w:marLeft w:val="0"/>
      <w:marRight w:val="0"/>
      <w:marTop w:val="0"/>
      <w:marBottom w:val="0"/>
      <w:divBdr>
        <w:top w:val="none" w:sz="0" w:space="0" w:color="auto"/>
        <w:left w:val="none" w:sz="0" w:space="0" w:color="auto"/>
        <w:bottom w:val="none" w:sz="0" w:space="0" w:color="auto"/>
        <w:right w:val="none" w:sz="0" w:space="0" w:color="auto"/>
      </w:divBdr>
    </w:div>
    <w:div w:id="1221743838">
      <w:bodyDiv w:val="1"/>
      <w:marLeft w:val="0"/>
      <w:marRight w:val="0"/>
      <w:marTop w:val="0"/>
      <w:marBottom w:val="0"/>
      <w:divBdr>
        <w:top w:val="none" w:sz="0" w:space="0" w:color="auto"/>
        <w:left w:val="none" w:sz="0" w:space="0" w:color="auto"/>
        <w:bottom w:val="none" w:sz="0" w:space="0" w:color="auto"/>
        <w:right w:val="none" w:sz="0" w:space="0" w:color="auto"/>
      </w:divBdr>
    </w:div>
    <w:div w:id="1271621528">
      <w:bodyDiv w:val="1"/>
      <w:marLeft w:val="0"/>
      <w:marRight w:val="0"/>
      <w:marTop w:val="0"/>
      <w:marBottom w:val="0"/>
      <w:divBdr>
        <w:top w:val="none" w:sz="0" w:space="0" w:color="auto"/>
        <w:left w:val="none" w:sz="0" w:space="0" w:color="auto"/>
        <w:bottom w:val="none" w:sz="0" w:space="0" w:color="auto"/>
        <w:right w:val="none" w:sz="0" w:space="0" w:color="auto"/>
      </w:divBdr>
    </w:div>
    <w:div w:id="1309020077">
      <w:bodyDiv w:val="1"/>
      <w:marLeft w:val="0"/>
      <w:marRight w:val="0"/>
      <w:marTop w:val="0"/>
      <w:marBottom w:val="0"/>
      <w:divBdr>
        <w:top w:val="none" w:sz="0" w:space="0" w:color="auto"/>
        <w:left w:val="none" w:sz="0" w:space="0" w:color="auto"/>
        <w:bottom w:val="none" w:sz="0" w:space="0" w:color="auto"/>
        <w:right w:val="none" w:sz="0" w:space="0" w:color="auto"/>
      </w:divBdr>
    </w:div>
    <w:div w:id="1874492410">
      <w:bodyDiv w:val="1"/>
      <w:marLeft w:val="0"/>
      <w:marRight w:val="0"/>
      <w:marTop w:val="0"/>
      <w:marBottom w:val="0"/>
      <w:divBdr>
        <w:top w:val="none" w:sz="0" w:space="0" w:color="auto"/>
        <w:left w:val="none" w:sz="0" w:space="0" w:color="auto"/>
        <w:bottom w:val="none" w:sz="0" w:space="0" w:color="auto"/>
        <w:right w:val="none" w:sz="0" w:space="0" w:color="auto"/>
      </w:divBdr>
      <w:divsChild>
        <w:div w:id="107043101">
          <w:marLeft w:val="0"/>
          <w:marRight w:val="0"/>
          <w:marTop w:val="0"/>
          <w:marBottom w:val="270"/>
          <w:divBdr>
            <w:top w:val="none" w:sz="0" w:space="0" w:color="auto"/>
            <w:left w:val="none" w:sz="0" w:space="0" w:color="auto"/>
            <w:bottom w:val="none" w:sz="0" w:space="0" w:color="auto"/>
            <w:right w:val="none" w:sz="0" w:space="0" w:color="auto"/>
          </w:divBdr>
        </w:div>
        <w:div w:id="2130470075">
          <w:marLeft w:val="0"/>
          <w:marRight w:val="0"/>
          <w:marTop w:val="0"/>
          <w:marBottom w:val="0"/>
          <w:divBdr>
            <w:top w:val="single" w:sz="6" w:space="4" w:color="E0E0E0"/>
            <w:left w:val="none" w:sz="0" w:space="0" w:color="auto"/>
            <w:bottom w:val="single" w:sz="6" w:space="4" w:color="E0E0E0"/>
            <w:right w:val="none" w:sz="0" w:space="0" w:color="auto"/>
          </w:divBdr>
          <w:divsChild>
            <w:div w:id="1678267162">
              <w:marLeft w:val="105"/>
              <w:marRight w:val="105"/>
              <w:marTop w:val="0"/>
              <w:marBottom w:val="0"/>
              <w:divBdr>
                <w:top w:val="none" w:sz="0" w:space="0" w:color="auto"/>
                <w:left w:val="none" w:sz="0" w:space="0" w:color="auto"/>
                <w:bottom w:val="none" w:sz="0" w:space="0" w:color="auto"/>
                <w:right w:val="none" w:sz="0" w:space="0" w:color="auto"/>
              </w:divBdr>
            </w:div>
            <w:div w:id="1580627853">
              <w:marLeft w:val="75"/>
              <w:marRight w:val="75"/>
              <w:marTop w:val="0"/>
              <w:marBottom w:val="75"/>
              <w:divBdr>
                <w:top w:val="none" w:sz="0" w:space="0" w:color="auto"/>
                <w:left w:val="single" w:sz="6" w:space="12" w:color="E0E0E0"/>
                <w:bottom w:val="none" w:sz="0" w:space="0" w:color="auto"/>
                <w:right w:val="none" w:sz="0" w:space="12" w:color="auto"/>
              </w:divBdr>
              <w:divsChild>
                <w:div w:id="241182779">
                  <w:marLeft w:val="0"/>
                  <w:marRight w:val="0"/>
                  <w:marTop w:val="90"/>
                  <w:marBottom w:val="0"/>
                  <w:divBdr>
                    <w:top w:val="none" w:sz="0" w:space="0" w:color="auto"/>
                    <w:left w:val="none" w:sz="0" w:space="0" w:color="auto"/>
                    <w:bottom w:val="none" w:sz="0" w:space="0" w:color="auto"/>
                    <w:right w:val="none" w:sz="0" w:space="0" w:color="auto"/>
                  </w:divBdr>
                  <w:divsChild>
                    <w:div w:id="104609989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84014">
      <w:bodyDiv w:val="1"/>
      <w:marLeft w:val="0"/>
      <w:marRight w:val="0"/>
      <w:marTop w:val="0"/>
      <w:marBottom w:val="0"/>
      <w:divBdr>
        <w:top w:val="none" w:sz="0" w:space="0" w:color="auto"/>
        <w:left w:val="none" w:sz="0" w:space="0" w:color="auto"/>
        <w:bottom w:val="none" w:sz="0" w:space="0" w:color="auto"/>
        <w:right w:val="none" w:sz="0" w:space="0" w:color="auto"/>
      </w:divBdr>
    </w:div>
    <w:div w:id="203418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oxfordscholarship-com.ezproxy.uwtsd.ac.uk/view/10.1093/acprof:oso/9780199601462.001.0001/acprof-9780199601462-chapter-2" TargetMode="External"/><Relationship Id="rId26" Type="http://schemas.openxmlformats.org/officeDocument/2006/relationships/hyperlink" Target="https://group.softbank/en" TargetMode="External"/><Relationship Id="rId39" Type="http://schemas.openxmlformats.org/officeDocument/2006/relationships/hyperlink" Target="https://www.independent.co.uk/author/ben-chapman" TargetMode="External"/><Relationship Id="rId3" Type="http://schemas.openxmlformats.org/officeDocument/2006/relationships/styles" Target="styles.xml"/><Relationship Id="rId21" Type="http://schemas.openxmlformats.org/officeDocument/2006/relationships/hyperlink" Target="https://group.softbank/en" TargetMode="External"/><Relationship Id="rId34" Type="http://schemas.openxmlformats.org/officeDocument/2006/relationships/hyperlink" Target="https://group.softbank/en" TargetMode="External"/><Relationship Id="rId42" Type="http://schemas.openxmlformats.org/officeDocument/2006/relationships/hyperlink" Target="https://www-oxfordscholarship-com.ezproxy.uwtsd.ac.uk/view/10.1093/acprof:oso/9780199601462.001.0001/acprof-9780199601462-chapter-2" TargetMode="External"/><Relationship Id="rId47" Type="http://schemas.openxmlformats.org/officeDocument/2006/relationships/hyperlink" Target="https://group.softbank/system/files/pdf/ir/financials/annual_reports/annual-report_fy2019_01_en.pdf"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oxfordscholarship-com.ezproxy.uwtsd.ac.uk/view/10.1093/acprof:oso/9780199601462.001.0001/acprof-9780199601462-chapter-2" TargetMode="External"/><Relationship Id="rId25" Type="http://schemas.openxmlformats.org/officeDocument/2006/relationships/hyperlink" Target="https://group.softbank/en" TargetMode="External"/><Relationship Id="rId33" Type="http://schemas.openxmlformats.org/officeDocument/2006/relationships/image" Target="media/image10.jpeg"/><Relationship Id="rId38" Type="http://schemas.openxmlformats.org/officeDocument/2006/relationships/hyperlink" Target="https://www-oxfordscholarship-com" TargetMode="External"/><Relationship Id="rId46" Type="http://schemas.openxmlformats.org/officeDocument/2006/relationships/hyperlink" Target="https://ideas.repec.org/b/wsi/wsbook/q0218.html" TargetMode="External"/><Relationship Id="rId2" Type="http://schemas.openxmlformats.org/officeDocument/2006/relationships/numbering" Target="numbering.xml"/><Relationship Id="rId16" Type="http://schemas.openxmlformats.org/officeDocument/2006/relationships/hyperlink" Target="https://www-oxfordscholarship-com.ezproxy.uwtsd.ac.uk/view/10.1093/acprof:oso/9780199601462.001.0001/acprof-9780199601462-chapter-2" TargetMode="External"/><Relationship Id="rId20" Type="http://schemas.openxmlformats.org/officeDocument/2006/relationships/hyperlink" Target="https://group.softbank/en" TargetMode="External"/><Relationship Id="rId29" Type="http://schemas.openxmlformats.org/officeDocument/2006/relationships/hyperlink" Target="http://www.pwc.co..au" TargetMode="External"/><Relationship Id="rId41" Type="http://schemas.openxmlformats.org/officeDocument/2006/relationships/hyperlink" Target="https://www.independent.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arm.com/company" TargetMode="External"/><Relationship Id="rId32" Type="http://schemas.openxmlformats.org/officeDocument/2006/relationships/hyperlink" Target="https://group.softbank/en" TargetMode="External"/><Relationship Id="rId37" Type="http://schemas.openxmlformats.org/officeDocument/2006/relationships/hyperlink" Target="https://www-oxfordscholarship-com.ezproxy.uwtsd.ac.uk/view/10.1093/acprof:oso/9780199601462.001.0001/acprof-9780199601462-chapter-17" TargetMode="External"/><Relationship Id="rId40" Type="http://schemas.openxmlformats.org/officeDocument/2006/relationships/hyperlink" Target="https://www.independent.co.uk/news/business/news/arm-holdings-sales-jump-17-ahead-of-softbank-takeover-a7157831.html" TargetMode="External"/><Relationship Id="rId45" Type="http://schemas.openxmlformats.org/officeDocument/2006/relationships/hyperlink" Target="https://ideas.repec.org/s/wsi/wschap.html" TargetMode="External"/><Relationship Id="rId5" Type="http://schemas.openxmlformats.org/officeDocument/2006/relationships/webSettings" Target="webSettings.xml"/><Relationship Id="rId15" Type="http://schemas.openxmlformats.org/officeDocument/2006/relationships/hyperlink" Target="https://www-oxfordscholarship-com.ezproxy.uwtsd.ac.uk/view/10.1093/acprof:oso/9780199601462.001.0001/acprof-9780199601462-chapter-2" TargetMode="External"/><Relationship Id="rId23" Type="http://schemas.openxmlformats.org/officeDocument/2006/relationships/hyperlink" Target="https://group.softbank/en" TargetMode="External"/><Relationship Id="rId28" Type="http://schemas.openxmlformats.org/officeDocument/2006/relationships/image" Target="media/image8.png"/><Relationship Id="rId36" Type="http://schemas.openxmlformats.org/officeDocument/2006/relationships/hyperlink" Target="https://group.softbank/system/files/pdf/ir/financials/annual_reports/annual-report_fy2019_01_en.pdf"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9.png"/><Relationship Id="rId44" Type="http://schemas.openxmlformats.org/officeDocument/2006/relationships/hyperlink" Target="https://ideas.repec.org/h/wsi/wschap/9781786347374_0007.html" TargetMode="External"/><Relationship Id="rId4" Type="http://schemas.openxmlformats.org/officeDocument/2006/relationships/settings" Target="settings.xml"/><Relationship Id="rId9" Type="http://schemas.openxmlformats.org/officeDocument/2006/relationships/hyperlink" Target="https://www-oxfordscholarship-com.ezproxy.uwtsd.ac.uk/view/10.1093/acprof:oso/9780199601462.001.0001/acprof-9780199601462-chapter-2" TargetMode="External"/><Relationship Id="rId14" Type="http://schemas.openxmlformats.org/officeDocument/2006/relationships/image" Target="media/image5.jpeg"/><Relationship Id="rId22" Type="http://schemas.openxmlformats.org/officeDocument/2006/relationships/hyperlink" Target="https://group.softbank/en" TargetMode="External"/><Relationship Id="rId27" Type="http://schemas.openxmlformats.org/officeDocument/2006/relationships/image" Target="media/image7.png"/><Relationship Id="rId30" Type="http://schemas.openxmlformats.org/officeDocument/2006/relationships/hyperlink" Target="http://www.softbankgroup.com/annual%20report%20(2019" TargetMode="External"/><Relationship Id="rId35" Type="http://schemas.openxmlformats.org/officeDocument/2006/relationships/hyperlink" Target="https://group.softbank/system/files/pdf/ir/financials/annual_reports/annual-report_fy2019_01_en.pdf" TargetMode="External"/><Relationship Id="rId43" Type="http://schemas.openxmlformats.org/officeDocument/2006/relationships/hyperlink" Target="https://www-oxfordscholarship-com" TargetMode="External"/><Relationship Id="rId48" Type="http://schemas.openxmlformats.org/officeDocument/2006/relationships/footer" Target="footer1.xml"/><Relationship Id="rId8" Type="http://schemas.openxmlformats.org/officeDocument/2006/relationships/hyperlink" Target="https://www-oxfordscholarship-com.ezproxy.uwtsd.ac.uk/view/10.1093/acprof:oso/9780199601462.001.0001/acprof-9780199601462-chapter-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C7A0F-3DA1-463F-A8F4-50DC2E035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38</Pages>
  <Words>9335</Words>
  <Characters>53214</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Kyakunda</dc:creator>
  <cp:keywords/>
  <dc:description/>
  <cp:lastModifiedBy>Margaret Kyakunda</cp:lastModifiedBy>
  <cp:revision>4</cp:revision>
  <dcterms:created xsi:type="dcterms:W3CDTF">2020-05-06T03:54:00Z</dcterms:created>
  <dcterms:modified xsi:type="dcterms:W3CDTF">2020-05-06T04:04:00Z</dcterms:modified>
</cp:coreProperties>
</file>