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80E666" w14:textId="13CAD7B8" w:rsidR="005176A8" w:rsidRPr="009F49EF" w:rsidRDefault="006B7615" w:rsidP="009F49EF">
      <w:pPr>
        <w:pStyle w:val="Title"/>
      </w:pPr>
      <w:r>
        <w:t>Bibliography</w:t>
      </w:r>
      <w:r w:rsidR="00E32566">
        <w:t>: Mycenaeans’ Religion</w:t>
      </w:r>
    </w:p>
    <w:p w14:paraId="093694E7" w14:textId="77777777" w:rsidR="00654579" w:rsidRDefault="00654579" w:rsidP="00654579">
      <w:pPr>
        <w:pStyle w:val="Heading1"/>
      </w:pPr>
      <w:r>
        <w:t>Website: Mycenaean Civilisation</w:t>
      </w:r>
    </w:p>
    <w:p w14:paraId="0DFB2AC0" w14:textId="77777777" w:rsidR="00654579" w:rsidRDefault="00654579" w:rsidP="00654579">
      <w:pPr>
        <w:rPr>
          <w:rFonts w:cstheme="minorHAnsi"/>
          <w:sz w:val="28"/>
          <w:szCs w:val="28"/>
          <w:shd w:val="clear" w:color="auto" w:fill="FFFFFF"/>
        </w:rPr>
      </w:pPr>
      <w:r w:rsidRPr="00D352EC">
        <w:rPr>
          <w:rFonts w:cstheme="minorHAnsi"/>
          <w:sz w:val="28"/>
          <w:szCs w:val="28"/>
          <w:shd w:val="clear" w:color="auto" w:fill="FFFFFF"/>
        </w:rPr>
        <w:t xml:space="preserve">This website provides a broad stroke overview of Mycenaean history. </w:t>
      </w:r>
      <w:r>
        <w:rPr>
          <w:rFonts w:cstheme="minorHAnsi"/>
          <w:sz w:val="28"/>
          <w:szCs w:val="28"/>
          <w:shd w:val="clear" w:color="auto" w:fill="FFFFFF"/>
        </w:rPr>
        <w:t xml:space="preserve">The page is divided cleanly between the various subjects it covers, which are in order: Major Mycenaean Centres which discusses the main centres which the Mycenaean culture is agreed to have resided in and its estimated emergence date. This segment also points to the fact that the relationships between ‘Mycenaean’ cities in terms of politics and trade is not fully understood, speculating that it was mainly a trade relationship and culture disseminated through those lines. In relation to the discussion of cities, the site touches on the construction and architectural practices, with another subsection relating to the Cyclopean Walls. Trade relations are mentioned, explaining simply how far the culture’s trade links spread and how Mycenaean cities could be production hubs that would have received the materials from the Uluburun shipwreck. Art also gets a paragraph which mentions the main forms being pottery, frescoes and jewellery which would grow to influence the surrounding artistic cultures. The main subject matter I am interested in, religion, receives a short segment. The outline is that the religion revolved around offerings to deities and grand burial rituals, which are also speculated to have been influenced by Minoan Crete. The religion seemed to be centred around sites close to palace complexes. The last segment of the article focuses on the collapse of the society and its legacy in history and literature. </w:t>
      </w:r>
    </w:p>
    <w:p w14:paraId="77A3D081" w14:textId="77777777" w:rsidR="00654579" w:rsidRPr="00654579" w:rsidRDefault="00654579" w:rsidP="00654579">
      <w:pPr>
        <w:rPr>
          <w:sz w:val="28"/>
          <w:szCs w:val="28"/>
        </w:rPr>
      </w:pPr>
      <w:r w:rsidRPr="00654579">
        <w:rPr>
          <w:sz w:val="28"/>
          <w:szCs w:val="28"/>
          <w:shd w:val="clear" w:color="auto" w:fill="FFFFFF"/>
        </w:rPr>
        <w:t>As an article, this would not serve much use in a proper academic setting; however, for someone who is interested on a surface level, this article will be a good place to start as it has a concise and easy to read overview of the relevant history and some recommendations for any further reading.</w:t>
      </w:r>
      <w:r w:rsidRPr="00654579">
        <w:rPr>
          <w:sz w:val="28"/>
          <w:szCs w:val="28"/>
        </w:rPr>
        <w:t xml:space="preserve"> </w:t>
      </w:r>
    </w:p>
    <w:p w14:paraId="395897B5" w14:textId="140BB841" w:rsidR="006B7615" w:rsidRDefault="006B7615" w:rsidP="006B7615">
      <w:pPr>
        <w:pStyle w:val="Heading1"/>
      </w:pPr>
      <w:r>
        <w:t>Journal article</w:t>
      </w:r>
      <w:r w:rsidR="0067188A">
        <w:t>: Mycenaean Religion</w:t>
      </w:r>
    </w:p>
    <w:p w14:paraId="3DDBF719" w14:textId="620CAE1B" w:rsidR="00F51CE1" w:rsidRDefault="00E32566" w:rsidP="006B7615">
      <w:pPr>
        <w:rPr>
          <w:rFonts w:cstheme="minorHAnsi"/>
          <w:sz w:val="28"/>
          <w:szCs w:val="28"/>
          <w:shd w:val="clear" w:color="auto" w:fill="FFFFFF"/>
        </w:rPr>
      </w:pPr>
      <w:r w:rsidRPr="00042D05">
        <w:rPr>
          <w:rFonts w:cstheme="minorHAnsi"/>
          <w:sz w:val="28"/>
          <w:szCs w:val="28"/>
          <w:shd w:val="clear" w:color="auto" w:fill="FFFFFF"/>
        </w:rPr>
        <w:t>This article, in comparison to the other sources, is quite old, being written in 1960</w:t>
      </w:r>
      <w:r w:rsidR="00DC0626">
        <w:rPr>
          <w:rFonts w:cstheme="minorHAnsi"/>
          <w:sz w:val="28"/>
          <w:szCs w:val="28"/>
          <w:shd w:val="clear" w:color="auto" w:fill="FFFFFF"/>
        </w:rPr>
        <w:t xml:space="preserve">, as a result this article could have been used as a foundational piece for other works which followed later. Providing a more in-depth look at the religious and cult practices of Mycenaean culture than the website, which would be of more use in an academic setting for someone studying this area. </w:t>
      </w:r>
      <w:r w:rsidR="00A51F6C">
        <w:rPr>
          <w:rFonts w:cstheme="minorHAnsi"/>
          <w:sz w:val="28"/>
          <w:szCs w:val="28"/>
          <w:shd w:val="clear" w:color="auto" w:fill="FFFFFF"/>
        </w:rPr>
        <w:t xml:space="preserve">One of the main aspects of this article is the discussion surrounding the origin of the ancient Greek pantheon that we would recognise, focusing on Zeus, Hera, Poseidon, Apollo, and Dionysus. The article also makes a few </w:t>
      </w:r>
      <w:r w:rsidR="00A51F6C">
        <w:rPr>
          <w:rFonts w:cstheme="minorHAnsi"/>
          <w:sz w:val="28"/>
          <w:szCs w:val="28"/>
          <w:shd w:val="clear" w:color="auto" w:fill="FFFFFF"/>
        </w:rPr>
        <w:lastRenderedPageBreak/>
        <w:t xml:space="preserve">speculations in regard to what other gods may have existed in the pantheon, given that the sources for these known gods are coming from tablets that, at the time, may not have been fully decrypted. He mentions that some gods may fall by the wayside during translation as mere words rather than names of deities that have yet to be discovered or reattributed. </w:t>
      </w:r>
      <w:r w:rsidR="009952E0">
        <w:rPr>
          <w:rFonts w:cstheme="minorHAnsi"/>
          <w:sz w:val="28"/>
          <w:szCs w:val="28"/>
          <w:shd w:val="clear" w:color="auto" w:fill="FFFFFF"/>
        </w:rPr>
        <w:t xml:space="preserve">The piece also details the construction, arrangement, and possible practices that the believers might have had when visiting the shrines. </w:t>
      </w:r>
      <w:r w:rsidR="00213ACA">
        <w:rPr>
          <w:rFonts w:cstheme="minorHAnsi"/>
          <w:sz w:val="28"/>
          <w:szCs w:val="28"/>
          <w:shd w:val="clear" w:color="auto" w:fill="FFFFFF"/>
        </w:rPr>
        <w:t xml:space="preserve">One hypothesis mentioned is that the tablets used to gleam the pantheon might be records of offerings, seeing as the ones that have been found have a standardised pattern of text. </w:t>
      </w:r>
    </w:p>
    <w:p w14:paraId="1B803E6B" w14:textId="09FFCFDC" w:rsidR="00213ACA" w:rsidRPr="00042D05" w:rsidRDefault="00213ACA" w:rsidP="006B7615">
      <w:pPr>
        <w:rPr>
          <w:rFonts w:cstheme="minorHAnsi"/>
          <w:sz w:val="44"/>
          <w:szCs w:val="44"/>
        </w:rPr>
      </w:pPr>
      <w:r>
        <w:rPr>
          <w:rFonts w:cstheme="minorHAnsi"/>
          <w:sz w:val="28"/>
          <w:szCs w:val="28"/>
          <w:shd w:val="clear" w:color="auto" w:fill="FFFFFF"/>
        </w:rPr>
        <w:t>As an academic piece, this article provides a brief but easy enough to understand overview of the knowledge of Mycenaean religion that was available at the time. Given how old the article is, 60 years old, it can serve as a basis for work but might be superseded by other pieces with more up-to-date information</w:t>
      </w:r>
    </w:p>
    <w:p w14:paraId="5C065D80" w14:textId="77777777" w:rsidR="00654579" w:rsidRDefault="00654579" w:rsidP="00654579">
      <w:pPr>
        <w:pStyle w:val="Heading1"/>
      </w:pPr>
      <w:r>
        <w:t>Edited volume: Approaches to popular religion</w:t>
      </w:r>
    </w:p>
    <w:p w14:paraId="7B3DE2F2" w14:textId="77777777" w:rsidR="00654579" w:rsidRDefault="00654579" w:rsidP="00654579">
      <w:pPr>
        <w:rPr>
          <w:sz w:val="28"/>
          <w:szCs w:val="28"/>
        </w:rPr>
      </w:pPr>
      <w:r>
        <w:rPr>
          <w:sz w:val="28"/>
          <w:szCs w:val="28"/>
        </w:rPr>
        <w:t>Within the first paragraphs of this piece, the author seeks to define what they mean by popular religion, and by that they mean the religion of the politically and socially unprivileged of society. One point of interest is the idea of religious blending that is briefly discussed. In reference to the website mentioning how Mycenaean cities were trade hubs and had a trading network spreading far across the Mediterranean, the mention of religious blending becomes obvious. The paper also discusses how religion was used as an institution and as a cultural concept to maintain the social status quo of palatial rule, with the higher classes justifying it through rituals and beliefs. One area that it touches on which differs from the journal article and website is its analysis of symbolism and religious practices related to the house and death. It focuses on how the layout of the house, the items interred within and other architectural features can be used to embody religious or cultic meaning within a faith. Such architectural features could be used as small shrines, as offerings tables and spaces for private contemplation away from the communal shrines.</w:t>
      </w:r>
    </w:p>
    <w:p w14:paraId="103849E4" w14:textId="77777777" w:rsidR="00654579" w:rsidRPr="000062B0" w:rsidRDefault="00654579" w:rsidP="00654579">
      <w:pPr>
        <w:rPr>
          <w:sz w:val="28"/>
          <w:szCs w:val="28"/>
        </w:rPr>
      </w:pPr>
      <w:r>
        <w:rPr>
          <w:sz w:val="28"/>
          <w:szCs w:val="28"/>
        </w:rPr>
        <w:t>This article could come in handy for someone writing about the religious practices of Bronze Age society, as it talks at length about various fields that can be associated with it such as practice, merging and symbolism</w:t>
      </w:r>
    </w:p>
    <w:p w14:paraId="2C8AF901" w14:textId="56C9AB3D" w:rsidR="00654579" w:rsidRDefault="00654579" w:rsidP="00654579">
      <w:pPr>
        <w:pStyle w:val="Heading1"/>
      </w:pPr>
      <w:r>
        <w:lastRenderedPageBreak/>
        <w:t>Monograph: Minoan and Mycenaean religion</w:t>
      </w:r>
    </w:p>
    <w:p w14:paraId="01C7E45A" w14:textId="79A96696" w:rsidR="00EE777D" w:rsidRDefault="00654579" w:rsidP="006B7615">
      <w:pPr>
        <w:rPr>
          <w:sz w:val="28"/>
          <w:szCs w:val="28"/>
        </w:rPr>
      </w:pPr>
      <w:r>
        <w:rPr>
          <w:sz w:val="28"/>
          <w:szCs w:val="28"/>
        </w:rPr>
        <w:t xml:space="preserve">By far the longest piece I will discuss, it offers the most comprehensive look at Mycenaean religion out of all the items I found for this assignment. Half the paper examines the Minoans and the Mycenaeans, with the other half discussing the two in parallel with each other and the wider Bronze Age world. Each focus of the paper is examined in detail, with the Minoans being given a larger share of the initial description. In some senses this piece is on par with the edited volume in terms of content; but in other aspects it goes beyond as it likely had more paper space to work with, being a monograph. </w:t>
      </w:r>
      <w:r w:rsidR="00E54127">
        <w:rPr>
          <w:sz w:val="28"/>
          <w:szCs w:val="28"/>
        </w:rPr>
        <w:t xml:space="preserve">The article also extends its focus out to </w:t>
      </w:r>
      <w:r w:rsidR="009F57CE">
        <w:rPr>
          <w:sz w:val="28"/>
          <w:szCs w:val="28"/>
        </w:rPr>
        <w:t>more</w:t>
      </w:r>
      <w:r w:rsidR="00E54127">
        <w:rPr>
          <w:sz w:val="28"/>
          <w:szCs w:val="28"/>
        </w:rPr>
        <w:t xml:space="preserve"> aspects of social life</w:t>
      </w:r>
      <w:r w:rsidR="009F57CE">
        <w:rPr>
          <w:sz w:val="28"/>
          <w:szCs w:val="28"/>
        </w:rPr>
        <w:t xml:space="preserve"> such as the</w:t>
      </w:r>
      <w:r w:rsidR="00E54127">
        <w:rPr>
          <w:sz w:val="28"/>
          <w:szCs w:val="28"/>
        </w:rPr>
        <w:t xml:space="preserve"> language</w:t>
      </w:r>
      <w:r w:rsidR="009F57CE">
        <w:rPr>
          <w:sz w:val="28"/>
          <w:szCs w:val="28"/>
        </w:rPr>
        <w:t xml:space="preserve">, linguistic families and other debates related to the archaeology of the region. </w:t>
      </w:r>
    </w:p>
    <w:p w14:paraId="72D17403" w14:textId="5462B4D8" w:rsidR="009F57CE" w:rsidRPr="00654579" w:rsidRDefault="009F57CE" w:rsidP="006B7615">
      <w:pPr>
        <w:rPr>
          <w:sz w:val="28"/>
          <w:szCs w:val="28"/>
        </w:rPr>
      </w:pPr>
      <w:r>
        <w:rPr>
          <w:sz w:val="28"/>
          <w:szCs w:val="28"/>
        </w:rPr>
        <w:t>This piece is arguably the best for anyone who is studying the Aegean region, as it covers in depth some of the biggest players within that area. Though the amount that it spends discussing the topic of interest, religion, is short in relation to the whole article, it still provides enough of a groundwork to be useful in conjunction with other pieces, such as the edited volume</w:t>
      </w:r>
    </w:p>
    <w:sdt>
      <w:sdtPr>
        <w:id w:val="-717738652"/>
        <w:docPartObj>
          <w:docPartGallery w:val="Bibliographies"/>
          <w:docPartUnique/>
        </w:docPartObj>
      </w:sdtPr>
      <w:sdtEndPr>
        <w:rPr>
          <w:rFonts w:asciiTheme="minorHAnsi" w:eastAsiaTheme="minorEastAsia" w:hAnsiTheme="minorHAnsi" w:cstheme="minorBidi"/>
          <w:color w:val="auto"/>
          <w:sz w:val="22"/>
          <w:szCs w:val="22"/>
        </w:rPr>
      </w:sdtEndPr>
      <w:sdtContent>
        <w:p w14:paraId="20CEB1FF" w14:textId="3342E911" w:rsidR="000062B0" w:rsidRDefault="000062B0">
          <w:pPr>
            <w:pStyle w:val="Heading1"/>
          </w:pPr>
          <w:r>
            <w:t>Bibliography</w:t>
          </w:r>
        </w:p>
        <w:sdt>
          <w:sdtPr>
            <w:id w:val="111145805"/>
            <w:bibliography/>
          </w:sdtPr>
          <w:sdtContent>
            <w:p w14:paraId="5B62CC62" w14:textId="77777777" w:rsidR="000062B0" w:rsidRDefault="000062B0" w:rsidP="000062B0">
              <w:pPr>
                <w:pStyle w:val="Bibliography"/>
                <w:ind w:left="720" w:hanging="720"/>
                <w:rPr>
                  <w:noProof/>
                  <w:sz w:val="24"/>
                  <w:szCs w:val="24"/>
                </w:rPr>
              </w:pPr>
              <w:r>
                <w:fldChar w:fldCharType="begin"/>
              </w:r>
              <w:r>
                <w:instrText xml:space="preserve"> BIBLIOGRAPHY </w:instrText>
              </w:r>
              <w:r>
                <w:fldChar w:fldCharType="separate"/>
              </w:r>
              <w:r>
                <w:rPr>
                  <w:noProof/>
                </w:rPr>
                <w:t xml:space="preserve">Cartwright, M. (2019, October 02). </w:t>
              </w:r>
              <w:r>
                <w:rPr>
                  <w:i/>
                  <w:iCs/>
                  <w:noProof/>
                </w:rPr>
                <w:t>Mycenaean Civilisation</w:t>
              </w:r>
              <w:r>
                <w:rPr>
                  <w:noProof/>
                </w:rPr>
                <w:t>. Retrieved from Ancient History Encyclopedia: https://www.ancient.eu/Mycenaean_Civilization</w:t>
              </w:r>
            </w:p>
            <w:p w14:paraId="7847C056" w14:textId="77777777" w:rsidR="000062B0" w:rsidRDefault="000062B0" w:rsidP="000062B0">
              <w:pPr>
                <w:pStyle w:val="Bibliography"/>
                <w:ind w:left="720" w:hanging="720"/>
                <w:rPr>
                  <w:noProof/>
                </w:rPr>
              </w:pPr>
              <w:r>
                <w:rPr>
                  <w:noProof/>
                </w:rPr>
                <w:t xml:space="preserve">Jameson, M. (1960). Mycenaean Religion. </w:t>
              </w:r>
              <w:r>
                <w:rPr>
                  <w:i/>
                  <w:iCs/>
                  <w:noProof/>
                </w:rPr>
                <w:t>Archaeology</w:t>
              </w:r>
              <w:r>
                <w:rPr>
                  <w:noProof/>
                </w:rPr>
                <w:t>, 33-39.</w:t>
              </w:r>
            </w:p>
            <w:p w14:paraId="73AAA34B" w14:textId="77777777" w:rsidR="000062B0" w:rsidRDefault="000062B0" w:rsidP="000062B0">
              <w:pPr>
                <w:pStyle w:val="Bibliography"/>
                <w:ind w:left="720" w:hanging="720"/>
                <w:rPr>
                  <w:noProof/>
                </w:rPr>
              </w:pPr>
              <w:r>
                <w:rPr>
                  <w:noProof/>
                </w:rPr>
                <w:t xml:space="preserve">Warburton, D. (2020, April 02). </w:t>
              </w:r>
              <w:r>
                <w:rPr>
                  <w:i/>
                  <w:iCs/>
                  <w:noProof/>
                </w:rPr>
                <w:t>Minoan and Mycenaean religion.</w:t>
              </w:r>
              <w:r>
                <w:rPr>
                  <w:noProof/>
                </w:rPr>
                <w:t xml:space="preserve"> Retrieved from Academia: https://www.academia.edu/7262404/Bronze_Age_Aegean_Religion</w:t>
              </w:r>
            </w:p>
            <w:p w14:paraId="74475E6B" w14:textId="77777777" w:rsidR="000062B0" w:rsidRDefault="000062B0" w:rsidP="000062B0">
              <w:pPr>
                <w:pStyle w:val="Bibliography"/>
                <w:ind w:left="720" w:hanging="720"/>
                <w:rPr>
                  <w:noProof/>
                </w:rPr>
              </w:pPr>
              <w:r>
                <w:rPr>
                  <w:noProof/>
                </w:rPr>
                <w:t xml:space="preserve">Whittaker, H. (2018). Approaches to popular religion in Late Bronze Age Greece. In K. Kopanias, G. Vavouranakis, &amp; C. Kanellopoulos, </w:t>
              </w:r>
              <w:r>
                <w:rPr>
                  <w:i/>
                  <w:iCs/>
                  <w:noProof/>
                </w:rPr>
                <w:t>Popular Religion and Ritual in Prehistoric and Ancient Greece and the Eastern Mediterranean</w:t>
              </w:r>
              <w:r>
                <w:rPr>
                  <w:noProof/>
                </w:rPr>
                <w:t xml:space="preserve"> (pp. 55-62). Archaeopress.</w:t>
              </w:r>
            </w:p>
            <w:p w14:paraId="348F38FD" w14:textId="71FA8811" w:rsidR="000062B0" w:rsidRDefault="000062B0" w:rsidP="000062B0">
              <w:r>
                <w:rPr>
                  <w:b/>
                  <w:bCs/>
                  <w:noProof/>
                </w:rPr>
                <w:fldChar w:fldCharType="end"/>
              </w:r>
            </w:p>
          </w:sdtContent>
        </w:sdt>
      </w:sdtContent>
    </w:sdt>
    <w:p w14:paraId="679751E3" w14:textId="77777777" w:rsidR="000062B0" w:rsidRPr="00D352EC" w:rsidRDefault="000062B0" w:rsidP="006B7615">
      <w:pPr>
        <w:rPr>
          <w:rFonts w:cstheme="minorHAnsi"/>
          <w:sz w:val="28"/>
          <w:szCs w:val="28"/>
          <w:shd w:val="clear" w:color="auto" w:fill="FFFFFF"/>
        </w:rPr>
      </w:pPr>
    </w:p>
    <w:sectPr w:rsidR="000062B0" w:rsidRPr="00D35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615"/>
    <w:rsid w:val="000062B0"/>
    <w:rsid w:val="00042D05"/>
    <w:rsid w:val="000548BF"/>
    <w:rsid w:val="00213ACA"/>
    <w:rsid w:val="0024491C"/>
    <w:rsid w:val="002776D8"/>
    <w:rsid w:val="005176A8"/>
    <w:rsid w:val="0053304D"/>
    <w:rsid w:val="005513FA"/>
    <w:rsid w:val="00654579"/>
    <w:rsid w:val="0067188A"/>
    <w:rsid w:val="006B7615"/>
    <w:rsid w:val="007B2B08"/>
    <w:rsid w:val="008606F2"/>
    <w:rsid w:val="009952E0"/>
    <w:rsid w:val="009F49EF"/>
    <w:rsid w:val="009F57CE"/>
    <w:rsid w:val="00A51F6C"/>
    <w:rsid w:val="00AF6FE6"/>
    <w:rsid w:val="00B363C8"/>
    <w:rsid w:val="00BE6615"/>
    <w:rsid w:val="00C90CD6"/>
    <w:rsid w:val="00D352EC"/>
    <w:rsid w:val="00DB305B"/>
    <w:rsid w:val="00DC0626"/>
    <w:rsid w:val="00E32566"/>
    <w:rsid w:val="00E54127"/>
    <w:rsid w:val="00E95C93"/>
    <w:rsid w:val="00EE777D"/>
    <w:rsid w:val="00EF356F"/>
    <w:rsid w:val="00F51CE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6A957"/>
  <w15:chartTrackingRefBased/>
  <w15:docId w15:val="{B3B13D3D-67BD-4AF4-8F0B-EC9F33B16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6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6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761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61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76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61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42D05"/>
    <w:rPr>
      <w:color w:val="0000FF"/>
      <w:u w:val="single"/>
    </w:rPr>
  </w:style>
  <w:style w:type="character" w:styleId="UnresolvedMention">
    <w:name w:val="Unresolved Mention"/>
    <w:basedOn w:val="DefaultParagraphFont"/>
    <w:uiPriority w:val="99"/>
    <w:semiHidden/>
    <w:unhideWhenUsed/>
    <w:rsid w:val="00042D05"/>
    <w:rPr>
      <w:color w:val="605E5C"/>
      <w:shd w:val="clear" w:color="auto" w:fill="E1DFDD"/>
    </w:rPr>
  </w:style>
  <w:style w:type="paragraph" w:styleId="Bibliography">
    <w:name w:val="Bibliography"/>
    <w:basedOn w:val="Normal"/>
    <w:next w:val="Normal"/>
    <w:uiPriority w:val="37"/>
    <w:unhideWhenUsed/>
    <w:rsid w:val="000062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193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Mic60</b:Tag>
    <b:SourceType>JournalArticle</b:SourceType>
    <b:Guid>{A0EB85FC-22D2-442F-8DAD-E02CB94DA4FA}</b:Guid>
    <b:Title>Mycenaean Religion</b:Title>
    <b:Year>1960</b:Year>
    <b:Author>
      <b:Author>
        <b:NameList>
          <b:Person>
            <b:Last>Jameson</b:Last>
            <b:First>Micheal</b:First>
          </b:Person>
        </b:NameList>
      </b:Author>
    </b:Author>
    <b:JournalName>Archaeology</b:JournalName>
    <b:Pages>33-39</b:Pages>
    <b:RefOrder>1</b:RefOrder>
  </b:Source>
  <b:Source>
    <b:Tag>Whi18</b:Tag>
    <b:SourceType>BookSection</b:SourceType>
    <b:Guid>{649C07D6-B912-45C8-9D1D-0BDF7EDF06FA}</b:Guid>
    <b:Title>Approaches to popular religion in Late Bronze Age Greece</b:Title>
    <b:Year>2018</b:Year>
    <b:Pages>55-62</b:Pages>
    <b:Publisher>Archaeopress</b:Publisher>
    <b:Author>
      <b:Author>
        <b:NameList>
          <b:Person>
            <b:Last>Whittaker</b:Last>
            <b:First>Helene</b:First>
          </b:Person>
        </b:NameList>
      </b:Author>
      <b:BookAuthor>
        <b:NameList>
          <b:Person>
            <b:Last>Kopanias</b:Last>
            <b:First>Konstantinos</b:First>
          </b:Person>
          <b:Person>
            <b:Last>Vavouranakis</b:Last>
            <b:First>Giorgos</b:First>
          </b:Person>
          <b:Person>
            <b:Last>Kanellopoulos</b:Last>
            <b:First>Chrysanthos</b:First>
          </b:Person>
        </b:NameList>
      </b:BookAuthor>
    </b:Author>
    <b:BookTitle>Popular Religion and Ritual in Prehistoric and Ancient Greece and the Eastern Mediterranean</b:BookTitle>
    <b:RefOrder>2</b:RefOrder>
  </b:Source>
  <b:Source>
    <b:Tag>War20</b:Tag>
    <b:SourceType>DocumentFromInternetSite</b:SourceType>
    <b:Guid>{1A1D6D76-5F5A-49D7-8E07-C7E6F7789866}</b:Guid>
    <b:Title>Minoan and Mycenaean religion</b:Title>
    <b:Year>2020</b:Year>
    <b:InternetSiteTitle>Academia</b:InternetSiteTitle>
    <b:Month>April</b:Month>
    <b:Day>02</b:Day>
    <b:URL>https://www.academia.edu/7262404/Bronze_Age_Aegean_Religion</b:URL>
    <b:Author>
      <b:Author>
        <b:NameList>
          <b:Person>
            <b:Last>Warburton</b:Last>
            <b:First>David</b:First>
          </b:Person>
        </b:NameList>
      </b:Author>
    </b:Author>
    <b:RefOrder>3</b:RefOrder>
  </b:Source>
  <b:Source>
    <b:Tag>Mar19</b:Tag>
    <b:SourceType>InternetSite</b:SourceType>
    <b:Guid>{1A124400-92F5-4FBD-8331-EBCC61E7D833}</b:Guid>
    <b:Title>Mycenaean Civilisation</b:Title>
    <b:InternetSiteTitle>Ancient History Encyclopedia</b:InternetSiteTitle>
    <b:Year>2019</b:Year>
    <b:Month>October</b:Month>
    <b:Day>02</b:Day>
    <b:URL>https://www.ancient.eu/Mycenaean_Civilization</b:URL>
    <b:Author>
      <b:Author>
        <b:NameList>
          <b:Person>
            <b:Last>Cartwright</b:Last>
            <b:First>Mark</b:First>
          </b:Person>
        </b:NameList>
      </b:Author>
    </b:Author>
    <b:RefOrder>4</b:RefOrder>
  </b:Source>
</b:Sources>
</file>

<file path=customXml/itemProps1.xml><?xml version="1.0" encoding="utf-8"?>
<ds:datastoreItem xmlns:ds="http://schemas.openxmlformats.org/officeDocument/2006/customXml" ds:itemID="{DE003B4F-FFEC-44FB-9978-9BDCD39C0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3</Pages>
  <Words>1054</Words>
  <Characters>5727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 (1900979)</cp:lastModifiedBy>
  <cp:revision>15</cp:revision>
  <dcterms:created xsi:type="dcterms:W3CDTF">2020-04-02T15:03:00Z</dcterms:created>
  <dcterms:modified xsi:type="dcterms:W3CDTF">2020-04-02T18:22:00Z</dcterms:modified>
</cp:coreProperties>
</file>