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63B4" w:rsidRDefault="004C730C" w:rsidP="004C730C">
      <w:pPr>
        <w:jc w:val="center"/>
      </w:pPr>
      <w:r>
        <w:rPr>
          <w:noProof/>
          <w:lang w:val="en-US"/>
        </w:rPr>
        <w:drawing>
          <wp:inline distT="0" distB="0" distL="0" distR="0" wp14:anchorId="4AF69246" wp14:editId="70565906">
            <wp:extent cx="3234266" cy="1073417"/>
            <wp:effectExtent l="0" t="0" r="4445" b="0"/>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4643" cy="1073542"/>
                    </a:xfrm>
                    <a:prstGeom prst="rect">
                      <a:avLst/>
                    </a:prstGeom>
                    <a:noFill/>
                    <a:ln>
                      <a:noFill/>
                    </a:ln>
                  </pic:spPr>
                </pic:pic>
              </a:graphicData>
            </a:graphic>
          </wp:inline>
        </w:drawing>
      </w:r>
    </w:p>
    <w:p w:rsidR="007863B4" w:rsidRDefault="007863B4" w:rsidP="007863B4">
      <w:pPr>
        <w:jc w:val="center"/>
      </w:pPr>
    </w:p>
    <w:p w:rsidR="004C730C" w:rsidRDefault="004C730C" w:rsidP="007863B4">
      <w:pPr>
        <w:jc w:val="center"/>
      </w:pPr>
    </w:p>
    <w:p w:rsidR="004C730C" w:rsidRDefault="004C730C" w:rsidP="007863B4">
      <w:pPr>
        <w:jc w:val="center"/>
      </w:pPr>
    </w:p>
    <w:p w:rsidR="004C730C" w:rsidRPr="004C730C" w:rsidRDefault="004C730C" w:rsidP="004C730C">
      <w:pPr>
        <w:jc w:val="center"/>
        <w:rPr>
          <w:rFonts w:cs="Times New Roman"/>
          <w:sz w:val="36"/>
          <w:szCs w:val="36"/>
        </w:rPr>
      </w:pPr>
      <w:r w:rsidRPr="003D74A8">
        <w:rPr>
          <w:rFonts w:cs="Times New Roman"/>
          <w:sz w:val="36"/>
          <w:szCs w:val="36"/>
        </w:rPr>
        <w:t>MBA Banking and Finance</w:t>
      </w:r>
    </w:p>
    <w:p w:rsidR="007863B4" w:rsidRPr="004C730C" w:rsidRDefault="007863B4" w:rsidP="007863B4">
      <w:pPr>
        <w:jc w:val="center"/>
        <w:rPr>
          <w:rFonts w:cs="Times New Roman"/>
          <w:sz w:val="36"/>
          <w:szCs w:val="36"/>
        </w:rPr>
      </w:pPr>
      <w:r w:rsidRPr="004C730C">
        <w:rPr>
          <w:rFonts w:cs="Times New Roman"/>
          <w:sz w:val="36"/>
          <w:szCs w:val="36"/>
        </w:rPr>
        <w:t>FINANCIAL MANAGEMENT</w:t>
      </w:r>
      <w:r w:rsidR="004C730C">
        <w:rPr>
          <w:rFonts w:cs="Times New Roman"/>
          <w:sz w:val="36"/>
          <w:szCs w:val="36"/>
        </w:rPr>
        <w:t xml:space="preserve"> </w:t>
      </w:r>
      <w:r w:rsidR="004C730C">
        <w:rPr>
          <w:rFonts w:cs="Times New Roman"/>
          <w:sz w:val="36"/>
          <w:szCs w:val="36"/>
        </w:rPr>
        <w:br/>
        <w:t>(LCMB7002)</w:t>
      </w:r>
    </w:p>
    <w:p w:rsidR="007863B4" w:rsidRDefault="007863B4" w:rsidP="007863B4">
      <w:pPr>
        <w:jc w:val="center"/>
      </w:pPr>
    </w:p>
    <w:p w:rsidR="004C730C" w:rsidRDefault="004C730C" w:rsidP="007863B4">
      <w:pPr>
        <w:jc w:val="center"/>
      </w:pPr>
    </w:p>
    <w:p w:rsidR="007863B4" w:rsidRDefault="007863B4" w:rsidP="007863B4">
      <w:pPr>
        <w:jc w:val="center"/>
      </w:pPr>
    </w:p>
    <w:p w:rsidR="007863B4" w:rsidRDefault="007863B4" w:rsidP="007863B4">
      <w:pPr>
        <w:jc w:val="center"/>
      </w:pPr>
    </w:p>
    <w:p w:rsidR="007863B4" w:rsidRDefault="007863B4" w:rsidP="007863B4">
      <w:pPr>
        <w:jc w:val="center"/>
      </w:pPr>
    </w:p>
    <w:p w:rsidR="0090030F" w:rsidRPr="004C730C" w:rsidRDefault="004C730C" w:rsidP="004C730C">
      <w:pPr>
        <w:jc w:val="left"/>
        <w:rPr>
          <w:rFonts w:cs="Times New Roman"/>
          <w:sz w:val="32"/>
          <w:szCs w:val="32"/>
        </w:rPr>
      </w:pPr>
      <w:r w:rsidRPr="003D74A8">
        <w:rPr>
          <w:rFonts w:cs="Times New Roman"/>
          <w:sz w:val="32"/>
          <w:szCs w:val="32"/>
        </w:rPr>
        <w:t xml:space="preserve">Student name: </w:t>
      </w:r>
      <w:proofErr w:type="spellStart"/>
      <w:r w:rsidRPr="003D74A8">
        <w:rPr>
          <w:rFonts w:cs="Times New Roman"/>
          <w:sz w:val="32"/>
          <w:szCs w:val="32"/>
        </w:rPr>
        <w:t>Dragalina</w:t>
      </w:r>
      <w:proofErr w:type="spellEnd"/>
      <w:r w:rsidRPr="003D74A8">
        <w:rPr>
          <w:rFonts w:cs="Times New Roman"/>
          <w:sz w:val="32"/>
          <w:szCs w:val="32"/>
        </w:rPr>
        <w:t xml:space="preserve"> </w:t>
      </w:r>
      <w:proofErr w:type="spellStart"/>
      <w:r w:rsidRPr="003D74A8">
        <w:rPr>
          <w:rFonts w:cs="Times New Roman"/>
          <w:sz w:val="32"/>
          <w:szCs w:val="32"/>
        </w:rPr>
        <w:t>Drenta</w:t>
      </w:r>
      <w:proofErr w:type="spellEnd"/>
      <w:r w:rsidRPr="003D74A8">
        <w:rPr>
          <w:rFonts w:cs="Times New Roman"/>
          <w:sz w:val="32"/>
          <w:szCs w:val="32"/>
        </w:rPr>
        <w:br/>
        <w:t>Stud</w:t>
      </w:r>
      <w:r>
        <w:rPr>
          <w:rFonts w:cs="Times New Roman"/>
          <w:sz w:val="32"/>
          <w:szCs w:val="32"/>
        </w:rPr>
        <w:t>ent number: 2014034</w:t>
      </w:r>
      <w:r>
        <w:rPr>
          <w:rFonts w:cs="Times New Roman"/>
          <w:sz w:val="32"/>
          <w:szCs w:val="32"/>
        </w:rPr>
        <w:br/>
        <w:t xml:space="preserve">Lecturer: </w:t>
      </w:r>
      <w:proofErr w:type="spellStart"/>
      <w:r>
        <w:rPr>
          <w:rFonts w:cs="Times New Roman"/>
          <w:sz w:val="32"/>
          <w:szCs w:val="32"/>
        </w:rPr>
        <w:t>Jia</w:t>
      </w:r>
      <w:proofErr w:type="spellEnd"/>
      <w:r>
        <w:rPr>
          <w:rFonts w:cs="Times New Roman"/>
          <w:sz w:val="32"/>
          <w:szCs w:val="32"/>
        </w:rPr>
        <w:t xml:space="preserve"> Miao</w:t>
      </w:r>
    </w:p>
    <w:p w:rsidR="0090030F" w:rsidRDefault="0090030F" w:rsidP="0090030F">
      <w:pPr>
        <w:rPr>
          <w:b/>
        </w:rPr>
      </w:pPr>
      <w:r w:rsidRPr="0090030F">
        <w:rPr>
          <w:b/>
        </w:rPr>
        <w:lastRenderedPageBreak/>
        <w:t>Executive Summary</w:t>
      </w:r>
    </w:p>
    <w:p w:rsidR="0090030F" w:rsidRPr="00F65102" w:rsidRDefault="0090030F" w:rsidP="0090030F">
      <w:r w:rsidRPr="00F65102">
        <w:t>The report describes about the financial position of the two selected companies which are also publicly listed and traded on London Stock Exchange.</w:t>
      </w:r>
      <w:r w:rsidR="00E33A48" w:rsidRPr="00F65102">
        <w:t xml:space="preserve"> The report takes examples of two companies which are Rio Tinto and BHP Billiton. The report calculates financial ratios such as efficiency ratios, liquidity ratios, profitability ratios and gearing ratios. </w:t>
      </w:r>
      <w:r w:rsidR="00F65102" w:rsidRPr="00F65102">
        <w:t>The</w:t>
      </w:r>
      <w:r w:rsidR="00E33A48" w:rsidRPr="00F65102">
        <w:t xml:space="preserve"> second part of the report helps to understand how different projects is being analysed for capital investments using the financial calculation of ARR, payback period and NPV. The report concludes that the companies selected for the study shows good financial position and is worth for making prospective investments based on the financial analysis </w:t>
      </w:r>
      <w:r w:rsidR="00F65102" w:rsidRPr="00F65102">
        <w:t>of the last five</w:t>
      </w:r>
      <w:r w:rsidR="00E33A48" w:rsidRPr="00F65102">
        <w:t xml:space="preserve"> year five year performance.</w:t>
      </w: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p w:rsidR="0090030F" w:rsidRDefault="0090030F" w:rsidP="007863B4">
      <w:pPr>
        <w:jc w:val="center"/>
      </w:pPr>
    </w:p>
    <w:sdt>
      <w:sdtPr>
        <w:rPr>
          <w:rFonts w:ascii="Times New Roman" w:eastAsiaTheme="minorHAnsi" w:hAnsi="Times New Roman" w:cstheme="minorBidi"/>
          <w:color w:val="000000" w:themeColor="text1"/>
          <w:sz w:val="24"/>
          <w:szCs w:val="22"/>
          <w:lang w:val="en-IN"/>
        </w:rPr>
        <w:id w:val="-1062868777"/>
        <w:docPartObj>
          <w:docPartGallery w:val="Table of Contents"/>
          <w:docPartUnique/>
        </w:docPartObj>
      </w:sdtPr>
      <w:sdtEndPr>
        <w:rPr>
          <w:b/>
          <w:bCs/>
          <w:noProof/>
        </w:rPr>
      </w:sdtEndPr>
      <w:sdtContent>
        <w:p w:rsidR="002C5297" w:rsidRPr="002C5297" w:rsidRDefault="002C5297" w:rsidP="002C5297">
          <w:pPr>
            <w:pStyle w:val="TOCHeading"/>
            <w:jc w:val="center"/>
            <w:rPr>
              <w:rFonts w:ascii="Times New Roman" w:hAnsi="Times New Roman" w:cs="Times New Roman"/>
              <w:b/>
              <w:color w:val="auto"/>
              <w:sz w:val="24"/>
              <w:szCs w:val="24"/>
            </w:rPr>
          </w:pPr>
          <w:r w:rsidRPr="002C5297">
            <w:rPr>
              <w:rFonts w:ascii="Times New Roman" w:hAnsi="Times New Roman" w:cs="Times New Roman"/>
              <w:b/>
              <w:color w:val="auto"/>
              <w:sz w:val="24"/>
              <w:szCs w:val="24"/>
            </w:rPr>
            <w:t>Table of Contents</w:t>
          </w:r>
        </w:p>
        <w:p w:rsidR="00B572D9" w:rsidRDefault="002C5297">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61466761" w:history="1">
            <w:r w:rsidR="00B572D9" w:rsidRPr="002B77FB">
              <w:rPr>
                <w:rStyle w:val="Hyperlink"/>
                <w:noProof/>
              </w:rPr>
              <w:t>Part A</w:t>
            </w:r>
            <w:r w:rsidR="00B572D9">
              <w:rPr>
                <w:noProof/>
                <w:webHidden/>
              </w:rPr>
              <w:tab/>
            </w:r>
            <w:r w:rsidR="00B572D9">
              <w:rPr>
                <w:noProof/>
                <w:webHidden/>
              </w:rPr>
              <w:fldChar w:fldCharType="begin"/>
            </w:r>
            <w:r w:rsidR="00B572D9">
              <w:rPr>
                <w:noProof/>
                <w:webHidden/>
              </w:rPr>
              <w:instrText xml:space="preserve"> PAGEREF _Toc61466761 \h </w:instrText>
            </w:r>
            <w:r w:rsidR="00B572D9">
              <w:rPr>
                <w:noProof/>
                <w:webHidden/>
              </w:rPr>
            </w:r>
            <w:r w:rsidR="00B572D9">
              <w:rPr>
                <w:noProof/>
                <w:webHidden/>
              </w:rPr>
              <w:fldChar w:fldCharType="separate"/>
            </w:r>
            <w:r w:rsidR="00B572D9">
              <w:rPr>
                <w:noProof/>
                <w:webHidden/>
              </w:rPr>
              <w:t>3</w:t>
            </w:r>
            <w:r w:rsidR="00B572D9">
              <w:rPr>
                <w:noProof/>
                <w:webHidden/>
              </w:rPr>
              <w:fldChar w:fldCharType="end"/>
            </w:r>
          </w:hyperlink>
        </w:p>
        <w:p w:rsidR="00B572D9" w:rsidRDefault="004B4B25">
          <w:pPr>
            <w:pStyle w:val="TOC1"/>
            <w:tabs>
              <w:tab w:val="right" w:leader="dot" w:pos="9350"/>
            </w:tabs>
            <w:rPr>
              <w:rFonts w:asciiTheme="minorHAnsi" w:eastAsiaTheme="minorEastAsia" w:hAnsiTheme="minorHAnsi"/>
              <w:noProof/>
              <w:color w:val="auto"/>
              <w:sz w:val="22"/>
              <w:lang w:val="en-US"/>
            </w:rPr>
          </w:pPr>
          <w:hyperlink w:anchor="_Toc61466762" w:history="1">
            <w:r w:rsidR="00B572D9" w:rsidRPr="002B77FB">
              <w:rPr>
                <w:rStyle w:val="Hyperlink"/>
                <w:noProof/>
              </w:rPr>
              <w:t>Part B</w:t>
            </w:r>
            <w:r w:rsidR="00B572D9">
              <w:rPr>
                <w:noProof/>
                <w:webHidden/>
              </w:rPr>
              <w:tab/>
            </w:r>
            <w:r w:rsidR="00B572D9">
              <w:rPr>
                <w:noProof/>
                <w:webHidden/>
              </w:rPr>
              <w:fldChar w:fldCharType="begin"/>
            </w:r>
            <w:r w:rsidR="00B572D9">
              <w:rPr>
                <w:noProof/>
                <w:webHidden/>
              </w:rPr>
              <w:instrText xml:space="preserve"> PAGEREF _Toc61466762 \h </w:instrText>
            </w:r>
            <w:r w:rsidR="00B572D9">
              <w:rPr>
                <w:noProof/>
                <w:webHidden/>
              </w:rPr>
            </w:r>
            <w:r w:rsidR="00B572D9">
              <w:rPr>
                <w:noProof/>
                <w:webHidden/>
              </w:rPr>
              <w:fldChar w:fldCharType="separate"/>
            </w:r>
            <w:r w:rsidR="00B572D9">
              <w:rPr>
                <w:noProof/>
                <w:webHidden/>
              </w:rPr>
              <w:t>4</w:t>
            </w:r>
            <w:r w:rsidR="00B572D9">
              <w:rPr>
                <w:noProof/>
                <w:webHidden/>
              </w:rPr>
              <w:fldChar w:fldCharType="end"/>
            </w:r>
          </w:hyperlink>
        </w:p>
        <w:p w:rsidR="00B572D9" w:rsidRDefault="004B4B25">
          <w:pPr>
            <w:pStyle w:val="TOC2"/>
            <w:tabs>
              <w:tab w:val="right" w:leader="dot" w:pos="9350"/>
            </w:tabs>
            <w:rPr>
              <w:rFonts w:asciiTheme="minorHAnsi" w:eastAsiaTheme="minorEastAsia" w:hAnsiTheme="minorHAnsi"/>
              <w:noProof/>
              <w:color w:val="auto"/>
              <w:sz w:val="22"/>
              <w:lang w:val="en-US"/>
            </w:rPr>
          </w:pPr>
          <w:hyperlink w:anchor="_Toc61466763" w:history="1">
            <w:r w:rsidR="00B572D9" w:rsidRPr="002B77FB">
              <w:rPr>
                <w:rStyle w:val="Hyperlink"/>
                <w:noProof/>
              </w:rPr>
              <w:t>Comparison to major competitor(s)</w:t>
            </w:r>
            <w:r w:rsidR="00B572D9">
              <w:rPr>
                <w:noProof/>
                <w:webHidden/>
              </w:rPr>
              <w:tab/>
            </w:r>
            <w:r w:rsidR="00B572D9">
              <w:rPr>
                <w:noProof/>
                <w:webHidden/>
              </w:rPr>
              <w:fldChar w:fldCharType="begin"/>
            </w:r>
            <w:r w:rsidR="00B572D9">
              <w:rPr>
                <w:noProof/>
                <w:webHidden/>
              </w:rPr>
              <w:instrText xml:space="preserve"> PAGEREF _Toc61466763 \h </w:instrText>
            </w:r>
            <w:r w:rsidR="00B572D9">
              <w:rPr>
                <w:noProof/>
                <w:webHidden/>
              </w:rPr>
            </w:r>
            <w:r w:rsidR="00B572D9">
              <w:rPr>
                <w:noProof/>
                <w:webHidden/>
              </w:rPr>
              <w:fldChar w:fldCharType="separate"/>
            </w:r>
            <w:r w:rsidR="00B572D9">
              <w:rPr>
                <w:noProof/>
                <w:webHidden/>
              </w:rPr>
              <w:t>9</w:t>
            </w:r>
            <w:r w:rsidR="00B572D9">
              <w:rPr>
                <w:noProof/>
                <w:webHidden/>
              </w:rPr>
              <w:fldChar w:fldCharType="end"/>
            </w:r>
          </w:hyperlink>
        </w:p>
        <w:p w:rsidR="00B572D9" w:rsidRDefault="004B4B25">
          <w:pPr>
            <w:pStyle w:val="TOC2"/>
            <w:tabs>
              <w:tab w:val="right" w:leader="dot" w:pos="9350"/>
            </w:tabs>
            <w:rPr>
              <w:rFonts w:asciiTheme="minorHAnsi" w:eastAsiaTheme="minorEastAsia" w:hAnsiTheme="minorHAnsi"/>
              <w:noProof/>
              <w:color w:val="auto"/>
              <w:sz w:val="22"/>
              <w:lang w:val="en-US"/>
            </w:rPr>
          </w:pPr>
          <w:hyperlink w:anchor="_Toc61466764" w:history="1">
            <w:r w:rsidR="00B572D9" w:rsidRPr="002B77FB">
              <w:rPr>
                <w:rStyle w:val="Hyperlink"/>
                <w:noProof/>
              </w:rPr>
              <w:t>Recommendations on how to improve the financial management of the companies</w:t>
            </w:r>
            <w:r w:rsidR="00B572D9">
              <w:rPr>
                <w:noProof/>
                <w:webHidden/>
              </w:rPr>
              <w:tab/>
            </w:r>
            <w:r w:rsidR="00B572D9">
              <w:rPr>
                <w:noProof/>
                <w:webHidden/>
              </w:rPr>
              <w:fldChar w:fldCharType="begin"/>
            </w:r>
            <w:r w:rsidR="00B572D9">
              <w:rPr>
                <w:noProof/>
                <w:webHidden/>
              </w:rPr>
              <w:instrText xml:space="preserve"> PAGEREF _Toc61466764 \h </w:instrText>
            </w:r>
            <w:r w:rsidR="00B572D9">
              <w:rPr>
                <w:noProof/>
                <w:webHidden/>
              </w:rPr>
            </w:r>
            <w:r w:rsidR="00B572D9">
              <w:rPr>
                <w:noProof/>
                <w:webHidden/>
              </w:rPr>
              <w:fldChar w:fldCharType="separate"/>
            </w:r>
            <w:r w:rsidR="00B572D9">
              <w:rPr>
                <w:noProof/>
                <w:webHidden/>
              </w:rPr>
              <w:t>10</w:t>
            </w:r>
            <w:r w:rsidR="00B572D9">
              <w:rPr>
                <w:noProof/>
                <w:webHidden/>
              </w:rPr>
              <w:fldChar w:fldCharType="end"/>
            </w:r>
          </w:hyperlink>
        </w:p>
        <w:p w:rsidR="00B572D9" w:rsidRDefault="004B4B25">
          <w:pPr>
            <w:pStyle w:val="TOC1"/>
            <w:tabs>
              <w:tab w:val="right" w:leader="dot" w:pos="9350"/>
            </w:tabs>
            <w:rPr>
              <w:rFonts w:asciiTheme="minorHAnsi" w:eastAsiaTheme="minorEastAsia" w:hAnsiTheme="minorHAnsi"/>
              <w:noProof/>
              <w:color w:val="auto"/>
              <w:sz w:val="22"/>
              <w:lang w:val="en-US"/>
            </w:rPr>
          </w:pPr>
          <w:hyperlink w:anchor="_Toc61466765" w:history="1">
            <w:r w:rsidR="00B572D9" w:rsidRPr="002B77FB">
              <w:rPr>
                <w:rStyle w:val="Hyperlink"/>
                <w:noProof/>
              </w:rPr>
              <w:t>Part C</w:t>
            </w:r>
            <w:r w:rsidR="00B572D9">
              <w:rPr>
                <w:noProof/>
                <w:webHidden/>
              </w:rPr>
              <w:tab/>
            </w:r>
            <w:r w:rsidR="00B572D9">
              <w:rPr>
                <w:noProof/>
                <w:webHidden/>
              </w:rPr>
              <w:fldChar w:fldCharType="begin"/>
            </w:r>
            <w:r w:rsidR="00B572D9">
              <w:rPr>
                <w:noProof/>
                <w:webHidden/>
              </w:rPr>
              <w:instrText xml:space="preserve"> PAGEREF _Toc61466765 \h </w:instrText>
            </w:r>
            <w:r w:rsidR="00B572D9">
              <w:rPr>
                <w:noProof/>
                <w:webHidden/>
              </w:rPr>
            </w:r>
            <w:r w:rsidR="00B572D9">
              <w:rPr>
                <w:noProof/>
                <w:webHidden/>
              </w:rPr>
              <w:fldChar w:fldCharType="separate"/>
            </w:r>
            <w:r w:rsidR="00B572D9">
              <w:rPr>
                <w:noProof/>
                <w:webHidden/>
              </w:rPr>
              <w:t>11</w:t>
            </w:r>
            <w:r w:rsidR="00B572D9">
              <w:rPr>
                <w:noProof/>
                <w:webHidden/>
              </w:rPr>
              <w:fldChar w:fldCharType="end"/>
            </w:r>
          </w:hyperlink>
        </w:p>
        <w:p w:rsidR="00B572D9" w:rsidRDefault="004B4B25">
          <w:pPr>
            <w:pStyle w:val="TOC2"/>
            <w:tabs>
              <w:tab w:val="right" w:leader="dot" w:pos="9350"/>
            </w:tabs>
            <w:rPr>
              <w:rFonts w:asciiTheme="minorHAnsi" w:eastAsiaTheme="minorEastAsia" w:hAnsiTheme="minorHAnsi"/>
              <w:noProof/>
              <w:color w:val="auto"/>
              <w:sz w:val="22"/>
              <w:lang w:val="en-US"/>
            </w:rPr>
          </w:pPr>
          <w:hyperlink w:anchor="_Toc61466766" w:history="1">
            <w:r w:rsidR="00B572D9" w:rsidRPr="002B77FB">
              <w:rPr>
                <w:rStyle w:val="Hyperlink"/>
                <w:noProof/>
              </w:rPr>
              <w:t>Section 1</w:t>
            </w:r>
            <w:r w:rsidR="00B572D9">
              <w:rPr>
                <w:noProof/>
                <w:webHidden/>
              </w:rPr>
              <w:tab/>
            </w:r>
            <w:r w:rsidR="00B572D9">
              <w:rPr>
                <w:noProof/>
                <w:webHidden/>
              </w:rPr>
              <w:fldChar w:fldCharType="begin"/>
            </w:r>
            <w:r w:rsidR="00B572D9">
              <w:rPr>
                <w:noProof/>
                <w:webHidden/>
              </w:rPr>
              <w:instrText xml:space="preserve"> PAGEREF _Toc61466766 \h </w:instrText>
            </w:r>
            <w:r w:rsidR="00B572D9">
              <w:rPr>
                <w:noProof/>
                <w:webHidden/>
              </w:rPr>
            </w:r>
            <w:r w:rsidR="00B572D9">
              <w:rPr>
                <w:noProof/>
                <w:webHidden/>
              </w:rPr>
              <w:fldChar w:fldCharType="separate"/>
            </w:r>
            <w:r w:rsidR="00B572D9">
              <w:rPr>
                <w:noProof/>
                <w:webHidden/>
              </w:rPr>
              <w:t>11</w:t>
            </w:r>
            <w:r w:rsidR="00B572D9">
              <w:rPr>
                <w:noProof/>
                <w:webHidden/>
              </w:rPr>
              <w:fldChar w:fldCharType="end"/>
            </w:r>
          </w:hyperlink>
        </w:p>
        <w:p w:rsidR="00B572D9" w:rsidRDefault="004B4B25">
          <w:pPr>
            <w:pStyle w:val="TOC2"/>
            <w:tabs>
              <w:tab w:val="right" w:leader="dot" w:pos="9350"/>
            </w:tabs>
            <w:rPr>
              <w:rFonts w:asciiTheme="minorHAnsi" w:eastAsiaTheme="minorEastAsia" w:hAnsiTheme="minorHAnsi"/>
              <w:noProof/>
              <w:color w:val="auto"/>
              <w:sz w:val="22"/>
              <w:lang w:val="en-US"/>
            </w:rPr>
          </w:pPr>
          <w:hyperlink w:anchor="_Toc61466767" w:history="1">
            <w:r w:rsidR="00B572D9" w:rsidRPr="002B77FB">
              <w:rPr>
                <w:rStyle w:val="Hyperlink"/>
                <w:noProof/>
              </w:rPr>
              <w:t>Section 2</w:t>
            </w:r>
            <w:r w:rsidR="00B572D9">
              <w:rPr>
                <w:noProof/>
                <w:webHidden/>
              </w:rPr>
              <w:tab/>
            </w:r>
            <w:r w:rsidR="00B572D9">
              <w:rPr>
                <w:noProof/>
                <w:webHidden/>
              </w:rPr>
              <w:fldChar w:fldCharType="begin"/>
            </w:r>
            <w:r w:rsidR="00B572D9">
              <w:rPr>
                <w:noProof/>
                <w:webHidden/>
              </w:rPr>
              <w:instrText xml:space="preserve"> PAGEREF _Toc61466767 \h </w:instrText>
            </w:r>
            <w:r w:rsidR="00B572D9">
              <w:rPr>
                <w:noProof/>
                <w:webHidden/>
              </w:rPr>
            </w:r>
            <w:r w:rsidR="00B572D9">
              <w:rPr>
                <w:noProof/>
                <w:webHidden/>
              </w:rPr>
              <w:fldChar w:fldCharType="separate"/>
            </w:r>
            <w:r w:rsidR="00B572D9">
              <w:rPr>
                <w:noProof/>
                <w:webHidden/>
              </w:rPr>
              <w:t>13</w:t>
            </w:r>
            <w:r w:rsidR="00B572D9">
              <w:rPr>
                <w:noProof/>
                <w:webHidden/>
              </w:rPr>
              <w:fldChar w:fldCharType="end"/>
            </w:r>
          </w:hyperlink>
        </w:p>
        <w:p w:rsidR="00B572D9" w:rsidRDefault="004B4B25">
          <w:pPr>
            <w:pStyle w:val="TOC1"/>
            <w:tabs>
              <w:tab w:val="right" w:leader="dot" w:pos="9350"/>
            </w:tabs>
            <w:rPr>
              <w:rFonts w:asciiTheme="minorHAnsi" w:eastAsiaTheme="minorEastAsia" w:hAnsiTheme="minorHAnsi"/>
              <w:noProof/>
              <w:color w:val="auto"/>
              <w:sz w:val="22"/>
              <w:lang w:val="en-US"/>
            </w:rPr>
          </w:pPr>
          <w:hyperlink w:anchor="_Toc61466768" w:history="1">
            <w:r w:rsidR="00B572D9" w:rsidRPr="002B77FB">
              <w:rPr>
                <w:rStyle w:val="Hyperlink"/>
                <w:noProof/>
              </w:rPr>
              <w:t>References</w:t>
            </w:r>
            <w:r w:rsidR="00B572D9">
              <w:rPr>
                <w:noProof/>
                <w:webHidden/>
              </w:rPr>
              <w:tab/>
            </w:r>
            <w:r w:rsidR="00B572D9">
              <w:rPr>
                <w:noProof/>
                <w:webHidden/>
              </w:rPr>
              <w:fldChar w:fldCharType="begin"/>
            </w:r>
            <w:r w:rsidR="00B572D9">
              <w:rPr>
                <w:noProof/>
                <w:webHidden/>
              </w:rPr>
              <w:instrText xml:space="preserve"> PAGEREF _Toc61466768 \h </w:instrText>
            </w:r>
            <w:r w:rsidR="00B572D9">
              <w:rPr>
                <w:noProof/>
                <w:webHidden/>
              </w:rPr>
            </w:r>
            <w:r w:rsidR="00B572D9">
              <w:rPr>
                <w:noProof/>
                <w:webHidden/>
              </w:rPr>
              <w:fldChar w:fldCharType="separate"/>
            </w:r>
            <w:r w:rsidR="00B572D9">
              <w:rPr>
                <w:noProof/>
                <w:webHidden/>
              </w:rPr>
              <w:t>16</w:t>
            </w:r>
            <w:r w:rsidR="00B572D9">
              <w:rPr>
                <w:noProof/>
                <w:webHidden/>
              </w:rPr>
              <w:fldChar w:fldCharType="end"/>
            </w:r>
          </w:hyperlink>
        </w:p>
        <w:p w:rsidR="002C5297" w:rsidRDefault="002C5297">
          <w:r>
            <w:rPr>
              <w:b/>
              <w:bCs/>
              <w:noProof/>
            </w:rPr>
            <w:fldChar w:fldCharType="end"/>
          </w:r>
        </w:p>
      </w:sdtContent>
    </w:sdt>
    <w:p w:rsidR="0090030F" w:rsidRDefault="0090030F" w:rsidP="007863B4">
      <w:pPr>
        <w:jc w:val="center"/>
      </w:pPr>
    </w:p>
    <w:p w:rsidR="002C5297" w:rsidRDefault="002C5297" w:rsidP="007863B4">
      <w:pPr>
        <w:jc w:val="center"/>
      </w:pPr>
    </w:p>
    <w:p w:rsidR="002C5297" w:rsidRDefault="002C5297" w:rsidP="007863B4">
      <w:pPr>
        <w:jc w:val="center"/>
      </w:pPr>
    </w:p>
    <w:p w:rsidR="002C5297" w:rsidRDefault="002C5297" w:rsidP="007863B4">
      <w:pPr>
        <w:jc w:val="center"/>
      </w:pPr>
    </w:p>
    <w:p w:rsidR="002C5297" w:rsidRDefault="002C5297" w:rsidP="007863B4">
      <w:pPr>
        <w:jc w:val="center"/>
      </w:pPr>
    </w:p>
    <w:p w:rsidR="002C5297" w:rsidRDefault="002C5297" w:rsidP="007863B4">
      <w:pPr>
        <w:jc w:val="center"/>
      </w:pPr>
    </w:p>
    <w:p w:rsidR="002C5297" w:rsidRDefault="002C5297" w:rsidP="007863B4">
      <w:pPr>
        <w:jc w:val="center"/>
      </w:pPr>
    </w:p>
    <w:p w:rsidR="002C5297" w:rsidRDefault="002C5297" w:rsidP="007863B4">
      <w:pPr>
        <w:jc w:val="center"/>
      </w:pPr>
    </w:p>
    <w:p w:rsidR="007863B4" w:rsidRDefault="007863B4" w:rsidP="00CE4586">
      <w:pPr>
        <w:pStyle w:val="Heading1"/>
      </w:pPr>
      <w:bookmarkStart w:id="0" w:name="_Toc61466761"/>
      <w:r>
        <w:lastRenderedPageBreak/>
        <w:t>Part A</w:t>
      </w:r>
      <w:bookmarkEnd w:id="0"/>
    </w:p>
    <w:p w:rsidR="006E7171" w:rsidRDefault="006E7171" w:rsidP="006E7171">
      <w:r w:rsidRPr="006E7171">
        <w:rPr>
          <w:rStyle w:val="Strong"/>
          <w:b w:val="0"/>
          <w:color w:val="auto"/>
        </w:rPr>
        <w:t>BHP Billiton</w:t>
      </w:r>
      <w:r>
        <w:rPr>
          <w:color w:val="auto"/>
        </w:rPr>
        <w:t xml:space="preserve"> is one of the publicly traded </w:t>
      </w:r>
      <w:proofErr w:type="gramStart"/>
      <w:r>
        <w:rPr>
          <w:color w:val="auto"/>
        </w:rPr>
        <w:t>company</w:t>
      </w:r>
      <w:proofErr w:type="gramEnd"/>
      <w:r>
        <w:rPr>
          <w:color w:val="auto"/>
        </w:rPr>
        <w:t xml:space="preserve"> listed in the London Stock Exchange. </w:t>
      </w:r>
      <w:r w:rsidRPr="006E7171">
        <w:rPr>
          <w:color w:val="auto"/>
        </w:rPr>
        <w:t xml:space="preserve"> </w:t>
      </w:r>
      <w:r w:rsidR="004B4B25">
        <w:rPr>
          <w:color w:val="auto"/>
        </w:rPr>
        <w:t>It</w:t>
      </w:r>
      <w:r>
        <w:rPr>
          <w:color w:val="auto"/>
        </w:rPr>
        <w:t xml:space="preserve"> i</w:t>
      </w:r>
      <w:r w:rsidR="004B4B25">
        <w:rPr>
          <w:color w:val="auto"/>
        </w:rPr>
        <w:t>s counted in the top 50 list of</w:t>
      </w:r>
      <w:r>
        <w:rPr>
          <w:color w:val="auto"/>
        </w:rPr>
        <w:t xml:space="preserve"> companies listed on LSE. It is an </w:t>
      </w:r>
      <w:r w:rsidRPr="006E7171">
        <w:rPr>
          <w:color w:val="auto"/>
        </w:rPr>
        <w:t xml:space="preserve">international natural resources </w:t>
      </w:r>
      <w:hyperlink r:id="rId9" w:history="1">
        <w:r w:rsidRPr="006E7171">
          <w:rPr>
            <w:rStyle w:val="Hyperlink"/>
            <w:color w:val="auto"/>
            <w:u w:val="none"/>
          </w:rPr>
          <w:t>company</w:t>
        </w:r>
      </w:hyperlink>
      <w:r>
        <w:rPr>
          <w:color w:val="auto"/>
        </w:rPr>
        <w:t xml:space="preserve"> and was founded </w:t>
      </w:r>
      <w:r w:rsidRPr="006E7171">
        <w:rPr>
          <w:color w:val="auto"/>
        </w:rPr>
        <w:t xml:space="preserve">in </w:t>
      </w:r>
      <w:r>
        <w:rPr>
          <w:color w:val="auto"/>
        </w:rPr>
        <w:t xml:space="preserve">the year 2001. The company formed </w:t>
      </w:r>
      <w:r w:rsidRPr="006E7171">
        <w:rPr>
          <w:color w:val="auto"/>
        </w:rPr>
        <w:t xml:space="preserve">by the merger of BHP Ltd. and Billiton PLC. </w:t>
      </w:r>
      <w:r>
        <w:rPr>
          <w:color w:val="auto"/>
        </w:rPr>
        <w:t xml:space="preserve">This merger provided world, one of the </w:t>
      </w:r>
      <w:r w:rsidRPr="006E7171">
        <w:rPr>
          <w:color w:val="auto"/>
        </w:rPr>
        <w:t xml:space="preserve">largest </w:t>
      </w:r>
      <w:hyperlink r:id="rId10" w:history="1">
        <w:r w:rsidRPr="006E7171">
          <w:rPr>
            <w:rStyle w:val="Hyperlink"/>
            <w:color w:val="auto"/>
            <w:u w:val="none"/>
          </w:rPr>
          <w:t>mining</w:t>
        </w:r>
      </w:hyperlink>
      <w:r w:rsidRPr="006E7171">
        <w:rPr>
          <w:color w:val="auto"/>
        </w:rPr>
        <w:t xml:space="preserve"> companies</w:t>
      </w:r>
      <w:r>
        <w:rPr>
          <w:color w:val="auto"/>
        </w:rPr>
        <w:t xml:space="preserve"> which </w:t>
      </w:r>
      <w:proofErr w:type="gramStart"/>
      <w:r>
        <w:rPr>
          <w:color w:val="auto"/>
        </w:rPr>
        <w:t>is</w:t>
      </w:r>
      <w:proofErr w:type="gramEnd"/>
      <w:r w:rsidRPr="006E7171">
        <w:rPr>
          <w:color w:val="auto"/>
        </w:rPr>
        <w:t xml:space="preserve"> involved in the production </w:t>
      </w:r>
      <w:r>
        <w:rPr>
          <w:color w:val="auto"/>
        </w:rPr>
        <w:t xml:space="preserve">and processing </w:t>
      </w:r>
      <w:r w:rsidRPr="006E7171">
        <w:rPr>
          <w:color w:val="auto"/>
        </w:rPr>
        <w:t xml:space="preserve">of iron, </w:t>
      </w:r>
      <w:hyperlink r:id="rId11" w:history="1">
        <w:r w:rsidRPr="006E7171">
          <w:rPr>
            <w:rStyle w:val="Hyperlink"/>
            <w:color w:val="auto"/>
            <w:u w:val="none"/>
          </w:rPr>
          <w:t>steel</w:t>
        </w:r>
      </w:hyperlink>
      <w:r w:rsidRPr="006E7171">
        <w:rPr>
          <w:color w:val="auto"/>
        </w:rPr>
        <w:t xml:space="preserve">, </w:t>
      </w:r>
      <w:hyperlink r:id="rId12" w:history="1">
        <w:r w:rsidRPr="006E7171">
          <w:rPr>
            <w:rStyle w:val="Hyperlink"/>
            <w:color w:val="auto"/>
            <w:u w:val="none"/>
          </w:rPr>
          <w:t>copper</w:t>
        </w:r>
      </w:hyperlink>
      <w:r w:rsidRPr="006E7171">
        <w:rPr>
          <w:color w:val="auto"/>
        </w:rPr>
        <w:t xml:space="preserve">, </w:t>
      </w:r>
      <w:hyperlink r:id="rId13" w:history="1">
        <w:r w:rsidRPr="006E7171">
          <w:rPr>
            <w:rStyle w:val="Hyperlink"/>
            <w:color w:val="auto"/>
            <w:u w:val="none"/>
          </w:rPr>
          <w:t>silver</w:t>
        </w:r>
      </w:hyperlink>
      <w:r w:rsidRPr="006E7171">
        <w:rPr>
          <w:color w:val="auto"/>
        </w:rPr>
        <w:t xml:space="preserve">, </w:t>
      </w:r>
      <w:r w:rsidR="00CE4586" w:rsidRPr="006E7171">
        <w:rPr>
          <w:color w:val="auto"/>
        </w:rPr>
        <w:t>aluminium</w:t>
      </w:r>
      <w:r w:rsidRPr="006E7171">
        <w:rPr>
          <w:color w:val="auto"/>
        </w:rPr>
        <w:t xml:space="preserve">, </w:t>
      </w:r>
      <w:hyperlink r:id="rId14" w:history="1">
        <w:r w:rsidRPr="006E7171">
          <w:rPr>
            <w:rStyle w:val="Hyperlink"/>
            <w:color w:val="auto"/>
            <w:u w:val="none"/>
          </w:rPr>
          <w:t>oil</w:t>
        </w:r>
      </w:hyperlink>
      <w:r w:rsidR="00A71BB6">
        <w:rPr>
          <w:color w:val="auto"/>
        </w:rPr>
        <w:t xml:space="preserve">, and gas. The company also engages itself in the </w:t>
      </w:r>
      <w:r w:rsidRPr="006E7171">
        <w:rPr>
          <w:color w:val="auto"/>
        </w:rPr>
        <w:t xml:space="preserve">engineering and transportation. BHP Billiton’s headquarters are in </w:t>
      </w:r>
      <w:hyperlink r:id="rId15" w:history="1">
        <w:r w:rsidRPr="006E7171">
          <w:rPr>
            <w:rStyle w:val="Hyperlink"/>
            <w:color w:val="auto"/>
            <w:u w:val="none"/>
          </w:rPr>
          <w:t>Melbourne</w:t>
        </w:r>
      </w:hyperlink>
      <w:r w:rsidRPr="006E7171">
        <w:rPr>
          <w:color w:val="auto"/>
        </w:rPr>
        <w:t xml:space="preserve">, </w:t>
      </w:r>
      <w:hyperlink r:id="rId16" w:history="1">
        <w:r w:rsidRPr="006E7171">
          <w:rPr>
            <w:rStyle w:val="Hyperlink"/>
            <w:color w:val="auto"/>
            <w:u w:val="none"/>
          </w:rPr>
          <w:t>Australia</w:t>
        </w:r>
      </w:hyperlink>
      <w:r w:rsidR="00CE4586">
        <w:rPr>
          <w:color w:val="auto"/>
        </w:rPr>
        <w:t>.</w:t>
      </w:r>
      <w:r w:rsidR="00A71BB6">
        <w:rPr>
          <w:color w:val="auto"/>
        </w:rPr>
        <w:t xml:space="preserve"> The company’s history shows that it is engaged in the metal and non-metal processing such as </w:t>
      </w:r>
      <w:r w:rsidR="00A71BB6">
        <w:t>silver, lead and zinc mine, etc. the business model of the company is primarily relating to the discovery, development, production of items such as iron ore, copper, oil and gas, diamonds, silver, lead, zinc and a range of other natural resources</w:t>
      </w:r>
      <w:r w:rsidR="001A0C52">
        <w:t xml:space="preserve"> (</w:t>
      </w:r>
      <w:proofErr w:type="spellStart"/>
      <w:r w:rsidR="001A0C52">
        <w:rPr>
          <w:lang w:val="en-US"/>
        </w:rPr>
        <w:t>Kashyap</w:t>
      </w:r>
      <w:proofErr w:type="spellEnd"/>
      <w:r w:rsidR="001A0C52">
        <w:rPr>
          <w:lang w:val="en-US"/>
        </w:rPr>
        <w:t xml:space="preserve"> </w:t>
      </w:r>
      <w:r w:rsidR="001A0C52" w:rsidRPr="00A67754">
        <w:rPr>
          <w:lang w:val="en-US"/>
        </w:rPr>
        <w:t>2019</w:t>
      </w:r>
      <w:r w:rsidR="001A0C52">
        <w:rPr>
          <w:lang w:val="en-US"/>
        </w:rPr>
        <w:t>)</w:t>
      </w:r>
      <w:r w:rsidR="00A71BB6">
        <w:t xml:space="preserve">. </w:t>
      </w:r>
    </w:p>
    <w:p w:rsidR="00A71BB6" w:rsidRPr="006E7171" w:rsidRDefault="0002039B" w:rsidP="006E7171">
      <w:pPr>
        <w:rPr>
          <w:rFonts w:ascii="Arial" w:hAnsi="Arial" w:cs="Arial"/>
          <w:color w:val="auto"/>
          <w:sz w:val="28"/>
          <w:szCs w:val="28"/>
        </w:rPr>
      </w:pPr>
      <w:r>
        <w:t>The</w:t>
      </w:r>
      <w:r w:rsidR="00A71BB6">
        <w:t xml:space="preserve"> other company which is selected for conducting the research is the Rio Tinto. Rio Tinto is one of the leading international </w:t>
      </w:r>
      <w:r w:rsidR="004B4B25">
        <w:t>businesses</w:t>
      </w:r>
      <w:r w:rsidR="00A71BB6">
        <w:t xml:space="preserve">. The company is involved in each stage of metal and mineral production. The Group combines Rio Tinto </w:t>
      </w:r>
      <w:proofErr w:type="spellStart"/>
      <w:r w:rsidR="00A71BB6">
        <w:t>plc</w:t>
      </w:r>
      <w:proofErr w:type="spellEnd"/>
      <w:r w:rsidR="00A71BB6">
        <w:t xml:space="preserve">, which is listed on the London </w:t>
      </w:r>
      <w:proofErr w:type="spellStart"/>
      <w:r w:rsidR="00A71BB6">
        <w:t>StockEx</w:t>
      </w:r>
      <w:proofErr w:type="spellEnd"/>
      <w:r w:rsidR="00A71BB6">
        <w:t xml:space="preserve"> change, and Rio Tinto Limited, which is listed on the Australian Securities Exchange.  The company was formed in the year 1873. During the commencement of its operations, the company was primarily engaged in mining copper in Huelva in southern Spain. The Rio Tinto-Zinc Corporation was formed by conducting merger </w:t>
      </w:r>
      <w:r w:rsidR="0061654B">
        <w:t xml:space="preserve">between the </w:t>
      </w:r>
      <w:r w:rsidR="00A71BB6">
        <w:t>Rio Tinto Company and The Consolidated Zinc Corporation.</w:t>
      </w:r>
      <w:r>
        <w:t xml:space="preserve"> The business model of Rio Tinto shows that the company mainly </w:t>
      </w:r>
      <w:r w:rsidR="004B4B25">
        <w:t>focuses</w:t>
      </w:r>
      <w:r>
        <w:t xml:space="preserve"> on the mining activities and is primary engaged in the processing metal and mineral resources using latest technologies</w:t>
      </w:r>
      <w:r w:rsidR="007B4B03">
        <w:t xml:space="preserve"> (</w:t>
      </w:r>
      <w:proofErr w:type="spellStart"/>
      <w:r w:rsidR="007B4B03">
        <w:rPr>
          <w:lang w:val="en-US"/>
        </w:rPr>
        <w:t>Öztürk</w:t>
      </w:r>
      <w:proofErr w:type="spellEnd"/>
      <w:r w:rsidR="007B4B03">
        <w:rPr>
          <w:lang w:val="en-US"/>
        </w:rPr>
        <w:t xml:space="preserve"> and </w:t>
      </w:r>
      <w:proofErr w:type="spellStart"/>
      <w:r w:rsidR="007B4B03">
        <w:rPr>
          <w:lang w:val="en-US"/>
        </w:rPr>
        <w:t>Karabulut</w:t>
      </w:r>
      <w:proofErr w:type="spellEnd"/>
      <w:r w:rsidR="007B4B03">
        <w:rPr>
          <w:lang w:val="en-US"/>
        </w:rPr>
        <w:t xml:space="preserve"> </w:t>
      </w:r>
      <w:r w:rsidR="007B4B03" w:rsidRPr="001A0C52">
        <w:rPr>
          <w:lang w:val="en-US"/>
        </w:rPr>
        <w:t>2018</w:t>
      </w:r>
      <w:r w:rsidR="007B4B03">
        <w:rPr>
          <w:lang w:val="en-US"/>
        </w:rPr>
        <w:t>)</w:t>
      </w:r>
      <w:r>
        <w:t xml:space="preserve">. The company tries to remain socially and </w:t>
      </w:r>
      <w:r w:rsidR="007B4279">
        <w:t>economical</w:t>
      </w:r>
      <w:r>
        <w:t xml:space="preserve"> responsible for maintaining sustainability.</w:t>
      </w:r>
      <w:r w:rsidR="007B4279">
        <w:t xml:space="preserve"> Both the companies such as </w:t>
      </w:r>
      <w:r w:rsidR="007B4279">
        <w:lastRenderedPageBreak/>
        <w:t xml:space="preserve">BHP and Rio Tinto are the Australian based companies and their roots can be traced from the Australian mines but the companies have gained economies of scales and expanded their </w:t>
      </w:r>
      <w:r w:rsidR="00BC3C93">
        <w:t>business</w:t>
      </w:r>
      <w:r w:rsidR="007B4279">
        <w:t xml:space="preserve"> </w:t>
      </w:r>
      <w:r w:rsidR="00BC3C93">
        <w:t>worldwide</w:t>
      </w:r>
      <w:r w:rsidR="007B4279">
        <w:t xml:space="preserve">. The companies are listed in </w:t>
      </w:r>
      <w:r w:rsidR="00BC3C93">
        <w:t>Australian</w:t>
      </w:r>
      <w:r w:rsidR="007B4279">
        <w:t xml:space="preserve"> Stock Exchange as well as London stock exchange. </w:t>
      </w:r>
      <w:r w:rsidR="00A11A3E">
        <w:t xml:space="preserve">Both of the companies, BHP and Rio Tinto can be </w:t>
      </w:r>
      <w:r w:rsidR="00BC3C93">
        <w:t>identified</w:t>
      </w:r>
      <w:r w:rsidR="00A11A3E">
        <w:t xml:space="preserve"> as business competitors to each other. The business decision of one company can be seen impacting the decisions of the other company in the market as they both operate in the same industry. </w:t>
      </w:r>
      <w:r w:rsidR="00224344">
        <w:t xml:space="preserve">Other major competitors operate in the industry are </w:t>
      </w:r>
      <w:r w:rsidR="00224344">
        <w:rPr>
          <w:rStyle w:val="hgkelc"/>
        </w:rPr>
        <w:t xml:space="preserve">MNP Petroleum, ADM, </w:t>
      </w:r>
      <w:proofErr w:type="spellStart"/>
      <w:r w:rsidR="00224344">
        <w:rPr>
          <w:rStyle w:val="hgkelc"/>
        </w:rPr>
        <w:t>Aurubis</w:t>
      </w:r>
      <w:proofErr w:type="spellEnd"/>
      <w:r w:rsidR="00224344">
        <w:rPr>
          <w:rStyle w:val="hgkelc"/>
        </w:rPr>
        <w:t xml:space="preserve">, Cargill, Noble Group, DOWA, </w:t>
      </w:r>
      <w:proofErr w:type="spellStart"/>
      <w:r w:rsidR="00224344">
        <w:rPr>
          <w:rStyle w:val="hgkelc"/>
        </w:rPr>
        <w:t>Trafigura</w:t>
      </w:r>
      <w:proofErr w:type="spellEnd"/>
      <w:r w:rsidR="00224344">
        <w:rPr>
          <w:rStyle w:val="hgkelc"/>
        </w:rPr>
        <w:t xml:space="preserve">, Anglo American, etc. </w:t>
      </w:r>
      <w:r w:rsidR="00E546C6">
        <w:rPr>
          <w:rStyle w:val="hgkelc"/>
        </w:rPr>
        <w:t xml:space="preserve">the business model of both the companies suggests that they want to generate </w:t>
      </w:r>
      <w:r w:rsidR="00E546C6">
        <w:t>long term return to shareholders by conducting process of mining metals and mineral resources across the globe.</w:t>
      </w:r>
    </w:p>
    <w:p w:rsidR="007863B4" w:rsidRDefault="007863B4" w:rsidP="00CE4586">
      <w:pPr>
        <w:pStyle w:val="Heading1"/>
      </w:pPr>
      <w:bookmarkStart w:id="1" w:name="_Toc61466762"/>
      <w:r>
        <w:t>Part B</w:t>
      </w:r>
      <w:bookmarkEnd w:id="1"/>
    </w:p>
    <w:tbl>
      <w:tblPr>
        <w:tblW w:w="0" w:type="auto"/>
        <w:tblLook w:val="04A0" w:firstRow="1" w:lastRow="0" w:firstColumn="1" w:lastColumn="0" w:noHBand="0" w:noVBand="1"/>
      </w:tblPr>
      <w:tblGrid>
        <w:gridCol w:w="3184"/>
        <w:gridCol w:w="731"/>
        <w:gridCol w:w="623"/>
        <w:gridCol w:w="677"/>
        <w:gridCol w:w="623"/>
        <w:gridCol w:w="623"/>
        <w:gridCol w:w="623"/>
        <w:gridCol w:w="623"/>
        <w:gridCol w:w="623"/>
        <w:gridCol w:w="623"/>
        <w:gridCol w:w="623"/>
      </w:tblGrid>
      <w:tr w:rsidR="00E06F28" w:rsidRPr="00E06F28" w:rsidTr="00E06F28">
        <w:trPr>
          <w:trHeight w:val="525"/>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Efficiency ratio</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2015</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2016</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2017</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2018</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2019</w:t>
            </w:r>
          </w:p>
        </w:tc>
      </w:tr>
      <w:tr w:rsidR="00E06F28" w:rsidRPr="00E06F28" w:rsidTr="00E06F28">
        <w:trPr>
          <w:trHeight w:val="66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Ratio 1: Working Capital Turnover ratio</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r>
      <w:tr w:rsidR="00E06F28" w:rsidRPr="00E06F28" w:rsidTr="00E06F2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r>
      <w:tr w:rsidR="00E06F28" w:rsidRPr="00E06F28" w:rsidTr="00E06F2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 Total current assets</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15554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16369</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12190</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23790</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13814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27451</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15835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47547</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17303</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23373</w:t>
            </w:r>
          </w:p>
        </w:tc>
      </w:tr>
      <w:tr w:rsidR="00E06F28" w:rsidRPr="00E06F28" w:rsidTr="00E06F2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Total current Liabilities</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10046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12853</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7586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16573</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8308</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14818</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8300</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18933</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11125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12339</w:t>
            </w:r>
          </w:p>
        </w:tc>
      </w:tr>
      <w:tr w:rsidR="00E06F28" w:rsidRPr="00E06F28" w:rsidTr="00E06F28">
        <w:trPr>
          <w:trHeight w:val="315"/>
        </w:trPr>
        <w:tc>
          <w:tcPr>
            <w:tcW w:w="0" w:type="auto"/>
            <w:tcBorders>
              <w:top w:val="nil"/>
              <w:left w:val="single" w:sz="4" w:space="0" w:color="auto"/>
              <w:bottom w:val="single" w:sz="4" w:space="0" w:color="auto"/>
              <w:right w:val="single" w:sz="4" w:space="0" w:color="auto"/>
            </w:tcBorders>
            <w:shd w:val="clear" w:color="auto" w:fill="auto"/>
            <w:noWrap/>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Working capital= Current assets - current liabilities</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5508</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3516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4604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7217</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5506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12633</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7535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28614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6178</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11034</w:t>
            </w:r>
          </w:p>
        </w:tc>
      </w:tr>
      <w:tr w:rsidR="00E06F28" w:rsidRPr="00E06F28" w:rsidTr="00E06F2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Working Capital Turnover ratio=Net sales/Average Working capital</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6.32334786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12.69511</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7.3373154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5.884855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7.270251</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3.792844</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5.377837</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1.945272</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6.986889</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4.013776</w:t>
            </w:r>
          </w:p>
        </w:tc>
      </w:tr>
      <w:tr w:rsidR="00E06F28" w:rsidRPr="00E06F28" w:rsidTr="00ED3D2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r>
      <w:tr w:rsidR="00E06F28" w:rsidRPr="00E06F28" w:rsidTr="00ED3D2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r>
      <w:tr w:rsidR="00E06F28" w:rsidRPr="00E06F28" w:rsidTr="00ED3D2C">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r>
      <w:tr w:rsidR="00E06F28" w:rsidRPr="00E06F28" w:rsidTr="00ED3D2C">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c>
          <w:tcPr>
            <w:tcW w:w="0" w:type="auto"/>
            <w:tcBorders>
              <w:top w:val="nil"/>
              <w:left w:val="nil"/>
              <w:bottom w:val="single" w:sz="4" w:space="0" w:color="auto"/>
              <w:right w:val="single" w:sz="4" w:space="0" w:color="auto"/>
            </w:tcBorders>
            <w:shd w:val="clear" w:color="auto" w:fill="auto"/>
            <w:noWrap/>
            <w:vAlign w:val="bottom"/>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p>
        </w:tc>
      </w:tr>
      <w:tr w:rsidR="00E06F28" w:rsidRPr="00E06F28" w:rsidTr="00E06F2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Net sales</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34829</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44636</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33781</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42471</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40030</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47915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40522</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55662</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43165</w:t>
            </w:r>
          </w:p>
        </w:tc>
        <w:tc>
          <w:tcPr>
            <w:tcW w:w="0" w:type="auto"/>
            <w:tcBorders>
              <w:top w:val="nil"/>
              <w:left w:val="nil"/>
              <w:bottom w:val="single" w:sz="4" w:space="0" w:color="auto"/>
              <w:right w:val="single" w:sz="4" w:space="0" w:color="auto"/>
            </w:tcBorders>
            <w:shd w:val="clear" w:color="auto" w:fill="auto"/>
            <w:noWrap/>
            <w:vAlign w:val="bottom"/>
            <w:hideMark/>
          </w:tcPr>
          <w:p w:rsidR="00E06F28" w:rsidRPr="00E06F28" w:rsidRDefault="00E06F28" w:rsidP="006F4C9E">
            <w:pPr>
              <w:keepNext/>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44288</w:t>
            </w:r>
          </w:p>
        </w:tc>
      </w:tr>
    </w:tbl>
    <w:p w:rsidR="00FD4A86" w:rsidRPr="009F3DCC" w:rsidRDefault="006F4C9E" w:rsidP="00AF1DCD">
      <w:pPr>
        <w:pStyle w:val="Caption"/>
        <w:jc w:val="center"/>
        <w:rPr>
          <w:b/>
          <w:color w:val="auto"/>
        </w:rPr>
      </w:pPr>
      <w:r w:rsidRPr="009F3DCC">
        <w:rPr>
          <w:b/>
          <w:color w:val="auto"/>
        </w:rPr>
        <w:t xml:space="preserve">Table </w:t>
      </w:r>
      <w:r w:rsidRPr="009F3DCC">
        <w:rPr>
          <w:b/>
          <w:color w:val="auto"/>
        </w:rPr>
        <w:fldChar w:fldCharType="begin"/>
      </w:r>
      <w:r w:rsidRPr="009F3DCC">
        <w:rPr>
          <w:b/>
          <w:color w:val="auto"/>
        </w:rPr>
        <w:instrText xml:space="preserve"> SEQ Table \* ARABIC </w:instrText>
      </w:r>
      <w:r w:rsidRPr="009F3DCC">
        <w:rPr>
          <w:b/>
          <w:color w:val="auto"/>
        </w:rPr>
        <w:fldChar w:fldCharType="separate"/>
      </w:r>
      <w:r w:rsidR="0006506B">
        <w:rPr>
          <w:b/>
          <w:noProof/>
          <w:color w:val="auto"/>
        </w:rPr>
        <w:t>1</w:t>
      </w:r>
      <w:r w:rsidRPr="009F3DCC">
        <w:rPr>
          <w:b/>
          <w:color w:val="auto"/>
        </w:rPr>
        <w:fldChar w:fldCharType="end"/>
      </w:r>
      <w:r w:rsidRPr="009F3DCC">
        <w:rPr>
          <w:b/>
          <w:color w:val="auto"/>
        </w:rPr>
        <w:t xml:space="preserve">: </w:t>
      </w:r>
      <w:r w:rsidR="00AF1DCD" w:rsidRPr="009F3DCC">
        <w:rPr>
          <w:b/>
          <w:color w:val="auto"/>
        </w:rPr>
        <w:t>efficiency</w:t>
      </w:r>
      <w:r w:rsidRPr="009F3DCC">
        <w:rPr>
          <w:b/>
          <w:color w:val="auto"/>
        </w:rPr>
        <w:t xml:space="preserve"> ratio</w:t>
      </w:r>
    </w:p>
    <w:p w:rsidR="00AF1DCD" w:rsidRDefault="00AF1DCD" w:rsidP="00AF1DCD">
      <w:r>
        <w:t xml:space="preserve">In the table 1 above, the efficiency ratio has been calculated about the two companies which are Rio Tinto and BHP ltd. the financial ration in context of measuring their efficiency for operating in the market has been calculated. The </w:t>
      </w:r>
      <w:proofErr w:type="gramStart"/>
      <w:r>
        <w:t>ratios has</w:t>
      </w:r>
      <w:proofErr w:type="gramEnd"/>
      <w:r>
        <w:t xml:space="preserve"> been calculated for the last 5 years which are </w:t>
      </w:r>
      <w:r>
        <w:lastRenderedPageBreak/>
        <w:t>the financial years 2015, 2016. 2017. 2018 and 2018.from the above table, it can be analysed that the current assets of the company Rio Tinto fluctuating and do not show any continuous trend</w:t>
      </w:r>
      <w:r w:rsidR="001A0C52">
        <w:t xml:space="preserve"> (</w:t>
      </w:r>
      <w:proofErr w:type="spellStart"/>
      <w:r w:rsidR="001A0C52" w:rsidRPr="005A72E9">
        <w:rPr>
          <w:lang w:val="en-US"/>
        </w:rPr>
        <w:t>Benamraoui</w:t>
      </w:r>
      <w:proofErr w:type="spellEnd"/>
      <w:r w:rsidR="001A0C52">
        <w:rPr>
          <w:lang w:val="en-US"/>
        </w:rPr>
        <w:t xml:space="preserve"> </w:t>
      </w:r>
      <w:r w:rsidR="001A0C52" w:rsidRPr="001A0C52">
        <w:rPr>
          <w:i/>
          <w:lang w:val="en-US"/>
        </w:rPr>
        <w:t>et al.</w:t>
      </w:r>
      <w:r w:rsidR="001A0C52">
        <w:rPr>
          <w:lang w:val="en-US"/>
        </w:rPr>
        <w:t xml:space="preserve"> 2017)</w:t>
      </w:r>
      <w:r>
        <w:t xml:space="preserve">. However, if the overall result of the last five year is analysed, it can be easily assumed that the current assets of the company has improved which shows that the company is improving its liquidity position. However if the growth of the current assets is seen in the company, BHP limited, the financial position of the company is easily distinguishable. The current </w:t>
      </w:r>
      <w:proofErr w:type="gramStart"/>
      <w:r>
        <w:t>assets of BHP Ltd. has</w:t>
      </w:r>
      <w:proofErr w:type="gramEnd"/>
      <w:r>
        <w:t xml:space="preserve"> improved a lot as compared to the Rio Tinto. In </w:t>
      </w:r>
      <w:r w:rsidR="00A62C72">
        <w:t xml:space="preserve">addition to this, Rio Tinto has been successful in reducing the current liabilities till the year 2017. </w:t>
      </w:r>
      <w:r w:rsidR="002F522C">
        <w:t xml:space="preserve">And again the short term liabilities increased. However, if the working capital calculation is analysed, Rio Tinto has improved its working capital over the last years. </w:t>
      </w:r>
      <w:r w:rsidR="005F428C">
        <w:t>The working capital was 5508 million dollars in 2015 which improved to 11034 million dollar in 2019. In the similar way, the working capital of the BHP Ltd. has increased from the financial year 2015 to the financial year 2019 from 3516 million dollars to 6178 million dollars</w:t>
      </w:r>
      <w:r w:rsidR="00921E61">
        <w:t xml:space="preserve"> (</w:t>
      </w:r>
      <w:proofErr w:type="spellStart"/>
      <w:r w:rsidR="00921E61">
        <w:rPr>
          <w:lang w:val="en-US"/>
        </w:rPr>
        <w:t>Nuryani</w:t>
      </w:r>
      <w:proofErr w:type="spellEnd"/>
      <w:r w:rsidR="00921E61">
        <w:rPr>
          <w:lang w:val="en-US"/>
        </w:rPr>
        <w:t xml:space="preserve"> and </w:t>
      </w:r>
      <w:proofErr w:type="spellStart"/>
      <w:r w:rsidR="00921E61">
        <w:rPr>
          <w:lang w:val="en-US"/>
        </w:rPr>
        <w:t>Sunarsi</w:t>
      </w:r>
      <w:proofErr w:type="spellEnd"/>
      <w:r w:rsidR="00921E61">
        <w:rPr>
          <w:lang w:val="en-US"/>
        </w:rPr>
        <w:t xml:space="preserve"> </w:t>
      </w:r>
      <w:r w:rsidR="00921E61" w:rsidRPr="001A0C52">
        <w:rPr>
          <w:lang w:val="en-US"/>
        </w:rPr>
        <w:t>2020</w:t>
      </w:r>
      <w:r w:rsidR="00921E61">
        <w:rPr>
          <w:lang w:val="en-US"/>
        </w:rPr>
        <w:t>)</w:t>
      </w:r>
      <w:r w:rsidR="005F428C">
        <w:t xml:space="preserve">. The working capital turnover ratio is calculated to analyse that how efficiently the companies are utilising their working capital. </w:t>
      </w:r>
      <w:r w:rsidR="008B0401">
        <w:t>The</w:t>
      </w:r>
      <w:r w:rsidR="005F428C">
        <w:t xml:space="preserve"> higher working capital turnover ratio suggests that the company is utilising the working capital efficiently for financing its current operational </w:t>
      </w:r>
      <w:r w:rsidR="00911589">
        <w:t>requirements</w:t>
      </w:r>
      <w:r w:rsidR="005F428C">
        <w:t xml:space="preserve">. It is evident from the above table that the </w:t>
      </w:r>
      <w:r w:rsidR="00911589">
        <w:t xml:space="preserve">Rio Tinto working capital turnover ratio is higher the working capital turnover ratio of BHP in the last year that is 2019. While, if the financial results concerning the working capital ratio is analysed, the working capital turnover ratio of the </w:t>
      </w:r>
      <w:r w:rsidR="00752B4D">
        <w:t>Rio Ti</w:t>
      </w:r>
      <w:r w:rsidR="00911589">
        <w:t>n</w:t>
      </w:r>
      <w:r w:rsidR="00752B4D">
        <w:t>to</w:t>
      </w:r>
      <w:r w:rsidR="00911589">
        <w:t xml:space="preserve"> since 2015 to 2018, has been lower than the working capital turnover ratio of BHP for the following financial results.</w:t>
      </w:r>
    </w:p>
    <w:p w:rsidR="004C730C" w:rsidRPr="00AF1DCD" w:rsidRDefault="004C730C" w:rsidP="00AF1DCD"/>
    <w:tbl>
      <w:tblPr>
        <w:tblW w:w="9356" w:type="dxa"/>
        <w:tblLayout w:type="fixed"/>
        <w:tblLook w:val="04A0" w:firstRow="1" w:lastRow="0" w:firstColumn="1" w:lastColumn="0" w:noHBand="0" w:noVBand="1"/>
      </w:tblPr>
      <w:tblGrid>
        <w:gridCol w:w="2122"/>
        <w:gridCol w:w="1559"/>
        <w:gridCol w:w="709"/>
        <w:gridCol w:w="661"/>
        <w:gridCol w:w="609"/>
        <w:gridCol w:w="6"/>
        <w:gridCol w:w="615"/>
        <w:gridCol w:w="609"/>
        <w:gridCol w:w="6"/>
        <w:gridCol w:w="615"/>
        <w:gridCol w:w="609"/>
        <w:gridCol w:w="6"/>
        <w:gridCol w:w="615"/>
        <w:gridCol w:w="609"/>
        <w:gridCol w:w="6"/>
      </w:tblGrid>
      <w:tr w:rsidR="00E06F28" w:rsidRPr="00E06F28" w:rsidTr="005F50F4">
        <w:trPr>
          <w:gridAfter w:val="1"/>
          <w:wAfter w:w="6" w:type="dxa"/>
          <w:trHeight w:val="6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lastRenderedPageBreak/>
              <w:t>Liquidity ratio</w:t>
            </w:r>
          </w:p>
        </w:tc>
        <w:tc>
          <w:tcPr>
            <w:tcW w:w="2268" w:type="dxa"/>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2015</w:t>
            </w:r>
          </w:p>
        </w:tc>
        <w:tc>
          <w:tcPr>
            <w:tcW w:w="1270" w:type="dxa"/>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2016</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2017</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2018</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2019</w:t>
            </w:r>
          </w:p>
        </w:tc>
      </w:tr>
      <w:tr w:rsidR="00E06F28" w:rsidRPr="00E06F28" w:rsidTr="005F50F4">
        <w:trPr>
          <w:gridAfter w:val="1"/>
          <w:wAfter w:w="6" w:type="dxa"/>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Ratio 1: Current ratio</w:t>
            </w:r>
          </w:p>
        </w:tc>
        <w:tc>
          <w:tcPr>
            <w:tcW w:w="2268" w:type="dxa"/>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1270" w:type="dxa"/>
            <w:gridSpan w:val="2"/>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c>
          <w:tcPr>
            <w:tcW w:w="1230" w:type="dxa"/>
            <w:gridSpan w:val="3"/>
            <w:tcBorders>
              <w:top w:val="single" w:sz="4" w:space="0" w:color="auto"/>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Amount in (</w:t>
            </w:r>
            <w:r w:rsidRPr="00E06F28">
              <w:rPr>
                <w:rFonts w:ascii="Calibri" w:eastAsia="Times New Roman" w:hAnsi="Calibri" w:cs="Calibri"/>
                <w:b/>
                <w:bCs/>
                <w:color w:val="000000"/>
                <w:sz w:val="16"/>
                <w:szCs w:val="16"/>
                <w:u w:val="single"/>
                <w:lang w:val="en-US"/>
              </w:rPr>
              <w:t>$)</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BHP</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Current assets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15554</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16369</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12190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23790</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13814</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27451</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15835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47547</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17303</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23373</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Current liabilities</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10046</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12853</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7586</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16573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14818</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18933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11125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12339</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Current ratio=Current Assets/ Current Liabilities</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1.548</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1.274</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1.607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1.435</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1.663</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1.853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1.908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2.511</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1.555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1.894</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Ratio 2: Quick assets ratio</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Quick assets</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12091</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12077</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10041</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19209</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11497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22663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13268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42453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14135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19533</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 Current Liabilities</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10046</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12853</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7586</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16573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14818</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8300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18933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11125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12339</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Quick assets ratio=Quick assets/ Current Liabilities</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1.204</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0.940</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1.324</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1.159</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1.384</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1.529</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1.599</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2.242</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1.271</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1.583</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Quick assets= current asset-Closing stock</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Current assets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15554</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16369</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12190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23790</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13814</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27451</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15835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47547</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17303</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23373</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Closing stock</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3463</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4292</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2149</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4581</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2317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4788</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2567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5094</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3168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3840</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Gearing ratio</w:t>
            </w:r>
          </w:p>
        </w:tc>
        <w:tc>
          <w:tcPr>
            <w:tcW w:w="1559"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709"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roofErr w:type="spellStart"/>
            <w:r w:rsidRPr="00E06F28">
              <w:rPr>
                <w:rFonts w:ascii="Calibri" w:eastAsia="Times New Roman" w:hAnsi="Calibri" w:cs="Calibri"/>
                <w:b/>
                <w:bCs/>
                <w:color w:val="000000"/>
                <w:sz w:val="16"/>
                <w:szCs w:val="16"/>
                <w:lang w:val="en-US"/>
              </w:rPr>
              <w:t>Bhp</w:t>
            </w:r>
            <w:proofErr w:type="spellEnd"/>
          </w:p>
        </w:tc>
        <w:tc>
          <w:tcPr>
            <w:tcW w:w="661"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roofErr w:type="spellStart"/>
            <w:r w:rsidRPr="00E06F28">
              <w:rPr>
                <w:rFonts w:ascii="Calibri" w:eastAsia="Times New Roman" w:hAnsi="Calibri" w:cs="Calibri"/>
                <w:b/>
                <w:bCs/>
                <w:color w:val="000000"/>
                <w:sz w:val="16"/>
                <w:szCs w:val="16"/>
                <w:lang w:val="en-US"/>
              </w:rPr>
              <w:t>Bhp</w:t>
            </w:r>
            <w:proofErr w:type="spellEnd"/>
          </w:p>
        </w:tc>
        <w:tc>
          <w:tcPr>
            <w:tcW w:w="615"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roofErr w:type="spellStart"/>
            <w:r w:rsidRPr="00E06F28">
              <w:rPr>
                <w:rFonts w:ascii="Calibri" w:eastAsia="Times New Roman" w:hAnsi="Calibri" w:cs="Calibri"/>
                <w:b/>
                <w:bCs/>
                <w:color w:val="000000"/>
                <w:sz w:val="16"/>
                <w:szCs w:val="16"/>
                <w:lang w:val="en-US"/>
              </w:rPr>
              <w:t>Bhp</w:t>
            </w:r>
            <w:proofErr w:type="spellEnd"/>
          </w:p>
        </w:tc>
        <w:tc>
          <w:tcPr>
            <w:tcW w:w="615"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roofErr w:type="spellStart"/>
            <w:r w:rsidRPr="00E06F28">
              <w:rPr>
                <w:rFonts w:ascii="Calibri" w:eastAsia="Times New Roman" w:hAnsi="Calibri" w:cs="Calibri"/>
                <w:b/>
                <w:bCs/>
                <w:color w:val="000000"/>
                <w:sz w:val="16"/>
                <w:szCs w:val="16"/>
                <w:lang w:val="en-US"/>
              </w:rPr>
              <w:t>Bhp</w:t>
            </w:r>
            <w:proofErr w:type="spellEnd"/>
          </w:p>
        </w:tc>
        <w:tc>
          <w:tcPr>
            <w:tcW w:w="615" w:type="dxa"/>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Rio</w:t>
            </w:r>
          </w:p>
        </w:tc>
        <w:tc>
          <w:tcPr>
            <w:tcW w:w="615" w:type="dxa"/>
            <w:gridSpan w:val="2"/>
            <w:tcBorders>
              <w:top w:val="nil"/>
              <w:left w:val="nil"/>
              <w:bottom w:val="single" w:sz="4" w:space="0" w:color="auto"/>
              <w:right w:val="single" w:sz="4" w:space="0" w:color="auto"/>
            </w:tcBorders>
            <w:shd w:val="clear" w:color="auto" w:fill="auto"/>
            <w:noWrap/>
            <w:vAlign w:val="center"/>
            <w:hideMark/>
          </w:tcPr>
          <w:p w:rsidR="00E06F28" w:rsidRPr="00E06F28" w:rsidRDefault="00E06F28" w:rsidP="00E06F28">
            <w:pPr>
              <w:spacing w:after="0" w:line="240" w:lineRule="auto"/>
              <w:jc w:val="center"/>
              <w:rPr>
                <w:rFonts w:ascii="Calibri" w:eastAsia="Times New Roman" w:hAnsi="Calibri" w:cs="Calibri"/>
                <w:b/>
                <w:bCs/>
                <w:color w:val="000000"/>
                <w:sz w:val="16"/>
                <w:szCs w:val="16"/>
                <w:lang w:val="en-US"/>
              </w:rPr>
            </w:pPr>
            <w:proofErr w:type="spellStart"/>
            <w:r w:rsidRPr="00E06F28">
              <w:rPr>
                <w:rFonts w:ascii="Calibri" w:eastAsia="Times New Roman" w:hAnsi="Calibri" w:cs="Calibri"/>
                <w:b/>
                <w:bCs/>
                <w:color w:val="000000"/>
                <w:sz w:val="16"/>
                <w:szCs w:val="16"/>
                <w:lang w:val="en-US"/>
              </w:rPr>
              <w:t>Bhp</w:t>
            </w:r>
            <w:proofErr w:type="spellEnd"/>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Ratio 1: Debt Equity Ratio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Total debt</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47436</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54035</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32118</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79079</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35157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70765</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32915</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69463</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42560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49037</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Total equity</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44128</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70545</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29940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80676</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37009</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81776</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37786</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82114</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45242</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51824</w:t>
            </w:r>
          </w:p>
        </w:tc>
      </w:tr>
      <w:tr w:rsidR="00E06F28" w:rsidRPr="00E06F28" w:rsidTr="005F50F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 xml:space="preserve">Debt Equity Ratio =Total Debt / Total Equity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1.0750</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0.7660</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1.0727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0.9802</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0.9500</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0.8654</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0.8711</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0.8459</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0.9407</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right"/>
              <w:rPr>
                <w:rFonts w:ascii="Calibri" w:eastAsia="Times New Roman" w:hAnsi="Calibri" w:cs="Calibri"/>
                <w:b/>
                <w:bCs/>
                <w:color w:val="000000"/>
                <w:sz w:val="16"/>
                <w:szCs w:val="16"/>
                <w:lang w:val="en-US"/>
              </w:rPr>
            </w:pPr>
            <w:r w:rsidRPr="00E06F28">
              <w:rPr>
                <w:rFonts w:ascii="Calibri" w:eastAsia="Times New Roman" w:hAnsi="Calibri" w:cs="Calibri"/>
                <w:b/>
                <w:bCs/>
                <w:color w:val="000000"/>
                <w:sz w:val="16"/>
                <w:szCs w:val="16"/>
                <w:lang w:val="en-US"/>
              </w:rPr>
              <w:t>0.9462</w:t>
            </w:r>
          </w:p>
        </w:tc>
      </w:tr>
      <w:tr w:rsidR="00E06F28" w:rsidRPr="00E06F28" w:rsidTr="005F50F4">
        <w:trPr>
          <w:trHeight w:val="81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155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709"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61"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tcBorders>
              <w:top w:val="nil"/>
              <w:left w:val="nil"/>
              <w:bottom w:val="single" w:sz="4" w:space="0" w:color="auto"/>
              <w:right w:val="single" w:sz="4" w:space="0" w:color="auto"/>
            </w:tcBorders>
            <w:shd w:val="clear" w:color="auto" w:fill="auto"/>
            <w:noWrap/>
            <w:vAlign w:val="bottom"/>
            <w:hideMark/>
          </w:tcPr>
          <w:p w:rsidR="00E06F28" w:rsidRPr="00E06F28" w:rsidRDefault="00E06F28" w:rsidP="00E06F28">
            <w:pPr>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c>
          <w:tcPr>
            <w:tcW w:w="615" w:type="dxa"/>
            <w:gridSpan w:val="2"/>
            <w:tcBorders>
              <w:top w:val="nil"/>
              <w:left w:val="nil"/>
              <w:bottom w:val="single" w:sz="4" w:space="0" w:color="auto"/>
              <w:right w:val="single" w:sz="4" w:space="0" w:color="auto"/>
            </w:tcBorders>
            <w:shd w:val="clear" w:color="auto" w:fill="auto"/>
            <w:noWrap/>
            <w:vAlign w:val="bottom"/>
            <w:hideMark/>
          </w:tcPr>
          <w:p w:rsidR="00E06F28" w:rsidRPr="00E06F28" w:rsidRDefault="00E06F28" w:rsidP="00AF1DCD">
            <w:pPr>
              <w:keepNext/>
              <w:spacing w:after="0" w:line="240" w:lineRule="auto"/>
              <w:jc w:val="left"/>
              <w:rPr>
                <w:rFonts w:ascii="Calibri" w:eastAsia="Times New Roman" w:hAnsi="Calibri" w:cs="Calibri"/>
                <w:color w:val="000000"/>
                <w:sz w:val="16"/>
                <w:szCs w:val="16"/>
                <w:lang w:val="en-US"/>
              </w:rPr>
            </w:pPr>
            <w:r w:rsidRPr="00E06F28">
              <w:rPr>
                <w:rFonts w:ascii="Calibri" w:eastAsia="Times New Roman" w:hAnsi="Calibri" w:cs="Calibri"/>
                <w:color w:val="000000"/>
                <w:sz w:val="16"/>
                <w:szCs w:val="16"/>
                <w:lang w:val="en-US"/>
              </w:rPr>
              <w:t> </w:t>
            </w:r>
          </w:p>
        </w:tc>
      </w:tr>
    </w:tbl>
    <w:p w:rsidR="00E06F28" w:rsidRPr="009F3DCC" w:rsidRDefault="00AF1DCD" w:rsidP="00AF1DCD">
      <w:pPr>
        <w:pStyle w:val="Caption"/>
        <w:jc w:val="center"/>
        <w:rPr>
          <w:b/>
          <w:color w:val="auto"/>
        </w:rPr>
      </w:pPr>
      <w:r w:rsidRPr="009F3DCC">
        <w:rPr>
          <w:b/>
          <w:color w:val="auto"/>
        </w:rPr>
        <w:t xml:space="preserve">Table </w:t>
      </w:r>
      <w:r w:rsidRPr="009F3DCC">
        <w:rPr>
          <w:b/>
          <w:color w:val="auto"/>
        </w:rPr>
        <w:fldChar w:fldCharType="begin"/>
      </w:r>
      <w:r w:rsidRPr="009F3DCC">
        <w:rPr>
          <w:b/>
          <w:color w:val="auto"/>
        </w:rPr>
        <w:instrText xml:space="preserve"> SEQ Table \* ARABIC </w:instrText>
      </w:r>
      <w:r w:rsidRPr="009F3DCC">
        <w:rPr>
          <w:b/>
          <w:color w:val="auto"/>
        </w:rPr>
        <w:fldChar w:fldCharType="separate"/>
      </w:r>
      <w:r w:rsidR="0006506B">
        <w:rPr>
          <w:b/>
          <w:noProof/>
          <w:color w:val="auto"/>
        </w:rPr>
        <w:t>2</w:t>
      </w:r>
      <w:r w:rsidRPr="009F3DCC">
        <w:rPr>
          <w:b/>
          <w:color w:val="auto"/>
        </w:rPr>
        <w:fldChar w:fldCharType="end"/>
      </w:r>
      <w:r w:rsidRPr="009F3DCC">
        <w:rPr>
          <w:b/>
          <w:color w:val="auto"/>
        </w:rPr>
        <w:t>: Liquidity and Gearing ratios</w:t>
      </w:r>
    </w:p>
    <w:p w:rsidR="00281992" w:rsidRDefault="00281992" w:rsidP="00281992">
      <w:r>
        <w:t xml:space="preserve">In the above table, liquidity ratio and gearing ratio has been calculated for the financial year 2015 to 2019. The </w:t>
      </w:r>
      <w:r w:rsidR="0025710C">
        <w:t xml:space="preserve">current ratio of the company </w:t>
      </w:r>
      <w:r w:rsidR="009F3DCC">
        <w:t>BHP has</w:t>
      </w:r>
      <w:r w:rsidR="0025710C">
        <w:t xml:space="preserve"> increased over the last five years. It is evident from the table that the current ratio was 1.274 in the financial year 2015 and increased to 1.894. The short term liquidity position of the company has improved and it has maintained its solvency over the years for meeting the short time liabilities. The year 2019 shows limited improvement in the current assets ratio due to the impact of economic fluctuation during the year 2019. However, BHP has been successful in maintain the current ration above the standard ratio </w:t>
      </w:r>
      <w:r w:rsidR="0025710C">
        <w:lastRenderedPageBreak/>
        <w:t xml:space="preserve">of 1.5. In the similar way, Rio Tinto has also maintained the current ratio approximately 1.5 which is also a good indicator for the short term liquidity position. Both the </w:t>
      </w:r>
      <w:r w:rsidR="009F3DCC">
        <w:t>company’s</w:t>
      </w:r>
      <w:r w:rsidR="0025710C">
        <w:t xml:space="preserve"> satisfactory short term liquidity but the BHP liquidity ratio has been showing improved position as compared to Rio Tinto. </w:t>
      </w:r>
    </w:p>
    <w:p w:rsidR="00D416C4" w:rsidRDefault="00D416C4" w:rsidP="00281992">
      <w:pPr>
        <w:rPr>
          <w:lang w:val="en-US"/>
        </w:rPr>
      </w:pPr>
      <w:r>
        <w:rPr>
          <w:lang w:val="en-US"/>
        </w:rPr>
        <w:t xml:space="preserve">The liquidity ratio tends to </w:t>
      </w:r>
      <w:proofErr w:type="gramStart"/>
      <w:r>
        <w:rPr>
          <w:lang w:val="en-US"/>
        </w:rPr>
        <w:t>reflects</w:t>
      </w:r>
      <w:proofErr w:type="gramEnd"/>
      <w:r>
        <w:rPr>
          <w:lang w:val="en-US"/>
        </w:rPr>
        <w:t xml:space="preserve"> that liquidity position of companies in industry. For analyzing liquidity position of both companies’ current assets and quick assets ratios has been calculated. The quick ratio mainly indicates the ability of a company to pay of its current liabilities that too without selling off its inventory or acquiring any type of additional financing. The quick ratio of Rio Tinto in financial year 2015 was 1.204 however, for BHP limited the quick ratio comes to 0.940. it is examined that after 2015, both companies tend to reflects a profitable quick ratio that is that both companies’ quick ratio companies to more than one thus, it could be stated that that companies have ability in order to pay off its short-term obligations without raising any type of funds from outside parties. In year 2019, BHP limited tends to have a quick ratio of 1.583 that is more as compared to quick ratio of Rio Tinto, thus, reflecting that BHP limited liquidity position is better as compared to Rio Tinto limited. In financial year 2018, it is examined that quick ratio of BHP limited comes to 2.242, and for Rio Tinto it was 1.599, that reflects that both companies have capacity in order to efficiently set off all its current debt obligations. But BHP limited has a high quick ratio that stated that, management of company is efficiently adopting strategies and measures to maintain its liquidity level and thus, able to pay off its current debt obligations by making use of its current assets. The current ratio is considered as a classic measure of liquidity ratio that indicates whether the business corporation has efficient capacity in order to pay for its current debt obligations by making use of its current assets.</w:t>
      </w:r>
    </w:p>
    <w:p w:rsidR="00D416C4" w:rsidRDefault="00D416C4" w:rsidP="00C1759A">
      <w:pPr>
        <w:rPr>
          <w:lang w:val="en-US"/>
        </w:rPr>
      </w:pPr>
      <w:r>
        <w:rPr>
          <w:lang w:val="en-US"/>
        </w:rPr>
        <w:lastRenderedPageBreak/>
        <w:t xml:space="preserve">The gearing ratio is being calculated by business entities mainly in order to analyze and evaluate the financial risk that is being associated with business entity. Thus, in simple terms it could be stated that gearing ratio is an indicator of risk for business that needs to be assessed in order to carry out smooth and efficient functioning of business activities. In this case, to analyze the gearing ratio of both companies, mainly the debt to equity ratio is being measured. It is examined that a high gearing ratio indicates that firm will be facing more risk </w:t>
      </w:r>
      <w:proofErr w:type="gramStart"/>
      <w:r>
        <w:rPr>
          <w:lang w:val="en-US"/>
        </w:rPr>
        <w:t>thus,</w:t>
      </w:r>
      <w:proofErr w:type="gramEnd"/>
      <w:r>
        <w:rPr>
          <w:lang w:val="en-US"/>
        </w:rPr>
        <w:t xml:space="preserve"> it is advisable that management of company should try to reduce risk factors by maintaining a balance between debt financing and equity financing. The debt equity ratio mainly tends to </w:t>
      </w:r>
      <w:proofErr w:type="gramStart"/>
      <w:r>
        <w:rPr>
          <w:lang w:val="en-US"/>
        </w:rPr>
        <w:t>reflects</w:t>
      </w:r>
      <w:proofErr w:type="gramEnd"/>
      <w:r>
        <w:rPr>
          <w:lang w:val="en-US"/>
        </w:rPr>
        <w:t xml:space="preserve"> the company’s capital structure that is being tilted either towards debt financing or equity financing. It is examined that during all five years debt to equity ratio of BHP limited is less as compared to Rio Tinto however, in financial year 2019, the debt to equity ratio of BHP limited comes to 0.946 whereas for Rio Tinto it comes to 0.940. It is analyzed that a higher debt to equity ratio mainly indicates that a firm is levered that is quite preferable for a business entity that is stable with significant cash flow generation however, not preferable in case if a company is declining. </w:t>
      </w:r>
    </w:p>
    <w:tbl>
      <w:tblPr>
        <w:tblW w:w="9409" w:type="dxa"/>
        <w:tblLook w:val="04A0" w:firstRow="1" w:lastRow="0" w:firstColumn="1" w:lastColumn="0" w:noHBand="0" w:noVBand="1"/>
      </w:tblPr>
      <w:tblGrid>
        <w:gridCol w:w="1599"/>
        <w:gridCol w:w="805"/>
        <w:gridCol w:w="809"/>
        <w:gridCol w:w="806"/>
        <w:gridCol w:w="809"/>
        <w:gridCol w:w="806"/>
        <w:gridCol w:w="721"/>
        <w:gridCol w:w="806"/>
        <w:gridCol w:w="721"/>
        <w:gridCol w:w="806"/>
        <w:gridCol w:w="721"/>
      </w:tblGrid>
      <w:tr w:rsidR="00D8564F" w:rsidRPr="00D8564F" w:rsidTr="006473DF">
        <w:trPr>
          <w:trHeight w:val="582"/>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Profitability Ratio</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2015</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2016</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2017</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2018</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2019</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Amount in (</w:t>
            </w:r>
            <w:r w:rsidRPr="00D8564F">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Amount in (</w:t>
            </w:r>
            <w:r w:rsidRPr="00D8564F">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Amount in (</w:t>
            </w:r>
            <w:r w:rsidRPr="00D8564F">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Amount in (</w:t>
            </w:r>
            <w:r w:rsidRPr="00D8564F">
              <w:rPr>
                <w:rFonts w:ascii="Calibri" w:eastAsia="Times New Roman" w:hAnsi="Calibri" w:cs="Calibri"/>
                <w:b/>
                <w:bCs/>
                <w:color w:val="000000"/>
                <w:sz w:val="16"/>
                <w:szCs w:val="16"/>
                <w:u w:val="single"/>
                <w:lang w:val="en-US"/>
              </w:rPr>
              <w:t>$)</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center"/>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Amount in (</w:t>
            </w:r>
            <w:r w:rsidRPr="00D8564F">
              <w:rPr>
                <w:rFonts w:ascii="Calibri" w:eastAsia="Times New Roman" w:hAnsi="Calibri" w:cs="Calibri"/>
                <w:b/>
                <w:bCs/>
                <w:color w:val="000000"/>
                <w:sz w:val="16"/>
                <w:szCs w:val="16"/>
                <w:u w:val="single"/>
                <w:lang w:val="en-US"/>
              </w:rPr>
              <w:t>$)</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BHP</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RIO</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BHP</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Ratio 1</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gross profit</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$26,006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44,636</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$25,021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30,912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$30,744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30,111</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$29,909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35,214</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$33,680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35,754</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sales revenue</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34829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44636</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33781</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30912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40030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36135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40522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43129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43165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44288</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gross profit margin</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74.668</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100.000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74.068</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100.000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76.802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83.329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73.809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81.648</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78.026</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80.731</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Ratio 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Net Profit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6527</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$1,910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-866</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-6385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4617</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$5,890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8762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$3,705 </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13638</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 xml:space="preserve">$8,306 </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Net Sales</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34829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44636</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33781</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30912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40030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36135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40522</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43129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43165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color w:val="000000"/>
                <w:sz w:val="16"/>
                <w:szCs w:val="16"/>
                <w:lang w:val="en-US"/>
              </w:rPr>
            </w:pPr>
            <w:r w:rsidRPr="00D8564F">
              <w:rPr>
                <w:rFonts w:ascii="Calibri" w:eastAsia="Times New Roman" w:hAnsi="Calibri" w:cs="Calibri"/>
                <w:color w:val="000000"/>
                <w:sz w:val="16"/>
                <w:szCs w:val="16"/>
                <w:lang w:val="en-US"/>
              </w:rPr>
              <w:t>44288</w:t>
            </w:r>
          </w:p>
        </w:tc>
      </w:tr>
      <w:tr w:rsidR="00D8564F" w:rsidRPr="00D8564F" w:rsidTr="006473DF">
        <w:trPr>
          <w:trHeight w:val="30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lef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Net Profit Margin</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18.740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4.279</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-2.564</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-20.655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11.534</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16.300</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21.623</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8.591</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D8564F">
            <w:pPr>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31.595</w:t>
            </w:r>
          </w:p>
        </w:tc>
        <w:tc>
          <w:tcPr>
            <w:tcW w:w="0" w:type="auto"/>
            <w:tcBorders>
              <w:top w:val="nil"/>
              <w:left w:val="nil"/>
              <w:bottom w:val="single" w:sz="4" w:space="0" w:color="auto"/>
              <w:right w:val="single" w:sz="4" w:space="0" w:color="auto"/>
            </w:tcBorders>
            <w:shd w:val="clear" w:color="auto" w:fill="auto"/>
            <w:noWrap/>
            <w:vAlign w:val="bottom"/>
            <w:hideMark/>
          </w:tcPr>
          <w:p w:rsidR="00D8564F" w:rsidRPr="00D8564F" w:rsidRDefault="00D8564F" w:rsidP="00AF1DCD">
            <w:pPr>
              <w:keepNext/>
              <w:spacing w:after="0" w:line="240" w:lineRule="auto"/>
              <w:jc w:val="right"/>
              <w:rPr>
                <w:rFonts w:ascii="Calibri" w:eastAsia="Times New Roman" w:hAnsi="Calibri" w:cs="Calibri"/>
                <w:b/>
                <w:bCs/>
                <w:color w:val="000000"/>
                <w:sz w:val="16"/>
                <w:szCs w:val="16"/>
                <w:lang w:val="en-US"/>
              </w:rPr>
            </w:pPr>
            <w:r w:rsidRPr="00D8564F">
              <w:rPr>
                <w:rFonts w:ascii="Calibri" w:eastAsia="Times New Roman" w:hAnsi="Calibri" w:cs="Calibri"/>
                <w:b/>
                <w:bCs/>
                <w:color w:val="000000"/>
                <w:sz w:val="16"/>
                <w:szCs w:val="16"/>
                <w:lang w:val="en-US"/>
              </w:rPr>
              <w:t>18.755</w:t>
            </w:r>
          </w:p>
        </w:tc>
      </w:tr>
    </w:tbl>
    <w:p w:rsidR="00D8564F" w:rsidRDefault="00AF1DCD" w:rsidP="00AF1DCD">
      <w:pPr>
        <w:pStyle w:val="Caption"/>
        <w:jc w:val="center"/>
        <w:rPr>
          <w:b/>
          <w:color w:val="auto"/>
        </w:rPr>
      </w:pPr>
      <w:r w:rsidRPr="009F3DCC">
        <w:rPr>
          <w:b/>
          <w:color w:val="auto"/>
        </w:rPr>
        <w:t xml:space="preserve">Table </w:t>
      </w:r>
      <w:r w:rsidRPr="009F3DCC">
        <w:rPr>
          <w:b/>
          <w:color w:val="auto"/>
        </w:rPr>
        <w:fldChar w:fldCharType="begin"/>
      </w:r>
      <w:r w:rsidRPr="009F3DCC">
        <w:rPr>
          <w:b/>
          <w:color w:val="auto"/>
        </w:rPr>
        <w:instrText xml:space="preserve"> SEQ Table \* ARABIC </w:instrText>
      </w:r>
      <w:r w:rsidRPr="009F3DCC">
        <w:rPr>
          <w:b/>
          <w:color w:val="auto"/>
        </w:rPr>
        <w:fldChar w:fldCharType="separate"/>
      </w:r>
      <w:r w:rsidR="0006506B">
        <w:rPr>
          <w:b/>
          <w:noProof/>
          <w:color w:val="auto"/>
        </w:rPr>
        <w:t>3</w:t>
      </w:r>
      <w:r w:rsidRPr="009F3DCC">
        <w:rPr>
          <w:b/>
          <w:color w:val="auto"/>
        </w:rPr>
        <w:fldChar w:fldCharType="end"/>
      </w:r>
      <w:r w:rsidRPr="009F3DCC">
        <w:rPr>
          <w:b/>
          <w:color w:val="auto"/>
        </w:rPr>
        <w:t>: profitability ratio</w:t>
      </w:r>
    </w:p>
    <w:p w:rsidR="000324A6" w:rsidRDefault="000324A6" w:rsidP="00B6734D">
      <w:pPr>
        <w:rPr>
          <w:lang w:val="en-US"/>
        </w:rPr>
      </w:pPr>
      <w:r>
        <w:rPr>
          <w:lang w:val="en-US"/>
        </w:rPr>
        <w:lastRenderedPageBreak/>
        <w:t xml:space="preserve">The profitability ratio of a company intends to measures the overall profitability of an organization by taking into account all direct as well as indirect cost. In this case two companies are taken for analysis purpose that are Rio Tinto and BHP limited. In order to analyze and evaluate profitability level of both companies and to compare which company tends to reflects better profitability level, two profitability ratios has been calculated that are gross profit margin ratio and net profit margin ratio. The ratios are being calculated for five years from year 2015 to 2019. It is examined that in during all five years gross profit margin of BHP limited is more that Rio Tinto. Gross profit margin ratio is being measured by business in order to assess financial health of an organization mainly by calculating the value of funds left over from product sales after deducting cost of goods sold. In financial year 2015 and 2016, the gross profit margin ratio of BHP limited is 100, whereas, in year 2015, Rio Tinto had a ratio of 74.668 and in year 2016, gross profit margin is 74.068. Even in financial year 2019, gross profit margin ratio of BHP limited comes to 80.731 and for Rio Tinto it was 78.026. Thus, by looking into calculation, it could be stated that BHP limited has a better profitability level as compared to Rio Tinto in terms of gross profit margin ratio. The net profit margin ratio mainly refers to ratio of net profits to revenues for a business entity. However, there is a fluctuating trend of net profit margin during five years. In year 2015, ratio of BHP limited was 4.279, whereas for Rio Tinto it was 18.740. In financial year 2016, ratio was negative for both companies. In year 2019, Rio Tinto net profit margin ratio was 31.595 whereas for BHP limited it was 18.755. Thus, it is advisable that companies should try to keep their net profit margin ratio positive thus, reflecting a better profitability in industry. </w:t>
      </w:r>
    </w:p>
    <w:p w:rsidR="00E546C6" w:rsidRDefault="005E057F" w:rsidP="00E546C6">
      <w:pPr>
        <w:pStyle w:val="Heading2"/>
      </w:pPr>
      <w:bookmarkStart w:id="2" w:name="_Toc61466763"/>
      <w:r w:rsidRPr="00E546C6">
        <w:lastRenderedPageBreak/>
        <w:t>Comparison to major competitor(s)</w:t>
      </w:r>
      <w:bookmarkEnd w:id="2"/>
      <w:r w:rsidRPr="00E546C6">
        <w:t xml:space="preserve"> </w:t>
      </w:r>
    </w:p>
    <w:p w:rsidR="00E546C6" w:rsidRPr="00E546C6" w:rsidRDefault="00ED3D2C" w:rsidP="00E546C6">
      <w:pPr>
        <w:rPr>
          <w:lang w:val="en-US"/>
        </w:rPr>
      </w:pPr>
      <w:r>
        <w:rPr>
          <w:lang w:val="en-US"/>
        </w:rPr>
        <w:t xml:space="preserve">BHP shows consistent growth over the last five years. </w:t>
      </w:r>
      <w:r w:rsidR="005812E6">
        <w:rPr>
          <w:lang w:val="en-US"/>
        </w:rPr>
        <w:t>It</w:t>
      </w:r>
      <w:r>
        <w:rPr>
          <w:lang w:val="en-US"/>
        </w:rPr>
        <w:t xml:space="preserve"> is clear from the financial ratios that are discussed above that the company has been </w:t>
      </w:r>
      <w:r w:rsidR="00B303D0">
        <w:rPr>
          <w:lang w:val="en-US"/>
        </w:rPr>
        <w:t xml:space="preserve">competing fairly with </w:t>
      </w:r>
      <w:r>
        <w:rPr>
          <w:lang w:val="en-US"/>
        </w:rPr>
        <w:t xml:space="preserve">competitors such as RIO Tinto. The gross profit margin and the net profit margin </w:t>
      </w:r>
      <w:proofErr w:type="gramStart"/>
      <w:r>
        <w:rPr>
          <w:lang w:val="en-US"/>
        </w:rPr>
        <w:t>shows</w:t>
      </w:r>
      <w:proofErr w:type="gramEnd"/>
      <w:r>
        <w:rPr>
          <w:lang w:val="en-US"/>
        </w:rPr>
        <w:t xml:space="preserve"> that company is in a good position to pay off its short term as well as long term liabilities. In addition to it, BHP has been successful in generating returns to its shareholders. </w:t>
      </w:r>
      <w:r w:rsidR="00B303D0">
        <w:rPr>
          <w:lang w:val="en-US"/>
        </w:rPr>
        <w:t xml:space="preserve">In the similar way, Rio Tinto has been showing good profitability and liquidity position. There are other competitors exist in the market such as Howmet Aerospace. It is company which is </w:t>
      </w:r>
      <w:r w:rsidR="00F86C8D">
        <w:rPr>
          <w:lang w:val="en-US"/>
        </w:rPr>
        <w:t>specialized</w:t>
      </w:r>
      <w:r w:rsidR="00B303D0">
        <w:rPr>
          <w:lang w:val="en-US"/>
        </w:rPr>
        <w:t xml:space="preserve"> in the e</w:t>
      </w:r>
      <w:r w:rsidR="00F86C8D">
        <w:t>engineering</w:t>
      </w:r>
      <w:r w:rsidR="00B303D0">
        <w:t xml:space="preserve"> and manufacturing light weight metals. Other companies are </w:t>
      </w:r>
      <w:proofErr w:type="spellStart"/>
      <w:r w:rsidR="00B303D0">
        <w:t>Gerdau</w:t>
      </w:r>
      <w:proofErr w:type="spellEnd"/>
      <w:r w:rsidR="00B303D0">
        <w:t xml:space="preserve">, Anglo America, Sand </w:t>
      </w:r>
      <w:proofErr w:type="spellStart"/>
      <w:r w:rsidR="00B303D0">
        <w:t>Vik</w:t>
      </w:r>
      <w:proofErr w:type="spellEnd"/>
      <w:r w:rsidR="00B303D0">
        <w:t xml:space="preserve">, etc. Rio Tinto as well as BHP has one common practice that they believe in continuous development and </w:t>
      </w:r>
      <w:r w:rsidR="00F86C8D">
        <w:t xml:space="preserve">investment in Research and development so that they keep on adapting themselves with the changes happening in the external environment and remain sustainable. </w:t>
      </w:r>
      <w:r w:rsidR="005812E6">
        <w:t>Some</w:t>
      </w:r>
      <w:r w:rsidR="00F86C8D">
        <w:t xml:space="preserve"> of the competitive advantages of these companies </w:t>
      </w:r>
      <w:proofErr w:type="gramStart"/>
      <w:r w:rsidR="00F86C8D">
        <w:t>is</w:t>
      </w:r>
      <w:proofErr w:type="gramEnd"/>
      <w:r w:rsidR="00F86C8D">
        <w:t xml:space="preserve"> that they have gained economies of scale and operate in several countries of the world. The international </w:t>
      </w:r>
      <w:proofErr w:type="gramStart"/>
      <w:r w:rsidR="00F86C8D">
        <w:t>companies are competitive in nature and knows</w:t>
      </w:r>
      <w:proofErr w:type="gramEnd"/>
      <w:r w:rsidR="00F86C8D">
        <w:t xml:space="preserve"> how to adapt themselves with the local needs. In addition to this, both the com</w:t>
      </w:r>
      <w:r w:rsidR="004B4B25">
        <w:t xml:space="preserve">panies invest in CSR </w:t>
      </w:r>
      <w:proofErr w:type="gramStart"/>
      <w:r w:rsidR="004B4B25">
        <w:t xml:space="preserve">activities </w:t>
      </w:r>
      <w:r w:rsidR="00F86C8D">
        <w:t>which has</w:t>
      </w:r>
      <w:proofErr w:type="gramEnd"/>
      <w:r w:rsidR="00F86C8D">
        <w:t xml:space="preserve"> become one of the contemporary element for analysing company’s reputation in market. </w:t>
      </w:r>
      <w:r w:rsidR="005812E6">
        <w:t>Some</w:t>
      </w:r>
      <w:r w:rsidR="00F86C8D">
        <w:t xml:space="preserve"> of competitive </w:t>
      </w:r>
      <w:proofErr w:type="gramStart"/>
      <w:r w:rsidR="00F86C8D">
        <w:t>advantage of the BHP Billiton for competing with its competitors are</w:t>
      </w:r>
      <w:proofErr w:type="gramEnd"/>
      <w:r w:rsidR="00F86C8D">
        <w:t xml:space="preserve">: the company provides good return to its equity holders and shows existence of diversified revenue stream and strong financial position. The company enjoys a very strong international brand image. It is considered one of the largest petroleum and mining companies. The CSR activities </w:t>
      </w:r>
      <w:r w:rsidR="00696916">
        <w:t xml:space="preserve">of the BHP enhance its brand image in the eyes of investors which helps the company to improve the financial position and maintain its finances. </w:t>
      </w:r>
      <w:r w:rsidR="005812E6">
        <w:t xml:space="preserve">Some of the strengths of the Rio Tinto which is helping the company to deal with its competitors are the long term strategies </w:t>
      </w:r>
      <w:r w:rsidR="005812E6">
        <w:lastRenderedPageBreak/>
        <w:t xml:space="preserve">and operational efficiencies. The company focuses on improving </w:t>
      </w:r>
      <w:r w:rsidR="00050941">
        <w:t>employee’s</w:t>
      </w:r>
      <w:r w:rsidR="005812E6">
        <w:t xml:space="preserve"> engagement and respect the environment in which it operates by remain</w:t>
      </w:r>
      <w:r w:rsidR="006636E7">
        <w:t>in</w:t>
      </w:r>
      <w:r w:rsidR="005812E6">
        <w:t>g socially responsible for the communities.</w:t>
      </w:r>
      <w:r w:rsidR="00050941">
        <w:t xml:space="preserve"> The world’s best positioned supplier of iron ore is a key component of the Group’s strategy of maintaining a strong position in products</w:t>
      </w:r>
      <w:r w:rsidR="004A41D4">
        <w:t xml:space="preserve"> line (</w:t>
      </w:r>
      <w:r w:rsidR="004A41D4">
        <w:rPr>
          <w:lang w:val="en-US"/>
        </w:rPr>
        <w:t xml:space="preserve">Husain and </w:t>
      </w:r>
      <w:proofErr w:type="spellStart"/>
      <w:r w:rsidR="004A41D4">
        <w:rPr>
          <w:lang w:val="en-US"/>
        </w:rPr>
        <w:t>Sunardi</w:t>
      </w:r>
      <w:proofErr w:type="spellEnd"/>
      <w:r w:rsidR="004A41D4">
        <w:rPr>
          <w:lang w:val="en-US"/>
        </w:rPr>
        <w:t xml:space="preserve"> </w:t>
      </w:r>
      <w:r w:rsidR="004A41D4" w:rsidRPr="001A0C52">
        <w:rPr>
          <w:lang w:val="en-US"/>
        </w:rPr>
        <w:t>2020</w:t>
      </w:r>
      <w:r w:rsidR="004A41D4">
        <w:rPr>
          <w:lang w:val="en-US"/>
        </w:rPr>
        <w:t>)</w:t>
      </w:r>
      <w:r w:rsidR="004A41D4">
        <w:t>.</w:t>
      </w:r>
    </w:p>
    <w:p w:rsidR="009F3DCC" w:rsidRDefault="00E546C6" w:rsidP="00E546C6">
      <w:pPr>
        <w:pStyle w:val="Heading2"/>
      </w:pPr>
      <w:bookmarkStart w:id="3" w:name="_Toc61466764"/>
      <w:r w:rsidRPr="00E546C6">
        <w:t>R</w:t>
      </w:r>
      <w:r w:rsidR="005E057F" w:rsidRPr="00E546C6">
        <w:t>ecommendation</w:t>
      </w:r>
      <w:r w:rsidRPr="00E546C6">
        <w:t>s</w:t>
      </w:r>
      <w:r w:rsidR="005E057F" w:rsidRPr="00E546C6">
        <w:t xml:space="preserve"> on how to improve the financial management of the compan</w:t>
      </w:r>
      <w:r w:rsidRPr="00E546C6">
        <w:t>ies</w:t>
      </w:r>
      <w:bookmarkEnd w:id="3"/>
    </w:p>
    <w:p w:rsidR="00D416C4" w:rsidRPr="00CF35B2" w:rsidRDefault="00D416C4" w:rsidP="00D416C4">
      <w:pPr>
        <w:rPr>
          <w:lang w:val="en-US"/>
        </w:rPr>
      </w:pPr>
      <w:r>
        <w:rPr>
          <w:lang w:val="en-US"/>
        </w:rPr>
        <w:t xml:space="preserve">It is an evident fact that in order to sustain in competitive global marketplace as well as achieving maximum profitability, organization needs to have an informed and robust financial management system. Even it could be stated that for business entities such as Rio Tinto and BHP limited, it is essential to have an efficient and well-structured financial management. It could be recommended that management of organization needs to adopt certain measures and approaches in order to establish a robust financial management. The financial management of company could be efficient if management intends to manage all its invoices as well as ensuring that all invoices are actually being paid to its suppliers. Even to maintain a robust financial management, the inventory management should be efficiently managed that will help company to carry out its business activities in an efficient manner.                 </w:t>
      </w:r>
    </w:p>
    <w:p w:rsidR="007863B4" w:rsidRDefault="007863B4" w:rsidP="00CE4586">
      <w:pPr>
        <w:pStyle w:val="Heading1"/>
      </w:pPr>
      <w:bookmarkStart w:id="4" w:name="_Toc61466765"/>
      <w:r>
        <w:t>Part C</w:t>
      </w:r>
      <w:bookmarkEnd w:id="4"/>
    </w:p>
    <w:p w:rsidR="007863B4" w:rsidRDefault="00B52A61" w:rsidP="00A83502">
      <w:pPr>
        <w:pStyle w:val="Heading2"/>
      </w:pPr>
      <w:bookmarkStart w:id="5" w:name="_Toc61466766"/>
      <w:r w:rsidRPr="00B52A61">
        <w:t>Section 1</w:t>
      </w:r>
      <w:bookmarkEnd w:id="5"/>
    </w:p>
    <w:tbl>
      <w:tblPr>
        <w:tblW w:w="6300" w:type="dxa"/>
        <w:jc w:val="center"/>
        <w:tblLook w:val="04A0" w:firstRow="1" w:lastRow="0" w:firstColumn="1" w:lastColumn="0" w:noHBand="0" w:noVBand="1"/>
      </w:tblPr>
      <w:tblGrid>
        <w:gridCol w:w="960"/>
        <w:gridCol w:w="1158"/>
        <w:gridCol w:w="1859"/>
        <w:gridCol w:w="2323"/>
      </w:tblGrid>
      <w:tr w:rsidR="00B52A61" w:rsidRPr="00B52A61" w:rsidTr="002503B6">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5340" w:type="dxa"/>
            <w:gridSpan w:val="3"/>
            <w:tcBorders>
              <w:top w:val="single" w:sz="4" w:space="0" w:color="auto"/>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center"/>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Project A</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xml:space="preserve">Year </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cash flow</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xml:space="preserve">cumulative </w:t>
            </w:r>
            <w:proofErr w:type="spellStart"/>
            <w:r w:rsidRPr="00B52A61">
              <w:rPr>
                <w:rFonts w:ascii="Calibri" w:eastAsia="Times New Roman" w:hAnsi="Calibri" w:cs="Calibri"/>
                <w:color w:val="000000"/>
                <w:sz w:val="22"/>
                <w:lang w:val="en-US"/>
              </w:rPr>
              <w:t>cashflow</w:t>
            </w:r>
            <w:proofErr w:type="spellEnd"/>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0</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-85</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-85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1</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10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-75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2</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20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-55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-15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55</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40</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PBP (yr.)</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3.272727273</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lastRenderedPageBreak/>
              <w:t> </w:t>
            </w:r>
          </w:p>
        </w:tc>
        <w:tc>
          <w:tcPr>
            <w:tcW w:w="5340" w:type="dxa"/>
            <w:gridSpan w:val="3"/>
            <w:tcBorders>
              <w:top w:val="single" w:sz="4" w:space="0" w:color="auto"/>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center"/>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Project B</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xml:space="preserve">Year </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annual cash flow</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cumulative cash flow</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0</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-90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-90</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1</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25</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-65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2</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-35</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35</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0</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40</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righ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40</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r>
      <w:tr w:rsidR="00B52A61" w:rsidRPr="00B52A61" w:rsidTr="002503B6">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c>
          <w:tcPr>
            <w:tcW w:w="1158"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PBP (year)</w:t>
            </w:r>
          </w:p>
        </w:tc>
        <w:tc>
          <w:tcPr>
            <w:tcW w:w="1859"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B52A61">
            <w:pPr>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3 years</w:t>
            </w:r>
          </w:p>
        </w:tc>
        <w:tc>
          <w:tcPr>
            <w:tcW w:w="2323" w:type="dxa"/>
            <w:tcBorders>
              <w:top w:val="nil"/>
              <w:left w:val="nil"/>
              <w:bottom w:val="single" w:sz="4" w:space="0" w:color="auto"/>
              <w:right w:val="single" w:sz="4" w:space="0" w:color="auto"/>
            </w:tcBorders>
            <w:shd w:val="clear" w:color="auto" w:fill="auto"/>
            <w:noWrap/>
            <w:vAlign w:val="bottom"/>
            <w:hideMark/>
          </w:tcPr>
          <w:p w:rsidR="00B52A61" w:rsidRPr="00B52A61" w:rsidRDefault="00B52A61" w:rsidP="002503B6">
            <w:pPr>
              <w:keepNext/>
              <w:spacing w:after="0" w:line="240" w:lineRule="auto"/>
              <w:jc w:val="left"/>
              <w:rPr>
                <w:rFonts w:ascii="Calibri" w:eastAsia="Times New Roman" w:hAnsi="Calibri" w:cs="Calibri"/>
                <w:color w:val="000000"/>
                <w:sz w:val="22"/>
                <w:lang w:val="en-US"/>
              </w:rPr>
            </w:pPr>
            <w:r w:rsidRPr="00B52A61">
              <w:rPr>
                <w:rFonts w:ascii="Calibri" w:eastAsia="Times New Roman" w:hAnsi="Calibri" w:cs="Calibri"/>
                <w:color w:val="000000"/>
                <w:sz w:val="22"/>
                <w:lang w:val="en-US"/>
              </w:rPr>
              <w:t> </w:t>
            </w:r>
          </w:p>
        </w:tc>
      </w:tr>
    </w:tbl>
    <w:p w:rsidR="00B52A61" w:rsidRPr="002503B6" w:rsidRDefault="002503B6" w:rsidP="002503B6">
      <w:pPr>
        <w:pStyle w:val="Caption"/>
        <w:jc w:val="center"/>
        <w:rPr>
          <w:b/>
          <w:color w:val="auto"/>
        </w:rPr>
      </w:pPr>
      <w:r w:rsidRPr="002503B6">
        <w:rPr>
          <w:b/>
          <w:color w:val="auto"/>
        </w:rPr>
        <w:t xml:space="preserve">Table </w:t>
      </w:r>
      <w:r w:rsidRPr="002503B6">
        <w:rPr>
          <w:b/>
          <w:color w:val="auto"/>
        </w:rPr>
        <w:fldChar w:fldCharType="begin"/>
      </w:r>
      <w:r w:rsidRPr="002503B6">
        <w:rPr>
          <w:b/>
          <w:color w:val="auto"/>
        </w:rPr>
        <w:instrText xml:space="preserve"> SEQ Table \* ARABIC </w:instrText>
      </w:r>
      <w:r w:rsidRPr="002503B6">
        <w:rPr>
          <w:b/>
          <w:color w:val="auto"/>
        </w:rPr>
        <w:fldChar w:fldCharType="separate"/>
      </w:r>
      <w:r w:rsidR="0006506B">
        <w:rPr>
          <w:b/>
          <w:noProof/>
          <w:color w:val="auto"/>
        </w:rPr>
        <w:t>4</w:t>
      </w:r>
      <w:r w:rsidRPr="002503B6">
        <w:rPr>
          <w:b/>
          <w:color w:val="auto"/>
        </w:rPr>
        <w:fldChar w:fldCharType="end"/>
      </w:r>
      <w:r w:rsidRPr="002503B6">
        <w:rPr>
          <w:b/>
          <w:color w:val="auto"/>
        </w:rPr>
        <w:t>: Payback period calculation</w:t>
      </w:r>
    </w:p>
    <w:p w:rsidR="007863B4" w:rsidRDefault="002503B6" w:rsidP="002503B6">
      <w:r>
        <w:t>From the calculation of the payback period, it is evident that the project B is acceptable as the project is capable for recover the invested amount in lesser time period and generate return sooner than the project A.</w:t>
      </w:r>
    </w:p>
    <w:tbl>
      <w:tblPr>
        <w:tblW w:w="9350" w:type="dxa"/>
        <w:jc w:val="center"/>
        <w:tblLook w:val="04A0" w:firstRow="1" w:lastRow="0" w:firstColumn="1" w:lastColumn="0" w:noHBand="0" w:noVBand="1"/>
      </w:tblPr>
      <w:tblGrid>
        <w:gridCol w:w="1590"/>
        <w:gridCol w:w="1451"/>
        <w:gridCol w:w="2822"/>
        <w:gridCol w:w="679"/>
        <w:gridCol w:w="679"/>
        <w:gridCol w:w="679"/>
        <w:gridCol w:w="829"/>
        <w:gridCol w:w="847"/>
      </w:tblGrid>
      <w:tr w:rsidR="00F80F30" w:rsidRPr="00F80F30" w:rsidTr="00F80F30">
        <w:trPr>
          <w:trHeight w:val="300"/>
          <w:jc w:val="center"/>
        </w:trPr>
        <w:tc>
          <w:tcPr>
            <w:tcW w:w="8450"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center"/>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calculation of ARR</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b/>
                <w:bCs/>
                <w:color w:val="000000"/>
                <w:sz w:val="22"/>
                <w:lang w:val="en-US"/>
              </w:rPr>
            </w:pPr>
            <w:r w:rsidRPr="00F80F30">
              <w:rPr>
                <w:rFonts w:ascii="Calibri" w:eastAsia="Times New Roman" w:hAnsi="Calibri" w:cs="Calibri"/>
                <w:b/>
                <w:bCs/>
                <w:color w:val="000000"/>
                <w:sz w:val="22"/>
                <w:lang w:val="en-US"/>
              </w:rPr>
              <w:t xml:space="preserve">Project A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annual depreciation</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xml:space="preserve">year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3</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4</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xml:space="preserve">cash </w:t>
            </w:r>
            <w:r w:rsidR="004C730C" w:rsidRPr="00F80F30">
              <w:rPr>
                <w:rFonts w:ascii="Calibri" w:eastAsia="Times New Roman" w:hAnsi="Calibri" w:cs="Calibri"/>
                <w:color w:val="000000"/>
                <w:sz w:val="22"/>
                <w:lang w:val="en-US"/>
              </w:rPr>
              <w:t>inflow</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10</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20</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40</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55</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(depreciation)</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21.25</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net profit</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-1.25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18.75</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33.75</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40</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Average net profit</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10</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300"/>
          <w:jc w:val="center"/>
        </w:trPr>
        <w:tc>
          <w:tcPr>
            <w:tcW w:w="170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555"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ARR</w:t>
            </w:r>
          </w:p>
        </w:tc>
        <w:tc>
          <w:tcPr>
            <w:tcW w:w="3041"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w:t>
            </w:r>
            <w:proofErr w:type="spellStart"/>
            <w:r w:rsidRPr="00F80F30">
              <w:rPr>
                <w:rFonts w:ascii="Calibri" w:eastAsia="Times New Roman" w:hAnsi="Calibri" w:cs="Calibri"/>
                <w:color w:val="000000"/>
                <w:sz w:val="22"/>
                <w:lang w:val="en-US"/>
              </w:rPr>
              <w:t>avg</w:t>
            </w:r>
            <w:proofErr w:type="spellEnd"/>
            <w:r w:rsidRPr="00F80F30">
              <w:rPr>
                <w:rFonts w:ascii="Calibri" w:eastAsia="Times New Roman" w:hAnsi="Calibri" w:cs="Calibri"/>
                <w:color w:val="000000"/>
                <w:sz w:val="22"/>
                <w:lang w:val="en-US"/>
              </w:rPr>
              <w:t xml:space="preserve"> NP/ </w:t>
            </w:r>
            <w:proofErr w:type="spellStart"/>
            <w:r w:rsidRPr="00F80F30">
              <w:rPr>
                <w:rFonts w:ascii="Calibri" w:eastAsia="Times New Roman" w:hAnsi="Calibri" w:cs="Calibri"/>
                <w:color w:val="000000"/>
                <w:sz w:val="22"/>
                <w:lang w:val="en-US"/>
              </w:rPr>
              <w:t>avg</w:t>
            </w:r>
            <w:proofErr w:type="spellEnd"/>
            <w:r w:rsidRPr="00F80F30">
              <w:rPr>
                <w:rFonts w:ascii="Calibri" w:eastAsia="Times New Roman" w:hAnsi="Calibri" w:cs="Calibri"/>
                <w:color w:val="000000"/>
                <w:sz w:val="22"/>
                <w:lang w:val="en-US"/>
              </w:rPr>
              <w:t xml:space="preserve"> capital employed)*100</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4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652"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(10/85)</w:t>
            </w:r>
          </w:p>
        </w:tc>
        <w:tc>
          <w:tcPr>
            <w:tcW w:w="900"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keepNext/>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11.765</w:t>
            </w:r>
          </w:p>
        </w:tc>
      </w:tr>
    </w:tbl>
    <w:p w:rsidR="00D12381" w:rsidRPr="00F80F30" w:rsidRDefault="00F80F30" w:rsidP="00F80F30">
      <w:pPr>
        <w:pStyle w:val="Caption"/>
        <w:jc w:val="center"/>
        <w:rPr>
          <w:b/>
          <w:color w:val="auto"/>
        </w:rPr>
      </w:pPr>
      <w:r w:rsidRPr="00F80F30">
        <w:rPr>
          <w:b/>
          <w:color w:val="auto"/>
        </w:rPr>
        <w:t xml:space="preserve">Table </w:t>
      </w:r>
      <w:r w:rsidRPr="00F80F30">
        <w:rPr>
          <w:b/>
          <w:color w:val="auto"/>
        </w:rPr>
        <w:fldChar w:fldCharType="begin"/>
      </w:r>
      <w:r w:rsidRPr="00F80F30">
        <w:rPr>
          <w:b/>
          <w:color w:val="auto"/>
        </w:rPr>
        <w:instrText xml:space="preserve"> SEQ Table \* ARABIC </w:instrText>
      </w:r>
      <w:r w:rsidRPr="00F80F30">
        <w:rPr>
          <w:b/>
          <w:color w:val="auto"/>
        </w:rPr>
        <w:fldChar w:fldCharType="separate"/>
      </w:r>
      <w:r w:rsidR="0006506B">
        <w:rPr>
          <w:b/>
          <w:noProof/>
          <w:color w:val="auto"/>
        </w:rPr>
        <w:t>5</w:t>
      </w:r>
      <w:r w:rsidRPr="00F80F30">
        <w:rPr>
          <w:b/>
          <w:color w:val="auto"/>
        </w:rPr>
        <w:fldChar w:fldCharType="end"/>
      </w:r>
      <w:r w:rsidRPr="00F80F30">
        <w:rPr>
          <w:b/>
          <w:color w:val="auto"/>
        </w:rPr>
        <w:t>: ARR</w:t>
      </w:r>
    </w:p>
    <w:tbl>
      <w:tblPr>
        <w:tblW w:w="9419" w:type="dxa"/>
        <w:jc w:val="center"/>
        <w:tblLook w:val="04A0" w:firstRow="1" w:lastRow="0" w:firstColumn="1" w:lastColumn="0" w:noHBand="0" w:noVBand="1"/>
      </w:tblPr>
      <w:tblGrid>
        <w:gridCol w:w="2255"/>
        <w:gridCol w:w="2399"/>
        <w:gridCol w:w="1276"/>
        <w:gridCol w:w="1163"/>
        <w:gridCol w:w="1163"/>
        <w:gridCol w:w="1163"/>
      </w:tblGrid>
      <w:tr w:rsidR="00F80F30" w:rsidRPr="00F80F30" w:rsidTr="00F80F30">
        <w:trPr>
          <w:trHeight w:val="290"/>
          <w:jc w:val="center"/>
        </w:trPr>
        <w:tc>
          <w:tcPr>
            <w:tcW w:w="2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b/>
                <w:bCs/>
                <w:color w:val="000000"/>
                <w:sz w:val="22"/>
                <w:lang w:val="en-US"/>
              </w:rPr>
            </w:pPr>
            <w:r w:rsidRPr="00F80F30">
              <w:rPr>
                <w:rFonts w:ascii="Calibri" w:eastAsia="Times New Roman" w:hAnsi="Calibri" w:cs="Calibri"/>
                <w:b/>
                <w:bCs/>
                <w:color w:val="000000"/>
                <w:sz w:val="22"/>
                <w:lang w:val="en-US"/>
              </w:rPr>
              <w:t>Project B</w:t>
            </w:r>
          </w:p>
        </w:tc>
        <w:tc>
          <w:tcPr>
            <w:tcW w:w="2399"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single" w:sz="4" w:space="0" w:color="auto"/>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Annual Depreciation</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90/4</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xml:space="preserve">year </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3</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4</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xml:space="preserve">cash </w:t>
            </w:r>
            <w:r w:rsidR="004C730C" w:rsidRPr="00F80F30">
              <w:rPr>
                <w:rFonts w:ascii="Calibri" w:eastAsia="Times New Roman" w:hAnsi="Calibri" w:cs="Calibri"/>
                <w:color w:val="000000"/>
                <w:sz w:val="22"/>
                <w:lang w:val="en-US"/>
              </w:rPr>
              <w:t>inflow</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30</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35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40</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(depreciation)</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22.5</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net profit</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7.5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12.5</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17.5</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lastRenderedPageBreak/>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Average net profit</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10</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r w:rsidR="00F80F30" w:rsidRPr="00F80F30" w:rsidTr="00F80F30">
        <w:trPr>
          <w:trHeight w:val="290"/>
          <w:jc w:val="center"/>
        </w:trPr>
        <w:tc>
          <w:tcPr>
            <w:tcW w:w="2255" w:type="dxa"/>
            <w:tcBorders>
              <w:top w:val="nil"/>
              <w:left w:val="single" w:sz="4" w:space="0" w:color="auto"/>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2399"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ARR</w:t>
            </w:r>
          </w:p>
        </w:tc>
        <w:tc>
          <w:tcPr>
            <w:tcW w:w="1276"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righ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11.11111</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c>
          <w:tcPr>
            <w:tcW w:w="1163" w:type="dxa"/>
            <w:tcBorders>
              <w:top w:val="nil"/>
              <w:left w:val="nil"/>
              <w:bottom w:val="single" w:sz="4" w:space="0" w:color="auto"/>
              <w:right w:val="single" w:sz="4" w:space="0" w:color="auto"/>
            </w:tcBorders>
            <w:shd w:val="clear" w:color="auto" w:fill="auto"/>
            <w:noWrap/>
            <w:vAlign w:val="bottom"/>
            <w:hideMark/>
          </w:tcPr>
          <w:p w:rsidR="00F80F30" w:rsidRPr="00F80F30" w:rsidRDefault="00F80F30" w:rsidP="00F80F30">
            <w:pPr>
              <w:keepNext/>
              <w:spacing w:after="0" w:line="240" w:lineRule="auto"/>
              <w:jc w:val="left"/>
              <w:rPr>
                <w:rFonts w:ascii="Calibri" w:eastAsia="Times New Roman" w:hAnsi="Calibri" w:cs="Calibri"/>
                <w:color w:val="000000"/>
                <w:sz w:val="22"/>
                <w:lang w:val="en-US"/>
              </w:rPr>
            </w:pPr>
            <w:r w:rsidRPr="00F80F30">
              <w:rPr>
                <w:rFonts w:ascii="Calibri" w:eastAsia="Times New Roman" w:hAnsi="Calibri" w:cs="Calibri"/>
                <w:color w:val="000000"/>
                <w:sz w:val="22"/>
                <w:lang w:val="en-US"/>
              </w:rPr>
              <w:t> </w:t>
            </w:r>
          </w:p>
        </w:tc>
      </w:tr>
    </w:tbl>
    <w:p w:rsidR="007863B4" w:rsidRDefault="00F80F30" w:rsidP="00F80F30">
      <w:pPr>
        <w:pStyle w:val="Caption"/>
        <w:jc w:val="center"/>
        <w:rPr>
          <w:b/>
          <w:color w:val="auto"/>
        </w:rPr>
      </w:pPr>
      <w:r w:rsidRPr="00F80F30">
        <w:rPr>
          <w:b/>
          <w:color w:val="auto"/>
        </w:rPr>
        <w:t xml:space="preserve">Table </w:t>
      </w:r>
      <w:r w:rsidRPr="00F80F30">
        <w:rPr>
          <w:b/>
          <w:color w:val="auto"/>
        </w:rPr>
        <w:fldChar w:fldCharType="begin"/>
      </w:r>
      <w:r w:rsidRPr="00F80F30">
        <w:rPr>
          <w:b/>
          <w:color w:val="auto"/>
        </w:rPr>
        <w:instrText xml:space="preserve"> SEQ Table \* ARABIC </w:instrText>
      </w:r>
      <w:r w:rsidRPr="00F80F30">
        <w:rPr>
          <w:b/>
          <w:color w:val="auto"/>
        </w:rPr>
        <w:fldChar w:fldCharType="separate"/>
      </w:r>
      <w:r w:rsidR="0006506B">
        <w:rPr>
          <w:b/>
          <w:noProof/>
          <w:color w:val="auto"/>
        </w:rPr>
        <w:t>6</w:t>
      </w:r>
      <w:r w:rsidRPr="00F80F30">
        <w:rPr>
          <w:b/>
          <w:color w:val="auto"/>
        </w:rPr>
        <w:fldChar w:fldCharType="end"/>
      </w:r>
      <w:r w:rsidRPr="00F80F30">
        <w:rPr>
          <w:b/>
          <w:color w:val="auto"/>
        </w:rPr>
        <w:t>: ARR</w:t>
      </w:r>
    </w:p>
    <w:p w:rsidR="00F80F30" w:rsidRDefault="00F80F30" w:rsidP="00F80F30"/>
    <w:p w:rsidR="00F80F30" w:rsidRDefault="00F80F30" w:rsidP="00F80F30">
      <w:r>
        <w:t xml:space="preserve">From the above calculation, it can be seen that the ARR of the project A is higher and therefore, project A must be selected by analysing the ARR </w:t>
      </w:r>
      <w:r w:rsidR="00E216D8">
        <w:t>calculation</w:t>
      </w:r>
      <w:r>
        <w:t xml:space="preserve">. </w:t>
      </w:r>
    </w:p>
    <w:tbl>
      <w:tblPr>
        <w:tblW w:w="5760" w:type="dxa"/>
        <w:jc w:val="center"/>
        <w:tblLook w:val="04A0" w:firstRow="1" w:lastRow="0" w:firstColumn="1" w:lastColumn="0" w:noHBand="0" w:noVBand="1"/>
      </w:tblPr>
      <w:tblGrid>
        <w:gridCol w:w="960"/>
        <w:gridCol w:w="1083"/>
        <w:gridCol w:w="961"/>
        <w:gridCol w:w="898"/>
        <w:gridCol w:w="898"/>
        <w:gridCol w:w="960"/>
      </w:tblGrid>
      <w:tr w:rsidR="0006506B" w:rsidRPr="0006506B" w:rsidTr="0006506B">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3840" w:type="dxa"/>
            <w:gridSpan w:val="4"/>
            <w:tcBorders>
              <w:top w:val="single" w:sz="4" w:space="0" w:color="auto"/>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center"/>
              <w:rPr>
                <w:rFonts w:ascii="Calibri" w:eastAsia="Times New Roman" w:hAnsi="Calibri" w:cs="Calibri"/>
                <w:b/>
                <w:bCs/>
                <w:color w:val="000000"/>
                <w:sz w:val="22"/>
                <w:lang w:val="en-US"/>
              </w:rPr>
            </w:pPr>
            <w:r w:rsidRPr="0006506B">
              <w:rPr>
                <w:rFonts w:ascii="Calibri" w:eastAsia="Times New Roman" w:hAnsi="Calibri" w:cs="Calibri"/>
                <w:b/>
                <w:bCs/>
                <w:color w:val="000000"/>
                <w:sz w:val="22"/>
                <w:lang w:val="en-US"/>
              </w:rPr>
              <w:t>Project A</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proofErr w:type="spellStart"/>
            <w:r w:rsidRPr="0006506B">
              <w:rPr>
                <w:rFonts w:ascii="Calibri" w:eastAsia="Times New Roman" w:hAnsi="Calibri" w:cs="Calibri"/>
                <w:color w:val="000000"/>
                <w:sz w:val="22"/>
                <w:lang w:val="en-US"/>
              </w:rPr>
              <w:t>depn</w:t>
            </w:r>
            <w:proofErr w:type="spellEnd"/>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10.50%</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year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1</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2</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4</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cash flow</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-85</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10</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20</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40</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55</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PV</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$9.05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$16.38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$29.65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$36.89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NPV</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FF0000"/>
                <w:sz w:val="22"/>
                <w:lang w:val="en-US"/>
              </w:rPr>
              <w:t>($16.68)</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4800" w:type="dxa"/>
            <w:gridSpan w:val="5"/>
            <w:tcBorders>
              <w:top w:val="single" w:sz="4" w:space="0" w:color="auto"/>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center"/>
              <w:rPr>
                <w:rFonts w:ascii="Calibri" w:eastAsia="Times New Roman" w:hAnsi="Calibri" w:cs="Calibri"/>
                <w:b/>
                <w:bCs/>
                <w:color w:val="000000"/>
                <w:sz w:val="22"/>
                <w:lang w:val="en-US"/>
              </w:rPr>
            </w:pPr>
            <w:r w:rsidRPr="0006506B">
              <w:rPr>
                <w:rFonts w:ascii="Calibri" w:eastAsia="Times New Roman" w:hAnsi="Calibri" w:cs="Calibri"/>
                <w:b/>
                <w:bCs/>
                <w:color w:val="000000"/>
                <w:sz w:val="22"/>
                <w:lang w:val="en-US"/>
              </w:rPr>
              <w:t>Project B</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year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1</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2</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4</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cash flow</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-90</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25</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30</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35</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40</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PV</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$22.62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$24.57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$25.94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xml:space="preserve">$26.83 </w:t>
            </w:r>
          </w:p>
        </w:tc>
      </w:tr>
      <w:tr w:rsidR="0006506B" w:rsidRPr="0006506B" w:rsidTr="0006506B">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NPV</w:t>
            </w:r>
          </w:p>
        </w:tc>
        <w:tc>
          <w:tcPr>
            <w:tcW w:w="1083"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right"/>
              <w:rPr>
                <w:rFonts w:ascii="Calibri" w:eastAsia="Times New Roman" w:hAnsi="Calibri" w:cs="Calibri"/>
                <w:color w:val="000000"/>
                <w:sz w:val="22"/>
                <w:lang w:val="en-US"/>
              </w:rPr>
            </w:pPr>
            <w:r w:rsidRPr="0006506B">
              <w:rPr>
                <w:rFonts w:ascii="Calibri" w:eastAsia="Times New Roman" w:hAnsi="Calibri" w:cs="Calibri"/>
                <w:color w:val="FF0000"/>
                <w:sz w:val="22"/>
                <w:lang w:val="en-US"/>
              </w:rPr>
              <w:t>($12.18)</w:t>
            </w:r>
          </w:p>
        </w:tc>
        <w:tc>
          <w:tcPr>
            <w:tcW w:w="961"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898"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rsidR="0006506B" w:rsidRPr="0006506B" w:rsidRDefault="0006506B" w:rsidP="0006506B">
            <w:pPr>
              <w:keepNext/>
              <w:spacing w:after="0" w:line="240" w:lineRule="auto"/>
              <w:jc w:val="left"/>
              <w:rPr>
                <w:rFonts w:ascii="Calibri" w:eastAsia="Times New Roman" w:hAnsi="Calibri" w:cs="Calibri"/>
                <w:color w:val="000000"/>
                <w:sz w:val="22"/>
                <w:lang w:val="en-US"/>
              </w:rPr>
            </w:pPr>
            <w:r w:rsidRPr="0006506B">
              <w:rPr>
                <w:rFonts w:ascii="Calibri" w:eastAsia="Times New Roman" w:hAnsi="Calibri" w:cs="Calibri"/>
                <w:color w:val="000000"/>
                <w:sz w:val="22"/>
                <w:lang w:val="en-US"/>
              </w:rPr>
              <w:t> </w:t>
            </w:r>
          </w:p>
        </w:tc>
      </w:tr>
    </w:tbl>
    <w:p w:rsidR="0006506B" w:rsidRDefault="0006506B" w:rsidP="0006506B">
      <w:pPr>
        <w:pStyle w:val="Caption"/>
        <w:jc w:val="center"/>
        <w:rPr>
          <w:b/>
          <w:color w:val="auto"/>
        </w:rPr>
      </w:pPr>
      <w:r w:rsidRPr="0006506B">
        <w:rPr>
          <w:b/>
          <w:color w:val="auto"/>
        </w:rPr>
        <w:t xml:space="preserve">Table </w:t>
      </w:r>
      <w:r w:rsidRPr="0006506B">
        <w:rPr>
          <w:b/>
          <w:color w:val="auto"/>
        </w:rPr>
        <w:fldChar w:fldCharType="begin"/>
      </w:r>
      <w:r w:rsidRPr="0006506B">
        <w:rPr>
          <w:b/>
          <w:color w:val="auto"/>
        </w:rPr>
        <w:instrText xml:space="preserve"> SEQ Table \* ARABIC </w:instrText>
      </w:r>
      <w:r w:rsidRPr="0006506B">
        <w:rPr>
          <w:b/>
          <w:color w:val="auto"/>
        </w:rPr>
        <w:fldChar w:fldCharType="separate"/>
      </w:r>
      <w:r w:rsidRPr="0006506B">
        <w:rPr>
          <w:b/>
          <w:noProof/>
          <w:color w:val="auto"/>
        </w:rPr>
        <w:t>7</w:t>
      </w:r>
      <w:r w:rsidRPr="0006506B">
        <w:rPr>
          <w:b/>
          <w:color w:val="auto"/>
        </w:rPr>
        <w:fldChar w:fldCharType="end"/>
      </w:r>
      <w:r w:rsidRPr="0006506B">
        <w:rPr>
          <w:b/>
          <w:color w:val="auto"/>
        </w:rPr>
        <w:t>: NPV</w:t>
      </w:r>
    </w:p>
    <w:p w:rsidR="0006506B" w:rsidRDefault="0006506B" w:rsidP="0006506B">
      <w:r>
        <w:t xml:space="preserve">The NPV calculation is suggesting that both the projects are not worth to be invested as the NPV are calculated as negative. </w:t>
      </w:r>
    </w:p>
    <w:p w:rsidR="00151B87" w:rsidRDefault="00151B87" w:rsidP="00A83502">
      <w:pPr>
        <w:pStyle w:val="Heading2"/>
      </w:pPr>
      <w:bookmarkStart w:id="6" w:name="_Toc61466767"/>
      <w:r w:rsidRPr="00151B87">
        <w:t>Section 2</w:t>
      </w:r>
      <w:bookmarkEnd w:id="6"/>
    </w:p>
    <w:p w:rsidR="001647B9" w:rsidRDefault="00532B27" w:rsidP="00532B27">
      <w:r>
        <w:t>The</w:t>
      </w:r>
      <w:r w:rsidR="003A3D52">
        <w:t xml:space="preserve"> advantages and shortcomings of the PBP, ARR and NPV techniques </w:t>
      </w:r>
      <w:r>
        <w:t xml:space="preserve">are important to be understood when there is need for making financial management and financial analysis of different investments proposals. These are the major accounting calculations used for </w:t>
      </w:r>
      <w:r>
        <w:lastRenderedPageBreak/>
        <w:t xml:space="preserve">determining which investments proposals should be considered for making investments under different circumstances. </w:t>
      </w:r>
      <w:r w:rsidR="008E28C8">
        <w:t xml:space="preserve"> </w:t>
      </w:r>
    </w:p>
    <w:p w:rsidR="00151B87" w:rsidRDefault="008E28C8" w:rsidP="00532B27">
      <w:r>
        <w:t>In accordance with the author of the study (</w:t>
      </w:r>
      <w:proofErr w:type="spellStart"/>
      <w:r w:rsidR="001647B9">
        <w:rPr>
          <w:rFonts w:eastAsia="Times New Roman" w:cs="Times New Roman"/>
          <w:color w:val="auto"/>
          <w:szCs w:val="24"/>
          <w:lang w:val="en-US"/>
        </w:rPr>
        <w:t>Benamraoui</w:t>
      </w:r>
      <w:proofErr w:type="spellEnd"/>
      <w:r w:rsidR="001647B9">
        <w:rPr>
          <w:rFonts w:eastAsia="Times New Roman" w:cs="Times New Roman"/>
          <w:color w:val="auto"/>
          <w:szCs w:val="24"/>
          <w:lang w:val="en-US"/>
        </w:rPr>
        <w:t xml:space="preserve">, </w:t>
      </w:r>
      <w:proofErr w:type="spellStart"/>
      <w:r w:rsidRPr="005A72E9">
        <w:rPr>
          <w:rFonts w:eastAsia="Times New Roman" w:cs="Times New Roman"/>
          <w:color w:val="auto"/>
          <w:szCs w:val="24"/>
          <w:lang w:val="en-US"/>
        </w:rPr>
        <w:t>Boojihawo</w:t>
      </w:r>
      <w:r w:rsidR="001647B9">
        <w:rPr>
          <w:rFonts w:eastAsia="Times New Roman" w:cs="Times New Roman"/>
          <w:color w:val="auto"/>
          <w:szCs w:val="24"/>
          <w:lang w:val="en-US"/>
        </w:rPr>
        <w:t>n</w:t>
      </w:r>
      <w:proofErr w:type="spellEnd"/>
      <w:r w:rsidR="001647B9">
        <w:rPr>
          <w:rFonts w:eastAsia="Times New Roman" w:cs="Times New Roman"/>
          <w:color w:val="auto"/>
          <w:szCs w:val="24"/>
          <w:lang w:val="en-US"/>
        </w:rPr>
        <w:t xml:space="preserve"> </w:t>
      </w:r>
      <w:r>
        <w:rPr>
          <w:rFonts w:eastAsia="Times New Roman" w:cs="Times New Roman"/>
          <w:color w:val="auto"/>
          <w:szCs w:val="24"/>
          <w:lang w:val="en-US"/>
        </w:rPr>
        <w:t xml:space="preserve">and </w:t>
      </w:r>
      <w:proofErr w:type="spellStart"/>
      <w:r>
        <w:rPr>
          <w:rFonts w:eastAsia="Times New Roman" w:cs="Times New Roman"/>
          <w:color w:val="auto"/>
          <w:szCs w:val="24"/>
          <w:lang w:val="en-US"/>
        </w:rPr>
        <w:t>Madichie</w:t>
      </w:r>
      <w:proofErr w:type="spellEnd"/>
      <w:r>
        <w:rPr>
          <w:rFonts w:eastAsia="Times New Roman" w:cs="Times New Roman"/>
          <w:color w:val="auto"/>
          <w:szCs w:val="24"/>
          <w:lang w:val="en-US"/>
        </w:rPr>
        <w:t xml:space="preserve"> </w:t>
      </w:r>
      <w:r w:rsidRPr="005A72E9">
        <w:rPr>
          <w:rFonts w:eastAsia="Times New Roman" w:cs="Times New Roman"/>
          <w:color w:val="auto"/>
          <w:szCs w:val="24"/>
          <w:lang w:val="en-US"/>
        </w:rPr>
        <w:t>2017</w:t>
      </w:r>
      <w:r>
        <w:rPr>
          <w:rFonts w:eastAsia="Times New Roman" w:cs="Times New Roman"/>
          <w:color w:val="auto"/>
          <w:szCs w:val="24"/>
          <w:lang w:val="en-US"/>
        </w:rPr>
        <w:t>)</w:t>
      </w:r>
      <w:r w:rsidR="001647B9">
        <w:rPr>
          <w:rFonts w:eastAsia="Times New Roman" w:cs="Times New Roman"/>
          <w:color w:val="auto"/>
          <w:szCs w:val="24"/>
          <w:lang w:val="en-US"/>
        </w:rPr>
        <w:t>, the accounting methods such as NPV and IRR cannot provide overall financial analysis if other methods such as payback period are not utilized equally. The author explains that the shareholders get to know that the projects, on which they are making investment, will generate return</w:t>
      </w:r>
      <w:r w:rsidR="00DB7EFB">
        <w:rPr>
          <w:rFonts w:eastAsia="Times New Roman" w:cs="Times New Roman"/>
          <w:color w:val="auto"/>
          <w:szCs w:val="24"/>
          <w:lang w:val="en-US"/>
        </w:rPr>
        <w:t xml:space="preserve">s for them. The author explains that the payback period are important to be considered while investing in a project because it will help the shareholders to know, how </w:t>
      </w:r>
      <w:r w:rsidR="00DB7EFB">
        <w:t>much is received in the form of excess wealth by them</w:t>
      </w:r>
      <w:r w:rsidR="00A93D8C">
        <w:t xml:space="preserve"> </w:t>
      </w:r>
      <w:r w:rsidR="00DB7EFB">
        <w:t>and, when does that excess wealth starts to accrue</w:t>
      </w:r>
      <w:r w:rsidR="00442702">
        <w:t xml:space="preserve"> (</w:t>
      </w:r>
      <w:proofErr w:type="spellStart"/>
      <w:r w:rsidR="00442702">
        <w:rPr>
          <w:lang w:val="en-US"/>
        </w:rPr>
        <w:t>Rahmawati</w:t>
      </w:r>
      <w:proofErr w:type="spellEnd"/>
      <w:r w:rsidR="00442702">
        <w:rPr>
          <w:lang w:val="en-US"/>
        </w:rPr>
        <w:t xml:space="preserve"> </w:t>
      </w:r>
      <w:r w:rsidR="00442702" w:rsidRPr="001A0C52">
        <w:rPr>
          <w:lang w:val="en-US"/>
        </w:rPr>
        <w:t>2020</w:t>
      </w:r>
      <w:r w:rsidR="00442702">
        <w:rPr>
          <w:lang w:val="en-US"/>
        </w:rPr>
        <w:t>)</w:t>
      </w:r>
      <w:r w:rsidR="00DB7EFB">
        <w:t xml:space="preserve">. </w:t>
      </w:r>
    </w:p>
    <w:p w:rsidR="00F5286C" w:rsidRDefault="00F5286C" w:rsidP="00F5286C">
      <w:pPr>
        <w:rPr>
          <w:color w:val="auto"/>
        </w:rPr>
      </w:pPr>
      <w:r w:rsidRPr="00F5286C">
        <w:t>The</w:t>
      </w:r>
      <w:r w:rsidRPr="00F5286C">
        <w:rPr>
          <w:rFonts w:ascii="Arial" w:hAnsi="Arial" w:cs="Arial"/>
          <w:color w:val="auto"/>
          <w:sz w:val="28"/>
          <w:szCs w:val="28"/>
        </w:rPr>
        <w:t xml:space="preserve"> </w:t>
      </w:r>
      <w:hyperlink r:id="rId17" w:history="1">
        <w:r w:rsidRPr="00F5286C">
          <w:rPr>
            <w:rStyle w:val="Hyperlink"/>
            <w:color w:val="auto"/>
            <w:u w:val="none"/>
          </w:rPr>
          <w:t>payback period</w:t>
        </w:r>
      </w:hyperlink>
      <w:r w:rsidRPr="00F5286C">
        <w:rPr>
          <w:color w:val="auto"/>
        </w:rPr>
        <w:t xml:space="preserve"> is</w:t>
      </w:r>
      <w:r>
        <w:rPr>
          <w:color w:val="auto"/>
        </w:rPr>
        <w:t xml:space="preserve"> explained as</w:t>
      </w:r>
      <w:r w:rsidRPr="00F5286C">
        <w:rPr>
          <w:color w:val="auto"/>
        </w:rPr>
        <w:t xml:space="preserve"> an evaluation method </w:t>
      </w:r>
      <w:r w:rsidR="00F85CE4">
        <w:rPr>
          <w:color w:val="auto"/>
        </w:rPr>
        <w:t xml:space="preserve">for determining </w:t>
      </w:r>
      <w:r w:rsidRPr="00F5286C">
        <w:rPr>
          <w:color w:val="auto"/>
        </w:rPr>
        <w:t xml:space="preserve">the time required for </w:t>
      </w:r>
      <w:r w:rsidR="00F85CE4">
        <w:rPr>
          <w:color w:val="auto"/>
        </w:rPr>
        <w:t xml:space="preserve">generating </w:t>
      </w:r>
      <w:hyperlink r:id="rId18" w:history="1">
        <w:r w:rsidRPr="00F5286C">
          <w:rPr>
            <w:rStyle w:val="Hyperlink"/>
            <w:color w:val="auto"/>
            <w:u w:val="none"/>
          </w:rPr>
          <w:t>cash flows</w:t>
        </w:r>
      </w:hyperlink>
      <w:r w:rsidRPr="00F5286C">
        <w:rPr>
          <w:color w:val="auto"/>
        </w:rPr>
        <w:t xml:space="preserve"> from a project </w:t>
      </w:r>
      <w:r w:rsidR="00F85CE4">
        <w:rPr>
          <w:color w:val="auto"/>
        </w:rPr>
        <w:t xml:space="preserve">within which it can pay back the initial amount invested in the project. Payback period is considered good and advantageous for the small scale companies which make small investments and does not require complex accounting calculations for their investments. </w:t>
      </w:r>
      <w:r w:rsidR="00532B27">
        <w:rPr>
          <w:color w:val="auto"/>
        </w:rPr>
        <w:t>This</w:t>
      </w:r>
      <w:r w:rsidR="00F85CE4">
        <w:rPr>
          <w:color w:val="auto"/>
        </w:rPr>
        <w:t xml:space="preserve"> is one of the reason that in complex circumstances. The payba</w:t>
      </w:r>
      <w:r w:rsidR="00532B27">
        <w:rPr>
          <w:color w:val="auto"/>
        </w:rPr>
        <w:t>c</w:t>
      </w:r>
      <w:r w:rsidR="00F85CE4">
        <w:rPr>
          <w:color w:val="auto"/>
        </w:rPr>
        <w:t xml:space="preserve">k period is considered to </w:t>
      </w:r>
      <w:r w:rsidR="005A2D6A">
        <w:rPr>
          <w:color w:val="auto"/>
        </w:rPr>
        <w:t xml:space="preserve">be </w:t>
      </w:r>
      <w:r w:rsidR="00F85CE4">
        <w:rPr>
          <w:color w:val="auto"/>
        </w:rPr>
        <w:t xml:space="preserve">of little significance. </w:t>
      </w:r>
      <w:r w:rsidR="005A2D6A">
        <w:rPr>
          <w:color w:val="auto"/>
        </w:rPr>
        <w:t xml:space="preserve">The </w:t>
      </w:r>
      <w:proofErr w:type="gramStart"/>
      <w:r w:rsidR="005A2D6A">
        <w:rPr>
          <w:color w:val="auto"/>
        </w:rPr>
        <w:t>advan</w:t>
      </w:r>
      <w:bookmarkStart w:id="7" w:name="_GoBack"/>
      <w:bookmarkEnd w:id="7"/>
      <w:r w:rsidR="005A2D6A">
        <w:rPr>
          <w:color w:val="auto"/>
        </w:rPr>
        <w:t>tages</w:t>
      </w:r>
      <w:proofErr w:type="gramEnd"/>
      <w:r w:rsidR="005A2D6A">
        <w:rPr>
          <w:color w:val="auto"/>
        </w:rPr>
        <w:t xml:space="preserve"> of the payback period </w:t>
      </w:r>
      <w:r w:rsidR="003C7BA0">
        <w:rPr>
          <w:color w:val="auto"/>
        </w:rPr>
        <w:t xml:space="preserve">which is commonly analysed is the simplicity of the method. It is very easy to understand and calculate. It is useful in calculating the relative risk of different projects by calculating the time period under which investments which are done initially in a project is recovered. </w:t>
      </w:r>
      <w:r w:rsidR="001647B9">
        <w:rPr>
          <w:color w:val="auto"/>
        </w:rPr>
        <w:t>The</w:t>
      </w:r>
      <w:r w:rsidR="00070E42">
        <w:rPr>
          <w:color w:val="auto"/>
        </w:rPr>
        <w:t xml:space="preserve"> </w:t>
      </w:r>
      <w:proofErr w:type="gramStart"/>
      <w:r w:rsidR="00070E42">
        <w:rPr>
          <w:color w:val="auto"/>
        </w:rPr>
        <w:t>method do</w:t>
      </w:r>
      <w:proofErr w:type="gramEnd"/>
      <w:r w:rsidR="00070E42">
        <w:rPr>
          <w:color w:val="auto"/>
        </w:rPr>
        <w:t xml:space="preserve"> not consider the cash </w:t>
      </w:r>
      <w:r w:rsidR="00FD7924">
        <w:rPr>
          <w:color w:val="auto"/>
        </w:rPr>
        <w:t>inflows</w:t>
      </w:r>
      <w:r w:rsidR="00070E42">
        <w:rPr>
          <w:color w:val="auto"/>
        </w:rPr>
        <w:t xml:space="preserve"> which arise after the </w:t>
      </w:r>
      <w:r w:rsidR="00FD7924">
        <w:rPr>
          <w:color w:val="auto"/>
        </w:rPr>
        <w:t>break-even</w:t>
      </w:r>
      <w:r w:rsidR="00070E42">
        <w:rPr>
          <w:color w:val="auto"/>
        </w:rPr>
        <w:t xml:space="preserve"> point and this is one of the major disadvantages of the payback period method</w:t>
      </w:r>
      <w:r w:rsidR="004D0C23">
        <w:rPr>
          <w:color w:val="auto"/>
        </w:rPr>
        <w:t xml:space="preserve"> (</w:t>
      </w:r>
      <w:r w:rsidR="004D0C23" w:rsidRPr="001A0C52">
        <w:rPr>
          <w:lang w:val="en-US"/>
        </w:rPr>
        <w:t>Zorn</w:t>
      </w:r>
      <w:r w:rsidR="004D0C23">
        <w:rPr>
          <w:lang w:val="en-US"/>
        </w:rPr>
        <w:t xml:space="preserve"> </w:t>
      </w:r>
      <w:r w:rsidR="004D0C23" w:rsidRPr="004D0C23">
        <w:rPr>
          <w:i/>
          <w:lang w:val="en-US"/>
        </w:rPr>
        <w:t>et al</w:t>
      </w:r>
      <w:r w:rsidR="004D0C23">
        <w:rPr>
          <w:lang w:val="en-US"/>
        </w:rPr>
        <w:t>. 2018)</w:t>
      </w:r>
      <w:r w:rsidR="00070E42">
        <w:rPr>
          <w:color w:val="auto"/>
        </w:rPr>
        <w:t>.</w:t>
      </w:r>
      <w:r w:rsidR="001647B9">
        <w:rPr>
          <w:color w:val="auto"/>
        </w:rPr>
        <w:t xml:space="preserve"> </w:t>
      </w:r>
    </w:p>
    <w:p w:rsidR="00A52757" w:rsidRDefault="00A52757" w:rsidP="00A52757">
      <w:pPr>
        <w:rPr>
          <w:rFonts w:eastAsia="Times New Roman" w:cs="Times New Roman"/>
          <w:color w:val="auto"/>
          <w:szCs w:val="24"/>
          <w:lang w:val="en-US"/>
        </w:rPr>
      </w:pPr>
      <w:r>
        <w:t xml:space="preserve">The other important method which is being considered important for financial analysis of capital investments is the accounting method of calculating Net Present Value.  NPV contemplates uses </w:t>
      </w:r>
      <w:r>
        <w:lastRenderedPageBreak/>
        <w:t xml:space="preserve">of time value of money. It also helps the management of the </w:t>
      </w:r>
      <w:r w:rsidR="00AA2D8B">
        <w:t>company for</w:t>
      </w:r>
      <w:r>
        <w:t xml:space="preserve"> making better decision which are of strategically importance.  One of the disadvantages of the net present value </w:t>
      </w:r>
      <w:r w:rsidR="00AA2D8B">
        <w:t>is that</w:t>
      </w:r>
      <w:r>
        <w:t xml:space="preserve"> it does not take into consideration of the hidden cost of the project and solely consider the </w:t>
      </w:r>
      <w:r w:rsidR="00AA2D8B">
        <w:t>initial</w:t>
      </w:r>
      <w:r>
        <w:t xml:space="preserve"> investments. </w:t>
      </w:r>
      <w:r w:rsidR="00A83502">
        <w:t>The</w:t>
      </w:r>
      <w:r w:rsidR="00AA2D8B">
        <w:t xml:space="preserve"> NPV method </w:t>
      </w:r>
      <w:r>
        <w:t>cannot be used for compari</w:t>
      </w:r>
      <w:r w:rsidR="00AA2D8B">
        <w:t xml:space="preserve">ng the different sizes projects due to this limitation of not considering hidden cost of the project which is actually incurred. </w:t>
      </w:r>
      <w:r w:rsidR="00A83502">
        <w:t xml:space="preserve">The other disadvantage for the </w:t>
      </w:r>
      <w:r w:rsidR="00EE7CAB">
        <w:t xml:space="preserve">NPV method is that there is still not a recognised </w:t>
      </w:r>
      <w:r w:rsidR="009A4759">
        <w:t xml:space="preserve">guideline for calculating the rate of return which is required for using this method. </w:t>
      </w:r>
      <w:r w:rsidR="005824CB">
        <w:t>In accordance with the study (</w:t>
      </w:r>
      <w:proofErr w:type="spellStart"/>
      <w:r w:rsidR="005824CB">
        <w:rPr>
          <w:rFonts w:eastAsia="Times New Roman" w:cs="Times New Roman"/>
          <w:color w:val="auto"/>
          <w:szCs w:val="24"/>
          <w:lang w:val="en-US"/>
        </w:rPr>
        <w:t>Kashyap</w:t>
      </w:r>
      <w:proofErr w:type="spellEnd"/>
      <w:r w:rsidR="005824CB" w:rsidRPr="00A67754">
        <w:rPr>
          <w:rFonts w:eastAsia="Times New Roman" w:cs="Times New Roman"/>
          <w:color w:val="auto"/>
          <w:szCs w:val="24"/>
          <w:lang w:val="en-US"/>
        </w:rPr>
        <w:t xml:space="preserve"> 2019</w:t>
      </w:r>
      <w:r w:rsidR="005824CB">
        <w:rPr>
          <w:rFonts w:eastAsia="Times New Roman" w:cs="Times New Roman"/>
          <w:color w:val="auto"/>
          <w:szCs w:val="24"/>
          <w:lang w:val="en-US"/>
        </w:rPr>
        <w:t xml:space="preserve">), </w:t>
      </w:r>
      <w:r w:rsidR="00ED1C7E">
        <w:rPr>
          <w:rFonts w:eastAsia="Times New Roman" w:cs="Times New Roman"/>
          <w:color w:val="auto"/>
          <w:szCs w:val="24"/>
          <w:lang w:val="en-US"/>
        </w:rPr>
        <w:t xml:space="preserve">the author explains that NPV is one the method used for financial analysis. The method has interconnection with other methods of financial analysis. The author provides examples of present value calculation methods and future value calculation methods for showing how they are used in the method of NPV. The author focuses on showing importance of NPV by considering its contribution by including time value. </w:t>
      </w:r>
    </w:p>
    <w:p w:rsidR="005E0D2C" w:rsidRDefault="005E0D2C" w:rsidP="00A52757">
      <w:r>
        <w:t xml:space="preserve">The another financial techniques used is the calculation of ARR. ARR stands for Average rate of return </w:t>
      </w:r>
      <w:r w:rsidR="00603F9A">
        <w:t xml:space="preserve">and one of its importance is its simple calculation. It helps in understanding the concept of net earnings and entire life of the project. It is considered important for appraising any project. The shareholders are more concerned about this method as it helps them to know about the rate of return that they can expect form the project. </w:t>
      </w:r>
      <w:r w:rsidR="00C5791A">
        <w:t xml:space="preserve">However, it also has some demerits. For example- when the ROI is being used </w:t>
      </w:r>
      <w:r w:rsidR="002F1185">
        <w:t>from</w:t>
      </w:r>
      <w:r w:rsidR="00C5791A">
        <w:t xml:space="preserve"> analysing the investment decision, the results are expected to be </w:t>
      </w:r>
      <w:r w:rsidR="002F1185">
        <w:t>different</w:t>
      </w:r>
      <w:r w:rsidR="00C5791A">
        <w:t xml:space="preserve"> when ARR is being used for the same purpose. </w:t>
      </w:r>
      <w:r w:rsidR="00073687">
        <w:t xml:space="preserve">ARR does not consider the external factors while appraising the </w:t>
      </w:r>
      <w:proofErr w:type="gramStart"/>
      <w:r w:rsidR="00073687">
        <w:t>proposals which tends</w:t>
      </w:r>
      <w:proofErr w:type="gramEnd"/>
      <w:r w:rsidR="00073687">
        <w:t xml:space="preserve"> to affect the profitability of the project</w:t>
      </w:r>
      <w:r w:rsidR="00296C17">
        <w:t xml:space="preserve"> (</w:t>
      </w:r>
      <w:proofErr w:type="spellStart"/>
      <w:r w:rsidR="00296C17" w:rsidRPr="001A0C52">
        <w:rPr>
          <w:lang w:val="en-US"/>
        </w:rPr>
        <w:t>Paynte</w:t>
      </w:r>
      <w:r w:rsidR="00296C17">
        <w:rPr>
          <w:lang w:val="en-US"/>
        </w:rPr>
        <w:t>r</w:t>
      </w:r>
      <w:proofErr w:type="spellEnd"/>
      <w:r w:rsidR="00296C17">
        <w:rPr>
          <w:lang w:val="en-US"/>
        </w:rPr>
        <w:t xml:space="preserve">, </w:t>
      </w:r>
      <w:proofErr w:type="spellStart"/>
      <w:r w:rsidR="00296C17">
        <w:rPr>
          <w:lang w:val="en-US"/>
        </w:rPr>
        <w:t>Halabi</w:t>
      </w:r>
      <w:proofErr w:type="spellEnd"/>
      <w:r w:rsidR="00296C17">
        <w:rPr>
          <w:lang w:val="en-US"/>
        </w:rPr>
        <w:t xml:space="preserve"> and Tuck </w:t>
      </w:r>
      <w:r w:rsidR="00296C17" w:rsidRPr="001A0C52">
        <w:rPr>
          <w:lang w:val="en-US"/>
        </w:rPr>
        <w:t>2019</w:t>
      </w:r>
      <w:r w:rsidR="00296C17">
        <w:rPr>
          <w:lang w:val="en-US"/>
        </w:rPr>
        <w:t>)</w:t>
      </w:r>
      <w:r w:rsidR="00073687">
        <w:t>.</w:t>
      </w:r>
    </w:p>
    <w:p w:rsidR="00A52757" w:rsidRDefault="00A52757" w:rsidP="00F5286C">
      <w:pPr>
        <w:rPr>
          <w:b/>
          <w:color w:val="auto"/>
        </w:rPr>
      </w:pPr>
    </w:p>
    <w:p w:rsidR="001A0C52" w:rsidRDefault="001A0C52" w:rsidP="00F5286C">
      <w:pPr>
        <w:rPr>
          <w:b/>
          <w:color w:val="auto"/>
        </w:rPr>
      </w:pPr>
    </w:p>
    <w:p w:rsidR="001A0C52" w:rsidRDefault="0034052F" w:rsidP="001A0C52">
      <w:pPr>
        <w:pStyle w:val="Heading1"/>
      </w:pPr>
      <w:bookmarkStart w:id="8" w:name="_Toc61466768"/>
      <w:r>
        <w:lastRenderedPageBreak/>
        <w:t>R</w:t>
      </w:r>
      <w:r w:rsidR="001A0C52">
        <w:t>eferences</w:t>
      </w:r>
      <w:bookmarkEnd w:id="8"/>
    </w:p>
    <w:p w:rsidR="0052487B" w:rsidRPr="005A72E9" w:rsidRDefault="0052487B" w:rsidP="001A0C52">
      <w:pPr>
        <w:rPr>
          <w:lang w:val="en-US"/>
        </w:rPr>
      </w:pPr>
      <w:proofErr w:type="spellStart"/>
      <w:r w:rsidRPr="005A72E9">
        <w:rPr>
          <w:lang w:val="en-US"/>
        </w:rPr>
        <w:t>Benamraoui</w:t>
      </w:r>
      <w:proofErr w:type="spellEnd"/>
      <w:r w:rsidRPr="005A72E9">
        <w:rPr>
          <w:lang w:val="en-US"/>
        </w:rPr>
        <w:t xml:space="preserve">, A., </w:t>
      </w:r>
      <w:proofErr w:type="spellStart"/>
      <w:r w:rsidRPr="005A72E9">
        <w:rPr>
          <w:lang w:val="en-US"/>
        </w:rPr>
        <w:t>Jory</w:t>
      </w:r>
      <w:proofErr w:type="spellEnd"/>
      <w:r w:rsidRPr="005A72E9">
        <w:rPr>
          <w:lang w:val="en-US"/>
        </w:rPr>
        <w:t xml:space="preserve">, S.R., </w:t>
      </w:r>
      <w:proofErr w:type="spellStart"/>
      <w:r w:rsidRPr="005A72E9">
        <w:rPr>
          <w:lang w:val="en-US"/>
        </w:rPr>
        <w:t>Boojihawon</w:t>
      </w:r>
      <w:proofErr w:type="spellEnd"/>
      <w:r w:rsidRPr="005A72E9">
        <w:rPr>
          <w:lang w:val="en-US"/>
        </w:rPr>
        <w:t xml:space="preserve">, D.R. and </w:t>
      </w:r>
      <w:proofErr w:type="spellStart"/>
      <w:r w:rsidRPr="005A72E9">
        <w:rPr>
          <w:lang w:val="en-US"/>
        </w:rPr>
        <w:t>Madichie</w:t>
      </w:r>
      <w:proofErr w:type="spellEnd"/>
      <w:r w:rsidRPr="005A72E9">
        <w:rPr>
          <w:lang w:val="en-US"/>
        </w:rPr>
        <w:t xml:space="preserve">, N.O., 2017. Net present value analysis and the wealth creation process: a case illustration. </w:t>
      </w:r>
      <w:proofErr w:type="gramStart"/>
      <w:r w:rsidRPr="005A72E9">
        <w:rPr>
          <w:i/>
          <w:iCs/>
          <w:lang w:val="en-US"/>
        </w:rPr>
        <w:t>The Accounting Educators' Journal</w:t>
      </w:r>
      <w:r w:rsidRPr="005A72E9">
        <w:rPr>
          <w:lang w:val="en-US"/>
        </w:rPr>
        <w:t xml:space="preserve">, </w:t>
      </w:r>
      <w:r w:rsidRPr="005A72E9">
        <w:rPr>
          <w:i/>
          <w:iCs/>
          <w:lang w:val="en-US"/>
        </w:rPr>
        <w:t>26</w:t>
      </w:r>
      <w:r w:rsidRPr="005A72E9">
        <w:rPr>
          <w:lang w:val="en-US"/>
        </w:rPr>
        <w:t>.</w:t>
      </w:r>
      <w:proofErr w:type="gramEnd"/>
    </w:p>
    <w:p w:rsidR="0052487B" w:rsidRDefault="004B4B25" w:rsidP="001A0C52">
      <w:pPr>
        <w:rPr>
          <w:lang w:val="en-US"/>
        </w:rPr>
      </w:pPr>
      <w:hyperlink r:id="rId19" w:history="1">
        <w:r w:rsidR="0052487B" w:rsidRPr="00341F38">
          <w:rPr>
            <w:rStyle w:val="Hyperlink"/>
            <w:lang w:val="en-US"/>
          </w:rPr>
          <w:t>https://www.bhp.com/investor-centre/annual-report-2019/</w:t>
        </w:r>
      </w:hyperlink>
    </w:p>
    <w:p w:rsidR="0052487B" w:rsidRDefault="0052487B" w:rsidP="001A0C52">
      <w:pPr>
        <w:rPr>
          <w:lang w:val="en-US"/>
        </w:rPr>
      </w:pPr>
      <w:r w:rsidRPr="001A0C52">
        <w:rPr>
          <w:lang w:val="en-US"/>
        </w:rPr>
        <w:t>https://www.riotinto.com/en/invest/reports/annual-report</w:t>
      </w:r>
    </w:p>
    <w:p w:rsidR="0052487B" w:rsidRPr="001A0C52" w:rsidRDefault="0052487B" w:rsidP="001A0C52">
      <w:pPr>
        <w:rPr>
          <w:lang w:val="en-US"/>
        </w:rPr>
      </w:pPr>
      <w:proofErr w:type="gramStart"/>
      <w:r w:rsidRPr="001A0C52">
        <w:rPr>
          <w:lang w:val="en-US"/>
        </w:rPr>
        <w:t xml:space="preserve">Husain, T. and </w:t>
      </w:r>
      <w:proofErr w:type="spellStart"/>
      <w:r w:rsidRPr="001A0C52">
        <w:rPr>
          <w:lang w:val="en-US"/>
        </w:rPr>
        <w:t>Sunardi</w:t>
      </w:r>
      <w:proofErr w:type="spellEnd"/>
      <w:r w:rsidRPr="001A0C52">
        <w:rPr>
          <w:lang w:val="en-US"/>
        </w:rPr>
        <w:t>, N., 2020.</w:t>
      </w:r>
      <w:proofErr w:type="gramEnd"/>
      <w:r w:rsidRPr="001A0C52">
        <w:rPr>
          <w:lang w:val="en-US"/>
        </w:rPr>
        <w:t xml:space="preserve"> </w:t>
      </w:r>
      <w:proofErr w:type="gramStart"/>
      <w:r w:rsidRPr="001A0C52">
        <w:rPr>
          <w:lang w:val="en-US"/>
        </w:rPr>
        <w:t>Firm's Value Prediction Based on Profitability Ratios and Dividend Policy.</w:t>
      </w:r>
      <w:proofErr w:type="gramEnd"/>
      <w:r w:rsidRPr="001A0C52">
        <w:rPr>
          <w:lang w:val="en-US"/>
        </w:rPr>
        <w:t xml:space="preserve"> </w:t>
      </w:r>
      <w:proofErr w:type="gramStart"/>
      <w:r w:rsidRPr="001A0C52">
        <w:rPr>
          <w:i/>
          <w:iCs/>
          <w:lang w:val="en-US"/>
        </w:rPr>
        <w:t>Finance &amp; Economics Review</w:t>
      </w:r>
      <w:r w:rsidRPr="001A0C52">
        <w:rPr>
          <w:lang w:val="en-US"/>
        </w:rPr>
        <w:t xml:space="preserve">, </w:t>
      </w:r>
      <w:r w:rsidRPr="001A0C52">
        <w:rPr>
          <w:i/>
          <w:iCs/>
          <w:lang w:val="en-US"/>
        </w:rPr>
        <w:t>2</w:t>
      </w:r>
      <w:r w:rsidRPr="001A0C52">
        <w:rPr>
          <w:lang w:val="en-US"/>
        </w:rPr>
        <w:t>(2), pp.13-26.</w:t>
      </w:r>
      <w:proofErr w:type="gramEnd"/>
    </w:p>
    <w:p w:rsidR="0052487B" w:rsidRPr="00A67754" w:rsidRDefault="0052487B" w:rsidP="001A0C52">
      <w:pPr>
        <w:rPr>
          <w:lang w:val="en-US"/>
        </w:rPr>
      </w:pPr>
      <w:proofErr w:type="spellStart"/>
      <w:r w:rsidRPr="00A67754">
        <w:rPr>
          <w:lang w:val="en-US"/>
        </w:rPr>
        <w:t>Kashyap</w:t>
      </w:r>
      <w:proofErr w:type="spellEnd"/>
      <w:r w:rsidRPr="00A67754">
        <w:rPr>
          <w:lang w:val="en-US"/>
        </w:rPr>
        <w:t xml:space="preserve">, R., 2019. </w:t>
      </w:r>
      <w:proofErr w:type="gramStart"/>
      <w:r w:rsidRPr="00A67754">
        <w:rPr>
          <w:lang w:val="en-US"/>
        </w:rPr>
        <w:t>Fighting Uncertainty with Uncertainty: Time Value of Knowledge and the Net Present Value (NPV) of Knowledge Machines.</w:t>
      </w:r>
      <w:proofErr w:type="gramEnd"/>
      <w:r w:rsidRPr="00A67754">
        <w:rPr>
          <w:lang w:val="en-US"/>
        </w:rPr>
        <w:t xml:space="preserve"> </w:t>
      </w:r>
      <w:proofErr w:type="spellStart"/>
      <w:proofErr w:type="gramStart"/>
      <w:r w:rsidRPr="00A67754">
        <w:rPr>
          <w:i/>
          <w:iCs/>
          <w:lang w:val="en-US"/>
        </w:rPr>
        <w:t>arXiv</w:t>
      </w:r>
      <w:proofErr w:type="spellEnd"/>
      <w:proofErr w:type="gramEnd"/>
      <w:r w:rsidRPr="00A67754">
        <w:rPr>
          <w:i/>
          <w:iCs/>
          <w:lang w:val="en-US"/>
        </w:rPr>
        <w:t xml:space="preserve"> preprint arXiv:1908.03233</w:t>
      </w:r>
      <w:r w:rsidRPr="00A67754">
        <w:rPr>
          <w:lang w:val="en-US"/>
        </w:rPr>
        <w:t>.</w:t>
      </w:r>
    </w:p>
    <w:p w:rsidR="0052487B" w:rsidRPr="001A0C52" w:rsidRDefault="0052487B" w:rsidP="001A0C52">
      <w:pPr>
        <w:rPr>
          <w:lang w:val="en-US"/>
        </w:rPr>
      </w:pPr>
      <w:proofErr w:type="spellStart"/>
      <w:r w:rsidRPr="001A0C52">
        <w:rPr>
          <w:lang w:val="en-US"/>
        </w:rPr>
        <w:t>Nuryani</w:t>
      </w:r>
      <w:proofErr w:type="spellEnd"/>
      <w:r w:rsidRPr="001A0C52">
        <w:rPr>
          <w:lang w:val="en-US"/>
        </w:rPr>
        <w:t xml:space="preserve">, Y. and </w:t>
      </w:r>
      <w:proofErr w:type="spellStart"/>
      <w:r w:rsidRPr="001A0C52">
        <w:rPr>
          <w:lang w:val="en-US"/>
        </w:rPr>
        <w:t>Sunarsi</w:t>
      </w:r>
      <w:proofErr w:type="spellEnd"/>
      <w:r w:rsidRPr="001A0C52">
        <w:rPr>
          <w:lang w:val="en-US"/>
        </w:rPr>
        <w:t xml:space="preserve">, D., 2020. </w:t>
      </w:r>
      <w:proofErr w:type="gramStart"/>
      <w:r w:rsidRPr="001A0C52">
        <w:rPr>
          <w:lang w:val="en-US"/>
        </w:rPr>
        <w:t xml:space="preserve">The Effect of Current Ratio and Debt to Equity Ratio on </w:t>
      </w:r>
      <w:proofErr w:type="spellStart"/>
      <w:r w:rsidRPr="001A0C52">
        <w:rPr>
          <w:lang w:val="en-US"/>
        </w:rPr>
        <w:t>Deviding</w:t>
      </w:r>
      <w:proofErr w:type="spellEnd"/>
      <w:r w:rsidRPr="001A0C52">
        <w:rPr>
          <w:lang w:val="en-US"/>
        </w:rPr>
        <w:t xml:space="preserve"> Growth.</w:t>
      </w:r>
      <w:proofErr w:type="gramEnd"/>
      <w:r w:rsidRPr="001A0C52">
        <w:rPr>
          <w:lang w:val="en-US"/>
        </w:rPr>
        <w:t xml:space="preserve"> </w:t>
      </w:r>
      <w:proofErr w:type="spellStart"/>
      <w:proofErr w:type="gramStart"/>
      <w:r w:rsidRPr="001A0C52">
        <w:rPr>
          <w:i/>
          <w:iCs/>
          <w:lang w:val="en-US"/>
        </w:rPr>
        <w:t>JASa</w:t>
      </w:r>
      <w:proofErr w:type="spellEnd"/>
      <w:r w:rsidRPr="001A0C52">
        <w:rPr>
          <w:i/>
          <w:iCs/>
          <w:lang w:val="en-US"/>
        </w:rPr>
        <w:t xml:space="preserve"> (</w:t>
      </w:r>
      <w:proofErr w:type="spellStart"/>
      <w:r w:rsidRPr="001A0C52">
        <w:rPr>
          <w:i/>
          <w:iCs/>
          <w:lang w:val="en-US"/>
        </w:rPr>
        <w:t>Jurnal</w:t>
      </w:r>
      <w:proofErr w:type="spellEnd"/>
      <w:r w:rsidRPr="001A0C52">
        <w:rPr>
          <w:i/>
          <w:iCs/>
          <w:lang w:val="en-US"/>
        </w:rPr>
        <w:t xml:space="preserve"> </w:t>
      </w:r>
      <w:proofErr w:type="spellStart"/>
      <w:r w:rsidRPr="001A0C52">
        <w:rPr>
          <w:i/>
          <w:iCs/>
          <w:lang w:val="en-US"/>
        </w:rPr>
        <w:t>Akuntansi</w:t>
      </w:r>
      <w:proofErr w:type="spellEnd"/>
      <w:r w:rsidRPr="001A0C52">
        <w:rPr>
          <w:i/>
          <w:iCs/>
          <w:lang w:val="en-US"/>
        </w:rPr>
        <w:t xml:space="preserve">, Audit </w:t>
      </w:r>
      <w:proofErr w:type="spellStart"/>
      <w:r w:rsidRPr="001A0C52">
        <w:rPr>
          <w:i/>
          <w:iCs/>
          <w:lang w:val="en-US"/>
        </w:rPr>
        <w:t>dan</w:t>
      </w:r>
      <w:proofErr w:type="spellEnd"/>
      <w:r w:rsidRPr="001A0C52">
        <w:rPr>
          <w:i/>
          <w:iCs/>
          <w:lang w:val="en-US"/>
        </w:rPr>
        <w:t xml:space="preserve"> </w:t>
      </w:r>
      <w:proofErr w:type="spellStart"/>
      <w:r w:rsidRPr="001A0C52">
        <w:rPr>
          <w:i/>
          <w:iCs/>
          <w:lang w:val="en-US"/>
        </w:rPr>
        <w:t>Sistem</w:t>
      </w:r>
      <w:proofErr w:type="spellEnd"/>
      <w:r w:rsidRPr="001A0C52">
        <w:rPr>
          <w:i/>
          <w:iCs/>
          <w:lang w:val="en-US"/>
        </w:rPr>
        <w:t xml:space="preserve"> </w:t>
      </w:r>
      <w:proofErr w:type="spellStart"/>
      <w:r w:rsidRPr="001A0C52">
        <w:rPr>
          <w:i/>
          <w:iCs/>
          <w:lang w:val="en-US"/>
        </w:rPr>
        <w:t>Informasi</w:t>
      </w:r>
      <w:proofErr w:type="spellEnd"/>
      <w:r w:rsidRPr="001A0C52">
        <w:rPr>
          <w:i/>
          <w:iCs/>
          <w:lang w:val="en-US"/>
        </w:rPr>
        <w:t xml:space="preserve"> </w:t>
      </w:r>
      <w:proofErr w:type="spellStart"/>
      <w:r w:rsidRPr="001A0C52">
        <w:rPr>
          <w:i/>
          <w:iCs/>
          <w:lang w:val="en-US"/>
        </w:rPr>
        <w:t>Akuntansi</w:t>
      </w:r>
      <w:proofErr w:type="spellEnd"/>
      <w:r w:rsidRPr="001A0C52">
        <w:rPr>
          <w:i/>
          <w:iCs/>
          <w:lang w:val="en-US"/>
        </w:rPr>
        <w:t>)</w:t>
      </w:r>
      <w:r w:rsidRPr="001A0C52">
        <w:rPr>
          <w:lang w:val="en-US"/>
        </w:rPr>
        <w:t xml:space="preserve">, </w:t>
      </w:r>
      <w:r w:rsidRPr="001A0C52">
        <w:rPr>
          <w:i/>
          <w:iCs/>
          <w:lang w:val="en-US"/>
        </w:rPr>
        <w:t>4</w:t>
      </w:r>
      <w:r w:rsidRPr="001A0C52">
        <w:rPr>
          <w:lang w:val="en-US"/>
        </w:rPr>
        <w:t>(2), pp.304-312.</w:t>
      </w:r>
      <w:proofErr w:type="gramEnd"/>
    </w:p>
    <w:p w:rsidR="0052487B" w:rsidRPr="001A0C52" w:rsidRDefault="0052487B" w:rsidP="001A0C52">
      <w:pPr>
        <w:rPr>
          <w:lang w:val="en-US"/>
        </w:rPr>
      </w:pPr>
      <w:proofErr w:type="spellStart"/>
      <w:r w:rsidRPr="001A0C52">
        <w:rPr>
          <w:lang w:val="en-US"/>
        </w:rPr>
        <w:t>Öztürk</w:t>
      </w:r>
      <w:proofErr w:type="spellEnd"/>
      <w:r w:rsidRPr="001A0C52">
        <w:rPr>
          <w:lang w:val="en-US"/>
        </w:rPr>
        <w:t xml:space="preserve">, H. and </w:t>
      </w:r>
      <w:proofErr w:type="spellStart"/>
      <w:r w:rsidRPr="001A0C52">
        <w:rPr>
          <w:lang w:val="en-US"/>
        </w:rPr>
        <w:t>Karabulut</w:t>
      </w:r>
      <w:proofErr w:type="spellEnd"/>
      <w:r w:rsidRPr="001A0C52">
        <w:rPr>
          <w:lang w:val="en-US"/>
        </w:rPr>
        <w:t xml:space="preserve">, T.A., 2018. The relationship between earnings-to-price, current ratio, profit margin and return: an empirical analysis on Istanbul stock exchange. </w:t>
      </w:r>
      <w:proofErr w:type="gramStart"/>
      <w:r w:rsidRPr="001A0C52">
        <w:rPr>
          <w:i/>
          <w:iCs/>
          <w:lang w:val="en-US"/>
        </w:rPr>
        <w:t>Accounting and Finance Research</w:t>
      </w:r>
      <w:r w:rsidRPr="001A0C52">
        <w:rPr>
          <w:lang w:val="en-US"/>
        </w:rPr>
        <w:t xml:space="preserve">, </w:t>
      </w:r>
      <w:r w:rsidRPr="001A0C52">
        <w:rPr>
          <w:i/>
          <w:iCs/>
          <w:lang w:val="en-US"/>
        </w:rPr>
        <w:t>7</w:t>
      </w:r>
      <w:r w:rsidRPr="001A0C52">
        <w:rPr>
          <w:lang w:val="en-US"/>
        </w:rPr>
        <w:t>(1), pp.109-115.</w:t>
      </w:r>
      <w:proofErr w:type="gramEnd"/>
    </w:p>
    <w:p w:rsidR="0052487B" w:rsidRPr="001A0C52" w:rsidRDefault="0052487B" w:rsidP="001A0C52">
      <w:pPr>
        <w:rPr>
          <w:lang w:val="en-US"/>
        </w:rPr>
      </w:pPr>
      <w:proofErr w:type="spellStart"/>
      <w:proofErr w:type="gramStart"/>
      <w:r w:rsidRPr="001A0C52">
        <w:rPr>
          <w:lang w:val="en-US"/>
        </w:rPr>
        <w:t>Paynter</w:t>
      </w:r>
      <w:proofErr w:type="spellEnd"/>
      <w:r w:rsidRPr="001A0C52">
        <w:rPr>
          <w:lang w:val="en-US"/>
        </w:rPr>
        <w:t xml:space="preserve">, M., </w:t>
      </w:r>
      <w:proofErr w:type="spellStart"/>
      <w:r w:rsidRPr="001A0C52">
        <w:rPr>
          <w:lang w:val="en-US"/>
        </w:rPr>
        <w:t>Halabi</w:t>
      </w:r>
      <w:proofErr w:type="spellEnd"/>
      <w:r w:rsidRPr="001A0C52">
        <w:rPr>
          <w:lang w:val="en-US"/>
        </w:rPr>
        <w:t>, A. and Tuck, J., 2019.</w:t>
      </w:r>
      <w:proofErr w:type="gramEnd"/>
      <w:r w:rsidRPr="001A0C52">
        <w:rPr>
          <w:lang w:val="en-US"/>
        </w:rPr>
        <w:t xml:space="preserve"> Storytelling and Corporate Social Responsibility Reporting: A Review of BHP 1992–2017. </w:t>
      </w:r>
      <w:proofErr w:type="gramStart"/>
      <w:r w:rsidRPr="001A0C52">
        <w:rPr>
          <w:lang w:val="en-US"/>
        </w:rPr>
        <w:t xml:space="preserve">In </w:t>
      </w:r>
      <w:r w:rsidRPr="001A0C52">
        <w:rPr>
          <w:i/>
          <w:iCs/>
          <w:lang w:val="en-US"/>
        </w:rPr>
        <w:t>The Components of Sustainable Development</w:t>
      </w:r>
      <w:r w:rsidRPr="001A0C52">
        <w:rPr>
          <w:lang w:val="en-US"/>
        </w:rPr>
        <w:t xml:space="preserve"> (pp. 205-230).</w:t>
      </w:r>
      <w:proofErr w:type="gramEnd"/>
      <w:r w:rsidRPr="001A0C52">
        <w:rPr>
          <w:lang w:val="en-US"/>
        </w:rPr>
        <w:t xml:space="preserve"> </w:t>
      </w:r>
      <w:proofErr w:type="gramStart"/>
      <w:r w:rsidRPr="001A0C52">
        <w:rPr>
          <w:lang w:val="en-US"/>
        </w:rPr>
        <w:t>Springer, Singapore.</w:t>
      </w:r>
      <w:proofErr w:type="gramEnd"/>
    </w:p>
    <w:p w:rsidR="0052487B" w:rsidRPr="001A0C52" w:rsidRDefault="0052487B" w:rsidP="001A0C52">
      <w:pPr>
        <w:rPr>
          <w:lang w:val="en-US"/>
        </w:rPr>
      </w:pPr>
      <w:proofErr w:type="spellStart"/>
      <w:r w:rsidRPr="001A0C52">
        <w:rPr>
          <w:lang w:val="en-US"/>
        </w:rPr>
        <w:lastRenderedPageBreak/>
        <w:t>Rahmawati</w:t>
      </w:r>
      <w:proofErr w:type="spellEnd"/>
      <w:r w:rsidRPr="001A0C52">
        <w:rPr>
          <w:lang w:val="en-US"/>
        </w:rPr>
        <w:t xml:space="preserve">, I.Y., 2020. The Effect of Profitability Ratio, Liquidity Ratio, Leverage Ratio, and Company Size on </w:t>
      </w:r>
      <w:proofErr w:type="spellStart"/>
      <w:r w:rsidRPr="001A0C52">
        <w:rPr>
          <w:lang w:val="en-US"/>
        </w:rPr>
        <w:t>Sukuk</w:t>
      </w:r>
      <w:proofErr w:type="spellEnd"/>
      <w:r w:rsidRPr="001A0C52">
        <w:rPr>
          <w:lang w:val="en-US"/>
        </w:rPr>
        <w:t xml:space="preserve"> Rating Corporation </w:t>
      </w:r>
      <w:proofErr w:type="gramStart"/>
      <w:r w:rsidRPr="001A0C52">
        <w:rPr>
          <w:lang w:val="en-US"/>
        </w:rPr>
        <w:t>During</w:t>
      </w:r>
      <w:proofErr w:type="gramEnd"/>
      <w:r w:rsidRPr="001A0C52">
        <w:rPr>
          <w:lang w:val="en-US"/>
        </w:rPr>
        <w:t xml:space="preserve"> 2014-2017 Periods. </w:t>
      </w:r>
      <w:proofErr w:type="gramStart"/>
      <w:r w:rsidRPr="001A0C52">
        <w:rPr>
          <w:lang w:val="en-US"/>
        </w:rPr>
        <w:t xml:space="preserve">In </w:t>
      </w:r>
      <w:r w:rsidRPr="001A0C52">
        <w:rPr>
          <w:i/>
          <w:iCs/>
          <w:lang w:val="en-US"/>
        </w:rPr>
        <w:t>SHS Web of Conferences</w:t>
      </w:r>
      <w:r w:rsidRPr="001A0C52">
        <w:rPr>
          <w:lang w:val="en-US"/>
        </w:rPr>
        <w:t xml:space="preserve"> (Vol. 86, p. 01027).</w:t>
      </w:r>
      <w:proofErr w:type="gramEnd"/>
      <w:r w:rsidRPr="001A0C52">
        <w:rPr>
          <w:lang w:val="en-US"/>
        </w:rPr>
        <w:t xml:space="preserve"> </w:t>
      </w:r>
      <w:proofErr w:type="gramStart"/>
      <w:r w:rsidRPr="001A0C52">
        <w:rPr>
          <w:lang w:val="en-US"/>
        </w:rPr>
        <w:t>EDP Sciences.</w:t>
      </w:r>
      <w:proofErr w:type="gramEnd"/>
    </w:p>
    <w:p w:rsidR="0052487B" w:rsidRPr="001A0C52" w:rsidRDefault="0052487B" w:rsidP="001A0C52">
      <w:pPr>
        <w:rPr>
          <w:lang w:val="en-US"/>
        </w:rPr>
      </w:pPr>
      <w:proofErr w:type="gramStart"/>
      <w:r w:rsidRPr="001A0C52">
        <w:rPr>
          <w:lang w:val="en-US"/>
        </w:rPr>
        <w:t xml:space="preserve">Zorn, A., </w:t>
      </w:r>
      <w:proofErr w:type="spellStart"/>
      <w:r w:rsidRPr="001A0C52">
        <w:rPr>
          <w:lang w:val="en-US"/>
        </w:rPr>
        <w:t>Esteves</w:t>
      </w:r>
      <w:proofErr w:type="spellEnd"/>
      <w:r w:rsidRPr="001A0C52">
        <w:rPr>
          <w:lang w:val="en-US"/>
        </w:rPr>
        <w:t xml:space="preserve">, M., </w:t>
      </w:r>
      <w:proofErr w:type="spellStart"/>
      <w:r w:rsidRPr="001A0C52">
        <w:rPr>
          <w:lang w:val="en-US"/>
        </w:rPr>
        <w:t>Baur</w:t>
      </w:r>
      <w:proofErr w:type="spellEnd"/>
      <w:r w:rsidRPr="001A0C52">
        <w:rPr>
          <w:lang w:val="en-US"/>
        </w:rPr>
        <w:t>, I. and Lips, M., 2018.</w:t>
      </w:r>
      <w:proofErr w:type="gramEnd"/>
      <w:r w:rsidRPr="001A0C52">
        <w:rPr>
          <w:lang w:val="en-US"/>
        </w:rPr>
        <w:t xml:space="preserve"> Financial ratios as indicators of economic sustainability: A quantitative analysis for Swiss Dairy Farms. </w:t>
      </w:r>
      <w:proofErr w:type="gramStart"/>
      <w:r w:rsidRPr="001A0C52">
        <w:rPr>
          <w:i/>
          <w:iCs/>
          <w:lang w:val="en-US"/>
        </w:rPr>
        <w:t>Sustainability</w:t>
      </w:r>
      <w:r w:rsidRPr="001A0C52">
        <w:rPr>
          <w:lang w:val="en-US"/>
        </w:rPr>
        <w:t xml:space="preserve">, </w:t>
      </w:r>
      <w:r w:rsidRPr="001A0C52">
        <w:rPr>
          <w:i/>
          <w:iCs/>
          <w:lang w:val="en-US"/>
        </w:rPr>
        <w:t>10</w:t>
      </w:r>
      <w:r w:rsidRPr="001A0C52">
        <w:rPr>
          <w:lang w:val="en-US"/>
        </w:rPr>
        <w:t>(8), p.2942.</w:t>
      </w:r>
      <w:proofErr w:type="gramEnd"/>
    </w:p>
    <w:sectPr w:rsidR="0052487B" w:rsidRPr="001A0C52" w:rsidSect="007863B4">
      <w:headerReference w:type="default" r:id="rId20"/>
      <w:headerReference w:type="firs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0293" w:rsidRDefault="00D50293" w:rsidP="007863B4">
      <w:pPr>
        <w:spacing w:after="0" w:line="240" w:lineRule="auto"/>
      </w:pPr>
      <w:r>
        <w:separator/>
      </w:r>
    </w:p>
  </w:endnote>
  <w:endnote w:type="continuationSeparator" w:id="0">
    <w:p w:rsidR="00D50293" w:rsidRDefault="00D50293" w:rsidP="00786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0293" w:rsidRDefault="00D50293" w:rsidP="007863B4">
      <w:pPr>
        <w:spacing w:after="0" w:line="240" w:lineRule="auto"/>
      </w:pPr>
      <w:r>
        <w:separator/>
      </w:r>
    </w:p>
  </w:footnote>
  <w:footnote w:type="continuationSeparator" w:id="0">
    <w:p w:rsidR="00D50293" w:rsidRDefault="00D50293" w:rsidP="007863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4B25" w:rsidRDefault="004B4B25">
    <w:pPr>
      <w:pStyle w:val="Header"/>
    </w:pPr>
    <w:r>
      <w:rPr>
        <w:noProof/>
        <w:lang w:val="en-US"/>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B4B25" w:rsidRDefault="004B4B25" w:rsidP="007863B4">
                          <w:pPr>
                            <w:pStyle w:val="Header"/>
                          </w:pPr>
                        </w:p>
                        <w:p w:rsidR="004B4B25" w:rsidRDefault="004B4B25" w:rsidP="007863B4">
                          <w:pPr>
                            <w:pStyle w:val="Header"/>
                          </w:pPr>
                          <w:r>
                            <w:t>FINANCIAL MANAGEMENT</w:t>
                          </w:r>
                        </w:p>
                        <w:p w:rsidR="004B4B25" w:rsidRDefault="004B4B25">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4B4B25" w:rsidRDefault="004B4B25" w:rsidP="007863B4">
                    <w:pPr>
                      <w:pStyle w:val="Header"/>
                    </w:pPr>
                  </w:p>
                  <w:p w:rsidR="004B4B25" w:rsidRDefault="004B4B25" w:rsidP="007863B4">
                    <w:pPr>
                      <w:pStyle w:val="Header"/>
                    </w:pPr>
                    <w:r>
                      <w:t>FINANCIAL MANAGEMENT</w:t>
                    </w:r>
                  </w:p>
                  <w:p w:rsidR="004B4B25" w:rsidRDefault="004B4B25">
                    <w:pPr>
                      <w:spacing w:after="0" w:line="240" w:lineRule="auto"/>
                      <w:jc w:val="right"/>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4B4B25" w:rsidRDefault="004B4B2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4C730C" w:rsidRPr="004C730C">
                            <w:rPr>
                              <w:noProof/>
                              <w:color w:val="FFFFFF" w:themeColor="background1"/>
                            </w:rPr>
                            <w:t>17</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4B4B25" w:rsidRDefault="004B4B2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4C730C" w:rsidRPr="004C730C">
                      <w:rPr>
                        <w:noProof/>
                        <w:color w:val="FFFFFF" w:themeColor="background1"/>
                      </w:rPr>
                      <w:t>17</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4B25" w:rsidRDefault="004B4B25" w:rsidP="007863B4">
    <w:pPr>
      <w:pStyle w:val="Header"/>
    </w:pPr>
  </w:p>
  <w:p w:rsidR="004B4B25" w:rsidRDefault="004B4B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63B4"/>
    <w:rsid w:val="00002EDC"/>
    <w:rsid w:val="0002039B"/>
    <w:rsid w:val="00027759"/>
    <w:rsid w:val="000324A6"/>
    <w:rsid w:val="000507B5"/>
    <w:rsid w:val="00050941"/>
    <w:rsid w:val="00053AA5"/>
    <w:rsid w:val="00061A89"/>
    <w:rsid w:val="00064BD4"/>
    <w:rsid w:val="0006506B"/>
    <w:rsid w:val="00067C14"/>
    <w:rsid w:val="00070E42"/>
    <w:rsid w:val="00073687"/>
    <w:rsid w:val="00075F66"/>
    <w:rsid w:val="00081B5B"/>
    <w:rsid w:val="000973E7"/>
    <w:rsid w:val="000A57FF"/>
    <w:rsid w:val="000E6234"/>
    <w:rsid w:val="000F18C7"/>
    <w:rsid w:val="00137309"/>
    <w:rsid w:val="00140611"/>
    <w:rsid w:val="00151B87"/>
    <w:rsid w:val="001647B9"/>
    <w:rsid w:val="00187746"/>
    <w:rsid w:val="001A0C52"/>
    <w:rsid w:val="001A5966"/>
    <w:rsid w:val="001E0B57"/>
    <w:rsid w:val="001F3DB3"/>
    <w:rsid w:val="0021413A"/>
    <w:rsid w:val="00215E1D"/>
    <w:rsid w:val="002233AA"/>
    <w:rsid w:val="00224344"/>
    <w:rsid w:val="00235785"/>
    <w:rsid w:val="002503B6"/>
    <w:rsid w:val="00251BF8"/>
    <w:rsid w:val="0025710C"/>
    <w:rsid w:val="00262BFB"/>
    <w:rsid w:val="002750B2"/>
    <w:rsid w:val="00276DF8"/>
    <w:rsid w:val="00281992"/>
    <w:rsid w:val="00296C17"/>
    <w:rsid w:val="002A6583"/>
    <w:rsid w:val="002C2CE4"/>
    <w:rsid w:val="002C5297"/>
    <w:rsid w:val="002D1C2B"/>
    <w:rsid w:val="002D702D"/>
    <w:rsid w:val="002F00AA"/>
    <w:rsid w:val="002F1185"/>
    <w:rsid w:val="002F138C"/>
    <w:rsid w:val="002F522C"/>
    <w:rsid w:val="00324001"/>
    <w:rsid w:val="0034052F"/>
    <w:rsid w:val="00362EC2"/>
    <w:rsid w:val="0037164A"/>
    <w:rsid w:val="003A3D52"/>
    <w:rsid w:val="003B5306"/>
    <w:rsid w:val="003C7BA0"/>
    <w:rsid w:val="003E72EE"/>
    <w:rsid w:val="00414092"/>
    <w:rsid w:val="0041780C"/>
    <w:rsid w:val="00442702"/>
    <w:rsid w:val="0046763B"/>
    <w:rsid w:val="004A0FFC"/>
    <w:rsid w:val="004A41D4"/>
    <w:rsid w:val="004A4FDA"/>
    <w:rsid w:val="004B0BAC"/>
    <w:rsid w:val="004B4B25"/>
    <w:rsid w:val="004C730C"/>
    <w:rsid w:val="004D0C23"/>
    <w:rsid w:val="004D79AC"/>
    <w:rsid w:val="005014B8"/>
    <w:rsid w:val="00522BEE"/>
    <w:rsid w:val="0052487B"/>
    <w:rsid w:val="00532B27"/>
    <w:rsid w:val="00535DBF"/>
    <w:rsid w:val="00537865"/>
    <w:rsid w:val="00541B98"/>
    <w:rsid w:val="005565E7"/>
    <w:rsid w:val="00572606"/>
    <w:rsid w:val="005812E6"/>
    <w:rsid w:val="005824CB"/>
    <w:rsid w:val="005917D0"/>
    <w:rsid w:val="005A2D6A"/>
    <w:rsid w:val="005B3B92"/>
    <w:rsid w:val="005E057F"/>
    <w:rsid w:val="005E0D2C"/>
    <w:rsid w:val="005F428C"/>
    <w:rsid w:val="005F50F4"/>
    <w:rsid w:val="00602CAD"/>
    <w:rsid w:val="00603F9A"/>
    <w:rsid w:val="0061654B"/>
    <w:rsid w:val="00625B49"/>
    <w:rsid w:val="006473DF"/>
    <w:rsid w:val="006636E7"/>
    <w:rsid w:val="00664501"/>
    <w:rsid w:val="006670A5"/>
    <w:rsid w:val="00680855"/>
    <w:rsid w:val="00696916"/>
    <w:rsid w:val="006B1F94"/>
    <w:rsid w:val="006B239A"/>
    <w:rsid w:val="006B7D6E"/>
    <w:rsid w:val="006E7171"/>
    <w:rsid w:val="006F4C9E"/>
    <w:rsid w:val="0070398E"/>
    <w:rsid w:val="00752B4D"/>
    <w:rsid w:val="00772B70"/>
    <w:rsid w:val="007863B4"/>
    <w:rsid w:val="007A21E8"/>
    <w:rsid w:val="007B4279"/>
    <w:rsid w:val="007B4B03"/>
    <w:rsid w:val="007C38A9"/>
    <w:rsid w:val="007C507B"/>
    <w:rsid w:val="007D47F4"/>
    <w:rsid w:val="007E0CBB"/>
    <w:rsid w:val="007E6FCE"/>
    <w:rsid w:val="007F3F1D"/>
    <w:rsid w:val="00814FBF"/>
    <w:rsid w:val="00825722"/>
    <w:rsid w:val="008B0401"/>
    <w:rsid w:val="008E28C8"/>
    <w:rsid w:val="0090030F"/>
    <w:rsid w:val="00911589"/>
    <w:rsid w:val="00921E61"/>
    <w:rsid w:val="009713EB"/>
    <w:rsid w:val="009A4759"/>
    <w:rsid w:val="009B0D72"/>
    <w:rsid w:val="009C7DC3"/>
    <w:rsid w:val="009F3DCC"/>
    <w:rsid w:val="009F5B2C"/>
    <w:rsid w:val="00A11A3E"/>
    <w:rsid w:val="00A12253"/>
    <w:rsid w:val="00A156FA"/>
    <w:rsid w:val="00A17254"/>
    <w:rsid w:val="00A25F7D"/>
    <w:rsid w:val="00A33201"/>
    <w:rsid w:val="00A35EB3"/>
    <w:rsid w:val="00A45F0F"/>
    <w:rsid w:val="00A52757"/>
    <w:rsid w:val="00A52857"/>
    <w:rsid w:val="00A62C72"/>
    <w:rsid w:val="00A71BB6"/>
    <w:rsid w:val="00A73083"/>
    <w:rsid w:val="00A83502"/>
    <w:rsid w:val="00A8365E"/>
    <w:rsid w:val="00A93D8C"/>
    <w:rsid w:val="00AA2D8B"/>
    <w:rsid w:val="00AA68E4"/>
    <w:rsid w:val="00AB0968"/>
    <w:rsid w:val="00AB18C2"/>
    <w:rsid w:val="00AB2733"/>
    <w:rsid w:val="00AD0F6E"/>
    <w:rsid w:val="00AE1BCF"/>
    <w:rsid w:val="00AF1DCD"/>
    <w:rsid w:val="00B303D0"/>
    <w:rsid w:val="00B52A61"/>
    <w:rsid w:val="00B572D9"/>
    <w:rsid w:val="00B575EB"/>
    <w:rsid w:val="00B6734D"/>
    <w:rsid w:val="00BC19DE"/>
    <w:rsid w:val="00BC3C93"/>
    <w:rsid w:val="00BE2EF6"/>
    <w:rsid w:val="00BE396B"/>
    <w:rsid w:val="00C1759A"/>
    <w:rsid w:val="00C304EC"/>
    <w:rsid w:val="00C4540F"/>
    <w:rsid w:val="00C5473D"/>
    <w:rsid w:val="00C5791A"/>
    <w:rsid w:val="00C72CA1"/>
    <w:rsid w:val="00C77114"/>
    <w:rsid w:val="00CE4586"/>
    <w:rsid w:val="00CE7D51"/>
    <w:rsid w:val="00D07BAA"/>
    <w:rsid w:val="00D12381"/>
    <w:rsid w:val="00D416C4"/>
    <w:rsid w:val="00D47983"/>
    <w:rsid w:val="00D50293"/>
    <w:rsid w:val="00D67114"/>
    <w:rsid w:val="00D8564F"/>
    <w:rsid w:val="00DA19C5"/>
    <w:rsid w:val="00DA4CA2"/>
    <w:rsid w:val="00DB2A45"/>
    <w:rsid w:val="00DB74B8"/>
    <w:rsid w:val="00DB7EFB"/>
    <w:rsid w:val="00E06F28"/>
    <w:rsid w:val="00E216D8"/>
    <w:rsid w:val="00E31EF7"/>
    <w:rsid w:val="00E33A48"/>
    <w:rsid w:val="00E546C6"/>
    <w:rsid w:val="00E741C8"/>
    <w:rsid w:val="00EC31BD"/>
    <w:rsid w:val="00ED1C7E"/>
    <w:rsid w:val="00ED3D2C"/>
    <w:rsid w:val="00EE48CC"/>
    <w:rsid w:val="00EE7CAB"/>
    <w:rsid w:val="00EF2E36"/>
    <w:rsid w:val="00F32FB1"/>
    <w:rsid w:val="00F5286C"/>
    <w:rsid w:val="00F65102"/>
    <w:rsid w:val="00F80F30"/>
    <w:rsid w:val="00F85CE4"/>
    <w:rsid w:val="00F86C8D"/>
    <w:rsid w:val="00FA537D"/>
    <w:rsid w:val="00FA73CB"/>
    <w:rsid w:val="00FC1D2A"/>
    <w:rsid w:val="00FD4A86"/>
    <w:rsid w:val="00FD7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EF7"/>
    <w:pPr>
      <w:spacing w:line="48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DB2A45"/>
    <w:pPr>
      <w:keepNext/>
      <w:keepLines/>
      <w:spacing w:before="240" w:line="240" w:lineRule="auto"/>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7A21E8"/>
    <w:pPr>
      <w:keepNext/>
      <w:keepLines/>
      <w:spacing w:before="200" w:line="360" w:lineRule="auto"/>
      <w:outlineLvl w:val="1"/>
    </w:pPr>
    <w:rPr>
      <w:rFonts w:eastAsiaTheme="majorEastAsia" w:cstheme="majorBidi"/>
      <w:b/>
      <w:bCs/>
      <w:szCs w:val="26"/>
      <w:lang w:val="en-US"/>
    </w:rPr>
  </w:style>
  <w:style w:type="paragraph" w:styleId="Heading3">
    <w:name w:val="heading 3"/>
    <w:basedOn w:val="Normal"/>
    <w:next w:val="Normal"/>
    <w:link w:val="Heading3Char"/>
    <w:uiPriority w:val="9"/>
    <w:unhideWhenUsed/>
    <w:qFormat/>
    <w:rsid w:val="00E31EF7"/>
    <w:pPr>
      <w:keepNext/>
      <w:keepLines/>
      <w:spacing w:before="20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4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A21E8"/>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31EF7"/>
    <w:rPr>
      <w:rFonts w:ascii="Times New Roman" w:eastAsiaTheme="majorEastAsia" w:hAnsi="Times New Roman" w:cstheme="majorBidi"/>
      <w:b/>
      <w:bCs/>
      <w:color w:val="000000" w:themeColor="text1"/>
      <w:sz w:val="24"/>
    </w:rPr>
  </w:style>
  <w:style w:type="paragraph" w:styleId="NoSpacing">
    <w:name w:val="No Spacing"/>
    <w:uiPriority w:val="1"/>
    <w:qFormat/>
    <w:rsid w:val="009C7DC3"/>
    <w:pPr>
      <w:spacing w:after="0" w:line="240" w:lineRule="auto"/>
      <w:jc w:val="both"/>
    </w:pPr>
    <w:rPr>
      <w:rFonts w:ascii="Arial" w:hAnsi="Arial"/>
      <w:sz w:val="24"/>
      <w:szCs w:val="24"/>
    </w:rPr>
  </w:style>
  <w:style w:type="paragraph" w:styleId="Header">
    <w:name w:val="header"/>
    <w:basedOn w:val="Normal"/>
    <w:link w:val="HeaderChar"/>
    <w:uiPriority w:val="99"/>
    <w:unhideWhenUsed/>
    <w:rsid w:val="00786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63B4"/>
    <w:rPr>
      <w:rFonts w:ascii="Times New Roman" w:hAnsi="Times New Roman"/>
      <w:color w:val="000000" w:themeColor="text1"/>
      <w:sz w:val="24"/>
      <w:lang w:val="en-IN"/>
    </w:rPr>
  </w:style>
  <w:style w:type="paragraph" w:styleId="Footer">
    <w:name w:val="footer"/>
    <w:basedOn w:val="Normal"/>
    <w:link w:val="FooterChar"/>
    <w:uiPriority w:val="99"/>
    <w:unhideWhenUsed/>
    <w:rsid w:val="00786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63B4"/>
    <w:rPr>
      <w:rFonts w:ascii="Times New Roman" w:hAnsi="Times New Roman"/>
      <w:color w:val="000000" w:themeColor="text1"/>
      <w:sz w:val="24"/>
      <w:lang w:val="en-IN"/>
    </w:rPr>
  </w:style>
  <w:style w:type="character" w:customStyle="1" w:styleId="hgkelc">
    <w:name w:val="hgkelc"/>
    <w:basedOn w:val="DefaultParagraphFont"/>
    <w:rsid w:val="006B1F94"/>
  </w:style>
  <w:style w:type="character" w:styleId="Strong">
    <w:name w:val="Strong"/>
    <w:basedOn w:val="DefaultParagraphFont"/>
    <w:uiPriority w:val="22"/>
    <w:qFormat/>
    <w:rsid w:val="006E7171"/>
    <w:rPr>
      <w:b/>
      <w:bCs/>
    </w:rPr>
  </w:style>
  <w:style w:type="character" w:styleId="Hyperlink">
    <w:name w:val="Hyperlink"/>
    <w:basedOn w:val="DefaultParagraphFont"/>
    <w:uiPriority w:val="99"/>
    <w:unhideWhenUsed/>
    <w:rsid w:val="006E7171"/>
    <w:rPr>
      <w:color w:val="0000FF"/>
      <w:u w:val="single"/>
    </w:rPr>
  </w:style>
  <w:style w:type="table" w:styleId="TableGrid">
    <w:name w:val="Table Grid"/>
    <w:basedOn w:val="TableNormal"/>
    <w:uiPriority w:val="39"/>
    <w:rsid w:val="00FD4A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F4C9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C5297"/>
    <w:pPr>
      <w:spacing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C5297"/>
    <w:pPr>
      <w:spacing w:after="100"/>
    </w:pPr>
  </w:style>
  <w:style w:type="paragraph" w:styleId="TOC2">
    <w:name w:val="toc 2"/>
    <w:basedOn w:val="Normal"/>
    <w:next w:val="Normal"/>
    <w:autoRedefine/>
    <w:uiPriority w:val="39"/>
    <w:unhideWhenUsed/>
    <w:rsid w:val="002C5297"/>
    <w:pPr>
      <w:spacing w:after="100"/>
      <w:ind w:left="240"/>
    </w:pPr>
  </w:style>
  <w:style w:type="paragraph" w:styleId="BalloonText">
    <w:name w:val="Balloon Text"/>
    <w:basedOn w:val="Normal"/>
    <w:link w:val="BalloonTextChar"/>
    <w:uiPriority w:val="99"/>
    <w:semiHidden/>
    <w:unhideWhenUsed/>
    <w:rsid w:val="004B4B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B25"/>
    <w:rPr>
      <w:rFonts w:ascii="Tahoma" w:hAnsi="Tahoma" w:cs="Tahoma"/>
      <w:color w:val="000000" w:themeColor="text1"/>
      <w:sz w:val="16"/>
      <w:szCs w:val="16"/>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EF7"/>
    <w:pPr>
      <w:spacing w:line="48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DB2A45"/>
    <w:pPr>
      <w:keepNext/>
      <w:keepLines/>
      <w:spacing w:before="240" w:line="240" w:lineRule="auto"/>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7A21E8"/>
    <w:pPr>
      <w:keepNext/>
      <w:keepLines/>
      <w:spacing w:before="200" w:line="360" w:lineRule="auto"/>
      <w:outlineLvl w:val="1"/>
    </w:pPr>
    <w:rPr>
      <w:rFonts w:eastAsiaTheme="majorEastAsia" w:cstheme="majorBidi"/>
      <w:b/>
      <w:bCs/>
      <w:szCs w:val="26"/>
      <w:lang w:val="en-US"/>
    </w:rPr>
  </w:style>
  <w:style w:type="paragraph" w:styleId="Heading3">
    <w:name w:val="heading 3"/>
    <w:basedOn w:val="Normal"/>
    <w:next w:val="Normal"/>
    <w:link w:val="Heading3Char"/>
    <w:uiPriority w:val="9"/>
    <w:unhideWhenUsed/>
    <w:qFormat/>
    <w:rsid w:val="00E31EF7"/>
    <w:pPr>
      <w:keepNext/>
      <w:keepLines/>
      <w:spacing w:before="20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A4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A21E8"/>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31EF7"/>
    <w:rPr>
      <w:rFonts w:ascii="Times New Roman" w:eastAsiaTheme="majorEastAsia" w:hAnsi="Times New Roman" w:cstheme="majorBidi"/>
      <w:b/>
      <w:bCs/>
      <w:color w:val="000000" w:themeColor="text1"/>
      <w:sz w:val="24"/>
    </w:rPr>
  </w:style>
  <w:style w:type="paragraph" w:styleId="NoSpacing">
    <w:name w:val="No Spacing"/>
    <w:uiPriority w:val="1"/>
    <w:qFormat/>
    <w:rsid w:val="009C7DC3"/>
    <w:pPr>
      <w:spacing w:after="0" w:line="240" w:lineRule="auto"/>
      <w:jc w:val="both"/>
    </w:pPr>
    <w:rPr>
      <w:rFonts w:ascii="Arial" w:hAnsi="Arial"/>
      <w:sz w:val="24"/>
      <w:szCs w:val="24"/>
    </w:rPr>
  </w:style>
  <w:style w:type="paragraph" w:styleId="Header">
    <w:name w:val="header"/>
    <w:basedOn w:val="Normal"/>
    <w:link w:val="HeaderChar"/>
    <w:uiPriority w:val="99"/>
    <w:unhideWhenUsed/>
    <w:rsid w:val="00786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63B4"/>
    <w:rPr>
      <w:rFonts w:ascii="Times New Roman" w:hAnsi="Times New Roman"/>
      <w:color w:val="000000" w:themeColor="text1"/>
      <w:sz w:val="24"/>
      <w:lang w:val="en-IN"/>
    </w:rPr>
  </w:style>
  <w:style w:type="paragraph" w:styleId="Footer">
    <w:name w:val="footer"/>
    <w:basedOn w:val="Normal"/>
    <w:link w:val="FooterChar"/>
    <w:uiPriority w:val="99"/>
    <w:unhideWhenUsed/>
    <w:rsid w:val="00786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63B4"/>
    <w:rPr>
      <w:rFonts w:ascii="Times New Roman" w:hAnsi="Times New Roman"/>
      <w:color w:val="000000" w:themeColor="text1"/>
      <w:sz w:val="24"/>
      <w:lang w:val="en-IN"/>
    </w:rPr>
  </w:style>
  <w:style w:type="character" w:customStyle="1" w:styleId="hgkelc">
    <w:name w:val="hgkelc"/>
    <w:basedOn w:val="DefaultParagraphFont"/>
    <w:rsid w:val="006B1F94"/>
  </w:style>
  <w:style w:type="character" w:styleId="Strong">
    <w:name w:val="Strong"/>
    <w:basedOn w:val="DefaultParagraphFont"/>
    <w:uiPriority w:val="22"/>
    <w:qFormat/>
    <w:rsid w:val="006E7171"/>
    <w:rPr>
      <w:b/>
      <w:bCs/>
    </w:rPr>
  </w:style>
  <w:style w:type="character" w:styleId="Hyperlink">
    <w:name w:val="Hyperlink"/>
    <w:basedOn w:val="DefaultParagraphFont"/>
    <w:uiPriority w:val="99"/>
    <w:unhideWhenUsed/>
    <w:rsid w:val="006E7171"/>
    <w:rPr>
      <w:color w:val="0000FF"/>
      <w:u w:val="single"/>
    </w:rPr>
  </w:style>
  <w:style w:type="table" w:styleId="TableGrid">
    <w:name w:val="Table Grid"/>
    <w:basedOn w:val="TableNormal"/>
    <w:uiPriority w:val="39"/>
    <w:rsid w:val="00FD4A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6F4C9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C5297"/>
    <w:pPr>
      <w:spacing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C5297"/>
    <w:pPr>
      <w:spacing w:after="100"/>
    </w:pPr>
  </w:style>
  <w:style w:type="paragraph" w:styleId="TOC2">
    <w:name w:val="toc 2"/>
    <w:basedOn w:val="Normal"/>
    <w:next w:val="Normal"/>
    <w:autoRedefine/>
    <w:uiPriority w:val="39"/>
    <w:unhideWhenUsed/>
    <w:rsid w:val="002C5297"/>
    <w:pPr>
      <w:spacing w:after="100"/>
      <w:ind w:left="240"/>
    </w:pPr>
  </w:style>
  <w:style w:type="paragraph" w:styleId="BalloonText">
    <w:name w:val="Balloon Text"/>
    <w:basedOn w:val="Normal"/>
    <w:link w:val="BalloonTextChar"/>
    <w:uiPriority w:val="99"/>
    <w:semiHidden/>
    <w:unhideWhenUsed/>
    <w:rsid w:val="004B4B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B25"/>
    <w:rPr>
      <w:rFonts w:ascii="Tahoma" w:hAnsi="Tahoma" w:cs="Tahoma"/>
      <w:color w:val="000000" w:themeColor="text1"/>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685184">
      <w:bodyDiv w:val="1"/>
      <w:marLeft w:val="0"/>
      <w:marRight w:val="0"/>
      <w:marTop w:val="0"/>
      <w:marBottom w:val="0"/>
      <w:divBdr>
        <w:top w:val="none" w:sz="0" w:space="0" w:color="auto"/>
        <w:left w:val="none" w:sz="0" w:space="0" w:color="auto"/>
        <w:bottom w:val="none" w:sz="0" w:space="0" w:color="auto"/>
        <w:right w:val="none" w:sz="0" w:space="0" w:color="auto"/>
      </w:divBdr>
      <w:divsChild>
        <w:div w:id="2000691443">
          <w:marLeft w:val="0"/>
          <w:marRight w:val="0"/>
          <w:marTop w:val="0"/>
          <w:marBottom w:val="0"/>
          <w:divBdr>
            <w:top w:val="none" w:sz="0" w:space="0" w:color="auto"/>
            <w:left w:val="none" w:sz="0" w:space="0" w:color="auto"/>
            <w:bottom w:val="none" w:sz="0" w:space="0" w:color="auto"/>
            <w:right w:val="none" w:sz="0" w:space="0" w:color="auto"/>
          </w:divBdr>
        </w:div>
      </w:divsChild>
    </w:div>
    <w:div w:id="431898071">
      <w:bodyDiv w:val="1"/>
      <w:marLeft w:val="0"/>
      <w:marRight w:val="0"/>
      <w:marTop w:val="0"/>
      <w:marBottom w:val="0"/>
      <w:divBdr>
        <w:top w:val="none" w:sz="0" w:space="0" w:color="auto"/>
        <w:left w:val="none" w:sz="0" w:space="0" w:color="auto"/>
        <w:bottom w:val="none" w:sz="0" w:space="0" w:color="auto"/>
        <w:right w:val="none" w:sz="0" w:space="0" w:color="auto"/>
      </w:divBdr>
    </w:div>
    <w:div w:id="489322644">
      <w:bodyDiv w:val="1"/>
      <w:marLeft w:val="0"/>
      <w:marRight w:val="0"/>
      <w:marTop w:val="0"/>
      <w:marBottom w:val="0"/>
      <w:divBdr>
        <w:top w:val="none" w:sz="0" w:space="0" w:color="auto"/>
        <w:left w:val="none" w:sz="0" w:space="0" w:color="auto"/>
        <w:bottom w:val="none" w:sz="0" w:space="0" w:color="auto"/>
        <w:right w:val="none" w:sz="0" w:space="0" w:color="auto"/>
      </w:divBdr>
    </w:div>
    <w:div w:id="512958035">
      <w:bodyDiv w:val="1"/>
      <w:marLeft w:val="0"/>
      <w:marRight w:val="0"/>
      <w:marTop w:val="0"/>
      <w:marBottom w:val="0"/>
      <w:divBdr>
        <w:top w:val="none" w:sz="0" w:space="0" w:color="auto"/>
        <w:left w:val="none" w:sz="0" w:space="0" w:color="auto"/>
        <w:bottom w:val="none" w:sz="0" w:space="0" w:color="auto"/>
        <w:right w:val="none" w:sz="0" w:space="0" w:color="auto"/>
      </w:divBdr>
    </w:div>
    <w:div w:id="575748245">
      <w:bodyDiv w:val="1"/>
      <w:marLeft w:val="0"/>
      <w:marRight w:val="0"/>
      <w:marTop w:val="0"/>
      <w:marBottom w:val="0"/>
      <w:divBdr>
        <w:top w:val="none" w:sz="0" w:space="0" w:color="auto"/>
        <w:left w:val="none" w:sz="0" w:space="0" w:color="auto"/>
        <w:bottom w:val="none" w:sz="0" w:space="0" w:color="auto"/>
        <w:right w:val="none" w:sz="0" w:space="0" w:color="auto"/>
      </w:divBdr>
      <w:divsChild>
        <w:div w:id="304942822">
          <w:marLeft w:val="0"/>
          <w:marRight w:val="0"/>
          <w:marTop w:val="0"/>
          <w:marBottom w:val="0"/>
          <w:divBdr>
            <w:top w:val="none" w:sz="0" w:space="0" w:color="auto"/>
            <w:left w:val="none" w:sz="0" w:space="0" w:color="auto"/>
            <w:bottom w:val="none" w:sz="0" w:space="0" w:color="auto"/>
            <w:right w:val="none" w:sz="0" w:space="0" w:color="auto"/>
          </w:divBdr>
        </w:div>
      </w:divsChild>
    </w:div>
    <w:div w:id="713621545">
      <w:bodyDiv w:val="1"/>
      <w:marLeft w:val="0"/>
      <w:marRight w:val="0"/>
      <w:marTop w:val="0"/>
      <w:marBottom w:val="0"/>
      <w:divBdr>
        <w:top w:val="none" w:sz="0" w:space="0" w:color="auto"/>
        <w:left w:val="none" w:sz="0" w:space="0" w:color="auto"/>
        <w:bottom w:val="none" w:sz="0" w:space="0" w:color="auto"/>
        <w:right w:val="none" w:sz="0" w:space="0" w:color="auto"/>
      </w:divBdr>
      <w:divsChild>
        <w:div w:id="2069651047">
          <w:marLeft w:val="0"/>
          <w:marRight w:val="0"/>
          <w:marTop w:val="0"/>
          <w:marBottom w:val="0"/>
          <w:divBdr>
            <w:top w:val="none" w:sz="0" w:space="0" w:color="auto"/>
            <w:left w:val="none" w:sz="0" w:space="0" w:color="auto"/>
            <w:bottom w:val="none" w:sz="0" w:space="0" w:color="auto"/>
            <w:right w:val="none" w:sz="0" w:space="0" w:color="auto"/>
          </w:divBdr>
        </w:div>
      </w:divsChild>
    </w:div>
    <w:div w:id="809633598">
      <w:bodyDiv w:val="1"/>
      <w:marLeft w:val="0"/>
      <w:marRight w:val="0"/>
      <w:marTop w:val="0"/>
      <w:marBottom w:val="0"/>
      <w:divBdr>
        <w:top w:val="none" w:sz="0" w:space="0" w:color="auto"/>
        <w:left w:val="none" w:sz="0" w:space="0" w:color="auto"/>
        <w:bottom w:val="none" w:sz="0" w:space="0" w:color="auto"/>
        <w:right w:val="none" w:sz="0" w:space="0" w:color="auto"/>
      </w:divBdr>
    </w:div>
    <w:div w:id="905264268">
      <w:bodyDiv w:val="1"/>
      <w:marLeft w:val="0"/>
      <w:marRight w:val="0"/>
      <w:marTop w:val="0"/>
      <w:marBottom w:val="0"/>
      <w:divBdr>
        <w:top w:val="none" w:sz="0" w:space="0" w:color="auto"/>
        <w:left w:val="none" w:sz="0" w:space="0" w:color="auto"/>
        <w:bottom w:val="none" w:sz="0" w:space="0" w:color="auto"/>
        <w:right w:val="none" w:sz="0" w:space="0" w:color="auto"/>
      </w:divBdr>
      <w:divsChild>
        <w:div w:id="291441536">
          <w:marLeft w:val="0"/>
          <w:marRight w:val="0"/>
          <w:marTop w:val="0"/>
          <w:marBottom w:val="0"/>
          <w:divBdr>
            <w:top w:val="none" w:sz="0" w:space="0" w:color="auto"/>
            <w:left w:val="none" w:sz="0" w:space="0" w:color="auto"/>
            <w:bottom w:val="none" w:sz="0" w:space="0" w:color="auto"/>
            <w:right w:val="none" w:sz="0" w:space="0" w:color="auto"/>
          </w:divBdr>
        </w:div>
      </w:divsChild>
    </w:div>
    <w:div w:id="1062561588">
      <w:bodyDiv w:val="1"/>
      <w:marLeft w:val="0"/>
      <w:marRight w:val="0"/>
      <w:marTop w:val="0"/>
      <w:marBottom w:val="0"/>
      <w:divBdr>
        <w:top w:val="none" w:sz="0" w:space="0" w:color="auto"/>
        <w:left w:val="none" w:sz="0" w:space="0" w:color="auto"/>
        <w:bottom w:val="none" w:sz="0" w:space="0" w:color="auto"/>
        <w:right w:val="none" w:sz="0" w:space="0" w:color="auto"/>
      </w:divBdr>
    </w:div>
    <w:div w:id="1253507572">
      <w:bodyDiv w:val="1"/>
      <w:marLeft w:val="0"/>
      <w:marRight w:val="0"/>
      <w:marTop w:val="0"/>
      <w:marBottom w:val="0"/>
      <w:divBdr>
        <w:top w:val="none" w:sz="0" w:space="0" w:color="auto"/>
        <w:left w:val="none" w:sz="0" w:space="0" w:color="auto"/>
        <w:bottom w:val="none" w:sz="0" w:space="0" w:color="auto"/>
        <w:right w:val="none" w:sz="0" w:space="0" w:color="auto"/>
      </w:divBdr>
    </w:div>
    <w:div w:id="1303267780">
      <w:bodyDiv w:val="1"/>
      <w:marLeft w:val="0"/>
      <w:marRight w:val="0"/>
      <w:marTop w:val="0"/>
      <w:marBottom w:val="0"/>
      <w:divBdr>
        <w:top w:val="none" w:sz="0" w:space="0" w:color="auto"/>
        <w:left w:val="none" w:sz="0" w:space="0" w:color="auto"/>
        <w:bottom w:val="none" w:sz="0" w:space="0" w:color="auto"/>
        <w:right w:val="none" w:sz="0" w:space="0" w:color="auto"/>
      </w:divBdr>
      <w:divsChild>
        <w:div w:id="238633530">
          <w:marLeft w:val="0"/>
          <w:marRight w:val="0"/>
          <w:marTop w:val="0"/>
          <w:marBottom w:val="0"/>
          <w:divBdr>
            <w:top w:val="none" w:sz="0" w:space="0" w:color="auto"/>
            <w:left w:val="none" w:sz="0" w:space="0" w:color="auto"/>
            <w:bottom w:val="none" w:sz="0" w:space="0" w:color="auto"/>
            <w:right w:val="none" w:sz="0" w:space="0" w:color="auto"/>
          </w:divBdr>
        </w:div>
      </w:divsChild>
    </w:div>
    <w:div w:id="1345981135">
      <w:bodyDiv w:val="1"/>
      <w:marLeft w:val="0"/>
      <w:marRight w:val="0"/>
      <w:marTop w:val="0"/>
      <w:marBottom w:val="0"/>
      <w:divBdr>
        <w:top w:val="none" w:sz="0" w:space="0" w:color="auto"/>
        <w:left w:val="none" w:sz="0" w:space="0" w:color="auto"/>
        <w:bottom w:val="none" w:sz="0" w:space="0" w:color="auto"/>
        <w:right w:val="none" w:sz="0" w:space="0" w:color="auto"/>
      </w:divBdr>
      <w:divsChild>
        <w:div w:id="1710103309">
          <w:marLeft w:val="0"/>
          <w:marRight w:val="0"/>
          <w:marTop w:val="0"/>
          <w:marBottom w:val="0"/>
          <w:divBdr>
            <w:top w:val="none" w:sz="0" w:space="0" w:color="auto"/>
            <w:left w:val="none" w:sz="0" w:space="0" w:color="auto"/>
            <w:bottom w:val="none" w:sz="0" w:space="0" w:color="auto"/>
            <w:right w:val="none" w:sz="0" w:space="0" w:color="auto"/>
          </w:divBdr>
        </w:div>
      </w:divsChild>
    </w:div>
    <w:div w:id="1375421103">
      <w:bodyDiv w:val="1"/>
      <w:marLeft w:val="0"/>
      <w:marRight w:val="0"/>
      <w:marTop w:val="0"/>
      <w:marBottom w:val="0"/>
      <w:divBdr>
        <w:top w:val="none" w:sz="0" w:space="0" w:color="auto"/>
        <w:left w:val="none" w:sz="0" w:space="0" w:color="auto"/>
        <w:bottom w:val="none" w:sz="0" w:space="0" w:color="auto"/>
        <w:right w:val="none" w:sz="0" w:space="0" w:color="auto"/>
      </w:divBdr>
    </w:div>
    <w:div w:id="1409687767">
      <w:bodyDiv w:val="1"/>
      <w:marLeft w:val="0"/>
      <w:marRight w:val="0"/>
      <w:marTop w:val="0"/>
      <w:marBottom w:val="0"/>
      <w:divBdr>
        <w:top w:val="none" w:sz="0" w:space="0" w:color="auto"/>
        <w:left w:val="none" w:sz="0" w:space="0" w:color="auto"/>
        <w:bottom w:val="none" w:sz="0" w:space="0" w:color="auto"/>
        <w:right w:val="none" w:sz="0" w:space="0" w:color="auto"/>
      </w:divBdr>
    </w:div>
    <w:div w:id="151868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science/silver" TargetMode="External"/><Relationship Id="rId18" Type="http://schemas.openxmlformats.org/officeDocument/2006/relationships/hyperlink" Target="https://www.accountingtools.com/articles/what-is-cash-flow.html" TargetMode="External"/><Relationship Id="rId3" Type="http://schemas.microsoft.com/office/2007/relationships/stylesWithEffects" Target="stylesWithEffect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britannica.com/science/copper" TargetMode="External"/><Relationship Id="rId17" Type="http://schemas.openxmlformats.org/officeDocument/2006/relationships/hyperlink" Target="https://www.accountingtools.com/articles/2017/5/17/payback-period" TargetMode="External"/><Relationship Id="rId2" Type="http://schemas.openxmlformats.org/officeDocument/2006/relationships/styles" Target="styles.xml"/><Relationship Id="rId16" Type="http://schemas.openxmlformats.org/officeDocument/2006/relationships/hyperlink" Target="https://www.britannica.com/place/Australi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echnology/steel" TargetMode="External"/><Relationship Id="rId5" Type="http://schemas.openxmlformats.org/officeDocument/2006/relationships/webSettings" Target="webSettings.xml"/><Relationship Id="rId15" Type="http://schemas.openxmlformats.org/officeDocument/2006/relationships/hyperlink" Target="https://www.britannica.com/place/Melbourne" TargetMode="External"/><Relationship Id="rId23" Type="http://schemas.openxmlformats.org/officeDocument/2006/relationships/theme" Target="theme/theme1.xml"/><Relationship Id="rId10" Type="http://schemas.openxmlformats.org/officeDocument/2006/relationships/hyperlink" Target="https://www.britannica.com/technology/mining" TargetMode="External"/><Relationship Id="rId19" Type="http://schemas.openxmlformats.org/officeDocument/2006/relationships/hyperlink" Target="https://www.bhp.com/investor-centre/annual-report-2019/" TargetMode="External"/><Relationship Id="rId4" Type="http://schemas.openxmlformats.org/officeDocument/2006/relationships/settings" Target="settings.xml"/><Relationship Id="rId9" Type="http://schemas.openxmlformats.org/officeDocument/2006/relationships/hyperlink" Target="https://www.britannica.com/topic/corporation" TargetMode="External"/><Relationship Id="rId14" Type="http://schemas.openxmlformats.org/officeDocument/2006/relationships/hyperlink" Target="https://www.britannica.com/science/petroleu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01695-B9FB-4C8A-9E24-32E1EBA52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18</Pages>
  <Words>4147</Words>
  <Characters>23640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A_Dragalina</cp:lastModifiedBy>
  <cp:revision>80</cp:revision>
  <dcterms:created xsi:type="dcterms:W3CDTF">2021-01-13T05:35:00Z</dcterms:created>
  <dcterms:modified xsi:type="dcterms:W3CDTF">2021-01-13T16:53:00Z</dcterms:modified>
</cp:coreProperties>
</file>