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548510" w14:textId="61CF0D73" w:rsidR="006269EB" w:rsidRDefault="000528FC">
      <w:bookmarkStart w:id="0" w:name="_GoBack"/>
      <w:bookmarkEnd w:id="0"/>
      <w:r>
        <w:t xml:space="preserve">HPEN5005-SECOND ESSAY -WENDIE KOSEK – Feminine </w:t>
      </w:r>
      <w:r w:rsidR="00C41F7F">
        <w:t>V</w:t>
      </w:r>
      <w:r>
        <w:t xml:space="preserve">oice, </w:t>
      </w:r>
      <w:r w:rsidR="00C41F7F">
        <w:t>A</w:t>
      </w:r>
      <w:r>
        <w:t xml:space="preserve">ndrogynous </w:t>
      </w:r>
      <w:r w:rsidR="00C41F7F">
        <w:t>M</w:t>
      </w:r>
      <w:r>
        <w:t xml:space="preserve">ind and </w:t>
      </w:r>
      <w:r w:rsidR="00C41F7F">
        <w:t>M</w:t>
      </w:r>
      <w:r>
        <w:t xml:space="preserve">asculine </w:t>
      </w:r>
      <w:r w:rsidR="00C41F7F">
        <w:t>A</w:t>
      </w:r>
      <w:r>
        <w:t>ction.</w:t>
      </w:r>
    </w:p>
    <w:p w14:paraId="01470717" w14:textId="226526C5" w:rsidR="006A6316" w:rsidRDefault="000528FC">
      <w:r>
        <w:t xml:space="preserve">This essay will attempt to examine the voices we here when reading </w:t>
      </w:r>
      <w:r w:rsidR="006A6316">
        <w:t xml:space="preserve">modernist </w:t>
      </w:r>
      <w:r>
        <w:t>literature written by women</w:t>
      </w:r>
      <w:r w:rsidR="00576285">
        <w:t>, and men</w:t>
      </w:r>
      <w:r>
        <w:t>. The authors we will listen to are Virginia Woolf</w:t>
      </w:r>
      <w:r w:rsidR="00A44FDE">
        <w:t xml:space="preserve"> and </w:t>
      </w:r>
      <w:r>
        <w:t>Katherine Mansfield</w:t>
      </w:r>
      <w:r w:rsidR="009268F6">
        <w:t xml:space="preserve">. Particular reference will be made to Woolf’s Novel </w:t>
      </w:r>
      <w:proofErr w:type="gramStart"/>
      <w:r w:rsidR="009268F6">
        <w:rPr>
          <w:i/>
          <w:iCs/>
        </w:rPr>
        <w:t>To</w:t>
      </w:r>
      <w:proofErr w:type="gramEnd"/>
      <w:r w:rsidR="009268F6">
        <w:rPr>
          <w:i/>
          <w:iCs/>
        </w:rPr>
        <w:t xml:space="preserve"> The Lighthous</w:t>
      </w:r>
      <w:r w:rsidR="00C41F7F">
        <w:rPr>
          <w:i/>
          <w:iCs/>
        </w:rPr>
        <w:t xml:space="preserve">e </w:t>
      </w:r>
      <w:r w:rsidR="00C41F7F">
        <w:t>(1927)</w:t>
      </w:r>
      <w:r w:rsidR="00C41F7F">
        <w:rPr>
          <w:i/>
          <w:iCs/>
        </w:rPr>
        <w:t xml:space="preserve"> </w:t>
      </w:r>
      <w:r w:rsidR="00C41F7F">
        <w:t xml:space="preserve">which is set in Isle of Skye, Scotland, between 1910 and 1920, Mansfield’s Short stories including </w:t>
      </w:r>
      <w:r w:rsidR="00C41F7F">
        <w:rPr>
          <w:i/>
          <w:iCs/>
        </w:rPr>
        <w:t xml:space="preserve">Prelude </w:t>
      </w:r>
      <w:r w:rsidR="006A6316" w:rsidRPr="006A6316">
        <w:t xml:space="preserve">(1918) </w:t>
      </w:r>
      <w:r w:rsidR="00C41F7F" w:rsidRPr="006A6316">
        <w:t>and</w:t>
      </w:r>
      <w:r w:rsidR="00C41F7F">
        <w:rPr>
          <w:i/>
          <w:iCs/>
        </w:rPr>
        <w:t xml:space="preserve"> The Garden Party </w:t>
      </w:r>
      <w:r w:rsidR="006A6316">
        <w:t xml:space="preserve">(1921). Reference for the androgyny of the mind will be made to Woolf’s Essay </w:t>
      </w:r>
      <w:r w:rsidR="006A6316">
        <w:rPr>
          <w:i/>
          <w:iCs/>
        </w:rPr>
        <w:t xml:space="preserve">A Room of One’s Own </w:t>
      </w:r>
      <w:r w:rsidR="006A6316">
        <w:t>(1929)</w:t>
      </w:r>
      <w:r w:rsidR="00A44FDE">
        <w:t>.</w:t>
      </w:r>
      <w:r w:rsidR="00AA0C73">
        <w:t xml:space="preserve"> </w:t>
      </w:r>
      <w:r w:rsidR="006A6316">
        <w:t xml:space="preserve">Woolf’s introduction of Judith, William Shakespeare’s fictional sister, and her plight as a </w:t>
      </w:r>
      <w:r w:rsidR="00AA0C73">
        <w:t>would-be</w:t>
      </w:r>
      <w:r w:rsidR="006A6316">
        <w:t xml:space="preserve"> writer in the </w:t>
      </w:r>
      <w:r w:rsidR="00FE379A">
        <w:t>sixteenth</w:t>
      </w:r>
      <w:r w:rsidR="006A6316">
        <w:t xml:space="preserve"> century will be </w:t>
      </w:r>
      <w:r w:rsidR="00AA0C73">
        <w:t>reflected upon. The stream of conscious thought</w:t>
      </w:r>
      <w:r w:rsidR="00A44FDE">
        <w:t>,</w:t>
      </w:r>
      <w:r w:rsidR="00AA0C73">
        <w:t xml:space="preserve"> and the seemingly insignificant actions of the male characters</w:t>
      </w:r>
      <w:r w:rsidR="00A44FDE">
        <w:t>,</w:t>
      </w:r>
      <w:r w:rsidR="00AA0C73">
        <w:t xml:space="preserve"> in the literature mentioned above will be presented and examined in reference, and juxtaposed, to the female characters.</w:t>
      </w:r>
      <w:r w:rsidR="0057705A">
        <w:t xml:space="preserve"> This essay will endeavour to present </w:t>
      </w:r>
      <w:r w:rsidR="00154A14">
        <w:t xml:space="preserve">my </w:t>
      </w:r>
      <w:r w:rsidR="0057705A">
        <w:t>interpretations of the texts examined</w:t>
      </w:r>
      <w:r w:rsidR="00A44FDE">
        <w:t xml:space="preserve">; </w:t>
      </w:r>
      <w:r w:rsidR="0057705A">
        <w:t>exploring my stream of consciousness as I examine the images and feelings the written work evokes in this reader. The narration and</w:t>
      </w:r>
      <w:r w:rsidR="00154A14">
        <w:t xml:space="preserve"> differing</w:t>
      </w:r>
      <w:r w:rsidR="0057705A">
        <w:t xml:space="preserve"> voices which is evident in modernist texts will be the main theme</w:t>
      </w:r>
      <w:r w:rsidR="00FE379A">
        <w:t>,</w:t>
      </w:r>
      <w:r w:rsidR="0057705A">
        <w:t xml:space="preserve"> and how the introduction to modernism and modernisms has opened my eyes to a much more eclectic perspective of the arts. </w:t>
      </w:r>
      <w:r w:rsidR="00A44FDE">
        <w:t>An</w:t>
      </w:r>
      <w:r w:rsidR="0057705A">
        <w:t xml:space="preserve"> interview with Leonora Carrington opened my heart and my eyes, she maintains that art is not to be thought about </w:t>
      </w:r>
      <w:r w:rsidR="00727D19">
        <w:t>it is to be</w:t>
      </w:r>
      <w:r w:rsidR="0057705A">
        <w:t xml:space="preserve"> felt</w:t>
      </w:r>
      <w:r w:rsidR="00A44FDE">
        <w:t>.</w:t>
      </w:r>
      <w:r w:rsidR="00216560">
        <w:rPr>
          <w:rStyle w:val="FootnoteReference"/>
        </w:rPr>
        <w:footnoteReference w:id="1"/>
      </w:r>
      <w:r w:rsidR="0057705A">
        <w:t xml:space="preserve"> </w:t>
      </w:r>
    </w:p>
    <w:p w14:paraId="2D01E851" w14:textId="29B15456" w:rsidR="003D6BFC" w:rsidRPr="005C2F41" w:rsidRDefault="003D6BFC">
      <w:r>
        <w:t>Oh, to find</w:t>
      </w:r>
      <w:r>
        <w:rPr>
          <w:i/>
          <w:iCs/>
        </w:rPr>
        <w:t xml:space="preserve"> A Room of One’s Ow</w:t>
      </w:r>
      <w:r w:rsidR="00216560">
        <w:rPr>
          <w:i/>
          <w:iCs/>
        </w:rPr>
        <w:t xml:space="preserve">n; </w:t>
      </w:r>
      <w:r w:rsidR="005C2F41">
        <w:t>(and five hundred a year</w:t>
      </w:r>
      <w:r w:rsidR="00154A14">
        <w:t>,</w:t>
      </w:r>
      <w:r w:rsidR="005C2F41">
        <w:t xml:space="preserve"> of course)</w:t>
      </w:r>
    </w:p>
    <w:p w14:paraId="2054BBB1" w14:textId="1018F498" w:rsidR="00D272A8" w:rsidRDefault="008A10EE">
      <w:r>
        <w:t xml:space="preserve">The inspiration for this essay stems from the concept Virginia Woolf introduces in </w:t>
      </w:r>
      <w:r w:rsidRPr="005B5A45">
        <w:rPr>
          <w:i/>
          <w:iCs/>
        </w:rPr>
        <w:t xml:space="preserve">A </w:t>
      </w:r>
      <w:r w:rsidR="003D6BFC">
        <w:rPr>
          <w:i/>
          <w:iCs/>
        </w:rPr>
        <w:t>R</w:t>
      </w:r>
      <w:r w:rsidRPr="005B5A45">
        <w:rPr>
          <w:i/>
          <w:iCs/>
        </w:rPr>
        <w:t xml:space="preserve">oom of One’s Own </w:t>
      </w:r>
      <w:r>
        <w:t xml:space="preserve">of an androgynous mind. It is not the purpose of this essay to examine Woolf’s essay in its entirety, but to pick at some of the concepts within the work </w:t>
      </w:r>
      <w:r w:rsidR="005B5A45">
        <w:t>weaving</w:t>
      </w:r>
      <w:r>
        <w:t xml:space="preserve"> them through the voices in my own head, some from a philosophical perspective and others from my thoughts and feelings </w:t>
      </w:r>
      <w:r w:rsidR="005B5A45">
        <w:t xml:space="preserve">which have </w:t>
      </w:r>
      <w:r>
        <w:t>developed whilst exploring the relevant literature. Woolf initially introduces us to the androgynous mind as a reflection on the architecture of the soul</w:t>
      </w:r>
      <w:r w:rsidR="005B5A45">
        <w:t>,</w:t>
      </w:r>
      <w:r w:rsidR="008A2040">
        <w:t xml:space="preserve"> and the powers which preside in the brain; these powers are two in number, one half feminine</w:t>
      </w:r>
      <w:r w:rsidR="00154A14">
        <w:t>,</w:t>
      </w:r>
      <w:r w:rsidR="008A2040">
        <w:t xml:space="preserve"> the other masculine. The female brain is dominated by the feminine half and the male brain dominated by the masculine half</w:t>
      </w:r>
      <w:r w:rsidR="005B5A45">
        <w:t>;</w:t>
      </w:r>
      <w:r w:rsidR="005B5A45" w:rsidRPr="005B5A45">
        <w:t xml:space="preserve"> </w:t>
      </w:r>
      <w:r w:rsidR="005B5A45">
        <w:t>to have an androgynous mind is</w:t>
      </w:r>
      <w:r w:rsidR="008A2040">
        <w:t xml:space="preserve"> for these two halves to be in equilibrium</w:t>
      </w:r>
      <w:r w:rsidR="005B5A45">
        <w:t xml:space="preserve"> and</w:t>
      </w:r>
      <w:r w:rsidR="008A2040">
        <w:t xml:space="preserve"> that the opposing side should be effective on the other, that both sides should be in discourse with each other, “…. a great mind is androgynous. It is when this fusion takes place that the mind is fully fertilised and uses all its faculties.”</w:t>
      </w:r>
      <w:r w:rsidR="00216560">
        <w:rPr>
          <w:rStyle w:val="FootnoteReference"/>
        </w:rPr>
        <w:footnoteReference w:id="2"/>
      </w:r>
      <w:r w:rsidR="008A2040">
        <w:t xml:space="preserve"> </w:t>
      </w:r>
      <w:r w:rsidR="00B77616">
        <w:t>Woolf is brought to this thought</w:t>
      </w:r>
      <w:r w:rsidR="00154A14">
        <w:t>,</w:t>
      </w:r>
      <w:r w:rsidR="00B77616">
        <w:t xml:space="preserve"> in her narrative</w:t>
      </w:r>
      <w:r w:rsidR="00154A14">
        <w:t>,</w:t>
      </w:r>
      <w:r w:rsidR="00B77616">
        <w:t xml:space="preserve"> after witnessing a scene outside her window</w:t>
      </w:r>
      <w:r w:rsidR="00154A14">
        <w:t xml:space="preserve">: </w:t>
      </w:r>
      <w:r w:rsidR="00B77616">
        <w:t xml:space="preserve"> A man and a women </w:t>
      </w:r>
      <w:r w:rsidR="00557C68">
        <w:t>approach each other</w:t>
      </w:r>
      <w:r w:rsidR="00B77616">
        <w:t xml:space="preserve"> diagonally from one side of the street to the other, </w:t>
      </w:r>
      <w:r w:rsidR="004747A3">
        <w:t xml:space="preserve">they are brought </w:t>
      </w:r>
      <w:r w:rsidR="00B77616">
        <w:t xml:space="preserve">together at the point </w:t>
      </w:r>
      <w:r w:rsidR="00557C68">
        <w:t xml:space="preserve">at which </w:t>
      </w:r>
      <w:r w:rsidR="00B77616">
        <w:t>the</w:t>
      </w:r>
      <w:r w:rsidR="00557C68">
        <w:t>y</w:t>
      </w:r>
      <w:r w:rsidR="00B77616">
        <w:t xml:space="preserve"> </w:t>
      </w:r>
      <w:r w:rsidR="004747A3">
        <w:t>greet each other and</w:t>
      </w:r>
      <w:r w:rsidR="00B77616">
        <w:t xml:space="preserve"> get into a taxi</w:t>
      </w:r>
      <w:r w:rsidR="005F2B43">
        <w:t>:</w:t>
      </w:r>
      <w:r w:rsidR="00B77616">
        <w:t xml:space="preserve"> “and the cab glided off as if it were swept on by the current elsewhere.”</w:t>
      </w:r>
      <w:r w:rsidR="00216560">
        <w:rPr>
          <w:rStyle w:val="FootnoteReference"/>
        </w:rPr>
        <w:footnoteReference w:id="3"/>
      </w:r>
      <w:r w:rsidR="0025141C">
        <w:t>Th</w:t>
      </w:r>
      <w:r w:rsidR="004747A3">
        <w:t>e</w:t>
      </w:r>
      <w:r w:rsidR="0025141C">
        <w:t xml:space="preserve"> image implies the coming together of the masculine and feminine sides of the mind/brain/soul and </w:t>
      </w:r>
      <w:r w:rsidR="005B5A45">
        <w:t xml:space="preserve">that </w:t>
      </w:r>
      <w:r w:rsidR="0025141C">
        <w:t>they travel together on an energy of its own making.</w:t>
      </w:r>
      <w:r w:rsidR="00DB0E21">
        <w:t xml:space="preserve"> </w:t>
      </w:r>
      <w:r w:rsidR="003D5987">
        <w:t>“the mind felt as if, after being divided it had come together again in a natural fusion.”</w:t>
      </w:r>
      <w:r w:rsidR="00216560">
        <w:rPr>
          <w:rStyle w:val="FootnoteReference"/>
        </w:rPr>
        <w:footnoteReference w:id="4"/>
      </w:r>
      <w:r w:rsidR="003D5987">
        <w:t xml:space="preserve"> This is how Woolf describes the feeling when the man and woman enter the taxi. </w:t>
      </w:r>
      <w:r w:rsidR="00DB0E21">
        <w:t>The use of the words min</w:t>
      </w:r>
      <w:r w:rsidR="009060AD">
        <w:t>d, brain and soul can be interpreted as conscious thought, but for me the concept of feeling must also be included. The feelings and instincts often referred to as intuitions are a part of the human mind/brain/soul which develop and give expression to our creativity. I digress, back to Woolf</w:t>
      </w:r>
      <w:r w:rsidR="005F2B43">
        <w:t>,</w:t>
      </w:r>
      <w:r w:rsidR="005B5A45">
        <w:t xml:space="preserve"> “the androgynous mind is resonant and porous; that it transmits emotion </w:t>
      </w:r>
      <w:r w:rsidR="005B5A45">
        <w:lastRenderedPageBreak/>
        <w:t>without impediment; that it is naturally creative, incandescent and undividable</w:t>
      </w:r>
      <w:r w:rsidR="0029595D">
        <w:t>.”</w:t>
      </w:r>
      <w:r w:rsidR="00D762BF">
        <w:rPr>
          <w:rStyle w:val="FootnoteReference"/>
        </w:rPr>
        <w:footnoteReference w:id="5"/>
      </w:r>
      <w:r w:rsidR="00942741">
        <w:rPr>
          <w:color w:val="FF0000"/>
        </w:rPr>
        <w:t xml:space="preserve"> </w:t>
      </w:r>
      <w:r w:rsidR="00D762BF">
        <w:t>“</w:t>
      </w:r>
      <w:r w:rsidR="00942741">
        <w:t>...</w:t>
      </w:r>
      <w:r w:rsidR="0029595D">
        <w:t>One must turn back to Shakespeare then, for Shakespeare was androgynous;”</w:t>
      </w:r>
      <w:r w:rsidR="00D762BF">
        <w:rPr>
          <w:rStyle w:val="FootnoteReference"/>
        </w:rPr>
        <w:footnoteReference w:id="6"/>
      </w:r>
      <w:r w:rsidR="0029595D">
        <w:rPr>
          <w:color w:val="FF0000"/>
        </w:rPr>
        <w:t xml:space="preserve"> </w:t>
      </w:r>
      <w:r w:rsidR="0029595D">
        <w:t>I don’t think that Woolf meant that literally, but that Shakespeare had an androgynous mind, and so too would have had his sister, Judith</w:t>
      </w:r>
      <w:r w:rsidR="003D5987">
        <w:t>. Woolf introduces the idea of Shakespeare’s sister at</w:t>
      </w:r>
      <w:r w:rsidR="005F2B43">
        <w:t xml:space="preserve"> a part of the</w:t>
      </w:r>
      <w:r w:rsidR="003D5987">
        <w:t xml:space="preserve"> essay reflecting on the ideas of a much dead Bishop, “who declared that it was impossible for any woman, past, present, or to come, to have the genius of Shakespeare.</w:t>
      </w:r>
      <w:r w:rsidR="00F36CF4">
        <w:t>”</w:t>
      </w:r>
      <w:r w:rsidR="00D762BF">
        <w:rPr>
          <w:rStyle w:val="FootnoteReference"/>
        </w:rPr>
        <w:footnoteReference w:id="7"/>
      </w:r>
      <w:r w:rsidR="00F36CF4">
        <w:t>Woolf agrees, but her reasons are no</w:t>
      </w:r>
      <w:r w:rsidR="004747A3">
        <w:t>t</w:t>
      </w:r>
      <w:r w:rsidR="00F36CF4">
        <w:t xml:space="preserve"> to do with a wom</w:t>
      </w:r>
      <w:r w:rsidR="00FE379A">
        <w:t>a</w:t>
      </w:r>
      <w:r w:rsidR="00F36CF4">
        <w:t xml:space="preserve">n’s mental capacities. If Shakespeare had had a talented sister, her talents would not have had the chance to develop. We would never have heard her voice in soliloquy, prose or rhyme. Shakespeare married had children and ventured of to London, </w:t>
      </w:r>
      <w:r w:rsidR="00557C68">
        <w:t xml:space="preserve">whilst </w:t>
      </w:r>
      <w:r w:rsidR="00F36CF4">
        <w:t xml:space="preserve">Judith </w:t>
      </w:r>
      <w:r w:rsidR="00557C68">
        <w:t>stayed</w:t>
      </w:r>
      <w:r w:rsidR="00F36CF4">
        <w:t xml:space="preserve"> home</w:t>
      </w:r>
      <w:r w:rsidR="00557C68">
        <w:t>, and was promised by her father to a man</w:t>
      </w:r>
      <w:r w:rsidR="00FE379A">
        <w:t xml:space="preserve"> </w:t>
      </w:r>
      <w:r w:rsidR="00557C68">
        <w:t>she did not love, as a brood mare. “</w:t>
      </w:r>
      <w:r w:rsidR="00F36CF4">
        <w:t>She was as adventurous, as imaginative, as agog to see the world as he [William] was.”</w:t>
      </w:r>
      <w:r w:rsidR="00D762BF">
        <w:rPr>
          <w:rStyle w:val="FootnoteReference"/>
        </w:rPr>
        <w:footnoteReference w:id="8"/>
      </w:r>
      <w:r w:rsidR="005F2B43">
        <w:rPr>
          <w:color w:val="FF0000"/>
        </w:rPr>
        <w:t xml:space="preserve"> </w:t>
      </w:r>
      <w:r w:rsidR="005F2B43">
        <w:t xml:space="preserve">Woolf relays the realities of Judith’s plight, </w:t>
      </w:r>
      <w:r w:rsidR="00557C68">
        <w:t>which</w:t>
      </w:r>
      <w:r w:rsidR="005F2B43">
        <w:t xml:space="preserve"> is quite different from her brothers: pregnant with the stage manager’s child she commits suicide, her voice is silenced forever. However,</w:t>
      </w:r>
      <w:r w:rsidR="00A044E6">
        <w:t xml:space="preserve"> the </w:t>
      </w:r>
      <w:r w:rsidR="00557C68">
        <w:t>central</w:t>
      </w:r>
      <w:r w:rsidR="00A044E6">
        <w:t xml:space="preserve"> </w:t>
      </w:r>
      <w:r w:rsidR="00557C68">
        <w:t>premise</w:t>
      </w:r>
      <w:r w:rsidR="00A044E6">
        <w:t xml:space="preserve"> of </w:t>
      </w:r>
      <w:r w:rsidR="00A044E6">
        <w:rPr>
          <w:i/>
          <w:iCs/>
        </w:rPr>
        <w:t xml:space="preserve">A Room of One’s Own </w:t>
      </w:r>
      <w:r w:rsidR="00A044E6">
        <w:t>is to encourage women to write</w:t>
      </w:r>
      <w:r w:rsidR="00557C68">
        <w:t>.</w:t>
      </w:r>
      <w:r w:rsidR="00A044E6">
        <w:t xml:space="preserve"> Woolf recommends she should have five hundred pound a year, as an income, and a room of her own – with a lock on the door. If Judith had had those two things, she would have had the chance to develop and express her adventurous imaginings</w:t>
      </w:r>
      <w:r w:rsidR="006302EA">
        <w:t>, her voice would not have been silenced.</w:t>
      </w:r>
      <w:r w:rsidR="00A044E6">
        <w:t xml:space="preserve"> “She [Judith] lives in you and me[…] for great poets do not die;</w:t>
      </w:r>
      <w:r w:rsidR="006302EA">
        <w:t xml:space="preserve"> they are continuing presence</w:t>
      </w:r>
      <w:r w:rsidR="00555E22">
        <w:t>s</w:t>
      </w:r>
      <w:r w:rsidR="006302EA">
        <w:t xml:space="preserve">; they need only </w:t>
      </w:r>
      <w:r w:rsidR="00555E22">
        <w:t xml:space="preserve">the opportunity to </w:t>
      </w:r>
      <w:r w:rsidR="006302EA">
        <w:t>walk among us in the flesh.”</w:t>
      </w:r>
      <w:r w:rsidR="00D762BF">
        <w:rPr>
          <w:rStyle w:val="FootnoteReference"/>
        </w:rPr>
        <w:footnoteReference w:id="9"/>
      </w:r>
      <w:r w:rsidR="006302EA">
        <w:t xml:space="preserve"> These encouraging words from Woolf are in the final part of the essay, offering encouragement to the female voice, it is not to be silenced. Woolf encourages women to have the courage to step out of the domestic role, the step into the world o</w:t>
      </w:r>
      <w:r w:rsidR="00555E22">
        <w:t>f</w:t>
      </w:r>
      <w:r w:rsidR="006302EA">
        <w:t xml:space="preserve"> imaginings</w:t>
      </w:r>
      <w:r w:rsidR="00555E22">
        <w:t>,</w:t>
      </w:r>
      <w:r w:rsidR="006302EA">
        <w:t xml:space="preserve"> </w:t>
      </w:r>
      <w:r w:rsidR="00555E22">
        <w:t>to</w:t>
      </w:r>
      <w:r w:rsidR="006302EA">
        <w:t xml:space="preserve"> find the voice of a writer</w:t>
      </w:r>
      <w:r w:rsidR="00555E22">
        <w:t xml:space="preserve"> and</w:t>
      </w:r>
      <w:r w:rsidR="006302EA">
        <w:t xml:space="preserve"> to share with the world her thoughts on all things, </w:t>
      </w:r>
    </w:p>
    <w:p w14:paraId="6FDCD146" w14:textId="7CE64856" w:rsidR="0029595D" w:rsidRDefault="00D272A8" w:rsidP="00555E22">
      <w:pPr>
        <w:ind w:left="720"/>
        <w:rPr>
          <w:color w:val="FF0000"/>
        </w:rPr>
      </w:pPr>
      <w:r>
        <w:t>no human being should shut out the view: if we face the fact, for it is a fact, that there is no arm to cling to, but that we go alone and our relation is to the world of reality and not only to the world of men and women</w:t>
      </w:r>
      <w:r w:rsidR="00D762BF">
        <w:t>.</w:t>
      </w:r>
      <w:r w:rsidR="00D762BF">
        <w:rPr>
          <w:rStyle w:val="FootnoteReference"/>
        </w:rPr>
        <w:footnoteReference w:id="10"/>
      </w:r>
    </w:p>
    <w:p w14:paraId="4A000BC3" w14:textId="55EA9589" w:rsidR="00D272A8" w:rsidRDefault="00D272A8" w:rsidP="00D272A8">
      <w:r>
        <w:t>The obvious sentiment here is that a wom</w:t>
      </w:r>
      <w:r w:rsidR="004747A3">
        <w:t>a</w:t>
      </w:r>
      <w:r>
        <w:t>n has as much right, though not the privilege, as a man to write on any subject she deems worthwhile, that a women’s voice should not only be heard in dome</w:t>
      </w:r>
      <w:r w:rsidR="00D643D5">
        <w:t>stic bliss and to do lists, but should be heard in the debates of politics, the colloquiums of philosophy, the melody of the poem, the horrors of the tragic play, the heart-felt sympathy in the lyrics of a song</w:t>
      </w:r>
      <w:r w:rsidR="00555E22">
        <w:t>;</w:t>
      </w:r>
      <w:r w:rsidR="00D643D5">
        <w:t xml:space="preserve"> and it should be an authentic voice which speaks with the embodiment of Judith; she is reborn; that something of her hopes and talent is embodied in every women</w:t>
      </w:r>
      <w:r w:rsidR="00555E22">
        <w:t>,</w:t>
      </w:r>
      <w:r w:rsidR="00D643D5">
        <w:t xml:space="preserve"> as she writes and engages her androgynous mind in the activity of the stream of consciousness, as it flows from the waters that did </w:t>
      </w:r>
      <w:r w:rsidR="00555E22">
        <w:t xml:space="preserve">not succeed in </w:t>
      </w:r>
      <w:r w:rsidR="00D643D5">
        <w:t>drown</w:t>
      </w:r>
      <w:r w:rsidR="00555E22">
        <w:t>ing</w:t>
      </w:r>
      <w:r w:rsidR="00D643D5">
        <w:t xml:space="preserve"> out the etheric voice of Judith.</w:t>
      </w:r>
    </w:p>
    <w:p w14:paraId="5E5D4AEC" w14:textId="73C25A09" w:rsidR="00FE2689" w:rsidRDefault="008D2BDF" w:rsidP="00FE2689">
      <w:r>
        <w:t>On reflecting on the writing of men</w:t>
      </w:r>
      <w:r w:rsidR="00555E22">
        <w:t xml:space="preserve">, </w:t>
      </w:r>
      <w:r>
        <w:t>which is frank, full of liberties</w:t>
      </w:r>
      <w:r w:rsidR="00555E22">
        <w:t xml:space="preserve">, </w:t>
      </w:r>
      <w:r>
        <w:t>confidence</w:t>
      </w:r>
      <w:r w:rsidR="00555E22">
        <w:t xml:space="preserve"> and </w:t>
      </w:r>
      <w:r>
        <w:t xml:space="preserve">the presence of </w:t>
      </w:r>
      <w:r w:rsidR="00555E22">
        <w:t xml:space="preserve">the </w:t>
      </w:r>
      <w:r>
        <w:t>voice of a free thinker, an unopposed sound ringing with its unrestricted self</w:t>
      </w:r>
      <w:r w:rsidR="00555E22">
        <w:t>, we see</w:t>
      </w:r>
      <w:r>
        <w:t xml:space="preserve"> a spectre fall</w:t>
      </w:r>
      <w:r w:rsidR="00555E22">
        <w:t xml:space="preserve"> </w:t>
      </w:r>
      <w:r>
        <w:t>upon the page</w:t>
      </w:r>
      <w:r w:rsidR="00267016">
        <w:t>, “a shadow shaped something like an I[…] the letter ‘I’ all is shapeless as the mist”</w:t>
      </w:r>
      <w:r w:rsidR="00D762BF">
        <w:rPr>
          <w:rStyle w:val="FootnoteReference"/>
        </w:rPr>
        <w:footnoteReference w:id="11"/>
      </w:r>
      <w:r w:rsidR="00D762BF">
        <w:t>.</w:t>
      </w:r>
      <w:r w:rsidR="00267016">
        <w:t xml:space="preserve"> The ego let loose, and every picture it paints is in its shade. Nothing can grow and flourish in the shade</w:t>
      </w:r>
      <w:r w:rsidR="00555E22">
        <w:t xml:space="preserve"> of a shadow</w:t>
      </w:r>
      <w:r w:rsidR="00267016">
        <w:t xml:space="preserve">, the ground is arid and unnurtured. “There seemed to be some obstacle, some impediment in Mr A’s mind which blocked the fountain </w:t>
      </w:r>
      <w:r w:rsidR="008E74C8">
        <w:t xml:space="preserve">of creative energy and shored it within </w:t>
      </w:r>
      <w:r w:rsidR="008E74C8">
        <w:lastRenderedPageBreak/>
        <w:t>narrow limits.”</w:t>
      </w:r>
      <w:r w:rsidR="00D762BF">
        <w:rPr>
          <w:rStyle w:val="FootnoteReference"/>
        </w:rPr>
        <w:footnoteReference w:id="12"/>
      </w:r>
      <w:r w:rsidR="008E74C8">
        <w:t xml:space="preserve"> Here we see the straight jacket of masculine expression, a woman’s voice may not have enough ‘I’ in it, and a man’s voice would have too much. </w:t>
      </w:r>
      <w:r w:rsidR="007509C9">
        <w:t>A</w:t>
      </w:r>
      <w:r w:rsidR="008E74C8">
        <w:t xml:space="preserve"> writers voice would better speak with a balance of both master and mistress, if one </w:t>
      </w:r>
      <w:r w:rsidR="007509C9">
        <w:t>voice</w:t>
      </w:r>
      <w:r w:rsidR="008E74C8">
        <w:t xml:space="preserve"> domina</w:t>
      </w:r>
      <w:r w:rsidR="007509C9">
        <w:t>tes</w:t>
      </w:r>
      <w:r w:rsidR="008E74C8">
        <w:t xml:space="preserve"> th</w:t>
      </w:r>
      <w:r w:rsidR="007C1814">
        <w:t>at</w:t>
      </w:r>
      <w:r w:rsidR="008E74C8">
        <w:t xml:space="preserve"> voice is </w:t>
      </w:r>
      <w:r w:rsidR="007509C9">
        <w:t>diminished</w:t>
      </w:r>
      <w:r w:rsidR="008E74C8">
        <w:t xml:space="preserve">, a whisper is heard, </w:t>
      </w:r>
      <w:r w:rsidR="007509C9">
        <w:t>that</w:t>
      </w:r>
      <w:r w:rsidR="008E74C8">
        <w:t xml:space="preserve"> does not penetrate the senses as would a full well rounded androgynous voice</w:t>
      </w:r>
      <w:r w:rsidR="007509C9">
        <w:t>;</w:t>
      </w:r>
      <w:r w:rsidR="008E74C8">
        <w:t xml:space="preserve"> a voice which could walk in anyone’s shoes, a voice that would dance to the tune which marches with the beat of a human heart.</w:t>
      </w:r>
    </w:p>
    <w:p w14:paraId="45E3E7DF" w14:textId="3997821C" w:rsidR="003D6BFC" w:rsidRPr="00D272A8" w:rsidRDefault="003D6BFC" w:rsidP="00FE2689"/>
    <w:p w14:paraId="64AE88F2" w14:textId="77777777" w:rsidR="007509C9" w:rsidRDefault="007509C9" w:rsidP="00D272A8">
      <w:pPr>
        <w:rPr>
          <w:i/>
          <w:iCs/>
        </w:rPr>
      </w:pPr>
    </w:p>
    <w:p w14:paraId="146D67F8" w14:textId="20D34944" w:rsidR="003D6BFC" w:rsidRPr="003D6BFC" w:rsidRDefault="003D6BFC" w:rsidP="00D272A8">
      <w:pPr>
        <w:rPr>
          <w:i/>
          <w:iCs/>
        </w:rPr>
      </w:pPr>
      <w:r>
        <w:rPr>
          <w:i/>
          <w:iCs/>
        </w:rPr>
        <w:t>T</w:t>
      </w:r>
      <w:r w:rsidRPr="003D6BFC">
        <w:rPr>
          <w:i/>
          <w:iCs/>
        </w:rPr>
        <w:t xml:space="preserve">o </w:t>
      </w:r>
      <w:proofErr w:type="gramStart"/>
      <w:r>
        <w:rPr>
          <w:i/>
          <w:iCs/>
        </w:rPr>
        <w:t>T</w:t>
      </w:r>
      <w:r w:rsidRPr="003D6BFC">
        <w:rPr>
          <w:i/>
          <w:iCs/>
        </w:rPr>
        <w:t>he</w:t>
      </w:r>
      <w:proofErr w:type="gramEnd"/>
      <w:r w:rsidRPr="003D6BFC">
        <w:rPr>
          <w:i/>
          <w:iCs/>
        </w:rPr>
        <w:t xml:space="preserve"> Lighthouse</w:t>
      </w:r>
      <w:r>
        <w:rPr>
          <w:i/>
          <w:iCs/>
        </w:rPr>
        <w:t>,</w:t>
      </w:r>
      <w:r w:rsidRPr="003D6BFC">
        <w:rPr>
          <w:i/>
          <w:iCs/>
        </w:rPr>
        <w:t xml:space="preserve"> </w:t>
      </w:r>
      <w:r w:rsidRPr="003D6BFC">
        <w:t>we must go</w:t>
      </w:r>
      <w:r>
        <w:rPr>
          <w:i/>
          <w:iCs/>
        </w:rPr>
        <w:t>…</w:t>
      </w:r>
    </w:p>
    <w:p w14:paraId="0B5C76EF" w14:textId="495BAB29" w:rsidR="000C7C5D" w:rsidRDefault="000C7C5D" w:rsidP="00D272A8">
      <w:r>
        <w:t>The writing of men</w:t>
      </w:r>
      <w:r w:rsidR="003D6BFC">
        <w:t>, as</w:t>
      </w:r>
      <w:r>
        <w:t xml:space="preserve"> Woolf refers to</w:t>
      </w:r>
      <w:r w:rsidR="003D6BFC">
        <w:t xml:space="preserve"> in a </w:t>
      </w:r>
      <w:r w:rsidR="003D6BFC">
        <w:rPr>
          <w:i/>
          <w:iCs/>
        </w:rPr>
        <w:t>Room of One’s Own,</w:t>
      </w:r>
      <w:r>
        <w:t xml:space="preserve"> is likely to show us how mountains were conquered, colonies built, great inventions manufactured, epic novels written</w:t>
      </w:r>
      <w:r w:rsidR="0058051B">
        <w:t>, battles fought and won</w:t>
      </w:r>
      <w:r w:rsidR="00FE2689">
        <w:t>. A woman could not achieve such things, as we see from the example of Judith Shakespeare, the opportunities were not hers to be had.</w:t>
      </w:r>
      <w:r w:rsidR="009D3D17">
        <w:t xml:space="preserve"> The conquering of mountains is reflected on in the description of Mr Ramsey</w:t>
      </w:r>
      <w:r w:rsidR="00AD7B82">
        <w:t xml:space="preserve">’s mind, as described in a narrated stream of consciousness </w:t>
      </w:r>
      <w:r w:rsidR="009D3D17">
        <w:t xml:space="preserve">in </w:t>
      </w:r>
      <w:r w:rsidR="00AD7B82">
        <w:t>Woolf’s</w:t>
      </w:r>
      <w:r w:rsidR="009D3D17">
        <w:t xml:space="preserve"> novel </w:t>
      </w:r>
      <w:r w:rsidR="009D3D17">
        <w:rPr>
          <w:i/>
          <w:iCs/>
        </w:rPr>
        <w:t>To</w:t>
      </w:r>
      <w:r w:rsidR="004B0BAA">
        <w:rPr>
          <w:i/>
          <w:iCs/>
        </w:rPr>
        <w:t xml:space="preserve"> </w:t>
      </w:r>
      <w:r w:rsidR="009D3D17">
        <w:rPr>
          <w:i/>
          <w:iCs/>
        </w:rPr>
        <w:t>The Lighthouse</w:t>
      </w:r>
      <w:r w:rsidR="009D3D17">
        <w:t xml:space="preserve">. </w:t>
      </w:r>
    </w:p>
    <w:p w14:paraId="5D503227" w14:textId="4BF70ABA" w:rsidR="009D3D17" w:rsidRPr="00200684" w:rsidRDefault="009D3D17" w:rsidP="004B0BAA">
      <w:pPr>
        <w:ind w:left="720"/>
        <w:rPr>
          <w:color w:val="FF0000"/>
        </w:rPr>
      </w:pPr>
      <w:r>
        <w:t>It was a splendid</w:t>
      </w:r>
      <w:r w:rsidR="00AD7B82">
        <w:t xml:space="preserve"> mind. For if thought is like the keyboard of a piano, divided into so many notes, or like an alphabet is ranged in twenty- six letters all in order, then his splendid mind</w:t>
      </w:r>
      <w:r w:rsidR="004B0BAA">
        <w:t xml:space="preserve"> had no sort of difficulty in running over those letters one by one, firmly and accurately, until it had reached the letter Q. He reached Q. Very few people in the whole of England ever reached Q.</w:t>
      </w:r>
      <w:r w:rsidR="00D762BF">
        <w:rPr>
          <w:rStyle w:val="FootnoteReference"/>
        </w:rPr>
        <w:footnoteReference w:id="13"/>
      </w:r>
    </w:p>
    <w:p w14:paraId="6113468C" w14:textId="02C06CA9" w:rsidR="00156BC0" w:rsidRDefault="004B0BAA" w:rsidP="004B0BAA">
      <w:r>
        <w:t>Mr Ramsey is a lecturer in philosophy, the above narrative depicts the linear process of logical thought. From A we should arrive at B, then onto C and so on and so forth. Mr Ramsey</w:t>
      </w:r>
      <w:r w:rsidR="007509C9">
        <w:t>’s mind</w:t>
      </w:r>
      <w:r>
        <w:t xml:space="preserve"> has pro</w:t>
      </w:r>
      <w:r w:rsidR="00200684">
        <w:t>cessed that chain of cause and effect and landed at R; “Z is only reached once by one man in a generation. Still, if he could reach R it would be something”</w:t>
      </w:r>
      <w:r w:rsidR="00BD7A8B">
        <w:rPr>
          <w:rStyle w:val="FootnoteReference"/>
        </w:rPr>
        <w:footnoteReference w:id="14"/>
      </w:r>
      <w:r w:rsidR="00200684">
        <w:t>. The qualities of being at R would make Mr Ramsey a leader of men, a hero, willing to lay down his life in his quest to conquer mountains,</w:t>
      </w:r>
      <w:r w:rsidR="00D22769">
        <w:t xml:space="preserve"> build </w:t>
      </w:r>
      <w:r w:rsidR="00150EA9">
        <w:t>colonies</w:t>
      </w:r>
      <w:r w:rsidR="00D22769">
        <w:t xml:space="preserve"> and win battle</w:t>
      </w:r>
      <w:r w:rsidR="00150EA9">
        <w:t>s</w:t>
      </w:r>
      <w:r w:rsidR="00D22769">
        <w:t xml:space="preserve">. In a moment of </w:t>
      </w:r>
      <w:r w:rsidR="00150EA9">
        <w:t>self-reflection</w:t>
      </w:r>
      <w:r w:rsidR="00D22769">
        <w:t xml:space="preserve"> Ramsey declares that he will never reach R. However, his reflections do throw light upon the achievements of Shakespeare. </w:t>
      </w:r>
    </w:p>
    <w:p w14:paraId="799E1D3B" w14:textId="3343973B" w:rsidR="004B0BAA" w:rsidRPr="00156BC0" w:rsidRDefault="00D22769" w:rsidP="00156BC0">
      <w:pPr>
        <w:ind w:left="720"/>
        <w:rPr>
          <w:color w:val="FF0000"/>
        </w:rPr>
      </w:pPr>
      <w:r>
        <w:t xml:space="preserve">His own little light would shine, not very brightly, for a year or two, and then would be merged with some bigger light, and that </w:t>
      </w:r>
      <w:r w:rsidR="007509C9">
        <w:t xml:space="preserve">in </w:t>
      </w:r>
      <w:r>
        <w:t>a bigger light</w:t>
      </w:r>
      <w:r w:rsidR="00156BC0">
        <w:t>, and that in a bigger light still.</w:t>
      </w:r>
      <w:r w:rsidR="00BD7A8B">
        <w:rPr>
          <w:rStyle w:val="FootnoteReference"/>
        </w:rPr>
        <w:footnoteReference w:id="15"/>
      </w:r>
    </w:p>
    <w:p w14:paraId="10B919CA" w14:textId="3F8EA1B0" w:rsidR="005A79ED" w:rsidRDefault="00156BC0" w:rsidP="00D272A8">
      <w:r>
        <w:t>From the above quote we return to the idea Woo</w:t>
      </w:r>
      <w:r w:rsidR="007509C9">
        <w:t>l</w:t>
      </w:r>
      <w:r>
        <w:t>f presents of Judith and the mergence of all voices to form an eternal choir. Judith’s dead talents liv</w:t>
      </w:r>
      <w:r w:rsidR="00576285">
        <w:t>e</w:t>
      </w:r>
      <w:r>
        <w:t xml:space="preserve"> on in all women who </w:t>
      </w:r>
      <w:r w:rsidR="00576285">
        <w:t>w</w:t>
      </w:r>
      <w:r>
        <w:t>rit</w:t>
      </w:r>
      <w:r w:rsidR="00576285">
        <w:t>e;</w:t>
      </w:r>
      <w:r>
        <w:t xml:space="preserve"> the more women who write the brighter the light, the louder the sound as the</w:t>
      </w:r>
      <w:r w:rsidR="00576285">
        <w:t>ir</w:t>
      </w:r>
      <w:r>
        <w:t xml:space="preserve"> voices conjoin</w:t>
      </w:r>
      <w:r w:rsidR="00576285">
        <w:t xml:space="preserve"> and are assimilated </w:t>
      </w:r>
      <w:r>
        <w:t xml:space="preserve">in </w:t>
      </w:r>
      <w:r w:rsidR="00576285">
        <w:t>the</w:t>
      </w:r>
      <w:r>
        <w:t xml:space="preserve"> voice</w:t>
      </w:r>
      <w:r w:rsidR="00576285">
        <w:t xml:space="preserve"> of the literature we read and write today.</w:t>
      </w:r>
      <w:r w:rsidR="00F3461F">
        <w:t xml:space="preserve"> For me Mr Ramsey’s reflections are not that his light will diminish, and be absorbed in a loss of identity, </w:t>
      </w:r>
      <w:r w:rsidR="00150EA9">
        <w:t xml:space="preserve">but, that </w:t>
      </w:r>
      <w:r w:rsidR="00F3461F">
        <w:t>the overall light will shine brighter because of his input</w:t>
      </w:r>
      <w:r w:rsidR="00150EA9">
        <w:t>.</w:t>
      </w:r>
    </w:p>
    <w:p w14:paraId="5BC010B9" w14:textId="410619DD" w:rsidR="000D43FF" w:rsidRDefault="000D43FF" w:rsidP="00D272A8">
      <w:r>
        <w:t>A</w:t>
      </w:r>
      <w:r w:rsidR="001A7867">
        <w:t xml:space="preserve">t </w:t>
      </w:r>
      <w:r>
        <w:t>a</w:t>
      </w:r>
      <w:r w:rsidR="001A7867">
        <w:t xml:space="preserve"> dinner party</w:t>
      </w:r>
      <w:r>
        <w:t xml:space="preserve"> </w:t>
      </w:r>
      <w:r w:rsidR="003D6BFC">
        <w:t>with the</w:t>
      </w:r>
      <w:r>
        <w:t xml:space="preserve"> Ramsey</w:t>
      </w:r>
      <w:r w:rsidR="00150EA9">
        <w:t>’</w:t>
      </w:r>
      <w:r w:rsidR="003D6BFC">
        <w:t>s</w:t>
      </w:r>
      <w:r>
        <w:t>,</w:t>
      </w:r>
      <w:r w:rsidR="001A7867">
        <w:t xml:space="preserve"> a</w:t>
      </w:r>
      <w:r w:rsidR="000957B2">
        <w:t>n</w:t>
      </w:r>
      <w:r w:rsidR="001A7867">
        <w:t xml:space="preserve"> exchange of conscious thought is narrated between Lily Biscoe, a female painter of modern art, and Charles Tansley, a philosophy student of Mr Ramsey’s</w:t>
      </w:r>
      <w:r w:rsidR="000957B2">
        <w:t xml:space="preserve">. </w:t>
      </w:r>
      <w:r w:rsidR="00D65EFB">
        <w:t xml:space="preserve">Charles describes himself </w:t>
      </w:r>
      <w:r w:rsidR="00281E91">
        <w:t>as like a pair of old boots; that having got wet, the</w:t>
      </w:r>
      <w:r w:rsidR="00150EA9">
        <w:t xml:space="preserve"> now dried out boots are </w:t>
      </w:r>
      <w:r w:rsidR="00281E91">
        <w:lastRenderedPageBreak/>
        <w:t>stiff and lifeless</w:t>
      </w:r>
      <w:r w:rsidR="00150EA9">
        <w:t>, and</w:t>
      </w:r>
      <w:r w:rsidR="00281E91">
        <w:t xml:space="preserve"> refuse to fit so easily</w:t>
      </w:r>
      <w:r w:rsidR="00150EA9">
        <w:t xml:space="preserve"> as before</w:t>
      </w:r>
      <w:r w:rsidR="00281E91">
        <w:t>. “…he felt rigid and barren […] yet he must fit his feet into them. He must make himself talk.”</w:t>
      </w:r>
      <w:r w:rsidR="00BD7A8B">
        <w:rPr>
          <w:rStyle w:val="FootnoteReference"/>
        </w:rPr>
        <w:footnoteReference w:id="16"/>
      </w:r>
      <w:r w:rsidR="00281E91">
        <w:t xml:space="preserve"> But, he does not understand the monosyllabic dinner party language, it is foreign to him. </w:t>
      </w:r>
    </w:p>
    <w:p w14:paraId="70742C72" w14:textId="552C9861" w:rsidR="00281E91" w:rsidRPr="003D6BFC" w:rsidRDefault="000D43FF" w:rsidP="003D6BFC">
      <w:pPr>
        <w:ind w:left="720"/>
        <w:rPr>
          <w:color w:val="FF0000"/>
        </w:rPr>
      </w:pPr>
      <w:r>
        <w:t>They did talk nonsense, he thought, the Ramseys; and he pounced on this fresh instance with joy, making a note which, one of these days he would read aloud, to one or two of his friends. There, in a society where one could say what one liked he would sarcastically describe ‘staying with the Ramseys</w:t>
      </w:r>
      <w:r w:rsidR="003D6BFC">
        <w:t>’ and what nonsense they talked.</w:t>
      </w:r>
      <w:r w:rsidR="00BD7A8B">
        <w:rPr>
          <w:rStyle w:val="FootnoteReference"/>
        </w:rPr>
        <w:footnoteReference w:id="17"/>
      </w:r>
    </w:p>
    <w:p w14:paraId="6C441727" w14:textId="3EC4DDED" w:rsidR="001A7867" w:rsidRDefault="000957B2" w:rsidP="00D272A8">
      <w:r>
        <w:t>Lily supposes that Mrs Ramsey, the hostess,</w:t>
      </w:r>
      <w:r w:rsidR="001A7867">
        <w:t xml:space="preserve"> </w:t>
      </w:r>
      <w:r>
        <w:t>feels sorry for Mr Tansley “she pitied men always as if they lacked some</w:t>
      </w:r>
      <w:r w:rsidR="00150EA9">
        <w:t>thing</w:t>
      </w:r>
      <w:r>
        <w:t xml:space="preserve"> – women never, as if they had something.”</w:t>
      </w:r>
      <w:r w:rsidR="00BD7A8B">
        <w:rPr>
          <w:rStyle w:val="FootnoteReference"/>
        </w:rPr>
        <w:footnoteReference w:id="18"/>
      </w:r>
      <w:r>
        <w:t xml:space="preserve"> </w:t>
      </w:r>
      <w:r w:rsidR="00150EA9">
        <w:t>Charles</w:t>
      </w:r>
      <w:r w:rsidR="007509C9">
        <w:t>’</w:t>
      </w:r>
      <w:r>
        <w:t xml:space="preserve"> th</w:t>
      </w:r>
      <w:r w:rsidR="00F20B75">
        <w:t xml:space="preserve">oughts are </w:t>
      </w:r>
      <w:r w:rsidR="007509C9">
        <w:t>juxtaposed with Lily’s</w:t>
      </w:r>
      <w:r>
        <w:t xml:space="preserve">. “He was not going to </w:t>
      </w:r>
      <w:r w:rsidR="00F20B75">
        <w:t xml:space="preserve">be </w:t>
      </w:r>
      <w:r>
        <w:t>condescended by these silly women.</w:t>
      </w:r>
      <w:r w:rsidR="00B37843">
        <w:t>[…]Women made civilisation impossible with all their ‘charm’ all their silliness.</w:t>
      </w:r>
      <w:r>
        <w:t>”</w:t>
      </w:r>
      <w:r w:rsidR="00BD7A8B">
        <w:rPr>
          <w:rStyle w:val="FootnoteReference"/>
        </w:rPr>
        <w:footnoteReference w:id="19"/>
      </w:r>
      <w:r w:rsidR="00B37843">
        <w:t>.Lily remembers Charles’ earlier declaration that “Women can’t write, woman can’t paint”</w:t>
      </w:r>
      <w:r w:rsidR="00BD7A8B">
        <w:rPr>
          <w:rStyle w:val="FootnoteReference"/>
        </w:rPr>
        <w:footnoteReference w:id="20"/>
      </w:r>
      <w:r w:rsidR="00B37843">
        <w:t xml:space="preserve"> The narration of Lily’s thoughts poses the question, </w:t>
      </w:r>
      <w:r w:rsidR="00D65EFB">
        <w:t>“…it was not true to him</w:t>
      </w:r>
      <w:r w:rsidR="007509C9">
        <w:t>,</w:t>
      </w:r>
      <w:r w:rsidR="00D65EFB">
        <w:t xml:space="preserve"> but for some reason helpful to him, and that is why he said it?” This questioning of Charles’ crusty statement implies Lily’s sympathies and understanding of Charles</w:t>
      </w:r>
      <w:r w:rsidR="00F20B75">
        <w:t xml:space="preserve">; </w:t>
      </w:r>
      <w:r w:rsidR="00D65EFB">
        <w:t>and reflects the notion that what men are lacking is the ability to walk in women’s high heels, whilst women, at least, tried to slip into men’s old boots.</w:t>
      </w:r>
    </w:p>
    <w:p w14:paraId="11E794CF" w14:textId="07B69D7F" w:rsidR="00233AC0" w:rsidRDefault="00233AC0" w:rsidP="00D272A8">
      <w:pPr>
        <w:rPr>
          <w:i/>
          <w:iCs/>
        </w:rPr>
      </w:pPr>
      <w:r>
        <w:t xml:space="preserve">A </w:t>
      </w:r>
      <w:r w:rsidRPr="00233AC0">
        <w:rPr>
          <w:i/>
          <w:iCs/>
        </w:rPr>
        <w:t xml:space="preserve">Prelude </w:t>
      </w:r>
      <w:r>
        <w:t>to</w:t>
      </w:r>
      <w:r w:rsidRPr="00233AC0">
        <w:rPr>
          <w:i/>
          <w:iCs/>
        </w:rPr>
        <w:t xml:space="preserve"> The Garden </w:t>
      </w:r>
      <w:proofErr w:type="gramStart"/>
      <w:r w:rsidRPr="00233AC0">
        <w:rPr>
          <w:i/>
          <w:iCs/>
        </w:rPr>
        <w:t>Party</w:t>
      </w:r>
      <w:r>
        <w:rPr>
          <w:i/>
          <w:iCs/>
        </w:rPr>
        <w:t>..</w:t>
      </w:r>
      <w:proofErr w:type="gramEnd"/>
    </w:p>
    <w:p w14:paraId="131214E2" w14:textId="00457B2E" w:rsidR="00DE7677" w:rsidRPr="00D04AFD" w:rsidRDefault="00074659" w:rsidP="00D272A8">
      <w:pPr>
        <w:rPr>
          <w:color w:val="FF0000"/>
        </w:rPr>
      </w:pPr>
      <w:r>
        <w:t xml:space="preserve">Katherine Mansfield’s short stories also demonstrate the juxtaposing </w:t>
      </w:r>
      <w:r w:rsidR="007C1814">
        <w:t xml:space="preserve">of </w:t>
      </w:r>
      <w:r>
        <w:t>the train of consciousness of men and women. Between</w:t>
      </w:r>
      <w:r w:rsidR="00177D2E">
        <w:t xml:space="preserve"> two of the characters in </w:t>
      </w:r>
      <w:r w:rsidR="00177D2E">
        <w:rPr>
          <w:i/>
          <w:iCs/>
        </w:rPr>
        <w:t>Prelude</w:t>
      </w:r>
      <w:r w:rsidR="00177D2E">
        <w:t xml:space="preserve">, </w:t>
      </w:r>
      <w:r>
        <w:t>Linda Burnell and her husband Stanley</w:t>
      </w:r>
      <w:r w:rsidR="00177D2E">
        <w:t>,</w:t>
      </w:r>
      <w:r>
        <w:t xml:space="preserve"> we see two entirely different views of their relationship</w:t>
      </w:r>
      <w:r w:rsidR="00177D2E">
        <w:t xml:space="preserve">. </w:t>
      </w:r>
      <w:r w:rsidR="00DE7677">
        <w:t xml:space="preserve">As </w:t>
      </w:r>
      <w:r w:rsidR="00177D2E">
        <w:t>Stanley</w:t>
      </w:r>
      <w:r w:rsidR="00DE7677">
        <w:t xml:space="preserve"> returns from </w:t>
      </w:r>
      <w:r w:rsidR="007C1814">
        <w:t xml:space="preserve">his </w:t>
      </w:r>
      <w:r w:rsidR="00DE7677">
        <w:t>work</w:t>
      </w:r>
      <w:r w:rsidR="006C3075">
        <w:t>, he purchases some cherries, he picks out a paired couple of cherries, which he admires as they are black on one side and white on the other. Stanley likes things equally divided, with</w:t>
      </w:r>
      <w:r w:rsidR="004747A3">
        <w:t xml:space="preserve"> both</w:t>
      </w:r>
      <w:r w:rsidR="006C3075">
        <w:t xml:space="preserve"> sides defined and separated by their differences. He places the cherries in his buttonhole. He goes on to plan his weekend and</w:t>
      </w:r>
      <w:r w:rsidR="00177D2E">
        <w:t xml:space="preserve"> </w:t>
      </w:r>
      <w:r w:rsidR="00DE7677">
        <w:t>imagines</w:t>
      </w:r>
      <w:r w:rsidR="00177D2E">
        <w:t xml:space="preserve"> an idealistic Sunday with his wife</w:t>
      </w:r>
      <w:r w:rsidR="007C1814">
        <w:t xml:space="preserve"> after </w:t>
      </w:r>
      <w:r w:rsidR="00177D2E">
        <w:t>going to church in the morning</w:t>
      </w:r>
      <w:r w:rsidR="00D04AFD">
        <w:t>:</w:t>
      </w:r>
      <w:r w:rsidR="00BD7A8B">
        <w:rPr>
          <w:rStyle w:val="FootnoteReference"/>
        </w:rPr>
        <w:footnoteReference w:id="21"/>
      </w:r>
    </w:p>
    <w:p w14:paraId="78D281CC" w14:textId="3AB7396E" w:rsidR="00177D2E" w:rsidRDefault="00177D2E" w:rsidP="00DE7677">
      <w:pPr>
        <w:ind w:left="720"/>
      </w:pPr>
      <w:r>
        <w:t xml:space="preserve">…The rest of the day he’d loaf about with Linda…Now they were walking in the garden; she was on his arm, and he was explaining to her at length what he intended doing at the office the week following….Talking things over with Linda </w:t>
      </w:r>
      <w:r w:rsidR="00DE7677">
        <w:t>was a wonderful help even though they were apt to drift away from the point</w:t>
      </w:r>
      <w:r w:rsidR="00BD7A8B">
        <w:t>.</w:t>
      </w:r>
      <w:r w:rsidR="00BD7A8B">
        <w:rPr>
          <w:rStyle w:val="FootnoteReference"/>
        </w:rPr>
        <w:footnoteReference w:id="22"/>
      </w:r>
    </w:p>
    <w:p w14:paraId="79B2FD4B" w14:textId="49C1CF0F" w:rsidR="003C5766" w:rsidRDefault="007C1814" w:rsidP="007C1814">
      <w:r>
        <w:t>What idleness this is Stanley. A very lazy imagination is demonstrated in this yawning narrative</w:t>
      </w:r>
      <w:r w:rsidR="00EB2121">
        <w:t>. For Linda, Stanley’s wife we have a very different piece of narration. Linda is talking with her mother on the steps outside the house, they are discussing the large Aloe plant in the centre of the drive, on a grassy bank</w:t>
      </w:r>
      <w:r w:rsidR="006C3075">
        <w:t>. Linda</w:t>
      </w:r>
      <w:r w:rsidR="00D04AFD">
        <w:t xml:space="preserve">’s conscious flow of thought takes twists and </w:t>
      </w:r>
      <w:r w:rsidR="003C5766">
        <w:t>turns,</w:t>
      </w:r>
      <w:r w:rsidR="00D04AFD">
        <w:t xml:space="preserve"> she dreams of high seas ships with oars lifting out of the water and masts reaching up to the skies, her landscape is so much more expansive that Stanley’s. </w:t>
      </w:r>
      <w:r w:rsidR="004747A3">
        <w:t>The</w:t>
      </w:r>
      <w:r w:rsidR="00D04AFD">
        <w:t xml:space="preserve"> landscape</w:t>
      </w:r>
      <w:r w:rsidR="004747A3">
        <w:t xml:space="preserve"> of Linda’s imaginings</w:t>
      </w:r>
      <w:r w:rsidR="00D04AFD">
        <w:t xml:space="preserve"> is so much more real than stepping back into the house, into domestic bliss.</w:t>
      </w:r>
      <w:r w:rsidR="00BD7A8B">
        <w:rPr>
          <w:rStyle w:val="FootnoteReference"/>
        </w:rPr>
        <w:footnoteReference w:id="23"/>
      </w:r>
      <w:r w:rsidR="00D04AFD">
        <w:t xml:space="preserve"> Linda begins to expl</w:t>
      </w:r>
      <w:r w:rsidR="003C5766">
        <w:t>o</w:t>
      </w:r>
      <w:r w:rsidR="00D04AFD">
        <w:t>re her feelings for</w:t>
      </w:r>
      <w:r w:rsidR="003C5766">
        <w:t xml:space="preserve"> Stanley and refers to him as her Newfoundland dog and expresses for fondest for him, though he is a great bounding </w:t>
      </w:r>
      <w:r w:rsidR="003C5766">
        <w:lastRenderedPageBreak/>
        <w:t>beast who will jump on her, presumably at night, but she is fond of him by day.</w:t>
      </w:r>
      <w:r w:rsidR="00025046">
        <w:rPr>
          <w:rStyle w:val="FootnoteReference"/>
        </w:rPr>
        <w:footnoteReference w:id="24"/>
      </w:r>
      <w:r w:rsidR="003C5766">
        <w:t xml:space="preserve"> The implication that Linda is not fond of her husband’s amorous advances is clear.  The love and hate she feels are as clear as night and day with no defining lines, the two emotions merge with each other and are present at the same time</w:t>
      </w:r>
      <w:r w:rsidR="006217F4">
        <w:t>.</w:t>
      </w:r>
    </w:p>
    <w:p w14:paraId="1C72C389" w14:textId="41035A1F" w:rsidR="006217F4" w:rsidRPr="006217F4" w:rsidRDefault="006217F4" w:rsidP="006217F4">
      <w:pPr>
        <w:ind w:left="720"/>
        <w:rPr>
          <w:color w:val="FF0000"/>
        </w:rPr>
      </w:pPr>
      <w:r>
        <w:t>It had never been so plain to her as it was at this moment. There were her feelings for him, sharp and defined, one as true as the other. And there was this other, this hatred, just as real as the rest. She could have done her feelings up in little packets and given them to Stanley. She longed to hand them to Stanley. She longed to hand him that last one, for a surprise. She could see his eyes as he opened that…</w:t>
      </w:r>
      <w:r w:rsidR="00025046">
        <w:rPr>
          <w:rStyle w:val="FootnoteReference"/>
        </w:rPr>
        <w:footnoteReference w:id="25"/>
      </w:r>
      <w:r>
        <w:rPr>
          <w:color w:val="FF0000"/>
        </w:rPr>
        <w:tab/>
      </w:r>
    </w:p>
    <w:p w14:paraId="18B3F263" w14:textId="6030F489" w:rsidR="00177D2E" w:rsidRPr="00EF52E1" w:rsidRDefault="00ED4830" w:rsidP="00D272A8">
      <w:pPr>
        <w:rPr>
          <w:color w:val="FF0000"/>
        </w:rPr>
      </w:pPr>
      <w:r>
        <w:t>Linda’s</w:t>
      </w:r>
      <w:r w:rsidR="003C5766">
        <w:t xml:space="preserve"> feelings for </w:t>
      </w:r>
      <w:r>
        <w:t>Stanley</w:t>
      </w:r>
      <w:r w:rsidR="003C5766">
        <w:t xml:space="preserve"> are as extreme as the black and white in the cherries</w:t>
      </w:r>
      <w:r>
        <w:t xml:space="preserve"> Stanley places in his buttonhole. When Linda meets Stanley as he arrives home, she notices the cherries and places them on his ear, like an earring. “Don’t do that, darling.”</w:t>
      </w:r>
      <w:r w:rsidR="00025046">
        <w:rPr>
          <w:rStyle w:val="FootnoteReference"/>
        </w:rPr>
        <w:footnoteReference w:id="26"/>
      </w:r>
      <w:r>
        <w:t xml:space="preserve"> Says Stanley, and Linda removes them. Stanley is not impressed by the gesture of </w:t>
      </w:r>
      <w:r w:rsidR="00BD266F">
        <w:t>fun;</w:t>
      </w:r>
      <w:r>
        <w:t xml:space="preserve"> he offers the cherries to Linda. A seemingly insignificant gesture in the text, however, this does highlight their differences in gender, this is related through the generations when we pick up later another encounter</w:t>
      </w:r>
      <w:r w:rsidR="004B3B42">
        <w:t xml:space="preserve"> with</w:t>
      </w:r>
      <w:r>
        <w:t xml:space="preserve"> earrings</w:t>
      </w:r>
      <w:r w:rsidR="004B3B42">
        <w:t xml:space="preserve"> as an apparent symbol of femininity. </w:t>
      </w:r>
      <w:proofErr w:type="spellStart"/>
      <w:r w:rsidR="004B3B42">
        <w:t>Keiza</w:t>
      </w:r>
      <w:proofErr w:type="spellEnd"/>
      <w:r w:rsidR="004B3B42">
        <w:t xml:space="preserve">, the daughter of Linda and Stanley, is with Pat, the handyman. After witnessing Pat decapitate a duck in preparation for supper, </w:t>
      </w:r>
      <w:proofErr w:type="spellStart"/>
      <w:r w:rsidR="004B3B42">
        <w:t>Kezia</w:t>
      </w:r>
      <w:proofErr w:type="spellEnd"/>
      <w:r w:rsidR="004B3B42">
        <w:t xml:space="preserve"> in despair at witnessing this, clings to Pat hiding her head in</w:t>
      </w:r>
      <w:r w:rsidR="00BD266F">
        <w:t xml:space="preserve"> </w:t>
      </w:r>
      <w:r w:rsidR="004B3B42">
        <w:t xml:space="preserve">his knees </w:t>
      </w:r>
      <w:r w:rsidR="00BD266F">
        <w:t xml:space="preserve">and </w:t>
      </w:r>
      <w:r w:rsidR="004B3B42">
        <w:t>s</w:t>
      </w:r>
      <w:r w:rsidR="00BD266F">
        <w:t>c</w:t>
      </w:r>
      <w:r w:rsidR="004B3B42">
        <w:t>reams “Put head back</w:t>
      </w:r>
      <w:r w:rsidR="00BD266F">
        <w:t>.</w:t>
      </w:r>
      <w:r w:rsidR="004B3B42">
        <w:t>”</w:t>
      </w:r>
      <w:r w:rsidR="00025046">
        <w:rPr>
          <w:rStyle w:val="FootnoteReference"/>
        </w:rPr>
        <w:footnoteReference w:id="27"/>
      </w:r>
      <w:r w:rsidR="004B3B42">
        <w:t xml:space="preserve">Pat comforts </w:t>
      </w:r>
      <w:proofErr w:type="spellStart"/>
      <w:r w:rsidR="004B3B42">
        <w:t>Kezia</w:t>
      </w:r>
      <w:proofErr w:type="spellEnd"/>
      <w:r w:rsidR="004B3B42">
        <w:t xml:space="preserve"> and lifts her up, she puts her hands up and touches his ear, she feels something and realises he is wearing little round gold earrings. “She never knew men wore earrings. She is very much surprised</w:t>
      </w:r>
      <w:r w:rsidR="00BD266F">
        <w:t>.”</w:t>
      </w:r>
      <w:r w:rsidR="00BD266F">
        <w:rPr>
          <w:color w:val="FF0000"/>
        </w:rPr>
        <w:t xml:space="preserve"> </w:t>
      </w:r>
      <w:r w:rsidR="00BD266F">
        <w:t xml:space="preserve">The masculine stereotypes are overlaid with the feminine touches and this image is also portrayed in Mansfield short story </w:t>
      </w:r>
      <w:r w:rsidR="00DF40D6">
        <w:rPr>
          <w:i/>
          <w:iCs/>
        </w:rPr>
        <w:t>The Garden Party.</w:t>
      </w:r>
      <w:r w:rsidR="00884EB3">
        <w:t xml:space="preserve"> Laura, a daughter in the family which is hosting the extravagant ‘Garden Party’, encounters a workman with whom she discusses the erecting of a marquee. The men depart from the conversation with the staves over their shoulders, but one </w:t>
      </w:r>
      <w:r w:rsidR="00C770AD">
        <w:t>of the fellows remains. “He bent down, pinched a sprig of lavender, put his thumb and forefinger to his nose and snuffed up the smell.”</w:t>
      </w:r>
      <w:r w:rsidR="00025046">
        <w:rPr>
          <w:rStyle w:val="FootnoteReference"/>
        </w:rPr>
        <w:footnoteReference w:id="28"/>
      </w:r>
      <w:r w:rsidR="00C770AD">
        <w:t xml:space="preserve"> Time seems to stand still in the narration as the imagination is caught up in the subtle action, the sent wafts over the page like a mist that blurs the edges of gender. Laura is taken aback too, she forgets about the fact that the marquee will block out karaka-trees with its lovely broad gleaming leaves and clusters of yellow fruit, and wonders at </w:t>
      </w:r>
      <w:r w:rsidR="004747A3">
        <w:t>the workman</w:t>
      </w:r>
      <w:r w:rsidR="00DA135A">
        <w:t>’s action:</w:t>
      </w:r>
      <w:r w:rsidR="00C770AD">
        <w:t xml:space="preserve"> “caring for things like that-caring for the smell of lavender.”</w:t>
      </w:r>
      <w:r w:rsidR="00025046">
        <w:rPr>
          <w:rStyle w:val="FootnoteReference"/>
        </w:rPr>
        <w:footnoteReference w:id="29"/>
      </w:r>
    </w:p>
    <w:p w14:paraId="591C2A43" w14:textId="288E20B6" w:rsidR="00EF52E1" w:rsidRDefault="00EF52E1" w:rsidP="00D272A8"/>
    <w:p w14:paraId="6F89ADD2" w14:textId="676A21C3" w:rsidR="00EF52E1" w:rsidRPr="004D2947" w:rsidRDefault="00EF52E1" w:rsidP="00D272A8">
      <w:pPr>
        <w:rPr>
          <w:i/>
          <w:iCs/>
        </w:rPr>
      </w:pPr>
      <w:r>
        <w:t>We have travelled up mountains, across the landscapes on a page; we have navigated our way through colonies</w:t>
      </w:r>
      <w:r w:rsidR="00DA135A">
        <w:t xml:space="preserve"> and </w:t>
      </w:r>
      <w:r>
        <w:t>the high seas</w:t>
      </w:r>
      <w:r w:rsidR="00DA135A">
        <w:t>;</w:t>
      </w:r>
      <w:r>
        <w:t xml:space="preserve"> emerged from the mists defining genders; we have journeyed in taxis to destinations unknown</w:t>
      </w:r>
      <w:r w:rsidR="004D2947">
        <w:t xml:space="preserve">, </w:t>
      </w:r>
      <w:r w:rsidR="00DA135A">
        <w:t xml:space="preserve">and </w:t>
      </w:r>
      <w:r w:rsidR="004D2947">
        <w:t xml:space="preserve">all this from </w:t>
      </w:r>
      <w:r w:rsidR="00DA135A" w:rsidRPr="00DA135A">
        <w:rPr>
          <w:i/>
          <w:iCs/>
        </w:rPr>
        <w:t>A</w:t>
      </w:r>
      <w:r w:rsidR="004D2947" w:rsidRPr="00DA135A">
        <w:rPr>
          <w:i/>
          <w:iCs/>
        </w:rPr>
        <w:t xml:space="preserve"> </w:t>
      </w:r>
      <w:r w:rsidR="00DA135A" w:rsidRPr="00DA135A">
        <w:rPr>
          <w:i/>
          <w:iCs/>
        </w:rPr>
        <w:t>R</w:t>
      </w:r>
      <w:r w:rsidR="004D2947" w:rsidRPr="00DA135A">
        <w:rPr>
          <w:i/>
          <w:iCs/>
        </w:rPr>
        <w:t xml:space="preserve">oom of </w:t>
      </w:r>
      <w:r w:rsidR="00DA135A" w:rsidRPr="00DA135A">
        <w:rPr>
          <w:i/>
          <w:iCs/>
        </w:rPr>
        <w:t>One’s</w:t>
      </w:r>
      <w:r w:rsidR="004D2947" w:rsidRPr="00DA135A">
        <w:rPr>
          <w:i/>
          <w:iCs/>
        </w:rPr>
        <w:t xml:space="preserve"> </w:t>
      </w:r>
      <w:r w:rsidR="00DA135A" w:rsidRPr="00DA135A">
        <w:rPr>
          <w:i/>
          <w:iCs/>
        </w:rPr>
        <w:t>O</w:t>
      </w:r>
      <w:r w:rsidR="004D2947" w:rsidRPr="00DA135A">
        <w:rPr>
          <w:i/>
          <w:iCs/>
        </w:rPr>
        <w:t>wn</w:t>
      </w:r>
      <w:r w:rsidR="004D2947">
        <w:t xml:space="preserve">. And what golden nugget of wisdom have we found? was it in the touch of earrings or the waft of lavender? Was it hiding in the arid shadows or calling to us from the grave? Were we triumphant in our battle of the sexes? Did we cross the rainbow bridge that separates the two hemispheres of the brain? I hope so. It is not the battle of the sexes that is fought externally, physically in the material word, but a divide of mental </w:t>
      </w:r>
      <w:r w:rsidR="004D2947">
        <w:lastRenderedPageBreak/>
        <w:t>activity and thought, creative expression and manual labour, which disrupts and tears us apart</w:t>
      </w:r>
      <w:r w:rsidR="00D064F7">
        <w:t>. Two halves become one when we do not just clean house</w:t>
      </w:r>
      <w:r w:rsidR="00DA135A">
        <w:t xml:space="preserve"> </w:t>
      </w:r>
      <w:r w:rsidR="00D064F7">
        <w:t>but create a loving nurturing space for our families</w:t>
      </w:r>
      <w:r w:rsidR="00DA135A">
        <w:t>,</w:t>
      </w:r>
      <w:r w:rsidR="008C6CD4">
        <w:t xml:space="preserve"> when the activity of</w:t>
      </w:r>
      <w:r w:rsidR="00D064F7">
        <w:t xml:space="preserve"> digging trenches is done with compassion for the earth it displaces. To write in the shadow of the ‘I’ with the light of intuition on, to use all the colours on our palette to paint the picture of a life to aspire to, this is</w:t>
      </w:r>
      <w:r w:rsidR="00DA135A">
        <w:t xml:space="preserve"> what it is</w:t>
      </w:r>
      <w:r w:rsidR="00D064F7">
        <w:t xml:space="preserve"> to write with the voice of an androgynous mind. </w:t>
      </w:r>
    </w:p>
    <w:p w14:paraId="5A1968AF" w14:textId="432ADEDE" w:rsidR="00177D2E" w:rsidRDefault="00177D2E" w:rsidP="00D272A8"/>
    <w:p w14:paraId="5EB4CD1A" w14:textId="592D5235" w:rsidR="002D43EB" w:rsidRDefault="002D43EB" w:rsidP="00D272A8"/>
    <w:p w14:paraId="3AB7AD72" w14:textId="3385C15C" w:rsidR="002D43EB" w:rsidRDefault="002D43EB" w:rsidP="00D272A8"/>
    <w:p w14:paraId="7A6F1A1E" w14:textId="54CC7411" w:rsidR="002D43EB" w:rsidRPr="0004660F" w:rsidRDefault="00025046" w:rsidP="00D272A8">
      <w:pPr>
        <w:rPr>
          <w:b/>
          <w:bCs/>
          <w:color w:val="002060"/>
        </w:rPr>
      </w:pPr>
      <w:r>
        <w:rPr>
          <w:b/>
          <w:bCs/>
          <w:color w:val="002060"/>
        </w:rPr>
        <w:t>Bibliography</w:t>
      </w:r>
    </w:p>
    <w:p w14:paraId="1814D45D" w14:textId="7223AC94" w:rsidR="002D43EB" w:rsidRDefault="002D43EB" w:rsidP="00D272A8"/>
    <w:p w14:paraId="5DA09DD4" w14:textId="6E657395" w:rsidR="002D43EB" w:rsidRDefault="00FA616F" w:rsidP="00D272A8">
      <w:r>
        <w:t xml:space="preserve">Eliot, T. S. </w:t>
      </w:r>
      <w:r>
        <w:t xml:space="preserve">The Waste land </w:t>
      </w:r>
      <w:hyperlink r:id="rId7" w:history="1">
        <w:r w:rsidR="00D53555" w:rsidRPr="00C127B7">
          <w:rPr>
            <w:rStyle w:val="Hyperlink"/>
            <w:rFonts w:ascii="&amp;quot" w:hAnsi="&amp;quot"/>
          </w:rPr>
          <w:t>http://www.bartleby.com/201/1.html</w:t>
        </w:r>
        <w:r w:rsidR="00D53555" w:rsidRPr="00C127B7">
          <w:rPr>
            <w:rStyle w:val="Hyperlink"/>
          </w:rPr>
          <w:t xml:space="preserve"> </w:t>
        </w:r>
        <w:r w:rsidR="00D53555" w:rsidRPr="00D53555">
          <w:rPr>
            <w:rStyle w:val="Hyperlink"/>
            <w:color w:val="000000" w:themeColor="text1"/>
            <w:u w:val="none"/>
          </w:rPr>
          <w:t>Accessed 26th March 2020</w:t>
        </w:r>
      </w:hyperlink>
    </w:p>
    <w:p w14:paraId="55F1F62D" w14:textId="147F8D3B" w:rsidR="002D43EB" w:rsidRDefault="00FA616F" w:rsidP="00D272A8">
      <w:r>
        <w:t>Goldman, Jane, Modernisms, 1910 – 1945 (Hampshire: Palgrave Macmillan 2004)</w:t>
      </w:r>
    </w:p>
    <w:p w14:paraId="7B656D2B" w14:textId="1A606088" w:rsidR="00D53555" w:rsidRDefault="00D53555" w:rsidP="00D272A8">
      <w:r>
        <w:t>Mansfield,</w:t>
      </w:r>
      <w:r>
        <w:t xml:space="preserve"> Katherine,</w:t>
      </w:r>
      <w:r>
        <w:t xml:space="preserve"> </w:t>
      </w:r>
      <w:r w:rsidRPr="00D53555">
        <w:t>Prelude in Bliss and Other Stories</w:t>
      </w:r>
      <w:r>
        <w:rPr>
          <w:i/>
          <w:iCs/>
        </w:rPr>
        <w:t xml:space="preserve"> </w:t>
      </w:r>
      <w:r>
        <w:t>(London: Marshall Cavendish Limited, 1988</w:t>
      </w:r>
    </w:p>
    <w:p w14:paraId="6A8ACE4B" w14:textId="3C360AB6" w:rsidR="00FA616F" w:rsidRDefault="00FA616F" w:rsidP="00D272A8">
      <w:r>
        <w:t xml:space="preserve">Mansfield, Katherine, The </w:t>
      </w:r>
      <w:r>
        <w:t xml:space="preserve">Garden Party </w:t>
      </w:r>
      <w:hyperlink r:id="rId8" w:history="1">
        <w:r>
          <w:rPr>
            <w:rStyle w:val="Hyperlink"/>
            <w:rFonts w:ascii="&amp;quot" w:hAnsi="&amp;quot"/>
            <w:color w:val="003E5A"/>
          </w:rPr>
          <w:t>https://www.katherinemansfieldsociety.org/short-stories-by-katherine-mansfield/</w:t>
        </w:r>
      </w:hyperlink>
      <w:r>
        <w:t xml:space="preserve"> Accessed 6</w:t>
      </w:r>
      <w:r w:rsidRPr="00BF52A7">
        <w:rPr>
          <w:vertAlign w:val="superscript"/>
        </w:rPr>
        <w:t>th</w:t>
      </w:r>
      <w:r>
        <w:t xml:space="preserve"> April 2020</w:t>
      </w:r>
    </w:p>
    <w:p w14:paraId="5F5E0BA1" w14:textId="697C77A9" w:rsidR="009C1BDF" w:rsidRDefault="00FA616F" w:rsidP="00D272A8">
      <w:r>
        <w:t>Perkins Gilman</w:t>
      </w:r>
      <w:r>
        <w:t>, Charlotte,</w:t>
      </w:r>
      <w:r>
        <w:t xml:space="preserve"> </w:t>
      </w:r>
      <w:r w:rsidR="002D43EB">
        <w:t xml:space="preserve">Yellow wall paper(1892) by </w:t>
      </w:r>
      <w:hyperlink r:id="rId9" w:history="1">
        <w:r w:rsidR="009C1BDF" w:rsidRPr="008066C1">
          <w:rPr>
            <w:rStyle w:val="Hyperlink"/>
          </w:rPr>
          <w:t>https://www.youtube.com/watch?v=U91-trNL2fQ</w:t>
        </w:r>
      </w:hyperlink>
      <w:r w:rsidR="009C1BDF">
        <w:t xml:space="preserve"> accessed 16</w:t>
      </w:r>
      <w:r w:rsidR="009C1BDF" w:rsidRPr="009C1BDF">
        <w:rPr>
          <w:vertAlign w:val="superscript"/>
        </w:rPr>
        <w:t>th</w:t>
      </w:r>
      <w:r w:rsidR="009C1BDF">
        <w:t xml:space="preserve"> </w:t>
      </w:r>
      <w:r w:rsidR="00BF52A7">
        <w:t>March</w:t>
      </w:r>
      <w:r w:rsidR="009C1BDF">
        <w:t xml:space="preserve"> 2020</w:t>
      </w:r>
    </w:p>
    <w:p w14:paraId="0D998147" w14:textId="2F4A488E" w:rsidR="009C1BDF" w:rsidRDefault="00FA616F" w:rsidP="00D272A8">
      <w:r>
        <w:t xml:space="preserve">Pound, Ezra, </w:t>
      </w:r>
      <w:r w:rsidR="009C1BDF">
        <w:t xml:space="preserve">Cathay </w:t>
      </w:r>
      <w:hyperlink r:id="rId10" w:history="1">
        <w:r w:rsidR="00BF52A7" w:rsidRPr="008066C1">
          <w:rPr>
            <w:rStyle w:val="Hyperlink"/>
          </w:rPr>
          <w:t>https://archive.org/stream/cathayezrapound00pounrich#page/n9/mode/2up</w:t>
        </w:r>
        <w:r w:rsidR="00BF52A7" w:rsidRPr="008066C1">
          <w:rPr>
            <w:rStyle w:val="Hyperlink"/>
          </w:rPr>
          <w:t xml:space="preserve">  </w:t>
        </w:r>
        <w:r w:rsidR="00BF52A7" w:rsidRPr="00D53555">
          <w:rPr>
            <w:rStyle w:val="Hyperlink"/>
            <w:color w:val="000000" w:themeColor="text1"/>
            <w:u w:val="none"/>
          </w:rPr>
          <w:t>Accessed 24th March 2020</w:t>
        </w:r>
      </w:hyperlink>
    </w:p>
    <w:p w14:paraId="4FCE46CD" w14:textId="428DA5AA" w:rsidR="00D53555" w:rsidRDefault="00D53555" w:rsidP="00D272A8">
      <w:proofErr w:type="spellStart"/>
      <w:r>
        <w:t>Treich</w:t>
      </w:r>
      <w:r w:rsidR="0004660F">
        <w:t>l</w:t>
      </w:r>
      <w:r>
        <w:t>er</w:t>
      </w:r>
      <w:proofErr w:type="spellEnd"/>
      <w:r>
        <w:t xml:space="preserve">, Paula A.  ‘The Wall Behind </w:t>
      </w:r>
      <w:proofErr w:type="gramStart"/>
      <w:r>
        <w:t>The</w:t>
      </w:r>
      <w:proofErr w:type="gramEnd"/>
      <w:r>
        <w:t xml:space="preserve"> Yellow Wallpaper: Response to Carol Neely and Karen Ford’ Tulsa Studies in Women’s Literature, 4:2 (1985) pp. 323-330</w:t>
      </w:r>
    </w:p>
    <w:p w14:paraId="5E0BF578" w14:textId="50BCCA11" w:rsidR="00177D2E" w:rsidRDefault="00FA616F" w:rsidP="00D272A8">
      <w:r>
        <w:t xml:space="preserve">Woolf, Virginia, </w:t>
      </w:r>
      <w:r w:rsidR="00006C20">
        <w:t xml:space="preserve">A Room of One’s Own </w:t>
      </w:r>
      <w:hyperlink r:id="rId11" w:history="1">
        <w:r w:rsidR="00D53555" w:rsidRPr="00C127B7">
          <w:rPr>
            <w:rStyle w:val="Hyperlink"/>
          </w:rPr>
          <w:t>http://gutenberg.net.au/ebooks02/0200791.txt</w:t>
        </w:r>
        <w:r w:rsidR="00D53555" w:rsidRPr="00C127B7">
          <w:rPr>
            <w:rStyle w:val="Hyperlink"/>
          </w:rPr>
          <w:t xml:space="preserve"> </w:t>
        </w:r>
        <w:r w:rsidR="00D53555" w:rsidRPr="00D53555">
          <w:rPr>
            <w:rStyle w:val="Hyperlink"/>
            <w:color w:val="000000" w:themeColor="text1"/>
            <w:u w:val="none"/>
          </w:rPr>
          <w:t xml:space="preserve"> Accessed 6th</w:t>
        </w:r>
        <w:r w:rsidR="00D53555" w:rsidRPr="00C127B7">
          <w:rPr>
            <w:rStyle w:val="Hyperlink"/>
          </w:rPr>
          <w:t xml:space="preserve"> </w:t>
        </w:r>
        <w:r w:rsidR="00D53555" w:rsidRPr="00D53555">
          <w:rPr>
            <w:rStyle w:val="Hyperlink"/>
            <w:color w:val="000000" w:themeColor="text1"/>
            <w:u w:val="none"/>
          </w:rPr>
          <w:t>April 2020</w:t>
        </w:r>
      </w:hyperlink>
    </w:p>
    <w:p w14:paraId="797DF0CA" w14:textId="08112330" w:rsidR="00D53555" w:rsidRDefault="00D53555" w:rsidP="00D272A8">
      <w:r>
        <w:t xml:space="preserve">Woolf, </w:t>
      </w:r>
      <w:r>
        <w:t xml:space="preserve">Virginia, </w:t>
      </w:r>
      <w:r w:rsidRPr="00D53555">
        <w:t xml:space="preserve">To </w:t>
      </w:r>
      <w:proofErr w:type="gramStart"/>
      <w:r w:rsidRPr="00D53555">
        <w:t>The</w:t>
      </w:r>
      <w:proofErr w:type="gramEnd"/>
      <w:r w:rsidRPr="00D53555">
        <w:t xml:space="preserve"> Lighthouse</w:t>
      </w:r>
      <w:r>
        <w:rPr>
          <w:i/>
          <w:iCs/>
        </w:rPr>
        <w:t xml:space="preserve"> </w:t>
      </w:r>
      <w:r>
        <w:t xml:space="preserve">(London: Marshall Cavendish Limited, 1988). </w:t>
      </w:r>
    </w:p>
    <w:sectPr w:rsidR="00D535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DBE161" w14:textId="77777777" w:rsidR="00C454BB" w:rsidRDefault="00C454BB" w:rsidP="00216560">
      <w:pPr>
        <w:spacing w:after="0" w:line="240" w:lineRule="auto"/>
      </w:pPr>
      <w:r>
        <w:separator/>
      </w:r>
    </w:p>
  </w:endnote>
  <w:endnote w:type="continuationSeparator" w:id="0">
    <w:p w14:paraId="5CFD8FEB" w14:textId="77777777" w:rsidR="00C454BB" w:rsidRDefault="00C454BB" w:rsidP="00216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CD2C6A" w14:textId="77777777" w:rsidR="00C454BB" w:rsidRDefault="00C454BB" w:rsidP="00216560">
      <w:pPr>
        <w:spacing w:after="0" w:line="240" w:lineRule="auto"/>
      </w:pPr>
      <w:r>
        <w:separator/>
      </w:r>
    </w:p>
  </w:footnote>
  <w:footnote w:type="continuationSeparator" w:id="0">
    <w:p w14:paraId="405C67A2" w14:textId="77777777" w:rsidR="00C454BB" w:rsidRDefault="00C454BB" w:rsidP="00216560">
      <w:pPr>
        <w:spacing w:after="0" w:line="240" w:lineRule="auto"/>
      </w:pPr>
      <w:r>
        <w:continuationSeparator/>
      </w:r>
    </w:p>
  </w:footnote>
  <w:footnote w:id="1">
    <w:p w14:paraId="1D8D108F" w14:textId="4F92C7D6" w:rsidR="00216560" w:rsidRDefault="00216560">
      <w:pPr>
        <w:pStyle w:val="FootnoteText"/>
      </w:pPr>
      <w:r>
        <w:rPr>
          <w:rStyle w:val="FootnoteReference"/>
        </w:rPr>
        <w:footnoteRef/>
      </w:r>
      <w:r>
        <w:t xml:space="preserve"> The </w:t>
      </w:r>
      <w:proofErr w:type="spellStart"/>
      <w:r>
        <w:t>youtube</w:t>
      </w:r>
      <w:proofErr w:type="spellEnd"/>
      <w:r>
        <w:t xml:space="preserve"> video shown in lecture on </w:t>
      </w:r>
      <w:proofErr w:type="spellStart"/>
      <w:r>
        <w:t>moodle</w:t>
      </w:r>
      <w:proofErr w:type="spellEnd"/>
      <w:r>
        <w:t xml:space="preserve"> </w:t>
      </w:r>
    </w:p>
  </w:footnote>
  <w:footnote w:id="2">
    <w:p w14:paraId="180A1C10" w14:textId="3899396D" w:rsidR="00216560" w:rsidRDefault="00216560" w:rsidP="00216560">
      <w:r>
        <w:rPr>
          <w:rStyle w:val="FootnoteReference"/>
        </w:rPr>
        <w:footnoteRef/>
      </w:r>
      <w:r>
        <w:t xml:space="preserve"> Virginia Woolf, </w:t>
      </w:r>
      <w:r w:rsidRPr="00216560">
        <w:rPr>
          <w:i/>
          <w:iCs/>
        </w:rPr>
        <w:t>A Room of One’s Own</w:t>
      </w:r>
      <w:r>
        <w:rPr>
          <w:i/>
          <w:iCs/>
        </w:rPr>
        <w:t xml:space="preserve">, </w:t>
      </w:r>
      <w:r>
        <w:t>chapter 6.</w:t>
      </w:r>
      <w:r w:rsidRPr="00216560">
        <w:rPr>
          <w:i/>
          <w:iCs/>
        </w:rPr>
        <w:t xml:space="preserve"> </w:t>
      </w:r>
      <w:hyperlink r:id="rId1" w:history="1">
        <w:r w:rsidRPr="008066C1">
          <w:rPr>
            <w:rStyle w:val="Hyperlink"/>
          </w:rPr>
          <w:t>http://gutenberg.net.au/ebooks02/0200791.txt</w:t>
        </w:r>
      </w:hyperlink>
      <w:r>
        <w:t xml:space="preserve"> Accessed 6th April 2020</w:t>
      </w:r>
    </w:p>
  </w:footnote>
  <w:footnote w:id="3">
    <w:p w14:paraId="72D80CBE" w14:textId="4E33146E" w:rsidR="00216560" w:rsidRDefault="00216560">
      <w:pPr>
        <w:pStyle w:val="FootnoteText"/>
      </w:pPr>
      <w:r>
        <w:rPr>
          <w:rStyle w:val="FootnoteReference"/>
        </w:rPr>
        <w:footnoteRef/>
      </w:r>
      <w:r>
        <w:t xml:space="preserve"> ibid</w:t>
      </w:r>
    </w:p>
  </w:footnote>
  <w:footnote w:id="4">
    <w:p w14:paraId="70AA9ED5" w14:textId="5AFE9F43" w:rsidR="00216560" w:rsidRDefault="00216560">
      <w:pPr>
        <w:pStyle w:val="FootnoteText"/>
      </w:pPr>
      <w:r>
        <w:rPr>
          <w:rStyle w:val="FootnoteReference"/>
        </w:rPr>
        <w:footnoteRef/>
      </w:r>
      <w:r>
        <w:t xml:space="preserve"> ibid</w:t>
      </w:r>
    </w:p>
  </w:footnote>
  <w:footnote w:id="5">
    <w:p w14:paraId="04288F23" w14:textId="398C8B51" w:rsidR="00D762BF" w:rsidRDefault="00D762BF">
      <w:pPr>
        <w:pStyle w:val="FootnoteText"/>
      </w:pPr>
      <w:r>
        <w:rPr>
          <w:rStyle w:val="FootnoteReference"/>
        </w:rPr>
        <w:footnoteRef/>
      </w:r>
      <w:r>
        <w:t xml:space="preserve"> ibid</w:t>
      </w:r>
    </w:p>
  </w:footnote>
  <w:footnote w:id="6">
    <w:p w14:paraId="575D39EB" w14:textId="7D048D78" w:rsidR="00D762BF" w:rsidRDefault="00D762BF">
      <w:pPr>
        <w:pStyle w:val="FootnoteText"/>
      </w:pPr>
      <w:r>
        <w:rPr>
          <w:rStyle w:val="FootnoteReference"/>
        </w:rPr>
        <w:footnoteRef/>
      </w:r>
      <w:r>
        <w:t xml:space="preserve"> ibid</w:t>
      </w:r>
    </w:p>
  </w:footnote>
  <w:footnote w:id="7">
    <w:p w14:paraId="5DC7D9BB" w14:textId="1620373E" w:rsidR="00D762BF" w:rsidRDefault="00D762BF">
      <w:pPr>
        <w:pStyle w:val="FootnoteText"/>
      </w:pPr>
      <w:r>
        <w:rPr>
          <w:rStyle w:val="FootnoteReference"/>
        </w:rPr>
        <w:footnoteRef/>
      </w:r>
      <w:r>
        <w:t xml:space="preserve"> Ibid, chapter 3</w:t>
      </w:r>
    </w:p>
  </w:footnote>
  <w:footnote w:id="8">
    <w:p w14:paraId="69A45783" w14:textId="2E31CC89" w:rsidR="00D762BF" w:rsidRDefault="00D762BF">
      <w:pPr>
        <w:pStyle w:val="FootnoteText"/>
      </w:pPr>
      <w:r>
        <w:rPr>
          <w:rStyle w:val="FootnoteReference"/>
        </w:rPr>
        <w:footnoteRef/>
      </w:r>
      <w:r>
        <w:t xml:space="preserve"> ibid</w:t>
      </w:r>
    </w:p>
  </w:footnote>
  <w:footnote w:id="9">
    <w:p w14:paraId="286C19C0" w14:textId="467FABC7" w:rsidR="00D762BF" w:rsidRDefault="00D762BF">
      <w:pPr>
        <w:pStyle w:val="FootnoteText"/>
      </w:pPr>
      <w:r>
        <w:rPr>
          <w:rStyle w:val="FootnoteReference"/>
        </w:rPr>
        <w:footnoteRef/>
      </w:r>
      <w:r>
        <w:t xml:space="preserve"> Ibid chapter 6</w:t>
      </w:r>
    </w:p>
  </w:footnote>
  <w:footnote w:id="10">
    <w:p w14:paraId="297203F4" w14:textId="5FC7F9D6" w:rsidR="00D762BF" w:rsidRDefault="00D762BF">
      <w:pPr>
        <w:pStyle w:val="FootnoteText"/>
      </w:pPr>
      <w:r>
        <w:rPr>
          <w:rStyle w:val="FootnoteReference"/>
        </w:rPr>
        <w:footnoteRef/>
      </w:r>
      <w:r>
        <w:t xml:space="preserve"> ibid</w:t>
      </w:r>
    </w:p>
  </w:footnote>
  <w:footnote w:id="11">
    <w:p w14:paraId="1A2714A4" w14:textId="3A700F5C" w:rsidR="00D762BF" w:rsidRDefault="00D762BF">
      <w:pPr>
        <w:pStyle w:val="FootnoteText"/>
      </w:pPr>
      <w:r>
        <w:rPr>
          <w:rStyle w:val="FootnoteReference"/>
        </w:rPr>
        <w:footnoteRef/>
      </w:r>
      <w:r>
        <w:t xml:space="preserve"> ibid</w:t>
      </w:r>
    </w:p>
  </w:footnote>
  <w:footnote w:id="12">
    <w:p w14:paraId="02050495" w14:textId="5AF5DA28" w:rsidR="00D762BF" w:rsidRDefault="00D762BF">
      <w:pPr>
        <w:pStyle w:val="FootnoteText"/>
      </w:pPr>
      <w:r>
        <w:rPr>
          <w:rStyle w:val="FootnoteReference"/>
        </w:rPr>
        <w:footnoteRef/>
      </w:r>
      <w:r>
        <w:t xml:space="preserve"> ibid</w:t>
      </w:r>
    </w:p>
  </w:footnote>
  <w:footnote w:id="13">
    <w:p w14:paraId="51D23B1A" w14:textId="42FDBE56" w:rsidR="00D762BF" w:rsidRPr="00D762BF" w:rsidRDefault="00D762BF">
      <w:pPr>
        <w:pStyle w:val="FootnoteText"/>
      </w:pPr>
      <w:r>
        <w:rPr>
          <w:rStyle w:val="FootnoteReference"/>
        </w:rPr>
        <w:footnoteRef/>
      </w:r>
      <w:r>
        <w:t xml:space="preserve"> Virginia Woolf, </w:t>
      </w:r>
      <w:r>
        <w:rPr>
          <w:i/>
          <w:iCs/>
        </w:rPr>
        <w:t xml:space="preserve">To </w:t>
      </w:r>
      <w:proofErr w:type="gramStart"/>
      <w:r>
        <w:rPr>
          <w:i/>
          <w:iCs/>
        </w:rPr>
        <w:t>The</w:t>
      </w:r>
      <w:proofErr w:type="gramEnd"/>
      <w:r>
        <w:rPr>
          <w:i/>
          <w:iCs/>
        </w:rPr>
        <w:t xml:space="preserve"> Lighthouse </w:t>
      </w:r>
      <w:r>
        <w:t>(London: Marshall Cavendish Limited, 1988). P.</w:t>
      </w:r>
      <w:r w:rsidR="00BD7A8B">
        <w:t>56</w:t>
      </w:r>
    </w:p>
  </w:footnote>
  <w:footnote w:id="14">
    <w:p w14:paraId="04F27793" w14:textId="732B3692" w:rsidR="00BD7A8B" w:rsidRDefault="00BD7A8B">
      <w:pPr>
        <w:pStyle w:val="FootnoteText"/>
      </w:pPr>
      <w:r>
        <w:rPr>
          <w:rStyle w:val="FootnoteReference"/>
        </w:rPr>
        <w:footnoteRef/>
      </w:r>
      <w:r>
        <w:t xml:space="preserve"> Ibid p.57</w:t>
      </w:r>
    </w:p>
  </w:footnote>
  <w:footnote w:id="15">
    <w:p w14:paraId="6ABBAAC9" w14:textId="056F54AF" w:rsidR="00BD7A8B" w:rsidRDefault="00BD7A8B">
      <w:pPr>
        <w:pStyle w:val="FootnoteText"/>
      </w:pPr>
      <w:r>
        <w:rPr>
          <w:rStyle w:val="FootnoteReference"/>
        </w:rPr>
        <w:footnoteRef/>
      </w:r>
      <w:r>
        <w:t xml:space="preserve"> Ibid p59</w:t>
      </w:r>
    </w:p>
  </w:footnote>
  <w:footnote w:id="16">
    <w:p w14:paraId="7AAE40E2" w14:textId="51B3082E" w:rsidR="00BD7A8B" w:rsidRDefault="00BD7A8B">
      <w:pPr>
        <w:pStyle w:val="FootnoteText"/>
      </w:pPr>
      <w:r>
        <w:rPr>
          <w:rStyle w:val="FootnoteReference"/>
        </w:rPr>
        <w:footnoteRef/>
      </w:r>
      <w:r>
        <w:t xml:space="preserve"> Ibid p.140</w:t>
      </w:r>
    </w:p>
  </w:footnote>
  <w:footnote w:id="17">
    <w:p w14:paraId="0326B28D" w14:textId="24C8B89F" w:rsidR="00BD7A8B" w:rsidRDefault="00BD7A8B">
      <w:pPr>
        <w:pStyle w:val="FootnoteText"/>
      </w:pPr>
      <w:r>
        <w:rPr>
          <w:rStyle w:val="FootnoteReference"/>
        </w:rPr>
        <w:footnoteRef/>
      </w:r>
      <w:r>
        <w:t xml:space="preserve"> Ibid p. 140-141</w:t>
      </w:r>
    </w:p>
  </w:footnote>
  <w:footnote w:id="18">
    <w:p w14:paraId="3A998CCC" w14:textId="24BE04AA" w:rsidR="00BD7A8B" w:rsidRDefault="00BD7A8B">
      <w:pPr>
        <w:pStyle w:val="FootnoteText"/>
      </w:pPr>
      <w:r>
        <w:rPr>
          <w:rStyle w:val="FootnoteReference"/>
        </w:rPr>
        <w:footnoteRef/>
      </w:r>
      <w:r>
        <w:t xml:space="preserve"> Ibid p.133</w:t>
      </w:r>
    </w:p>
  </w:footnote>
  <w:footnote w:id="19">
    <w:p w14:paraId="0487DE88" w14:textId="008F2C80" w:rsidR="00BD7A8B" w:rsidRDefault="00BD7A8B">
      <w:pPr>
        <w:pStyle w:val="FootnoteText"/>
      </w:pPr>
      <w:r>
        <w:rPr>
          <w:rStyle w:val="FootnoteReference"/>
        </w:rPr>
        <w:footnoteRef/>
      </w:r>
      <w:r>
        <w:t xml:space="preserve"> ibid</w:t>
      </w:r>
    </w:p>
  </w:footnote>
  <w:footnote w:id="20">
    <w:p w14:paraId="2182A9F0" w14:textId="4F293BCE" w:rsidR="00BD7A8B" w:rsidRDefault="00BD7A8B">
      <w:pPr>
        <w:pStyle w:val="FootnoteText"/>
      </w:pPr>
      <w:r>
        <w:rPr>
          <w:rStyle w:val="FootnoteReference"/>
        </w:rPr>
        <w:footnoteRef/>
      </w:r>
      <w:r>
        <w:t xml:space="preserve"> ibid</w:t>
      </w:r>
    </w:p>
  </w:footnote>
  <w:footnote w:id="21">
    <w:p w14:paraId="1796E35F" w14:textId="7A3E66E4" w:rsidR="00BD7A8B" w:rsidRPr="00BD7A8B" w:rsidRDefault="00BD7A8B">
      <w:pPr>
        <w:pStyle w:val="FootnoteText"/>
      </w:pPr>
      <w:r>
        <w:rPr>
          <w:rStyle w:val="FootnoteReference"/>
        </w:rPr>
        <w:footnoteRef/>
      </w:r>
      <w:r>
        <w:t xml:space="preserve"> Katherine Mansfield, </w:t>
      </w:r>
      <w:r>
        <w:rPr>
          <w:i/>
          <w:iCs/>
        </w:rPr>
        <w:t xml:space="preserve">Prelude </w:t>
      </w:r>
      <w:r>
        <w:t xml:space="preserve">in </w:t>
      </w:r>
      <w:r>
        <w:rPr>
          <w:i/>
          <w:iCs/>
        </w:rPr>
        <w:t xml:space="preserve">Bliss and Other Stories </w:t>
      </w:r>
      <w:r>
        <w:t>(London: Marshall Cavendish Limited, 1988</w:t>
      </w:r>
      <w:r>
        <w:t>) p42</w:t>
      </w:r>
    </w:p>
  </w:footnote>
  <w:footnote w:id="22">
    <w:p w14:paraId="200D0E9B" w14:textId="0A7E793D" w:rsidR="00BD7A8B" w:rsidRDefault="00BD7A8B">
      <w:pPr>
        <w:pStyle w:val="FootnoteText"/>
      </w:pPr>
      <w:r>
        <w:rPr>
          <w:rStyle w:val="FootnoteReference"/>
        </w:rPr>
        <w:footnoteRef/>
      </w:r>
      <w:r>
        <w:t xml:space="preserve"> Ibid p 43</w:t>
      </w:r>
    </w:p>
  </w:footnote>
  <w:footnote w:id="23">
    <w:p w14:paraId="49F321F0" w14:textId="3C06746F" w:rsidR="00BD7A8B" w:rsidRDefault="00BD7A8B">
      <w:pPr>
        <w:pStyle w:val="FootnoteText"/>
      </w:pPr>
      <w:r>
        <w:rPr>
          <w:rStyle w:val="FootnoteReference"/>
        </w:rPr>
        <w:footnoteRef/>
      </w:r>
      <w:r>
        <w:t xml:space="preserve"> Ibid p67</w:t>
      </w:r>
    </w:p>
  </w:footnote>
  <w:footnote w:id="24">
    <w:p w14:paraId="2B315AD3" w14:textId="26424D6F" w:rsidR="00025046" w:rsidRDefault="00025046">
      <w:pPr>
        <w:pStyle w:val="FootnoteText"/>
      </w:pPr>
      <w:r>
        <w:rPr>
          <w:rStyle w:val="FootnoteReference"/>
        </w:rPr>
        <w:footnoteRef/>
      </w:r>
      <w:r>
        <w:t xml:space="preserve"> Ibid p.68</w:t>
      </w:r>
    </w:p>
  </w:footnote>
  <w:footnote w:id="25">
    <w:p w14:paraId="38A52078" w14:textId="44F20B5A" w:rsidR="00025046" w:rsidRDefault="00025046">
      <w:pPr>
        <w:pStyle w:val="FootnoteText"/>
      </w:pPr>
      <w:r>
        <w:rPr>
          <w:rStyle w:val="FootnoteReference"/>
        </w:rPr>
        <w:footnoteRef/>
      </w:r>
      <w:r>
        <w:t xml:space="preserve"> Ibid p.69</w:t>
      </w:r>
    </w:p>
  </w:footnote>
  <w:footnote w:id="26">
    <w:p w14:paraId="012D473D" w14:textId="33030A47" w:rsidR="00025046" w:rsidRDefault="00025046">
      <w:pPr>
        <w:pStyle w:val="FootnoteText"/>
      </w:pPr>
      <w:r>
        <w:rPr>
          <w:rStyle w:val="FootnoteReference"/>
        </w:rPr>
        <w:footnoteRef/>
      </w:r>
      <w:r>
        <w:t xml:space="preserve"> Ibid p.45</w:t>
      </w:r>
    </w:p>
  </w:footnote>
  <w:footnote w:id="27">
    <w:p w14:paraId="59BFBB5C" w14:textId="7B0D5920" w:rsidR="00025046" w:rsidRDefault="00025046">
      <w:pPr>
        <w:pStyle w:val="FootnoteText"/>
      </w:pPr>
      <w:r>
        <w:rPr>
          <w:rStyle w:val="FootnoteReference"/>
        </w:rPr>
        <w:footnoteRef/>
      </w:r>
      <w:r>
        <w:t xml:space="preserve"> Ibid p,58</w:t>
      </w:r>
    </w:p>
  </w:footnote>
  <w:footnote w:id="28">
    <w:p w14:paraId="5C536E78" w14:textId="4F193D67" w:rsidR="00025046" w:rsidRDefault="00025046" w:rsidP="0004660F">
      <w:r>
        <w:rPr>
          <w:rStyle w:val="FootnoteReference"/>
        </w:rPr>
        <w:footnoteRef/>
      </w:r>
      <w:r>
        <w:t xml:space="preserve"> Katherine Mansfield, </w:t>
      </w:r>
      <w:r w:rsidRPr="00025046">
        <w:rPr>
          <w:i/>
          <w:iCs/>
        </w:rPr>
        <w:t>The</w:t>
      </w:r>
      <w:r>
        <w:t xml:space="preserve"> </w:t>
      </w:r>
      <w:r w:rsidRPr="00025046">
        <w:rPr>
          <w:i/>
          <w:iCs/>
        </w:rPr>
        <w:t>Garden Party</w:t>
      </w:r>
      <w:r>
        <w:t xml:space="preserve"> </w:t>
      </w:r>
      <w:hyperlink r:id="rId2" w:history="1">
        <w:r>
          <w:rPr>
            <w:rStyle w:val="Hyperlink"/>
            <w:rFonts w:ascii="&amp;quot" w:hAnsi="&amp;quot"/>
            <w:color w:val="003E5A"/>
          </w:rPr>
          <w:t>https://www.katherinemansfieldsociety.org/short-stories-by-katherine-mansfield/</w:t>
        </w:r>
      </w:hyperlink>
      <w:r>
        <w:t xml:space="preserve"> Accessed 6</w:t>
      </w:r>
      <w:r w:rsidRPr="00BF52A7">
        <w:rPr>
          <w:vertAlign w:val="superscript"/>
        </w:rPr>
        <w:t>th</w:t>
      </w:r>
      <w:r>
        <w:t xml:space="preserve"> April 2020</w:t>
      </w:r>
    </w:p>
  </w:footnote>
  <w:footnote w:id="29">
    <w:p w14:paraId="51220981" w14:textId="101BE8C7" w:rsidR="00025046" w:rsidRDefault="00025046">
      <w:pPr>
        <w:pStyle w:val="FootnoteText"/>
      </w:pPr>
      <w:r>
        <w:rPr>
          <w:rStyle w:val="FootnoteReference"/>
        </w:rPr>
        <w:footnoteRef/>
      </w:r>
      <w:r>
        <w:t xml:space="preserve"> Ibid p.2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8FC"/>
    <w:rsid w:val="00006C20"/>
    <w:rsid w:val="00025046"/>
    <w:rsid w:val="0004660F"/>
    <w:rsid w:val="000528FC"/>
    <w:rsid w:val="00074659"/>
    <w:rsid w:val="00090FC1"/>
    <w:rsid w:val="000957B2"/>
    <w:rsid w:val="000C7C5D"/>
    <w:rsid w:val="000D43FF"/>
    <w:rsid w:val="00113D92"/>
    <w:rsid w:val="00150EA9"/>
    <w:rsid w:val="00154A14"/>
    <w:rsid w:val="00156BC0"/>
    <w:rsid w:val="00177D2E"/>
    <w:rsid w:val="001A7867"/>
    <w:rsid w:val="00200684"/>
    <w:rsid w:val="00216560"/>
    <w:rsid w:val="00233AC0"/>
    <w:rsid w:val="0025141C"/>
    <w:rsid w:val="0025474B"/>
    <w:rsid w:val="00267016"/>
    <w:rsid w:val="00281E91"/>
    <w:rsid w:val="0029595D"/>
    <w:rsid w:val="002D43EB"/>
    <w:rsid w:val="003C5766"/>
    <w:rsid w:val="003D5987"/>
    <w:rsid w:val="003D6BFC"/>
    <w:rsid w:val="003E5934"/>
    <w:rsid w:val="004747A3"/>
    <w:rsid w:val="004B0BAA"/>
    <w:rsid w:val="004B3B42"/>
    <w:rsid w:val="004D2947"/>
    <w:rsid w:val="00555E22"/>
    <w:rsid w:val="00557C68"/>
    <w:rsid w:val="00564F62"/>
    <w:rsid w:val="00576285"/>
    <w:rsid w:val="0057705A"/>
    <w:rsid w:val="0058051B"/>
    <w:rsid w:val="005934F3"/>
    <w:rsid w:val="005A79ED"/>
    <w:rsid w:val="005B5A45"/>
    <w:rsid w:val="005C2F41"/>
    <w:rsid w:val="005F2B43"/>
    <w:rsid w:val="006217F4"/>
    <w:rsid w:val="006269EB"/>
    <w:rsid w:val="006302EA"/>
    <w:rsid w:val="006A6316"/>
    <w:rsid w:val="006C3075"/>
    <w:rsid w:val="00727D19"/>
    <w:rsid w:val="007509C9"/>
    <w:rsid w:val="007C1814"/>
    <w:rsid w:val="00814662"/>
    <w:rsid w:val="00884EB3"/>
    <w:rsid w:val="008A10EE"/>
    <w:rsid w:val="008A2040"/>
    <w:rsid w:val="008C6CD4"/>
    <w:rsid w:val="008D2BDF"/>
    <w:rsid w:val="008E74C8"/>
    <w:rsid w:val="009060AD"/>
    <w:rsid w:val="009268F6"/>
    <w:rsid w:val="00942741"/>
    <w:rsid w:val="009668E1"/>
    <w:rsid w:val="009C1BDF"/>
    <w:rsid w:val="009D3D17"/>
    <w:rsid w:val="00A044E6"/>
    <w:rsid w:val="00A44FDE"/>
    <w:rsid w:val="00A94966"/>
    <w:rsid w:val="00AA0C73"/>
    <w:rsid w:val="00AD7B82"/>
    <w:rsid w:val="00B37843"/>
    <w:rsid w:val="00B77616"/>
    <w:rsid w:val="00BD266F"/>
    <w:rsid w:val="00BD7A8B"/>
    <w:rsid w:val="00BF52A7"/>
    <w:rsid w:val="00C41F7F"/>
    <w:rsid w:val="00C454BB"/>
    <w:rsid w:val="00C770AD"/>
    <w:rsid w:val="00D04AFD"/>
    <w:rsid w:val="00D064F7"/>
    <w:rsid w:val="00D22769"/>
    <w:rsid w:val="00D272A8"/>
    <w:rsid w:val="00D53555"/>
    <w:rsid w:val="00D643D5"/>
    <w:rsid w:val="00D65EFB"/>
    <w:rsid w:val="00D762BF"/>
    <w:rsid w:val="00DA135A"/>
    <w:rsid w:val="00DB0E21"/>
    <w:rsid w:val="00DE7677"/>
    <w:rsid w:val="00DF40D6"/>
    <w:rsid w:val="00E05127"/>
    <w:rsid w:val="00E242FE"/>
    <w:rsid w:val="00EB2121"/>
    <w:rsid w:val="00ED4830"/>
    <w:rsid w:val="00EF52E1"/>
    <w:rsid w:val="00F20B75"/>
    <w:rsid w:val="00F3461F"/>
    <w:rsid w:val="00F36CF4"/>
    <w:rsid w:val="00FA616F"/>
    <w:rsid w:val="00FE2689"/>
    <w:rsid w:val="00FE3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85AC"/>
  <w15:chartTrackingRefBased/>
  <w15:docId w15:val="{2E74A557-5911-4075-A3DD-6423C9C5D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F52E1"/>
    <w:rPr>
      <w:sz w:val="16"/>
      <w:szCs w:val="16"/>
    </w:rPr>
  </w:style>
  <w:style w:type="paragraph" w:styleId="CommentText">
    <w:name w:val="annotation text"/>
    <w:basedOn w:val="Normal"/>
    <w:link w:val="CommentTextChar"/>
    <w:uiPriority w:val="99"/>
    <w:semiHidden/>
    <w:unhideWhenUsed/>
    <w:rsid w:val="00EF52E1"/>
    <w:pPr>
      <w:spacing w:line="240" w:lineRule="auto"/>
    </w:pPr>
    <w:rPr>
      <w:sz w:val="20"/>
      <w:szCs w:val="20"/>
    </w:rPr>
  </w:style>
  <w:style w:type="character" w:customStyle="1" w:styleId="CommentTextChar">
    <w:name w:val="Comment Text Char"/>
    <w:basedOn w:val="DefaultParagraphFont"/>
    <w:link w:val="CommentText"/>
    <w:uiPriority w:val="99"/>
    <w:semiHidden/>
    <w:rsid w:val="00EF52E1"/>
    <w:rPr>
      <w:sz w:val="20"/>
      <w:szCs w:val="20"/>
    </w:rPr>
  </w:style>
  <w:style w:type="paragraph" w:styleId="CommentSubject">
    <w:name w:val="annotation subject"/>
    <w:basedOn w:val="CommentText"/>
    <w:next w:val="CommentText"/>
    <w:link w:val="CommentSubjectChar"/>
    <w:uiPriority w:val="99"/>
    <w:semiHidden/>
    <w:unhideWhenUsed/>
    <w:rsid w:val="00EF52E1"/>
    <w:rPr>
      <w:b/>
      <w:bCs/>
    </w:rPr>
  </w:style>
  <w:style w:type="character" w:customStyle="1" w:styleId="CommentSubjectChar">
    <w:name w:val="Comment Subject Char"/>
    <w:basedOn w:val="CommentTextChar"/>
    <w:link w:val="CommentSubject"/>
    <w:uiPriority w:val="99"/>
    <w:semiHidden/>
    <w:rsid w:val="00EF52E1"/>
    <w:rPr>
      <w:b/>
      <w:bCs/>
      <w:sz w:val="20"/>
      <w:szCs w:val="20"/>
    </w:rPr>
  </w:style>
  <w:style w:type="paragraph" w:styleId="BalloonText">
    <w:name w:val="Balloon Text"/>
    <w:basedOn w:val="Normal"/>
    <w:link w:val="BalloonTextChar"/>
    <w:uiPriority w:val="99"/>
    <w:semiHidden/>
    <w:unhideWhenUsed/>
    <w:rsid w:val="00EF52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52E1"/>
    <w:rPr>
      <w:rFonts w:ascii="Segoe UI" w:hAnsi="Segoe UI" w:cs="Segoe UI"/>
      <w:sz w:val="18"/>
      <w:szCs w:val="18"/>
    </w:rPr>
  </w:style>
  <w:style w:type="character" w:styleId="Hyperlink">
    <w:name w:val="Hyperlink"/>
    <w:basedOn w:val="DefaultParagraphFont"/>
    <w:uiPriority w:val="99"/>
    <w:unhideWhenUsed/>
    <w:rsid w:val="009C1BDF"/>
    <w:rPr>
      <w:color w:val="0563C1" w:themeColor="hyperlink"/>
      <w:u w:val="single"/>
    </w:rPr>
  </w:style>
  <w:style w:type="character" w:styleId="UnresolvedMention">
    <w:name w:val="Unresolved Mention"/>
    <w:basedOn w:val="DefaultParagraphFont"/>
    <w:uiPriority w:val="99"/>
    <w:semiHidden/>
    <w:unhideWhenUsed/>
    <w:rsid w:val="009C1BDF"/>
    <w:rPr>
      <w:color w:val="605E5C"/>
      <w:shd w:val="clear" w:color="auto" w:fill="E1DFDD"/>
    </w:rPr>
  </w:style>
  <w:style w:type="paragraph" w:styleId="FootnoteText">
    <w:name w:val="footnote text"/>
    <w:basedOn w:val="Normal"/>
    <w:link w:val="FootnoteTextChar"/>
    <w:uiPriority w:val="99"/>
    <w:semiHidden/>
    <w:unhideWhenUsed/>
    <w:rsid w:val="002165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560"/>
    <w:rPr>
      <w:sz w:val="20"/>
      <w:szCs w:val="20"/>
    </w:rPr>
  </w:style>
  <w:style w:type="character" w:styleId="FootnoteReference">
    <w:name w:val="footnote reference"/>
    <w:basedOn w:val="DefaultParagraphFont"/>
    <w:uiPriority w:val="99"/>
    <w:semiHidden/>
    <w:unhideWhenUsed/>
    <w:rsid w:val="002165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therinemansfieldsociety.org/short-stories-by-katherine-mansfiel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artleby.com/201/1.html%20Accessed%2026th%20March%2020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utenberg.net.au/ebooks02/0200791.txt%20%20Accessed%206th%20April%202020" TargetMode="External"/><Relationship Id="rId5" Type="http://schemas.openxmlformats.org/officeDocument/2006/relationships/footnotes" Target="footnotes.xml"/><Relationship Id="rId10" Type="http://schemas.openxmlformats.org/officeDocument/2006/relationships/hyperlink" Target="https://archive.org/stream/cathayezrapound00pounrich#page/n9/mode/2up  Accessed 24th March 2020" TargetMode="External"/><Relationship Id="rId4" Type="http://schemas.openxmlformats.org/officeDocument/2006/relationships/webSettings" Target="webSettings.xml"/><Relationship Id="rId9" Type="http://schemas.openxmlformats.org/officeDocument/2006/relationships/hyperlink" Target="https://www.youtube.com/watch?v=U91-trNL2fQ"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katherinemansfieldsociety.org/short-stories-by-katherine-mansfield/" TargetMode="External"/><Relationship Id="rId1" Type="http://schemas.openxmlformats.org/officeDocument/2006/relationships/hyperlink" Target="http://gutenberg.net.au/ebooks02/0200791.t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BC534-822E-437F-AEB0-4A3077F5F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2328</TotalTime>
  <Pages>6</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26</cp:revision>
  <cp:lastPrinted>2020-05-02T11:22:00Z</cp:lastPrinted>
  <dcterms:created xsi:type="dcterms:W3CDTF">2020-04-29T08:05:00Z</dcterms:created>
  <dcterms:modified xsi:type="dcterms:W3CDTF">2020-05-03T10:55:00Z</dcterms:modified>
</cp:coreProperties>
</file>