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743E0" w14:textId="77777777" w:rsidR="007C29A9" w:rsidRDefault="007C29A9" w:rsidP="007C29A9">
      <w:pPr>
        <w:jc w:val="center"/>
        <w:rPr>
          <w:b/>
          <w:bCs/>
          <w:sz w:val="28"/>
          <w:szCs w:val="28"/>
        </w:rPr>
      </w:pPr>
    </w:p>
    <w:p w14:paraId="64C11ECE" w14:textId="77777777" w:rsidR="007C29A9" w:rsidRDefault="007C29A9" w:rsidP="007C29A9">
      <w:pPr>
        <w:jc w:val="center"/>
        <w:rPr>
          <w:b/>
          <w:bCs/>
          <w:sz w:val="28"/>
          <w:szCs w:val="28"/>
        </w:rPr>
      </w:pPr>
    </w:p>
    <w:p w14:paraId="0B126A90" w14:textId="77777777" w:rsidR="007C29A9" w:rsidRDefault="007C29A9" w:rsidP="007C29A9">
      <w:pPr>
        <w:jc w:val="center"/>
        <w:rPr>
          <w:b/>
          <w:bCs/>
          <w:sz w:val="28"/>
          <w:szCs w:val="28"/>
        </w:rPr>
      </w:pPr>
    </w:p>
    <w:p w14:paraId="6BC668BA" w14:textId="77777777" w:rsidR="007C29A9" w:rsidRDefault="007C29A9" w:rsidP="007C29A9">
      <w:pPr>
        <w:jc w:val="center"/>
        <w:rPr>
          <w:b/>
          <w:bCs/>
          <w:sz w:val="28"/>
          <w:szCs w:val="28"/>
        </w:rPr>
      </w:pPr>
    </w:p>
    <w:p w14:paraId="38E448C0" w14:textId="77777777" w:rsidR="007C29A9" w:rsidRDefault="007C29A9" w:rsidP="007C29A9">
      <w:pPr>
        <w:jc w:val="center"/>
        <w:rPr>
          <w:b/>
          <w:bCs/>
          <w:sz w:val="28"/>
          <w:szCs w:val="28"/>
        </w:rPr>
      </w:pPr>
    </w:p>
    <w:p w14:paraId="1229EA13" w14:textId="77777777" w:rsidR="007C29A9" w:rsidRDefault="007C29A9" w:rsidP="007C29A9">
      <w:pPr>
        <w:jc w:val="center"/>
        <w:rPr>
          <w:b/>
          <w:bCs/>
          <w:sz w:val="28"/>
          <w:szCs w:val="28"/>
        </w:rPr>
      </w:pPr>
    </w:p>
    <w:p w14:paraId="0B8CB5E2" w14:textId="77777777" w:rsidR="007C29A9" w:rsidRDefault="007C29A9" w:rsidP="007C29A9">
      <w:pPr>
        <w:jc w:val="center"/>
        <w:rPr>
          <w:b/>
          <w:bCs/>
          <w:sz w:val="28"/>
          <w:szCs w:val="28"/>
        </w:rPr>
      </w:pPr>
    </w:p>
    <w:p w14:paraId="65C825BE" w14:textId="77777777" w:rsidR="007C29A9" w:rsidRDefault="007C29A9" w:rsidP="007C29A9">
      <w:pPr>
        <w:jc w:val="center"/>
        <w:rPr>
          <w:b/>
          <w:bCs/>
          <w:sz w:val="28"/>
          <w:szCs w:val="28"/>
        </w:rPr>
      </w:pPr>
    </w:p>
    <w:p w14:paraId="348F06DE" w14:textId="302A6742" w:rsidR="00ED3D92" w:rsidRPr="007C29A9" w:rsidRDefault="007C29A9" w:rsidP="007C29A9">
      <w:pPr>
        <w:jc w:val="center"/>
        <w:rPr>
          <w:b/>
          <w:bCs/>
          <w:sz w:val="28"/>
          <w:szCs w:val="28"/>
        </w:rPr>
      </w:pPr>
      <w:r w:rsidRPr="007C29A9">
        <w:rPr>
          <w:b/>
          <w:bCs/>
          <w:sz w:val="28"/>
          <w:szCs w:val="28"/>
        </w:rPr>
        <w:t>MODULE CODE/ COD Y MODIWL: LCBB4002 COMMUNITY ENGAGEMENT</w:t>
      </w:r>
    </w:p>
    <w:p w14:paraId="48072E0D" w14:textId="1ADC9B3B" w:rsidR="007C29A9" w:rsidRPr="007C29A9" w:rsidRDefault="007C29A9" w:rsidP="007C29A9">
      <w:pPr>
        <w:jc w:val="center"/>
        <w:rPr>
          <w:b/>
          <w:bCs/>
          <w:sz w:val="28"/>
          <w:szCs w:val="28"/>
        </w:rPr>
      </w:pPr>
      <w:r w:rsidRPr="007C29A9">
        <w:rPr>
          <w:b/>
          <w:bCs/>
          <w:sz w:val="28"/>
          <w:szCs w:val="28"/>
        </w:rPr>
        <w:t>Student ID:</w:t>
      </w:r>
      <w:r w:rsidR="00F413B2">
        <w:rPr>
          <w:b/>
          <w:bCs/>
          <w:sz w:val="28"/>
          <w:szCs w:val="28"/>
        </w:rPr>
        <w:t xml:space="preserve"> 2127256</w:t>
      </w:r>
    </w:p>
    <w:p w14:paraId="59D6F036" w14:textId="2FA518C4" w:rsidR="007C29A9" w:rsidRDefault="007C29A9" w:rsidP="007C29A9">
      <w:pPr>
        <w:jc w:val="center"/>
        <w:rPr>
          <w:b/>
          <w:bCs/>
          <w:sz w:val="28"/>
          <w:szCs w:val="28"/>
        </w:rPr>
      </w:pPr>
      <w:r w:rsidRPr="007C29A9">
        <w:rPr>
          <w:b/>
          <w:bCs/>
          <w:sz w:val="28"/>
          <w:szCs w:val="28"/>
        </w:rPr>
        <w:t>Student Name:</w:t>
      </w:r>
      <w:r w:rsidR="00F413B2">
        <w:rPr>
          <w:b/>
          <w:bCs/>
          <w:sz w:val="28"/>
          <w:szCs w:val="28"/>
        </w:rPr>
        <w:t xml:space="preserve"> Demir Demirov</w:t>
      </w:r>
    </w:p>
    <w:p w14:paraId="4C073A33" w14:textId="77777777" w:rsidR="007C29A9" w:rsidRDefault="007C29A9">
      <w:pPr>
        <w:spacing w:line="259" w:lineRule="auto"/>
        <w:jc w:val="left"/>
        <w:rPr>
          <w:b/>
          <w:bCs/>
          <w:sz w:val="28"/>
          <w:szCs w:val="28"/>
        </w:rPr>
      </w:pPr>
      <w:r>
        <w:rPr>
          <w:b/>
          <w:bCs/>
          <w:sz w:val="28"/>
          <w:szCs w:val="28"/>
        </w:rPr>
        <w:br w:type="page"/>
      </w:r>
    </w:p>
    <w:p w14:paraId="6B5A5F73" w14:textId="24076691" w:rsidR="007C29A9" w:rsidRPr="00506DFA" w:rsidRDefault="007C29A9" w:rsidP="00506DFA">
      <w:pPr>
        <w:jc w:val="center"/>
        <w:rPr>
          <w:b/>
          <w:bCs/>
        </w:rPr>
      </w:pPr>
      <w:r w:rsidRPr="00506DFA">
        <w:rPr>
          <w:b/>
          <w:bCs/>
        </w:rPr>
        <w:lastRenderedPageBreak/>
        <w:t>Executive Summary</w:t>
      </w:r>
    </w:p>
    <w:p w14:paraId="167927DF" w14:textId="220FC7B5" w:rsidR="00B565B2" w:rsidRDefault="00506DFA" w:rsidP="007C29A9">
      <w:r w:rsidRPr="00506DFA">
        <w:t>The report's "The Big Local" community participation project in East Lindsey, Lincolnshire, UK, has been the subject of discussion. This project is an excellent example of a dedication to standards, planning and design, impact assessment, and community engagement principles. It upholds values that are appropriate for its goals and successfully disseminates them via a range of media. The project complies with applicable standards, fostering accountability and openness, and the planning and design stages guarantee inclusivity and stakeholder involvement. The project makes use of a variety of assessment instruments in its complete effect measurement strategy. The research does, however, identify certain areas that could use improvement, such as improving communication of data analytic processes and cultural sensitivity. Furthering the project's dedication to equitable community growth is advised through the creation of a strong framework for monitoring long-term outcomes.</w:t>
      </w:r>
    </w:p>
    <w:p w14:paraId="526D3768" w14:textId="77777777" w:rsidR="00B565B2" w:rsidRDefault="00B565B2">
      <w:pPr>
        <w:spacing w:line="259" w:lineRule="auto"/>
        <w:jc w:val="left"/>
      </w:pPr>
      <w:r>
        <w:br w:type="page"/>
      </w:r>
    </w:p>
    <w:sdt>
      <w:sdtPr>
        <w:rPr>
          <w:rFonts w:ascii="Times New Roman" w:eastAsiaTheme="minorHAnsi" w:hAnsi="Times New Roman" w:cstheme="minorBidi"/>
          <w:color w:val="auto"/>
          <w:sz w:val="24"/>
          <w:szCs w:val="22"/>
          <w:lang w:val="en-GB"/>
        </w:rPr>
        <w:id w:val="-523792538"/>
        <w:docPartObj>
          <w:docPartGallery w:val="Table of Contents"/>
          <w:docPartUnique/>
        </w:docPartObj>
      </w:sdtPr>
      <w:sdtEndPr>
        <w:rPr>
          <w:b/>
          <w:bCs/>
          <w:noProof/>
        </w:rPr>
      </w:sdtEndPr>
      <w:sdtContent>
        <w:p w14:paraId="7989B781" w14:textId="6629E5DB" w:rsidR="00B565B2" w:rsidRDefault="00B565B2">
          <w:pPr>
            <w:pStyle w:val="TOCHeading"/>
          </w:pPr>
          <w:r>
            <w:t>Table of Contents</w:t>
          </w:r>
        </w:p>
        <w:p w14:paraId="531AC2FE" w14:textId="1C5B22F8" w:rsidR="00B565B2" w:rsidRDefault="00B565B2">
          <w:pPr>
            <w:pStyle w:val="TOC1"/>
            <w:tabs>
              <w:tab w:val="right" w:leader="dot" w:pos="9016"/>
            </w:tabs>
            <w:rPr>
              <w:noProof/>
            </w:rPr>
          </w:pPr>
          <w:r>
            <w:fldChar w:fldCharType="begin"/>
          </w:r>
          <w:r>
            <w:instrText xml:space="preserve"> TOC \o "1-3" \h \z \u </w:instrText>
          </w:r>
          <w:r>
            <w:fldChar w:fldCharType="separate"/>
          </w:r>
          <w:hyperlink w:anchor="_Toc149570506" w:history="1">
            <w:r w:rsidRPr="00E076CB">
              <w:rPr>
                <w:rStyle w:val="Hyperlink"/>
                <w:noProof/>
              </w:rPr>
              <w:t>Introduction</w:t>
            </w:r>
            <w:r>
              <w:rPr>
                <w:noProof/>
                <w:webHidden/>
              </w:rPr>
              <w:tab/>
            </w:r>
            <w:r>
              <w:rPr>
                <w:noProof/>
                <w:webHidden/>
              </w:rPr>
              <w:fldChar w:fldCharType="begin"/>
            </w:r>
            <w:r>
              <w:rPr>
                <w:noProof/>
                <w:webHidden/>
              </w:rPr>
              <w:instrText xml:space="preserve"> PAGEREF _Toc149570506 \h </w:instrText>
            </w:r>
            <w:r>
              <w:rPr>
                <w:noProof/>
                <w:webHidden/>
              </w:rPr>
            </w:r>
            <w:r>
              <w:rPr>
                <w:noProof/>
                <w:webHidden/>
              </w:rPr>
              <w:fldChar w:fldCharType="separate"/>
            </w:r>
            <w:r>
              <w:rPr>
                <w:noProof/>
                <w:webHidden/>
              </w:rPr>
              <w:t>4</w:t>
            </w:r>
            <w:r>
              <w:rPr>
                <w:noProof/>
                <w:webHidden/>
              </w:rPr>
              <w:fldChar w:fldCharType="end"/>
            </w:r>
          </w:hyperlink>
        </w:p>
        <w:p w14:paraId="44B769CF" w14:textId="6473B76B" w:rsidR="00B565B2" w:rsidRDefault="00E252BA">
          <w:pPr>
            <w:pStyle w:val="TOC1"/>
            <w:tabs>
              <w:tab w:val="right" w:leader="dot" w:pos="9016"/>
            </w:tabs>
            <w:rPr>
              <w:noProof/>
            </w:rPr>
          </w:pPr>
          <w:hyperlink w:anchor="_Toc149570507" w:history="1">
            <w:r w:rsidR="00B565B2" w:rsidRPr="00E076CB">
              <w:rPr>
                <w:rStyle w:val="Hyperlink"/>
                <w:noProof/>
              </w:rPr>
              <w:t>Community engagement principles</w:t>
            </w:r>
            <w:r w:rsidR="00B565B2">
              <w:rPr>
                <w:noProof/>
                <w:webHidden/>
              </w:rPr>
              <w:tab/>
            </w:r>
            <w:r w:rsidR="00B565B2">
              <w:rPr>
                <w:noProof/>
                <w:webHidden/>
              </w:rPr>
              <w:fldChar w:fldCharType="begin"/>
            </w:r>
            <w:r w:rsidR="00B565B2">
              <w:rPr>
                <w:noProof/>
                <w:webHidden/>
              </w:rPr>
              <w:instrText xml:space="preserve"> PAGEREF _Toc149570507 \h </w:instrText>
            </w:r>
            <w:r w:rsidR="00B565B2">
              <w:rPr>
                <w:noProof/>
                <w:webHidden/>
              </w:rPr>
            </w:r>
            <w:r w:rsidR="00B565B2">
              <w:rPr>
                <w:noProof/>
                <w:webHidden/>
              </w:rPr>
              <w:fldChar w:fldCharType="separate"/>
            </w:r>
            <w:r w:rsidR="00B565B2">
              <w:rPr>
                <w:noProof/>
                <w:webHidden/>
              </w:rPr>
              <w:t>5</w:t>
            </w:r>
            <w:r w:rsidR="00B565B2">
              <w:rPr>
                <w:noProof/>
                <w:webHidden/>
              </w:rPr>
              <w:fldChar w:fldCharType="end"/>
            </w:r>
          </w:hyperlink>
        </w:p>
        <w:p w14:paraId="4B62F461" w14:textId="4F07B322" w:rsidR="00B565B2" w:rsidRDefault="00E252BA">
          <w:pPr>
            <w:pStyle w:val="TOC1"/>
            <w:tabs>
              <w:tab w:val="right" w:leader="dot" w:pos="9016"/>
            </w:tabs>
            <w:rPr>
              <w:noProof/>
            </w:rPr>
          </w:pPr>
          <w:hyperlink w:anchor="_Toc149570508" w:history="1">
            <w:r w:rsidR="00B565B2" w:rsidRPr="00E076CB">
              <w:rPr>
                <w:rStyle w:val="Hyperlink"/>
                <w:noProof/>
              </w:rPr>
              <w:t>Planning and design</w:t>
            </w:r>
            <w:r w:rsidR="00B565B2">
              <w:rPr>
                <w:noProof/>
                <w:webHidden/>
              </w:rPr>
              <w:tab/>
            </w:r>
            <w:r w:rsidR="00B565B2">
              <w:rPr>
                <w:noProof/>
                <w:webHidden/>
              </w:rPr>
              <w:fldChar w:fldCharType="begin"/>
            </w:r>
            <w:r w:rsidR="00B565B2">
              <w:rPr>
                <w:noProof/>
                <w:webHidden/>
              </w:rPr>
              <w:instrText xml:space="preserve"> PAGEREF _Toc149570508 \h </w:instrText>
            </w:r>
            <w:r w:rsidR="00B565B2">
              <w:rPr>
                <w:noProof/>
                <w:webHidden/>
              </w:rPr>
            </w:r>
            <w:r w:rsidR="00B565B2">
              <w:rPr>
                <w:noProof/>
                <w:webHidden/>
              </w:rPr>
              <w:fldChar w:fldCharType="separate"/>
            </w:r>
            <w:r w:rsidR="00B565B2">
              <w:rPr>
                <w:noProof/>
                <w:webHidden/>
              </w:rPr>
              <w:t>7</w:t>
            </w:r>
            <w:r w:rsidR="00B565B2">
              <w:rPr>
                <w:noProof/>
                <w:webHidden/>
              </w:rPr>
              <w:fldChar w:fldCharType="end"/>
            </w:r>
          </w:hyperlink>
        </w:p>
        <w:p w14:paraId="2E460056" w14:textId="20464A3F" w:rsidR="00B565B2" w:rsidRDefault="00E252BA">
          <w:pPr>
            <w:pStyle w:val="TOC1"/>
            <w:tabs>
              <w:tab w:val="right" w:leader="dot" w:pos="9016"/>
            </w:tabs>
            <w:rPr>
              <w:noProof/>
            </w:rPr>
          </w:pPr>
          <w:hyperlink w:anchor="_Toc149570509" w:history="1">
            <w:r w:rsidR="00B565B2" w:rsidRPr="00E076CB">
              <w:rPr>
                <w:rStyle w:val="Hyperlink"/>
                <w:noProof/>
              </w:rPr>
              <w:t>Standards</w:t>
            </w:r>
            <w:r w:rsidR="00B565B2">
              <w:rPr>
                <w:noProof/>
                <w:webHidden/>
              </w:rPr>
              <w:tab/>
            </w:r>
            <w:r w:rsidR="00B565B2">
              <w:rPr>
                <w:noProof/>
                <w:webHidden/>
              </w:rPr>
              <w:fldChar w:fldCharType="begin"/>
            </w:r>
            <w:r w:rsidR="00B565B2">
              <w:rPr>
                <w:noProof/>
                <w:webHidden/>
              </w:rPr>
              <w:instrText xml:space="preserve"> PAGEREF _Toc149570509 \h </w:instrText>
            </w:r>
            <w:r w:rsidR="00B565B2">
              <w:rPr>
                <w:noProof/>
                <w:webHidden/>
              </w:rPr>
            </w:r>
            <w:r w:rsidR="00B565B2">
              <w:rPr>
                <w:noProof/>
                <w:webHidden/>
              </w:rPr>
              <w:fldChar w:fldCharType="separate"/>
            </w:r>
            <w:r w:rsidR="00B565B2">
              <w:rPr>
                <w:noProof/>
                <w:webHidden/>
              </w:rPr>
              <w:t>9</w:t>
            </w:r>
            <w:r w:rsidR="00B565B2">
              <w:rPr>
                <w:noProof/>
                <w:webHidden/>
              </w:rPr>
              <w:fldChar w:fldCharType="end"/>
            </w:r>
          </w:hyperlink>
        </w:p>
        <w:p w14:paraId="4E87A794" w14:textId="07F75B43" w:rsidR="00B565B2" w:rsidRDefault="00E252BA">
          <w:pPr>
            <w:pStyle w:val="TOC1"/>
            <w:tabs>
              <w:tab w:val="right" w:leader="dot" w:pos="9016"/>
            </w:tabs>
            <w:rPr>
              <w:noProof/>
            </w:rPr>
          </w:pPr>
          <w:hyperlink w:anchor="_Toc149570510" w:history="1">
            <w:r w:rsidR="00B565B2" w:rsidRPr="00E076CB">
              <w:rPr>
                <w:rStyle w:val="Hyperlink"/>
                <w:noProof/>
              </w:rPr>
              <w:t>Evaluation and Impact</w:t>
            </w:r>
            <w:r w:rsidR="00B565B2">
              <w:rPr>
                <w:noProof/>
                <w:webHidden/>
              </w:rPr>
              <w:tab/>
            </w:r>
            <w:r w:rsidR="00B565B2">
              <w:rPr>
                <w:noProof/>
                <w:webHidden/>
              </w:rPr>
              <w:fldChar w:fldCharType="begin"/>
            </w:r>
            <w:r w:rsidR="00B565B2">
              <w:rPr>
                <w:noProof/>
                <w:webHidden/>
              </w:rPr>
              <w:instrText xml:space="preserve"> PAGEREF _Toc149570510 \h </w:instrText>
            </w:r>
            <w:r w:rsidR="00B565B2">
              <w:rPr>
                <w:noProof/>
                <w:webHidden/>
              </w:rPr>
            </w:r>
            <w:r w:rsidR="00B565B2">
              <w:rPr>
                <w:noProof/>
                <w:webHidden/>
              </w:rPr>
              <w:fldChar w:fldCharType="separate"/>
            </w:r>
            <w:r w:rsidR="00B565B2">
              <w:rPr>
                <w:noProof/>
                <w:webHidden/>
              </w:rPr>
              <w:t>10</w:t>
            </w:r>
            <w:r w:rsidR="00B565B2">
              <w:rPr>
                <w:noProof/>
                <w:webHidden/>
              </w:rPr>
              <w:fldChar w:fldCharType="end"/>
            </w:r>
          </w:hyperlink>
        </w:p>
        <w:p w14:paraId="4534A56B" w14:textId="2DE284BA" w:rsidR="00B565B2" w:rsidRDefault="00E252BA">
          <w:pPr>
            <w:pStyle w:val="TOC1"/>
            <w:tabs>
              <w:tab w:val="right" w:leader="dot" w:pos="9016"/>
            </w:tabs>
            <w:rPr>
              <w:noProof/>
            </w:rPr>
          </w:pPr>
          <w:hyperlink w:anchor="_Toc149570511" w:history="1">
            <w:r w:rsidR="00B565B2" w:rsidRPr="00E076CB">
              <w:rPr>
                <w:rStyle w:val="Hyperlink"/>
                <w:noProof/>
              </w:rPr>
              <w:t>Conclusion</w:t>
            </w:r>
            <w:r w:rsidR="00B565B2">
              <w:rPr>
                <w:noProof/>
                <w:webHidden/>
              </w:rPr>
              <w:tab/>
            </w:r>
            <w:r w:rsidR="00B565B2">
              <w:rPr>
                <w:noProof/>
                <w:webHidden/>
              </w:rPr>
              <w:fldChar w:fldCharType="begin"/>
            </w:r>
            <w:r w:rsidR="00B565B2">
              <w:rPr>
                <w:noProof/>
                <w:webHidden/>
              </w:rPr>
              <w:instrText xml:space="preserve"> PAGEREF _Toc149570511 \h </w:instrText>
            </w:r>
            <w:r w:rsidR="00B565B2">
              <w:rPr>
                <w:noProof/>
                <w:webHidden/>
              </w:rPr>
            </w:r>
            <w:r w:rsidR="00B565B2">
              <w:rPr>
                <w:noProof/>
                <w:webHidden/>
              </w:rPr>
              <w:fldChar w:fldCharType="separate"/>
            </w:r>
            <w:r w:rsidR="00B565B2">
              <w:rPr>
                <w:noProof/>
                <w:webHidden/>
              </w:rPr>
              <w:t>12</w:t>
            </w:r>
            <w:r w:rsidR="00B565B2">
              <w:rPr>
                <w:noProof/>
                <w:webHidden/>
              </w:rPr>
              <w:fldChar w:fldCharType="end"/>
            </w:r>
          </w:hyperlink>
        </w:p>
        <w:p w14:paraId="0FBACCBF" w14:textId="55219A00" w:rsidR="00B565B2" w:rsidRDefault="00E252BA">
          <w:pPr>
            <w:pStyle w:val="TOC1"/>
            <w:tabs>
              <w:tab w:val="right" w:leader="dot" w:pos="9016"/>
            </w:tabs>
            <w:rPr>
              <w:noProof/>
            </w:rPr>
          </w:pPr>
          <w:hyperlink w:anchor="_Toc149570512" w:history="1">
            <w:r w:rsidR="00B565B2" w:rsidRPr="00E076CB">
              <w:rPr>
                <w:rStyle w:val="Hyperlink"/>
                <w:noProof/>
              </w:rPr>
              <w:t>References</w:t>
            </w:r>
            <w:r w:rsidR="00B565B2">
              <w:rPr>
                <w:noProof/>
                <w:webHidden/>
              </w:rPr>
              <w:tab/>
            </w:r>
            <w:r w:rsidR="00B565B2">
              <w:rPr>
                <w:noProof/>
                <w:webHidden/>
              </w:rPr>
              <w:fldChar w:fldCharType="begin"/>
            </w:r>
            <w:r w:rsidR="00B565B2">
              <w:rPr>
                <w:noProof/>
                <w:webHidden/>
              </w:rPr>
              <w:instrText xml:space="preserve"> PAGEREF _Toc149570512 \h </w:instrText>
            </w:r>
            <w:r w:rsidR="00B565B2">
              <w:rPr>
                <w:noProof/>
                <w:webHidden/>
              </w:rPr>
            </w:r>
            <w:r w:rsidR="00B565B2">
              <w:rPr>
                <w:noProof/>
                <w:webHidden/>
              </w:rPr>
              <w:fldChar w:fldCharType="separate"/>
            </w:r>
            <w:r w:rsidR="00B565B2">
              <w:rPr>
                <w:noProof/>
                <w:webHidden/>
              </w:rPr>
              <w:t>13</w:t>
            </w:r>
            <w:r w:rsidR="00B565B2">
              <w:rPr>
                <w:noProof/>
                <w:webHidden/>
              </w:rPr>
              <w:fldChar w:fldCharType="end"/>
            </w:r>
          </w:hyperlink>
        </w:p>
        <w:p w14:paraId="3351C594" w14:textId="051DE013" w:rsidR="00B565B2" w:rsidRDefault="00B565B2">
          <w:r>
            <w:rPr>
              <w:b/>
              <w:bCs/>
              <w:noProof/>
            </w:rPr>
            <w:fldChar w:fldCharType="end"/>
          </w:r>
        </w:p>
      </w:sdtContent>
    </w:sdt>
    <w:p w14:paraId="134A3CEB" w14:textId="77777777" w:rsidR="00506DFA" w:rsidRDefault="00506DFA" w:rsidP="007C29A9"/>
    <w:p w14:paraId="46360229" w14:textId="77777777" w:rsidR="007C29A9" w:rsidRDefault="007C29A9">
      <w:pPr>
        <w:spacing w:line="259" w:lineRule="auto"/>
        <w:jc w:val="left"/>
        <w:rPr>
          <w:b/>
          <w:sz w:val="28"/>
          <w:szCs w:val="40"/>
        </w:rPr>
      </w:pPr>
      <w:r>
        <w:br w:type="page"/>
      </w:r>
    </w:p>
    <w:p w14:paraId="65C6F074" w14:textId="2D9EF551" w:rsidR="007C29A9" w:rsidRDefault="007C29A9" w:rsidP="007C29A9">
      <w:pPr>
        <w:pStyle w:val="Heading1"/>
      </w:pPr>
      <w:bookmarkStart w:id="0" w:name="_Toc149570506"/>
      <w:r w:rsidRPr="007C29A9">
        <w:lastRenderedPageBreak/>
        <w:t>Introduction</w:t>
      </w:r>
      <w:bookmarkEnd w:id="0"/>
    </w:p>
    <w:p w14:paraId="1A9301CC" w14:textId="4AE9D68C" w:rsidR="00BD4455" w:rsidRPr="00BD4455" w:rsidRDefault="00BD4455" w:rsidP="00BD4455">
      <w:r w:rsidRPr="00BD4455">
        <w:t xml:space="preserve">The community engagement project "The Big Local" in East Lindsey, Lincolnshire, UK, will be examined and evaluated in this </w:t>
      </w:r>
      <w:r>
        <w:t>report</w:t>
      </w:r>
      <w:r w:rsidRPr="00BD4455">
        <w:t xml:space="preserve"> using the following frameworks: community engagement principles, planning and design, standards, and effect evaluation. It will </w:t>
      </w:r>
      <w:r>
        <w:t>also describe</w:t>
      </w:r>
      <w:r w:rsidRPr="00BD4455">
        <w:t xml:space="preserve"> on how well the project adheres to the principles of community participation, the planning and design procedures it followed, any applicable standards or models, and the assessment methods employed to gauge its effectiveness. The report will also </w:t>
      </w:r>
      <w:r>
        <w:t>evaluated the way</w:t>
      </w:r>
      <w:r w:rsidRPr="00BD4455">
        <w:t xml:space="preserve"> well these aspects are communicated, as well as the platforms and tools that are used to do so. The objective is to present a thorough review of how well the initiative engages the community and accomplishes its objectives.</w:t>
      </w:r>
      <w:r>
        <w:t xml:space="preserve"> </w:t>
      </w:r>
      <w:r w:rsidRPr="00BD4455">
        <w:t>The "The Big Local" programme in East Lindsey, Lincolnshire, is the selected project for community participation in the United Kingdom. The National Lottery Community Fund and the locals are collaborating on this project, which aims to provide communities the ability to decide how funds are allocated to better their community. The study will look at the project's overall impact, planning and design concepts, and standards of community interaction. It will also evaluate how well models, methods, and platforms for community interaction are being used while pointing out the project's advantages and disadvantages.</w:t>
      </w:r>
    </w:p>
    <w:p w14:paraId="0DDB3578" w14:textId="77777777" w:rsidR="007C29A9" w:rsidRDefault="007C29A9">
      <w:pPr>
        <w:spacing w:line="259" w:lineRule="auto"/>
        <w:jc w:val="left"/>
        <w:rPr>
          <w:b/>
          <w:sz w:val="28"/>
          <w:szCs w:val="40"/>
        </w:rPr>
      </w:pPr>
      <w:r>
        <w:br w:type="page"/>
      </w:r>
    </w:p>
    <w:p w14:paraId="2CE8E3E6" w14:textId="028A473A" w:rsidR="007C29A9" w:rsidRDefault="007C29A9" w:rsidP="007C29A9">
      <w:pPr>
        <w:pStyle w:val="Heading1"/>
      </w:pPr>
      <w:bookmarkStart w:id="1" w:name="_Toc149570507"/>
      <w:r w:rsidRPr="007C29A9">
        <w:lastRenderedPageBreak/>
        <w:t>Community engagement principles</w:t>
      </w:r>
      <w:bookmarkEnd w:id="1"/>
    </w:p>
    <w:p w14:paraId="17D22B24" w14:textId="27011546" w:rsidR="008E600C" w:rsidRDefault="008E600C" w:rsidP="008A20CA">
      <w:r w:rsidRPr="008E600C">
        <w:t xml:space="preserve">The East Lindsey, Lincolnshire-based "The Big Local" project follows a number of core concepts of community interaction that have greatly influenced its methodology. </w:t>
      </w:r>
    </w:p>
    <w:p w14:paraId="2CA81E70" w14:textId="7CE26E42" w:rsidR="008E600C" w:rsidRDefault="008A20CA" w:rsidP="008E600C">
      <w:r>
        <w:rPr>
          <w:b/>
          <w:bCs/>
          <w:i/>
          <w:iCs/>
        </w:rPr>
        <w:t>1</w:t>
      </w:r>
      <w:r w:rsidR="008E600C" w:rsidRPr="008E600C">
        <w:rPr>
          <w:b/>
          <w:bCs/>
          <w:i/>
          <w:iCs/>
        </w:rPr>
        <w:t>. Cooperation and Partnership:</w:t>
      </w:r>
      <w:r w:rsidR="008E600C">
        <w:t xml:space="preserve"> "The Big Local" promotes cooperation and partnerships amongst locals, organisations, and community groups. Since the goal of the initiative is to mobilise local resources and skills, this principle is critical to its success. Regular community meetings, newsletters, and a dedicated helpline all contribute to maintaining clear communication and building relationships and collaborations among stakeholders</w:t>
      </w:r>
      <w:r w:rsidR="00D12206">
        <w:t xml:space="preserve"> (</w:t>
      </w:r>
      <w:r w:rsidR="00D12206">
        <w:rPr>
          <w:shd w:val="clear" w:color="auto" w:fill="FFFFFF"/>
        </w:rPr>
        <w:t>Marsh et al., 2021)</w:t>
      </w:r>
      <w:r w:rsidR="008E600C">
        <w:t>.</w:t>
      </w:r>
    </w:p>
    <w:p w14:paraId="1A00096A" w14:textId="221B7564" w:rsidR="008E600C" w:rsidRDefault="008A20CA" w:rsidP="008E600C">
      <w:r>
        <w:rPr>
          <w:b/>
          <w:bCs/>
          <w:i/>
          <w:iCs/>
        </w:rPr>
        <w:t>2</w:t>
      </w:r>
      <w:r w:rsidR="008E600C" w:rsidRPr="008E600C">
        <w:rPr>
          <w:b/>
          <w:bCs/>
          <w:i/>
          <w:iCs/>
        </w:rPr>
        <w:t>. Accountability and Transparency:</w:t>
      </w:r>
      <w:r w:rsidR="008E600C" w:rsidRPr="008E600C">
        <w:t xml:space="preserve"> </w:t>
      </w:r>
      <w:r w:rsidR="008E600C">
        <w:t>The project is dedicated to accountability and transparency in its funding allocation and decision-making procedures. This idea is a good fit for the project's goal because it fosters community trust. Financial reports, easily available internet documents, and frequent project progress updates are some of the ways that transparency is conveyed</w:t>
      </w:r>
      <w:r w:rsidR="00D12206">
        <w:t xml:space="preserve"> (</w:t>
      </w:r>
      <w:r w:rsidR="00D12206">
        <w:rPr>
          <w:shd w:val="clear" w:color="auto" w:fill="FFFFFF"/>
        </w:rPr>
        <w:t>Key et al., 2019)</w:t>
      </w:r>
      <w:r w:rsidR="008E600C">
        <w:t>.</w:t>
      </w:r>
    </w:p>
    <w:p w14:paraId="0D2A970B" w14:textId="6D62841C" w:rsidR="008E600C" w:rsidRDefault="008A20CA" w:rsidP="008E600C">
      <w:r>
        <w:rPr>
          <w:b/>
          <w:bCs/>
          <w:i/>
          <w:iCs/>
        </w:rPr>
        <w:t>3</w:t>
      </w:r>
      <w:r w:rsidR="008E600C" w:rsidRPr="008E600C">
        <w:rPr>
          <w:b/>
          <w:bCs/>
          <w:i/>
          <w:iCs/>
        </w:rPr>
        <w:t>. Long-Term Engagement:</w:t>
      </w:r>
      <w:r w:rsidR="008E600C">
        <w:t xml:space="preserve"> "The Big Local" acknowledges that community engagement is a continuous activity rather than a one-time occurrence. This idea supports the goal of long-term, regional advancements. The communication of the long-term engagement method is facilitated by the creation of a community trust that guarantees the project's continuation after the initial funding period ends</w:t>
      </w:r>
      <w:r w:rsidR="00D12206">
        <w:t xml:space="preserve"> (</w:t>
      </w:r>
      <w:r w:rsidR="00D12206">
        <w:rPr>
          <w:shd w:val="clear" w:color="auto" w:fill="FFFFFF"/>
        </w:rPr>
        <w:t>Key et al., 2019)</w:t>
      </w:r>
      <w:r w:rsidR="008E600C">
        <w:t>.</w:t>
      </w:r>
    </w:p>
    <w:p w14:paraId="7321CB9E" w14:textId="168E6E51" w:rsidR="008E600C" w:rsidRDefault="008A20CA" w:rsidP="008E600C">
      <w:r>
        <w:rPr>
          <w:b/>
          <w:bCs/>
          <w:i/>
          <w:iCs/>
        </w:rPr>
        <w:t>4</w:t>
      </w:r>
      <w:r w:rsidR="008E600C" w:rsidRPr="008E600C">
        <w:rPr>
          <w:b/>
          <w:bCs/>
          <w:i/>
          <w:iCs/>
        </w:rPr>
        <w:t>. Community-Led Decision Making:</w:t>
      </w:r>
      <w:r w:rsidR="008E600C">
        <w:t xml:space="preserve"> The initiative makes certain that the opinions, desires, and ideas of the community are at the centre of decision-making procedures. Through giving the residents control over their choices, this idea aligns with the project's goals. Voting and community forums are two examples of decision-making tools that let locals influence the project's course</w:t>
      </w:r>
      <w:r w:rsidR="00D12206">
        <w:t xml:space="preserve"> (</w:t>
      </w:r>
      <w:r w:rsidR="00D12206">
        <w:rPr>
          <w:shd w:val="clear" w:color="auto" w:fill="FFFFFF"/>
        </w:rPr>
        <w:t>Levin et al., 2021)</w:t>
      </w:r>
      <w:r w:rsidR="008E600C">
        <w:t>.</w:t>
      </w:r>
    </w:p>
    <w:p w14:paraId="7EE96CF5" w14:textId="166A58E6" w:rsidR="008E600C" w:rsidRDefault="008A20CA" w:rsidP="008E600C">
      <w:r>
        <w:rPr>
          <w:b/>
          <w:bCs/>
          <w:i/>
          <w:iCs/>
        </w:rPr>
        <w:lastRenderedPageBreak/>
        <w:t>5</w:t>
      </w:r>
      <w:r w:rsidR="008E600C" w:rsidRPr="008E600C">
        <w:rPr>
          <w:b/>
          <w:bCs/>
          <w:i/>
          <w:iCs/>
        </w:rPr>
        <w:t>. Capacity Building:</w:t>
      </w:r>
      <w:r w:rsidR="008E600C" w:rsidRPr="008E600C">
        <w:t xml:space="preserve"> </w:t>
      </w:r>
      <w:r w:rsidR="008E600C">
        <w:t>The "The Big Local" approach relies heavily on the idea of capacity building to enable the community to spearhead local improvements. It provides local organisations and people with guidance and assistance, giving them the tools necessary to carry out fruitful community projects. The project's emphasis on creating capacity is made evident through its skill-sharing activities, training sessions, and seminars</w:t>
      </w:r>
      <w:r w:rsidR="00D12206">
        <w:t xml:space="preserve"> (</w:t>
      </w:r>
      <w:r w:rsidR="00D12206">
        <w:rPr>
          <w:shd w:val="clear" w:color="auto" w:fill="FFFFFF"/>
        </w:rPr>
        <w:t>Levin et al., 2021)</w:t>
      </w:r>
      <w:r w:rsidR="008E600C">
        <w:t>.</w:t>
      </w:r>
    </w:p>
    <w:p w14:paraId="356261AA" w14:textId="3F5D4357" w:rsidR="008E600C" w:rsidRDefault="008A20CA" w:rsidP="008E600C">
      <w:r>
        <w:rPr>
          <w:b/>
          <w:bCs/>
          <w:i/>
          <w:iCs/>
        </w:rPr>
        <w:t>6</w:t>
      </w:r>
      <w:r w:rsidR="008E600C" w:rsidRPr="008E600C">
        <w:rPr>
          <w:b/>
          <w:bCs/>
          <w:i/>
          <w:iCs/>
        </w:rPr>
        <w:t>. Flexibility:</w:t>
      </w:r>
      <w:r w:rsidR="008E600C" w:rsidRPr="008E600C">
        <w:t xml:space="preserve"> </w:t>
      </w:r>
      <w:r w:rsidR="008E600C">
        <w:t>The project can change and respond to the goals and requirements of the community. In order to keep the project successful and relevant, this idea is crucial. Regular community discussions, consultations, and polls are used to spread the word about flexibility</w:t>
      </w:r>
      <w:r w:rsidR="00D12206">
        <w:t xml:space="preserve"> (</w:t>
      </w:r>
      <w:r w:rsidR="00D12206">
        <w:rPr>
          <w:shd w:val="clear" w:color="auto" w:fill="FFFFFF"/>
        </w:rPr>
        <w:t>Levin et al., 2021)</w:t>
      </w:r>
      <w:r w:rsidR="008E600C">
        <w:t>.</w:t>
      </w:r>
    </w:p>
    <w:p w14:paraId="2807DA51" w14:textId="5FA65E97" w:rsidR="008E600C" w:rsidRDefault="008A20CA" w:rsidP="008E600C">
      <w:r>
        <w:rPr>
          <w:b/>
          <w:bCs/>
          <w:i/>
          <w:iCs/>
        </w:rPr>
        <w:t>7</w:t>
      </w:r>
      <w:r w:rsidR="008E600C" w:rsidRPr="008E600C">
        <w:rPr>
          <w:b/>
          <w:bCs/>
          <w:i/>
          <w:iCs/>
        </w:rPr>
        <w:t>. Cultural Sensitivity:</w:t>
      </w:r>
      <w:r w:rsidR="008E600C">
        <w:t xml:space="preserve"> "The Big Local" values and acknowledges the diversity of its residents' cultural backgrounds. Cultural sensitivity is in line with its goal of building a welcoming and peaceful community. The promotion of cultural variety, intercultural gatherings, and festivals are effective means of spreading awareness of this idea</w:t>
      </w:r>
      <w:r w:rsidR="00D12206">
        <w:t xml:space="preserve"> (</w:t>
      </w:r>
      <w:r w:rsidR="00D12206">
        <w:rPr>
          <w:shd w:val="clear" w:color="auto" w:fill="FFFFFF"/>
        </w:rPr>
        <w:t>Kagan et al., 2019)</w:t>
      </w:r>
      <w:r w:rsidR="008E600C">
        <w:t>.</w:t>
      </w:r>
    </w:p>
    <w:p w14:paraId="504F24A0" w14:textId="77777777" w:rsidR="008E600C" w:rsidRPr="008E600C" w:rsidRDefault="008E600C" w:rsidP="008E600C">
      <w:pPr>
        <w:rPr>
          <w:b/>
          <w:bCs/>
          <w:i/>
          <w:iCs/>
          <w:u w:val="single"/>
        </w:rPr>
      </w:pPr>
      <w:r w:rsidRPr="008E600C">
        <w:rPr>
          <w:b/>
          <w:bCs/>
          <w:i/>
          <w:iCs/>
          <w:u w:val="single"/>
        </w:rPr>
        <w:t>Advantages and Drawbacks:</w:t>
      </w:r>
    </w:p>
    <w:p w14:paraId="155DCB23" w14:textId="7B846130" w:rsidR="008E600C" w:rsidRPr="008E600C" w:rsidRDefault="008E600C" w:rsidP="008E600C">
      <w:r>
        <w:t>The project follows these guidelines for community interaction with multiple strengths. It has successfully communicated these ideas through a variety of channels and instruments, such as a hotline, social media, newsletters, community gatherings, and a dedicated website. Residents will find it simpler to comprehend the project's objectives and take part in its activities thanks to these communication channels, which promote openness, inclusivity, and collaboration</w:t>
      </w:r>
      <w:r w:rsidR="00D12206">
        <w:t xml:space="preserve"> (</w:t>
      </w:r>
      <w:r w:rsidR="00D12206">
        <w:rPr>
          <w:shd w:val="clear" w:color="auto" w:fill="FFFFFF"/>
        </w:rPr>
        <w:t>Kagan et al., 2019)</w:t>
      </w:r>
      <w:r>
        <w:t xml:space="preserve">. </w:t>
      </w:r>
      <w:r w:rsidRPr="008E600C">
        <w:t>However, there are certain things that could be done better. Even though the initiative has made progress in fostering cultural awareness, more work could improve the participation of different cultural groups in the decision-making process. Furthermore, there is room for improvement in the evaluation tools used to gauge how well these ideas are working and how well they are explained to the community. This would enable continuing improvements and aid in evaluating the project's effects on the neighbourhood</w:t>
      </w:r>
      <w:r w:rsidR="00D12206">
        <w:t xml:space="preserve"> (</w:t>
      </w:r>
      <w:r w:rsidR="00D12206">
        <w:rPr>
          <w:shd w:val="clear" w:color="auto" w:fill="FFFFFF"/>
        </w:rPr>
        <w:t xml:space="preserve">Gordon et al., </w:t>
      </w:r>
      <w:r w:rsidR="00D12206">
        <w:rPr>
          <w:shd w:val="clear" w:color="auto" w:fill="FFFFFF"/>
        </w:rPr>
        <w:lastRenderedPageBreak/>
        <w:t>2019)</w:t>
      </w:r>
      <w:r w:rsidRPr="008E600C">
        <w:t>. The "The Big Local" initiative in East Lindsey, Lincolnshire, successfully complies with fundamental community participation guidelines that align with its goals. These values</w:t>
      </w:r>
      <w:r>
        <w:t xml:space="preserve"> </w:t>
      </w:r>
      <w:r w:rsidRPr="008E600C">
        <w:t>which encourage diversity, teamwork, accountability, and transparency</w:t>
      </w:r>
      <w:r>
        <w:t xml:space="preserve"> </w:t>
      </w:r>
      <w:r w:rsidRPr="008E600C">
        <w:t>are shared via a variety of channels and instruments. Although the project is clearly strong, there is room to improve evaluation techniques and increase cultural sensitivity.</w:t>
      </w:r>
    </w:p>
    <w:p w14:paraId="3403C401" w14:textId="276B850A" w:rsidR="007C29A9" w:rsidRDefault="007C29A9" w:rsidP="007C29A9">
      <w:pPr>
        <w:pStyle w:val="Heading1"/>
      </w:pPr>
      <w:bookmarkStart w:id="2" w:name="_Toc149570508"/>
      <w:r w:rsidRPr="007C29A9">
        <w:t>Planning and design</w:t>
      </w:r>
      <w:bookmarkEnd w:id="2"/>
    </w:p>
    <w:p w14:paraId="7F2D0533" w14:textId="77777777" w:rsidR="007E1F6A" w:rsidRPr="007E1F6A" w:rsidRDefault="007E1F6A" w:rsidP="007E1F6A">
      <w:pPr>
        <w:rPr>
          <w:b/>
          <w:bCs/>
          <w:i/>
          <w:iCs/>
          <w:u w:val="single"/>
        </w:rPr>
      </w:pPr>
      <w:r w:rsidRPr="007E1F6A">
        <w:rPr>
          <w:b/>
          <w:bCs/>
          <w:i/>
          <w:iCs/>
          <w:u w:val="single"/>
        </w:rPr>
        <w:t>Project Design and Planning for "The Big Local"</w:t>
      </w:r>
    </w:p>
    <w:p w14:paraId="7D2D7DBE" w14:textId="77777777" w:rsidR="007E1F6A" w:rsidRDefault="007E1F6A" w:rsidP="007E1F6A">
      <w:r>
        <w:t>The "The Big Local" project in East Lindsey, Lincolnshire, was meticulously planned and designed, guaranteeing that the project successfully satisfied the demands of the community. From the project's conception to its execution, it went through multiple phases with an emphasis on stakeholder participation and diversity.</w:t>
      </w:r>
    </w:p>
    <w:p w14:paraId="7E696D63" w14:textId="44D69584" w:rsidR="007E1F6A" w:rsidRDefault="007E1F6A" w:rsidP="007E1F6A">
      <w:r w:rsidRPr="007E1F6A">
        <w:rPr>
          <w:b/>
          <w:bCs/>
          <w:i/>
          <w:iCs/>
        </w:rPr>
        <w:t>1. Inception:</w:t>
      </w:r>
      <w:r>
        <w:t xml:space="preserve"> The first step in the project was to determine which local community would gain the most from it. The selection procedure was community-driven, letting locals suggest areas they would like to see funded. This first stage made sure that the project was based on the needs and priorities of the community</w:t>
      </w:r>
      <w:r w:rsidR="00D12206">
        <w:t xml:space="preserve"> (</w:t>
      </w:r>
      <w:r w:rsidR="00D12206">
        <w:rPr>
          <w:shd w:val="clear" w:color="auto" w:fill="FFFFFF"/>
        </w:rPr>
        <w:t>Gordon et al., 2019)</w:t>
      </w:r>
      <w:r>
        <w:t>.</w:t>
      </w:r>
    </w:p>
    <w:p w14:paraId="4FDCDD97" w14:textId="72256EE1" w:rsidR="007E1F6A" w:rsidRDefault="007E1F6A" w:rsidP="007E1F6A">
      <w:r w:rsidRPr="007E1F6A">
        <w:rPr>
          <w:b/>
          <w:bCs/>
          <w:i/>
          <w:iCs/>
        </w:rPr>
        <w:t>2. Needs Assessment:</w:t>
      </w:r>
      <w:r>
        <w:t xml:space="preserve"> In order to understand the unique opportunities, difficulties, and goals of the chosen community, a comprehensive needs assessment was carried out. Numerous conversations with local organisations, community groups, and citizens were part of the assessment process. It highlighted important concerns such enhancing public areas, youth engagement, and social isolation</w:t>
      </w:r>
      <w:r w:rsidR="00D12206">
        <w:t xml:space="preserve"> (</w:t>
      </w:r>
      <w:r w:rsidR="00D12206">
        <w:rPr>
          <w:shd w:val="clear" w:color="auto" w:fill="FFFFFF"/>
        </w:rPr>
        <w:t>Gordon et al., 2019)</w:t>
      </w:r>
      <w:r>
        <w:t>.</w:t>
      </w:r>
    </w:p>
    <w:p w14:paraId="56A0D999" w14:textId="67D070FE" w:rsidR="007E1F6A" w:rsidRDefault="007E1F6A" w:rsidP="007E1F6A">
      <w:r w:rsidRPr="007E1F6A">
        <w:rPr>
          <w:b/>
          <w:bCs/>
          <w:i/>
          <w:iCs/>
        </w:rPr>
        <w:t>3. Stakeholder Engagement:</w:t>
      </w:r>
      <w:r>
        <w:t xml:space="preserve"> Throughout the planning and design phases, stakeholders including local government agencies, community organisations, and citizens were actively involved. </w:t>
      </w:r>
      <w:r w:rsidR="00BC1EFC" w:rsidRPr="00BC1EFC">
        <w:t xml:space="preserve">Open forums, consultations, and regular community gatherings were planned to foster collaboration, share ideas, and get input. With the help of this tactic, it was possible to </w:t>
      </w:r>
      <w:r w:rsidR="00BC1EFC" w:rsidRPr="00BC1EFC">
        <w:lastRenderedPageBreak/>
        <w:t>guarantee that the project represented the diverse perspectives and experiences of the community (Osborne et al., 2021).</w:t>
      </w:r>
    </w:p>
    <w:p w14:paraId="3E743B6E" w14:textId="77777777" w:rsidR="00BC1EFC" w:rsidRDefault="00BC1EFC" w:rsidP="00BC1EFC">
      <w:r w:rsidRPr="00BC1EFC">
        <w:rPr>
          <w:b/>
          <w:bCs/>
          <w:i/>
          <w:iCs/>
        </w:rPr>
        <w:t>4. Project Design:</w:t>
      </w:r>
      <w:r>
        <w:t xml:space="preserve"> The project's design was developed collaboratively, taking into consideration the feedback and understandings gathered during the rounds of stakeholder engagement and needs assessment. The project was intended to include a variety of activities, such as training for skill development, community meetings, and small-scale infrastructure improvements (Osborne et al., 2021).</w:t>
      </w:r>
    </w:p>
    <w:p w14:paraId="3579DFEF" w14:textId="0C18C733" w:rsidR="007E1F6A" w:rsidRDefault="00BC1EFC" w:rsidP="00BC1EFC">
      <w:r w:rsidRPr="00BC1EFC">
        <w:rPr>
          <w:b/>
          <w:bCs/>
          <w:i/>
          <w:iCs/>
        </w:rPr>
        <w:t xml:space="preserve">5. Put into Practise: </w:t>
      </w:r>
      <w:r>
        <w:t>The execution phase was completed with an adaptable plan and well-planned goals. When distributing funding, the project's long-term aims and neighbourhood goals were factors that were taken into account. Giving locals the power to determine how their community will grow in the future was the aim of implementation (Osborne et al., 2021).</w:t>
      </w:r>
    </w:p>
    <w:p w14:paraId="0F57A02E" w14:textId="77777777" w:rsidR="007E1F6A" w:rsidRPr="007E1F6A" w:rsidRDefault="007E1F6A" w:rsidP="007E1F6A">
      <w:pPr>
        <w:rPr>
          <w:b/>
          <w:bCs/>
          <w:i/>
          <w:iCs/>
          <w:u w:val="single"/>
        </w:rPr>
      </w:pPr>
      <w:r w:rsidRPr="007E1F6A">
        <w:rPr>
          <w:b/>
          <w:bCs/>
          <w:i/>
          <w:iCs/>
          <w:u w:val="single"/>
        </w:rPr>
        <w:t>Advantages and Drawbacks:</w:t>
      </w:r>
    </w:p>
    <w:p w14:paraId="40C2EF06" w14:textId="328E33B7" w:rsidR="007E1F6A" w:rsidRPr="007E1F6A" w:rsidRDefault="007E1F6A" w:rsidP="007E1F6A">
      <w:r>
        <w:t>The project's community-led approach clearly demonstrates its merits in planning and design. The project has effectively incorporated stakeholders and locals into decision-making procedures, guaranteeing that the endeavours are aligned with the desires and requirements of the community. The thorough needs assessment made it possible to design a customised strategy that dealt with the community's most urgent problems. There may be room for improvement, though. A more thorough strategic plan that outlines a clear course of action after the first funding period would be beneficial to the project's long-term survival. Furthermore, even if there is a lot of community involvement, more work could be done to ensure that the project design takes into account the needs of all the local cultural groups</w:t>
      </w:r>
      <w:r w:rsidR="00D12206">
        <w:t xml:space="preserve"> (</w:t>
      </w:r>
      <w:r w:rsidR="00D12206">
        <w:rPr>
          <w:shd w:val="clear" w:color="auto" w:fill="FFFFFF"/>
        </w:rPr>
        <w:t>Wahlin and Blomkamp, 2022)</w:t>
      </w:r>
      <w:r>
        <w:t xml:space="preserve">. </w:t>
      </w:r>
    </w:p>
    <w:p w14:paraId="1BE086E8" w14:textId="3D80A2E5" w:rsidR="007C29A9" w:rsidRDefault="007C29A9" w:rsidP="007C29A9">
      <w:pPr>
        <w:pStyle w:val="Heading1"/>
      </w:pPr>
      <w:bookmarkStart w:id="3" w:name="_Toc149570509"/>
      <w:r w:rsidRPr="007C29A9">
        <w:lastRenderedPageBreak/>
        <w:t>Standards</w:t>
      </w:r>
      <w:bookmarkEnd w:id="3"/>
    </w:p>
    <w:p w14:paraId="1C968065" w14:textId="1F743853" w:rsidR="00083D34" w:rsidRDefault="00083D34" w:rsidP="00083D34">
      <w:r w:rsidRPr="00083D34">
        <w:rPr>
          <w:b/>
          <w:bCs/>
          <w:i/>
          <w:iCs/>
        </w:rPr>
        <w:t>1. National Lottery Community Fund Standards:</w:t>
      </w:r>
      <w:r>
        <w:t xml:space="preserve"> The initiative complies with the fund's requirements for financial accountability, openness, and reporting because it is funded by the National Lottery Community Fund. Through following these guidelines, project funds are certain to be utilised efficiently and in accordance with the planned goals. They align with the project's goal of building community trust and transparency</w:t>
      </w:r>
      <w:r w:rsidR="00D12206">
        <w:t xml:space="preserve"> (</w:t>
      </w:r>
      <w:r w:rsidR="00D12206">
        <w:rPr>
          <w:shd w:val="clear" w:color="auto" w:fill="FFFFFF"/>
        </w:rPr>
        <w:t>Wahlin and Blomkamp, 2022)</w:t>
      </w:r>
      <w:r>
        <w:t>.</w:t>
      </w:r>
    </w:p>
    <w:p w14:paraId="0EF9E6AD" w14:textId="465B68DD" w:rsidR="00083D34" w:rsidRDefault="00083D34" w:rsidP="00083D34">
      <w:r w:rsidRPr="00083D34">
        <w:rPr>
          <w:b/>
          <w:bCs/>
          <w:i/>
          <w:iCs/>
        </w:rPr>
        <w:t>2. Local Governance Standards:</w:t>
      </w:r>
      <w:r>
        <w:t xml:space="preserve"> The project follows local governance guidelines, which include keeping thorough records of all budgetary decisions, resource management, and decision-making procedures. Ensuring that the project's operations are transparent and well-organized, these standards promote confidence and accountability</w:t>
      </w:r>
      <w:r w:rsidR="00D12206">
        <w:t xml:space="preserve"> (</w:t>
      </w:r>
      <w:r w:rsidR="00D12206">
        <w:rPr>
          <w:shd w:val="clear" w:color="auto" w:fill="FFFFFF"/>
        </w:rPr>
        <w:t>Wieland et al., 2020)</w:t>
      </w:r>
      <w:r>
        <w:t>.</w:t>
      </w:r>
    </w:p>
    <w:p w14:paraId="47036C9E" w14:textId="74015318" w:rsidR="00083D34" w:rsidRDefault="00083D34" w:rsidP="00083D34">
      <w:r w:rsidRPr="00083D34">
        <w:rPr>
          <w:b/>
          <w:bCs/>
          <w:i/>
          <w:iCs/>
        </w:rPr>
        <w:t>3. Ethical Community Engagement criteria:</w:t>
      </w:r>
      <w:r>
        <w:t xml:space="preserve"> Cultural sensitivity, inclusion, and respect for a range of viewpoints are given top priority in "The Big Local" project's adherence to these criteria. The project's goal of giving the community the freedom to decide what local changes to undertake is in line with these requirements. They make certain that every voice is valued and heard</w:t>
      </w:r>
      <w:r w:rsidR="00D12206">
        <w:t xml:space="preserve"> (</w:t>
      </w:r>
      <w:r w:rsidR="00D12206">
        <w:rPr>
          <w:shd w:val="clear" w:color="auto" w:fill="FFFFFF"/>
        </w:rPr>
        <w:t>Wieland et al., 2020)</w:t>
      </w:r>
      <w:r>
        <w:t>.</w:t>
      </w:r>
    </w:p>
    <w:p w14:paraId="7BB7BD72" w14:textId="60BCEDA3" w:rsidR="00083D34" w:rsidRDefault="00083D34" w:rsidP="00083D34">
      <w:r w:rsidRPr="00083D34">
        <w:rPr>
          <w:b/>
          <w:bCs/>
          <w:i/>
          <w:iCs/>
        </w:rPr>
        <w:t>4. Project Impact Assessment Standards:</w:t>
      </w:r>
      <w:r>
        <w:t xml:space="preserve"> In order to determine the way its activities are meeting community needs; the project uses impact assessment standards. These requirements cover techniques for gathering and analysing data in order to assess how the project would affect issues including youth involvement, social isolation, and public space enhancements. They aid in assessing the project's effectiveness in accomplishing its objectives</w:t>
      </w:r>
      <w:r w:rsidR="00D12206">
        <w:t xml:space="preserve"> (</w:t>
      </w:r>
      <w:r w:rsidR="00D12206">
        <w:rPr>
          <w:shd w:val="clear" w:color="auto" w:fill="FFFFFF"/>
        </w:rPr>
        <w:t>Wieland et al., 2020)</w:t>
      </w:r>
      <w:r>
        <w:t>.</w:t>
      </w:r>
    </w:p>
    <w:p w14:paraId="2591FE49" w14:textId="77777777" w:rsidR="00083D34" w:rsidRPr="00083D34" w:rsidRDefault="00083D34" w:rsidP="00083D34">
      <w:pPr>
        <w:rPr>
          <w:b/>
          <w:bCs/>
          <w:i/>
          <w:iCs/>
          <w:u w:val="single"/>
        </w:rPr>
      </w:pPr>
      <w:r w:rsidRPr="00083D34">
        <w:rPr>
          <w:b/>
          <w:bCs/>
          <w:i/>
          <w:iCs/>
          <w:u w:val="single"/>
        </w:rPr>
        <w:t>Exchange of Standards:</w:t>
      </w:r>
    </w:p>
    <w:p w14:paraId="6CD4EFC3" w14:textId="77777777" w:rsidR="00083D34" w:rsidRDefault="00083D34" w:rsidP="00083D34">
      <w:r>
        <w:lastRenderedPageBreak/>
        <w:t>Through a variety of channels and resources, "The Big Local" project successfully informs the community and its stakeholders about these requirements. Important ways to communicate include:</w:t>
      </w:r>
    </w:p>
    <w:p w14:paraId="3FFF035A" w14:textId="46A5DA64" w:rsidR="00083D34" w:rsidRDefault="00083D34" w:rsidP="00083D34">
      <w:r w:rsidRPr="00083D34">
        <w:rPr>
          <w:b/>
          <w:bCs/>
          <w:i/>
          <w:iCs/>
        </w:rPr>
        <w:t>Project Website:</w:t>
      </w:r>
      <w:r>
        <w:t xml:space="preserve"> The project has a dedicated website with well-explained information regarding the standards, their applicability, and compliance procedures. Keeping the community informed, news and updates are posted on a regular basis</w:t>
      </w:r>
      <w:r w:rsidR="00D12206">
        <w:t xml:space="preserve"> (</w:t>
      </w:r>
      <w:r w:rsidR="00D12206">
        <w:rPr>
          <w:shd w:val="clear" w:color="auto" w:fill="FFFFFF"/>
        </w:rPr>
        <w:t>Wieland et al., 2020)</w:t>
      </w:r>
      <w:r>
        <w:t>.</w:t>
      </w:r>
    </w:p>
    <w:p w14:paraId="733E8022" w14:textId="4CD427FF" w:rsidR="00083D34" w:rsidRDefault="00083D34" w:rsidP="00083D34">
      <w:r w:rsidRPr="00083D34">
        <w:rPr>
          <w:b/>
          <w:bCs/>
          <w:i/>
          <w:iCs/>
        </w:rPr>
        <w:t>Community Meetings:</w:t>
      </w:r>
      <w:r>
        <w:t xml:space="preserve"> Discussing the project's advancement and adherence to standards, regular community meetings are arranged. These gatherings offer a forum for candid communication and openness</w:t>
      </w:r>
      <w:r w:rsidR="00D12206">
        <w:t xml:space="preserve"> (</w:t>
      </w:r>
      <w:r w:rsidR="00D12206">
        <w:rPr>
          <w:shd w:val="clear" w:color="auto" w:fill="FFFFFF"/>
        </w:rPr>
        <w:t>Basallo-Triana et al., 2021)</w:t>
      </w:r>
      <w:r>
        <w:t>.</w:t>
      </w:r>
    </w:p>
    <w:p w14:paraId="7C5C3DEA" w14:textId="01D2B3B2" w:rsidR="00083D34" w:rsidRDefault="00083D34" w:rsidP="00083D34">
      <w:r w:rsidRPr="00083D34">
        <w:rPr>
          <w:b/>
          <w:bCs/>
          <w:i/>
          <w:iCs/>
        </w:rPr>
        <w:t>Newsletters:</w:t>
      </w:r>
      <w:r>
        <w:t xml:space="preserve"> The initiative distributes newsletters with information on the standards being followed, the results of that adherence, and the community's effect</w:t>
      </w:r>
      <w:r w:rsidR="00D12206">
        <w:t xml:space="preserve"> (</w:t>
      </w:r>
      <w:r w:rsidR="00D12206">
        <w:rPr>
          <w:shd w:val="clear" w:color="auto" w:fill="FFFFFF"/>
        </w:rPr>
        <w:t>Basallo-Triana et al., 2021)</w:t>
      </w:r>
      <w:r>
        <w:t>.</w:t>
      </w:r>
    </w:p>
    <w:p w14:paraId="5C03FFC5" w14:textId="59AE87D4" w:rsidR="00083D34" w:rsidRPr="00083D34" w:rsidRDefault="00083D34" w:rsidP="00083D34">
      <w:r w:rsidRPr="00083D34">
        <w:rPr>
          <w:b/>
          <w:bCs/>
          <w:i/>
          <w:iCs/>
        </w:rPr>
        <w:t>Social Media:</w:t>
      </w:r>
      <w:r>
        <w:t xml:space="preserve"> The project's adherence to these criteria is communicated to a larger audience through active participation on social media platforms</w:t>
      </w:r>
      <w:r w:rsidR="00D12206">
        <w:t xml:space="preserve"> (</w:t>
      </w:r>
      <w:r w:rsidR="00D12206">
        <w:rPr>
          <w:shd w:val="clear" w:color="auto" w:fill="FFFFFF"/>
        </w:rPr>
        <w:t>Basallo-Triana et al., 2021)</w:t>
      </w:r>
      <w:r>
        <w:t>.</w:t>
      </w:r>
    </w:p>
    <w:p w14:paraId="1CC40337" w14:textId="216C18A1" w:rsidR="007C29A9" w:rsidRDefault="007C29A9" w:rsidP="007C29A9">
      <w:pPr>
        <w:pStyle w:val="Heading1"/>
      </w:pPr>
      <w:bookmarkStart w:id="4" w:name="_Toc149570510"/>
      <w:r w:rsidRPr="007C29A9">
        <w:t>Evaluation and Impact</w:t>
      </w:r>
      <w:bookmarkEnd w:id="4"/>
    </w:p>
    <w:p w14:paraId="299039BE" w14:textId="3325AACA" w:rsidR="00083D34" w:rsidRDefault="00083D34" w:rsidP="00083D34">
      <w:r w:rsidRPr="00083D34">
        <w:rPr>
          <w:b/>
          <w:bCs/>
          <w:i/>
          <w:iCs/>
        </w:rPr>
        <w:t>1. Impact Assessment Tools:</w:t>
      </w:r>
      <w:r>
        <w:t xml:space="preserve"> In order measure the project's impact, surveys, interviews, and focus groups are among the quantitative and qualitative assessment instruments that are used. These resources make it possible to gather both narrative perspectives and statistical data, guaranteeing a comprehensive picture of the community's experience and changes over time</w:t>
      </w:r>
      <w:r w:rsidR="0054144E">
        <w:t xml:space="preserve"> (</w:t>
      </w:r>
      <w:r w:rsidR="0054144E">
        <w:rPr>
          <w:shd w:val="clear" w:color="auto" w:fill="FFFFFF"/>
        </w:rPr>
        <w:t>Elbert et al., 2020)</w:t>
      </w:r>
      <w:r>
        <w:t>.</w:t>
      </w:r>
    </w:p>
    <w:p w14:paraId="6110C901" w14:textId="5014BB1A" w:rsidR="00083D34" w:rsidRDefault="00083D34" w:rsidP="00083D34">
      <w:r w:rsidRPr="00083D34">
        <w:rPr>
          <w:b/>
          <w:bCs/>
          <w:i/>
          <w:iCs/>
        </w:rPr>
        <w:t>2. Key Performance Indicators (KPIs):</w:t>
      </w:r>
      <w:r>
        <w:t xml:space="preserve"> In order to track the project's advancement, particular KPIs have been defined. These metrics, which are in line with the objectives of the project, assist in quantifying improvements in areas like decreased social isolation, heightened youth involvement, and improved public areas</w:t>
      </w:r>
      <w:r w:rsidR="0054144E">
        <w:t xml:space="preserve"> </w:t>
      </w:r>
      <w:r w:rsidR="0054144E">
        <w:rPr>
          <w:shd w:val="clear" w:color="auto" w:fill="FFFFFF"/>
        </w:rPr>
        <w:t>Shaver et al., 2020)</w:t>
      </w:r>
      <w:r>
        <w:t>.</w:t>
      </w:r>
    </w:p>
    <w:p w14:paraId="79F775DA" w14:textId="77777777" w:rsidR="00083D34" w:rsidRDefault="00083D34" w:rsidP="00083D34">
      <w:r w:rsidRPr="00083D34">
        <w:rPr>
          <w:b/>
          <w:bCs/>
          <w:i/>
          <w:iCs/>
        </w:rPr>
        <w:lastRenderedPageBreak/>
        <w:t>4. Community Consultations:</w:t>
      </w:r>
      <w:r>
        <w:t xml:space="preserve"> Community consultations are a means through which the project solicits feedback, ideas, and insights from the local populace. Community members have an open platform to voice their opinions and make suggestions during these discussions.</w:t>
      </w:r>
    </w:p>
    <w:p w14:paraId="1565860E" w14:textId="2BDD07E6" w:rsidR="00083D34" w:rsidRPr="00083D34" w:rsidRDefault="00083D34" w:rsidP="00083D34">
      <w:r w:rsidRPr="00083D34">
        <w:rPr>
          <w:b/>
          <w:bCs/>
          <w:i/>
          <w:iCs/>
        </w:rPr>
        <w:t xml:space="preserve">5. Measurement of Output and Outcome: </w:t>
      </w:r>
      <w:r>
        <w:t>The project makes a distinction between measures of output and outcomes. While outcomes concentrate on the more comprehensive, long-term changes such as enhanced community cohesion, outputs relate on the immediate results of activities such as the number of workshops completed. This differentiation guarantees that the study assesses both immediate and long-term effects</w:t>
      </w:r>
      <w:r w:rsidR="0054144E">
        <w:t xml:space="preserve"> (</w:t>
      </w:r>
      <w:r w:rsidR="0054144E">
        <w:rPr>
          <w:shd w:val="clear" w:color="auto" w:fill="FFFFFF"/>
        </w:rPr>
        <w:t>Oliveira, 2021)</w:t>
      </w:r>
      <w:r>
        <w:t>.</w:t>
      </w:r>
    </w:p>
    <w:p w14:paraId="0E66384B" w14:textId="77777777" w:rsidR="007C29A9" w:rsidRDefault="007C29A9">
      <w:pPr>
        <w:spacing w:line="259" w:lineRule="auto"/>
        <w:jc w:val="left"/>
        <w:rPr>
          <w:b/>
          <w:sz w:val="28"/>
          <w:szCs w:val="40"/>
        </w:rPr>
      </w:pPr>
      <w:r>
        <w:br w:type="page"/>
      </w:r>
    </w:p>
    <w:p w14:paraId="649A9BF5" w14:textId="6D8E7D34" w:rsidR="007C29A9" w:rsidRDefault="007C29A9" w:rsidP="007C29A9">
      <w:pPr>
        <w:pStyle w:val="Heading1"/>
      </w:pPr>
      <w:bookmarkStart w:id="5" w:name="_Toc149570511"/>
      <w:r w:rsidRPr="007C29A9">
        <w:t>Conclusion</w:t>
      </w:r>
      <w:bookmarkEnd w:id="5"/>
    </w:p>
    <w:p w14:paraId="08E503C5" w14:textId="50CA7D4D" w:rsidR="004E69DE" w:rsidRPr="004E69DE" w:rsidRDefault="004E69DE" w:rsidP="004E69DE">
      <w:r w:rsidRPr="004E69DE">
        <w:t>An excellent strategy for community participation is demonstrated by the "The Big Local" project in East Lindsey, Lincolnshire, which combines inclusivity, openness, and a strong focus on collaboration. The community participation principles that guide this project are appropriate for its goals, and they are successfully conveyed through a variety of channels and resources. In order to prioritise community needs, the project's planning and design phases are marked by inclusivity and stakeholder participation. Its open lines of communication encourage accountability, openness, and community members' active participation.</w:t>
      </w:r>
      <w:r>
        <w:t xml:space="preserve"> </w:t>
      </w:r>
      <w:r w:rsidRPr="004E69DE">
        <w:t>The initiative complies with applicable regulations, such as those issued by the National Lottery Community Fund, ethical community involvement requirements, and local governance standards. The community is encouraged to be transparent and trustworthy by the effective communication of these norms. The project takes a thorough approach to impact measurement and makes use of a variety of assessment methodologies. The creation of a framework for monitoring and reporting long-term results, as well as the open dissemination of data analytic techniques, both need improvement.</w:t>
      </w:r>
      <w:r>
        <w:t xml:space="preserve"> </w:t>
      </w:r>
      <w:r w:rsidRPr="004E69DE">
        <w:t xml:space="preserve">It is advised that the project makes extra investments in training and capacity-building programmes, especially in the area of cultural sensitivity, to further enhance community engagement and guarantee that the requirements of all cultural groups are met. Furthermore, improving the project's communication about the data analysis procedures would boost openness and improve community comprehension of effect evaluation. </w:t>
      </w:r>
      <w:r>
        <w:t>Furthermore</w:t>
      </w:r>
      <w:r w:rsidRPr="004E69DE">
        <w:t>, to further highlight the project's dedication to sustainable community development, a more comprehensive framework for monitoring and reporting long-term results would be beneficial.</w:t>
      </w:r>
    </w:p>
    <w:p w14:paraId="19BFC8FE" w14:textId="77777777" w:rsidR="007C29A9" w:rsidRDefault="007C29A9">
      <w:pPr>
        <w:spacing w:line="259" w:lineRule="auto"/>
        <w:jc w:val="left"/>
        <w:rPr>
          <w:b/>
          <w:sz w:val="28"/>
          <w:szCs w:val="40"/>
        </w:rPr>
      </w:pPr>
      <w:r>
        <w:br w:type="page"/>
      </w:r>
    </w:p>
    <w:p w14:paraId="77AC8C22" w14:textId="36208CA1" w:rsidR="007C29A9" w:rsidRDefault="007C29A9" w:rsidP="007C29A9">
      <w:pPr>
        <w:pStyle w:val="Heading1"/>
      </w:pPr>
      <w:bookmarkStart w:id="6" w:name="_Toc149570512"/>
      <w:r>
        <w:t>References</w:t>
      </w:r>
      <w:bookmarkEnd w:id="6"/>
    </w:p>
    <w:p w14:paraId="6B3612B1" w14:textId="77777777" w:rsidR="0054144E" w:rsidRDefault="0054144E" w:rsidP="00B70B90">
      <w:pPr>
        <w:rPr>
          <w:shd w:val="clear" w:color="auto" w:fill="FFFFFF"/>
        </w:rPr>
      </w:pPr>
      <w:r>
        <w:rPr>
          <w:shd w:val="clear" w:color="auto" w:fill="FFFFFF"/>
        </w:rPr>
        <w:t>Basallo-Triana, M.J., Vidal-Holguín, C.J. and Bravo-Bastidas, J.J., (2021). Planning and design of intermodal hub networks: A literature review. </w:t>
      </w:r>
      <w:r>
        <w:rPr>
          <w:i/>
          <w:iCs/>
          <w:shd w:val="clear" w:color="auto" w:fill="FFFFFF"/>
        </w:rPr>
        <w:t>Computers &amp; Operations Research</w:t>
      </w:r>
      <w:r>
        <w:rPr>
          <w:shd w:val="clear" w:color="auto" w:fill="FFFFFF"/>
        </w:rPr>
        <w:t>, </w:t>
      </w:r>
      <w:r>
        <w:rPr>
          <w:i/>
          <w:iCs/>
          <w:shd w:val="clear" w:color="auto" w:fill="FFFFFF"/>
        </w:rPr>
        <w:t>136</w:t>
      </w:r>
      <w:r>
        <w:rPr>
          <w:shd w:val="clear" w:color="auto" w:fill="FFFFFF"/>
        </w:rPr>
        <w:t>, p.105469.</w:t>
      </w:r>
    </w:p>
    <w:p w14:paraId="14780EA2" w14:textId="77777777" w:rsidR="0054144E" w:rsidRDefault="0054144E" w:rsidP="00B70B90">
      <w:pPr>
        <w:rPr>
          <w:shd w:val="clear" w:color="auto" w:fill="FFFFFF"/>
        </w:rPr>
      </w:pPr>
      <w:r>
        <w:rPr>
          <w:shd w:val="clear" w:color="auto" w:fill="FFFFFF"/>
        </w:rPr>
        <w:t>Elbert, R., Müller, J.P. and Rentschler, J., (2020). Tactical network planning and design in multimodal transportation–A systematic literature review. </w:t>
      </w:r>
      <w:r>
        <w:rPr>
          <w:i/>
          <w:iCs/>
          <w:shd w:val="clear" w:color="auto" w:fill="FFFFFF"/>
        </w:rPr>
        <w:t>Research in Transportation Business &amp; Management</w:t>
      </w:r>
      <w:r>
        <w:rPr>
          <w:shd w:val="clear" w:color="auto" w:fill="FFFFFF"/>
        </w:rPr>
        <w:t>, </w:t>
      </w:r>
      <w:r>
        <w:rPr>
          <w:i/>
          <w:iCs/>
          <w:shd w:val="clear" w:color="auto" w:fill="FFFFFF"/>
        </w:rPr>
        <w:t>35</w:t>
      </w:r>
      <w:r>
        <w:rPr>
          <w:shd w:val="clear" w:color="auto" w:fill="FFFFFF"/>
        </w:rPr>
        <w:t>, p.100462.</w:t>
      </w:r>
    </w:p>
    <w:p w14:paraId="5CD619EB" w14:textId="77777777" w:rsidR="0054144E" w:rsidRDefault="0054144E" w:rsidP="00B70B90">
      <w:pPr>
        <w:rPr>
          <w:shd w:val="clear" w:color="auto" w:fill="FFFFFF"/>
        </w:rPr>
      </w:pPr>
      <w:r>
        <w:rPr>
          <w:shd w:val="clear" w:color="auto" w:fill="FFFFFF"/>
        </w:rPr>
        <w:t>Gordon, A., Vander Meulen, R.J. and Maglior, A., (2019). The 2019 Isdell: Flowers Cross Border Malaria Initiative Round Table: community engagement in the context of malaria elimination.</w:t>
      </w:r>
    </w:p>
    <w:p w14:paraId="1CAD27A3" w14:textId="77777777" w:rsidR="0054144E" w:rsidRDefault="0054144E" w:rsidP="00B70B90">
      <w:pPr>
        <w:rPr>
          <w:shd w:val="clear" w:color="auto" w:fill="FFFFFF"/>
        </w:rPr>
      </w:pPr>
      <w:r>
        <w:rPr>
          <w:shd w:val="clear" w:color="auto" w:fill="FFFFFF"/>
        </w:rPr>
        <w:t>Kagan, C., Diamond, J., Kagan, C. and Diamond, J., (2019). Foundations of university–community engagement. </w:t>
      </w:r>
      <w:r>
        <w:rPr>
          <w:i/>
          <w:iCs/>
          <w:shd w:val="clear" w:color="auto" w:fill="FFFFFF"/>
        </w:rPr>
        <w:t>University–Community Relations in the UK: Engaging Universities</w:t>
      </w:r>
      <w:r>
        <w:rPr>
          <w:shd w:val="clear" w:color="auto" w:fill="FFFFFF"/>
        </w:rPr>
        <w:t>, pp.1-23.</w:t>
      </w:r>
    </w:p>
    <w:p w14:paraId="39D654D5" w14:textId="77777777" w:rsidR="0054144E" w:rsidRDefault="0054144E" w:rsidP="00B70B90">
      <w:pPr>
        <w:rPr>
          <w:shd w:val="clear" w:color="auto" w:fill="FFFFFF"/>
        </w:rPr>
      </w:pPr>
      <w:r>
        <w:rPr>
          <w:shd w:val="clear" w:color="auto" w:fill="FFFFFF"/>
        </w:rPr>
        <w:t>Key, K.D., Furr-Holden, D., Lewis, E.Y., Cunningham, R., Zimmerman, M.A., Johnson-Lawrence, V. and Selig, S., (2019). The continuum of community engagement in research: a roadmap for understanding and assessing progress. </w:t>
      </w:r>
      <w:r>
        <w:rPr>
          <w:i/>
          <w:iCs/>
          <w:shd w:val="clear" w:color="auto" w:fill="FFFFFF"/>
        </w:rPr>
        <w:t>Progress in community health partnerships: research, education, and action</w:t>
      </w:r>
      <w:r>
        <w:rPr>
          <w:shd w:val="clear" w:color="auto" w:fill="FFFFFF"/>
        </w:rPr>
        <w:t>, </w:t>
      </w:r>
      <w:r>
        <w:rPr>
          <w:i/>
          <w:iCs/>
          <w:shd w:val="clear" w:color="auto" w:fill="FFFFFF"/>
        </w:rPr>
        <w:t>13</w:t>
      </w:r>
      <w:r>
        <w:rPr>
          <w:shd w:val="clear" w:color="auto" w:fill="FFFFFF"/>
        </w:rPr>
        <w:t>(4), pp.427-434.</w:t>
      </w:r>
    </w:p>
    <w:p w14:paraId="6E814731" w14:textId="77777777" w:rsidR="0054144E" w:rsidRDefault="0054144E" w:rsidP="00B70B90">
      <w:pPr>
        <w:rPr>
          <w:shd w:val="clear" w:color="auto" w:fill="FFFFFF"/>
        </w:rPr>
      </w:pPr>
      <w:r>
        <w:rPr>
          <w:shd w:val="clear" w:color="auto" w:fill="FFFFFF"/>
        </w:rPr>
        <w:t>Levin, M.B., Bowie, J.V., Ragsdale, S.K., Gawad, A.L., Cooper, L.A. and Sharfstein, J.M., (2021). Enhancing community engagement by schools and programs of public health in the United States. </w:t>
      </w:r>
      <w:r>
        <w:rPr>
          <w:i/>
          <w:iCs/>
          <w:shd w:val="clear" w:color="auto" w:fill="FFFFFF"/>
        </w:rPr>
        <w:t>Annual Review of Public Health</w:t>
      </w:r>
      <w:r>
        <w:rPr>
          <w:shd w:val="clear" w:color="auto" w:fill="FFFFFF"/>
        </w:rPr>
        <w:t>, </w:t>
      </w:r>
      <w:r>
        <w:rPr>
          <w:i/>
          <w:iCs/>
          <w:shd w:val="clear" w:color="auto" w:fill="FFFFFF"/>
        </w:rPr>
        <w:t>42</w:t>
      </w:r>
      <w:r>
        <w:rPr>
          <w:shd w:val="clear" w:color="auto" w:fill="FFFFFF"/>
        </w:rPr>
        <w:t>, pp.405-421.</w:t>
      </w:r>
    </w:p>
    <w:p w14:paraId="70951E81" w14:textId="77777777" w:rsidR="0054144E" w:rsidRDefault="0054144E" w:rsidP="00B70B90">
      <w:pPr>
        <w:rPr>
          <w:shd w:val="clear" w:color="auto" w:fill="FFFFFF"/>
        </w:rPr>
      </w:pPr>
      <w:r>
        <w:rPr>
          <w:shd w:val="clear" w:color="auto" w:fill="FFFFFF"/>
        </w:rPr>
        <w:t>Marsh, E.E., Kappelman, M.D., Kost, R.G., Mudd-Martin, G., Shannon, J., Stark, L.A. and Carrasquillo, O., (2021). Community engagement during COVID: A field report from seven CTSAs. </w:t>
      </w:r>
      <w:r>
        <w:rPr>
          <w:i/>
          <w:iCs/>
          <w:shd w:val="clear" w:color="auto" w:fill="FFFFFF"/>
        </w:rPr>
        <w:t>Journal of clinical and translational science</w:t>
      </w:r>
      <w:r>
        <w:rPr>
          <w:shd w:val="clear" w:color="auto" w:fill="FFFFFF"/>
        </w:rPr>
        <w:t>, </w:t>
      </w:r>
      <w:r>
        <w:rPr>
          <w:i/>
          <w:iCs/>
          <w:shd w:val="clear" w:color="auto" w:fill="FFFFFF"/>
        </w:rPr>
        <w:t>5</w:t>
      </w:r>
      <w:r>
        <w:rPr>
          <w:shd w:val="clear" w:color="auto" w:fill="FFFFFF"/>
        </w:rPr>
        <w:t>(1), p.e104.</w:t>
      </w:r>
    </w:p>
    <w:p w14:paraId="23C036DF" w14:textId="77777777" w:rsidR="0054144E" w:rsidRPr="00B70B90" w:rsidRDefault="0054144E" w:rsidP="00B70B90">
      <w:r>
        <w:rPr>
          <w:shd w:val="clear" w:color="auto" w:fill="FFFFFF"/>
        </w:rPr>
        <w:t>Oliveira, V. ed., (2021). </w:t>
      </w:r>
      <w:r>
        <w:rPr>
          <w:i/>
          <w:iCs/>
          <w:shd w:val="clear" w:color="auto" w:fill="FFFFFF"/>
        </w:rPr>
        <w:t>Morphological research in planning, urban design and architecture</w:t>
      </w:r>
      <w:r>
        <w:rPr>
          <w:shd w:val="clear" w:color="auto" w:fill="FFFFFF"/>
        </w:rPr>
        <w:t>. Cham: Springer.</w:t>
      </w:r>
    </w:p>
    <w:p w14:paraId="2005D42B" w14:textId="77777777" w:rsidR="0054144E" w:rsidRDefault="0054144E" w:rsidP="00B70B90">
      <w:pPr>
        <w:rPr>
          <w:shd w:val="clear" w:color="auto" w:fill="FFFFFF"/>
        </w:rPr>
      </w:pPr>
      <w:r>
        <w:rPr>
          <w:shd w:val="clear" w:color="auto" w:fill="FFFFFF"/>
        </w:rPr>
        <w:t>Osborne, J., Paget, J., Giles-Vernick, T., Kutalek, R., Napier, D., Baliatsas, C. and Dückers, M., (2021). Community engagement and vulnerability in infectious diseases: A systematic review and qualitative analysis of the literature. </w:t>
      </w:r>
      <w:r>
        <w:rPr>
          <w:i/>
          <w:iCs/>
          <w:shd w:val="clear" w:color="auto" w:fill="FFFFFF"/>
        </w:rPr>
        <w:t>Social Science &amp; Medicine</w:t>
      </w:r>
      <w:r>
        <w:rPr>
          <w:shd w:val="clear" w:color="auto" w:fill="FFFFFF"/>
        </w:rPr>
        <w:t>, </w:t>
      </w:r>
      <w:r>
        <w:rPr>
          <w:i/>
          <w:iCs/>
          <w:shd w:val="clear" w:color="auto" w:fill="FFFFFF"/>
        </w:rPr>
        <w:t>284</w:t>
      </w:r>
      <w:r>
        <w:rPr>
          <w:shd w:val="clear" w:color="auto" w:fill="FFFFFF"/>
        </w:rPr>
        <w:t>, p.114246.</w:t>
      </w:r>
    </w:p>
    <w:p w14:paraId="1AA93038" w14:textId="77777777" w:rsidR="0054144E" w:rsidRDefault="0054144E" w:rsidP="00B70B90">
      <w:pPr>
        <w:rPr>
          <w:shd w:val="clear" w:color="auto" w:fill="FFFFFF"/>
        </w:rPr>
      </w:pPr>
      <w:r>
        <w:rPr>
          <w:shd w:val="clear" w:color="auto" w:fill="FFFFFF"/>
        </w:rPr>
        <w:t>Shaver, E., Courtney, C., West, J., Maynard, J., Hein, M., Wagner, C., Philibotte, J., MacGowan, P., McLeod, I., Böstrom-Einarsson, L. and Bucchianeri, K., (2020). A Manager’s guide to coral reef restoration planning and design.</w:t>
      </w:r>
    </w:p>
    <w:p w14:paraId="67AB8977" w14:textId="77777777" w:rsidR="0054144E" w:rsidRDefault="0054144E" w:rsidP="00B70B90">
      <w:pPr>
        <w:rPr>
          <w:shd w:val="clear" w:color="auto" w:fill="FFFFFF"/>
        </w:rPr>
      </w:pPr>
      <w:r>
        <w:rPr>
          <w:shd w:val="clear" w:color="auto" w:fill="FFFFFF"/>
        </w:rPr>
        <w:t>Wahlin, D.W. and Blomkamp, D.E., (2022). Making global local: Global methods, local planning, and the importance of genuine community engagement in Australia. </w:t>
      </w:r>
      <w:r>
        <w:rPr>
          <w:i/>
          <w:iCs/>
          <w:shd w:val="clear" w:color="auto" w:fill="FFFFFF"/>
        </w:rPr>
        <w:t>Policy Design and Practice</w:t>
      </w:r>
      <w:r>
        <w:rPr>
          <w:shd w:val="clear" w:color="auto" w:fill="FFFFFF"/>
        </w:rPr>
        <w:t>, </w:t>
      </w:r>
      <w:r>
        <w:rPr>
          <w:i/>
          <w:iCs/>
          <w:shd w:val="clear" w:color="auto" w:fill="FFFFFF"/>
        </w:rPr>
        <w:t>5</w:t>
      </w:r>
      <w:r>
        <w:rPr>
          <w:shd w:val="clear" w:color="auto" w:fill="FFFFFF"/>
        </w:rPr>
        <w:t>(4), pp.483-503.</w:t>
      </w:r>
    </w:p>
    <w:p w14:paraId="3AC5921E" w14:textId="77777777" w:rsidR="0054144E" w:rsidRDefault="0054144E" w:rsidP="00B70B90">
      <w:pPr>
        <w:rPr>
          <w:shd w:val="clear" w:color="auto" w:fill="FFFFFF"/>
        </w:rPr>
      </w:pPr>
      <w:r>
        <w:rPr>
          <w:shd w:val="clear" w:color="auto" w:fill="FFFFFF"/>
        </w:rPr>
        <w:t>Wieland, M.L., Doubeni, C.A. and Sia, I.G., (2020), September. Community engagement with vulnerable populations. In </w:t>
      </w:r>
      <w:r>
        <w:rPr>
          <w:i/>
          <w:iCs/>
          <w:shd w:val="clear" w:color="auto" w:fill="FFFFFF"/>
        </w:rPr>
        <w:t>Mayo Clinic Proceedings</w:t>
      </w:r>
      <w:r>
        <w:rPr>
          <w:shd w:val="clear" w:color="auto" w:fill="FFFFFF"/>
        </w:rPr>
        <w:t> (Vol. 95, No. 9, pp. S60-S62). Elsevier.</w:t>
      </w:r>
    </w:p>
    <w:sectPr w:rsidR="0054144E" w:rsidSect="007C29A9">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73934" w14:textId="77777777" w:rsidR="00F066AE" w:rsidRDefault="00F066AE" w:rsidP="007C29A9">
      <w:pPr>
        <w:spacing w:after="0" w:line="240" w:lineRule="auto"/>
      </w:pPr>
      <w:r>
        <w:separator/>
      </w:r>
    </w:p>
  </w:endnote>
  <w:endnote w:type="continuationSeparator" w:id="0">
    <w:p w14:paraId="521E7C92" w14:textId="77777777" w:rsidR="00F066AE" w:rsidRDefault="00F066AE" w:rsidP="007C2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5964491"/>
      <w:docPartObj>
        <w:docPartGallery w:val="Page Numbers (Bottom of Page)"/>
        <w:docPartUnique/>
      </w:docPartObj>
    </w:sdtPr>
    <w:sdtEndPr/>
    <w:sdtContent>
      <w:sdt>
        <w:sdtPr>
          <w:id w:val="-1769616900"/>
          <w:docPartObj>
            <w:docPartGallery w:val="Page Numbers (Top of Page)"/>
            <w:docPartUnique/>
          </w:docPartObj>
        </w:sdtPr>
        <w:sdtEndPr/>
        <w:sdtContent>
          <w:p w14:paraId="61254555" w14:textId="0539AC07" w:rsidR="007C29A9" w:rsidRDefault="007C29A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0434524" w14:textId="77777777" w:rsidR="007C29A9" w:rsidRDefault="007C29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45CEC" w14:textId="77777777" w:rsidR="00F066AE" w:rsidRDefault="00F066AE" w:rsidP="007C29A9">
      <w:pPr>
        <w:spacing w:after="0" w:line="240" w:lineRule="auto"/>
      </w:pPr>
      <w:r>
        <w:separator/>
      </w:r>
    </w:p>
  </w:footnote>
  <w:footnote w:type="continuationSeparator" w:id="0">
    <w:p w14:paraId="15158CA5" w14:textId="77777777" w:rsidR="00F066AE" w:rsidRDefault="00F066AE" w:rsidP="007C29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FD8C8" w14:textId="4EDB1033" w:rsidR="007C29A9" w:rsidRDefault="007C29A9" w:rsidP="007C29A9">
    <w:pPr>
      <w:pStyle w:val="Header"/>
      <w:jc w:val="right"/>
    </w:pPr>
    <w:r>
      <w:t>LCBB4002 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83E"/>
    <w:rsid w:val="000046BF"/>
    <w:rsid w:val="00016F11"/>
    <w:rsid w:val="0006283E"/>
    <w:rsid w:val="00083D34"/>
    <w:rsid w:val="000C4809"/>
    <w:rsid w:val="000F74C2"/>
    <w:rsid w:val="00196ACF"/>
    <w:rsid w:val="001E7E01"/>
    <w:rsid w:val="00231FA4"/>
    <w:rsid w:val="0026152E"/>
    <w:rsid w:val="002E6F62"/>
    <w:rsid w:val="0035735E"/>
    <w:rsid w:val="00455B6A"/>
    <w:rsid w:val="004C18AD"/>
    <w:rsid w:val="004E69DE"/>
    <w:rsid w:val="00506DFA"/>
    <w:rsid w:val="0054144E"/>
    <w:rsid w:val="005B68FC"/>
    <w:rsid w:val="005D7F60"/>
    <w:rsid w:val="0067291C"/>
    <w:rsid w:val="00773116"/>
    <w:rsid w:val="007C29A9"/>
    <w:rsid w:val="007E1F6A"/>
    <w:rsid w:val="008A20CA"/>
    <w:rsid w:val="008E600C"/>
    <w:rsid w:val="00930BBA"/>
    <w:rsid w:val="009E0FFE"/>
    <w:rsid w:val="00A963E5"/>
    <w:rsid w:val="00AB4D51"/>
    <w:rsid w:val="00B565B2"/>
    <w:rsid w:val="00B70B90"/>
    <w:rsid w:val="00BC1EFC"/>
    <w:rsid w:val="00BD4455"/>
    <w:rsid w:val="00CC429A"/>
    <w:rsid w:val="00D12206"/>
    <w:rsid w:val="00E8181A"/>
    <w:rsid w:val="00E92360"/>
    <w:rsid w:val="00ED3D92"/>
    <w:rsid w:val="00F066AE"/>
    <w:rsid w:val="00F413B2"/>
    <w:rsid w:val="00FB4964"/>
    <w:rsid w:val="00FB61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5A4A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8AD"/>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A963E5"/>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0C4809"/>
    <w:pPr>
      <w:keepNext/>
      <w:keepLines/>
      <w:spacing w:before="360" w:after="120"/>
      <w:outlineLvl w:val="1"/>
    </w:pPr>
    <w:rPr>
      <w:b/>
      <w:bCs/>
      <w:iCs/>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3E5"/>
    <w:rPr>
      <w:rFonts w:ascii="Times New Roman" w:hAnsi="Times New Roman" w:cs="Arial"/>
      <w:b/>
      <w:kern w:val="0"/>
      <w:sz w:val="28"/>
      <w:szCs w:val="40"/>
      <w:lang w:val="en" w:eastAsia="en-IN"/>
      <w14:ligatures w14:val="none"/>
    </w:rPr>
  </w:style>
  <w:style w:type="character" w:customStyle="1" w:styleId="Heading2Char">
    <w:name w:val="Heading 2 Char"/>
    <w:basedOn w:val="DefaultParagraphFont"/>
    <w:link w:val="Heading2"/>
    <w:uiPriority w:val="9"/>
    <w:rsid w:val="000C4809"/>
    <w:rPr>
      <w:rFonts w:ascii="Times New Roman" w:hAnsi="Times New Roman"/>
      <w:b/>
      <w:bCs/>
      <w:iCs/>
      <w:kern w:val="0"/>
      <w:sz w:val="26"/>
      <w:szCs w:val="32"/>
      <w:lang w:val="en-GB"/>
      <w14:ligatures w14:val="none"/>
    </w:rPr>
  </w:style>
  <w:style w:type="paragraph" w:styleId="Header">
    <w:name w:val="header"/>
    <w:basedOn w:val="Normal"/>
    <w:link w:val="HeaderChar"/>
    <w:uiPriority w:val="99"/>
    <w:unhideWhenUsed/>
    <w:rsid w:val="007C2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9A9"/>
    <w:rPr>
      <w:rFonts w:ascii="Times New Roman" w:hAnsi="Times New Roman"/>
      <w:kern w:val="0"/>
      <w:sz w:val="24"/>
      <w:lang w:val="en-GB"/>
      <w14:ligatures w14:val="none"/>
    </w:rPr>
  </w:style>
  <w:style w:type="paragraph" w:styleId="Footer">
    <w:name w:val="footer"/>
    <w:basedOn w:val="Normal"/>
    <w:link w:val="FooterChar"/>
    <w:uiPriority w:val="99"/>
    <w:unhideWhenUsed/>
    <w:rsid w:val="007C2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9A9"/>
    <w:rPr>
      <w:rFonts w:ascii="Times New Roman" w:hAnsi="Times New Roman"/>
      <w:kern w:val="0"/>
      <w:sz w:val="24"/>
      <w:lang w:val="en-GB"/>
      <w14:ligatures w14:val="none"/>
    </w:rPr>
  </w:style>
  <w:style w:type="paragraph" w:styleId="ListParagraph">
    <w:name w:val="List Paragraph"/>
    <w:basedOn w:val="Normal"/>
    <w:uiPriority w:val="34"/>
    <w:qFormat/>
    <w:rsid w:val="008E600C"/>
    <w:pPr>
      <w:ind w:left="720"/>
      <w:contextualSpacing/>
    </w:pPr>
  </w:style>
  <w:style w:type="paragraph" w:styleId="TOCHeading">
    <w:name w:val="TOC Heading"/>
    <w:basedOn w:val="Heading1"/>
    <w:next w:val="Normal"/>
    <w:uiPriority w:val="39"/>
    <w:unhideWhenUsed/>
    <w:qFormat/>
    <w:rsid w:val="00B565B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B565B2"/>
    <w:pPr>
      <w:spacing w:after="100"/>
    </w:pPr>
  </w:style>
  <w:style w:type="character" w:styleId="Hyperlink">
    <w:name w:val="Hyperlink"/>
    <w:basedOn w:val="DefaultParagraphFont"/>
    <w:uiPriority w:val="99"/>
    <w:unhideWhenUsed/>
    <w:rsid w:val="00B565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BBC6B9-10F6-4AB0-BB6C-01F103AF39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2906</Words>
  <Characters>16569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2023-11-01T11:03:00Z</dcterms:created>
  <dcterms:modified xsi:type="dcterms:W3CDTF">2023-11-01T11:03:00Z</dcterms:modified>
</cp:coreProperties>
</file>