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DAE21" w14:textId="77777777" w:rsidR="0047328A" w:rsidRDefault="0047328A" w:rsidP="0047328A">
      <w:pPr>
        <w:pStyle w:val="p1"/>
        <w:spacing w:line="360" w:lineRule="auto"/>
        <w:rPr>
          <w:rStyle w:val="s1"/>
          <w:rFonts w:ascii="Arial" w:hAnsi="Arial" w:cs="Arial"/>
          <w:b w:val="0"/>
          <w:bCs w:val="0"/>
          <w:sz w:val="23"/>
          <w:szCs w:val="23"/>
        </w:rPr>
      </w:pPr>
    </w:p>
    <w:p w14:paraId="6E9FB256" w14:textId="42F4C7FF" w:rsidR="0047328A" w:rsidRPr="0047328A" w:rsidRDefault="0047328A" w:rsidP="0047328A">
      <w:pPr>
        <w:pStyle w:val="p1"/>
        <w:spacing w:line="360" w:lineRule="auto"/>
        <w:jc w:val="center"/>
        <w:rPr>
          <w:rStyle w:val="s1"/>
          <w:rFonts w:ascii="Arial" w:hAnsi="Arial" w:cs="Arial"/>
          <w:sz w:val="22"/>
          <w:szCs w:val="22"/>
        </w:rPr>
      </w:pPr>
      <w:r w:rsidRPr="0047328A">
        <w:rPr>
          <w:rStyle w:val="s1"/>
          <w:rFonts w:ascii="Arial" w:hAnsi="Arial" w:cs="Arial"/>
          <w:sz w:val="22"/>
          <w:szCs w:val="22"/>
        </w:rPr>
        <w:t>Student Name: Alexandru Lavinel Gaiu</w:t>
      </w:r>
    </w:p>
    <w:p w14:paraId="5324491F" w14:textId="548E5405" w:rsidR="0047328A" w:rsidRPr="0047328A" w:rsidRDefault="0047328A" w:rsidP="0047328A">
      <w:pPr>
        <w:pStyle w:val="p1"/>
        <w:spacing w:line="360" w:lineRule="auto"/>
        <w:jc w:val="center"/>
        <w:rPr>
          <w:rStyle w:val="s1"/>
          <w:rFonts w:ascii="Arial" w:hAnsi="Arial" w:cs="Arial"/>
          <w:sz w:val="22"/>
          <w:szCs w:val="22"/>
        </w:rPr>
      </w:pPr>
      <w:r w:rsidRPr="0047328A">
        <w:rPr>
          <w:rStyle w:val="s1"/>
          <w:rFonts w:ascii="Arial" w:hAnsi="Arial" w:cs="Arial"/>
          <w:sz w:val="22"/>
          <w:szCs w:val="22"/>
        </w:rPr>
        <w:t>Student Code: 2332587</w:t>
      </w:r>
    </w:p>
    <w:p w14:paraId="4A478071" w14:textId="68EF1742" w:rsidR="0047328A" w:rsidRPr="0047328A" w:rsidRDefault="0047328A" w:rsidP="0047328A">
      <w:pPr>
        <w:pStyle w:val="p1"/>
        <w:spacing w:line="360" w:lineRule="auto"/>
        <w:jc w:val="center"/>
        <w:rPr>
          <w:rStyle w:val="s1"/>
          <w:rFonts w:ascii="Arial" w:hAnsi="Arial" w:cs="Arial"/>
          <w:sz w:val="22"/>
          <w:szCs w:val="22"/>
        </w:rPr>
      </w:pPr>
      <w:r w:rsidRPr="0047328A">
        <w:rPr>
          <w:rStyle w:val="s1"/>
          <w:rFonts w:ascii="Arial" w:hAnsi="Arial" w:cs="Arial"/>
          <w:sz w:val="22"/>
          <w:szCs w:val="22"/>
        </w:rPr>
        <w:t>Lecturer Name: Rizwan Nadim</w:t>
      </w:r>
    </w:p>
    <w:p w14:paraId="16A3041D" w14:textId="031AF944" w:rsidR="0047328A" w:rsidRPr="0047328A" w:rsidRDefault="0047328A" w:rsidP="0047328A">
      <w:pPr>
        <w:pStyle w:val="p1"/>
        <w:spacing w:line="360" w:lineRule="auto"/>
        <w:jc w:val="center"/>
        <w:rPr>
          <w:rStyle w:val="s1"/>
          <w:rFonts w:ascii="Arial" w:hAnsi="Arial" w:cs="Arial"/>
          <w:sz w:val="22"/>
          <w:szCs w:val="22"/>
        </w:rPr>
      </w:pPr>
      <w:r w:rsidRPr="0047328A">
        <w:rPr>
          <w:rStyle w:val="s1"/>
          <w:rFonts w:ascii="Arial" w:hAnsi="Arial" w:cs="Arial"/>
          <w:sz w:val="22"/>
          <w:szCs w:val="22"/>
        </w:rPr>
        <w:t>Module Name: Introduction to Independent Research Skills</w:t>
      </w:r>
    </w:p>
    <w:p w14:paraId="7F398785" w14:textId="2D6FF171" w:rsidR="0047328A" w:rsidRDefault="0047328A" w:rsidP="0047328A">
      <w:pPr>
        <w:pStyle w:val="p1"/>
        <w:spacing w:line="360" w:lineRule="auto"/>
        <w:jc w:val="center"/>
        <w:rPr>
          <w:rStyle w:val="s1"/>
          <w:rFonts w:ascii="Arial" w:hAnsi="Arial" w:cs="Arial"/>
          <w:sz w:val="22"/>
          <w:szCs w:val="22"/>
        </w:rPr>
      </w:pPr>
      <w:r w:rsidRPr="0047328A">
        <w:rPr>
          <w:rStyle w:val="s1"/>
          <w:rFonts w:ascii="Arial" w:hAnsi="Arial" w:cs="Arial"/>
          <w:sz w:val="22"/>
          <w:szCs w:val="22"/>
        </w:rPr>
        <w:t>Module Code: BMHP5019</w:t>
      </w:r>
    </w:p>
    <w:p w14:paraId="2122A0CA" w14:textId="1BF5FFE3" w:rsidR="00A27F86" w:rsidRPr="0047328A" w:rsidRDefault="00A27F86" w:rsidP="0047328A">
      <w:pPr>
        <w:pStyle w:val="p1"/>
        <w:spacing w:line="360" w:lineRule="auto"/>
        <w:jc w:val="center"/>
        <w:rPr>
          <w:rStyle w:val="s1"/>
          <w:rFonts w:ascii="Arial" w:hAnsi="Arial" w:cs="Arial"/>
          <w:sz w:val="22"/>
          <w:szCs w:val="22"/>
        </w:rPr>
      </w:pPr>
      <w:r>
        <w:rPr>
          <w:rStyle w:val="s1"/>
          <w:rFonts w:ascii="Arial" w:hAnsi="Arial" w:cs="Arial"/>
          <w:sz w:val="22"/>
          <w:szCs w:val="22"/>
        </w:rPr>
        <w:t>Component 1: Research Proposal</w:t>
      </w:r>
    </w:p>
    <w:p w14:paraId="57D6A4AF" w14:textId="77777777" w:rsidR="0047328A" w:rsidRDefault="0047328A" w:rsidP="0047328A">
      <w:pPr>
        <w:pStyle w:val="p1"/>
        <w:spacing w:line="360" w:lineRule="auto"/>
        <w:rPr>
          <w:rStyle w:val="s1"/>
          <w:rFonts w:ascii="Arial" w:hAnsi="Arial" w:cs="Arial"/>
          <w:b w:val="0"/>
          <w:bCs w:val="0"/>
          <w:sz w:val="23"/>
          <w:szCs w:val="23"/>
        </w:rPr>
      </w:pPr>
    </w:p>
    <w:p w14:paraId="11FA4551" w14:textId="77777777" w:rsidR="0047328A" w:rsidRDefault="0047328A" w:rsidP="0047328A">
      <w:pPr>
        <w:pStyle w:val="p1"/>
        <w:spacing w:line="360" w:lineRule="auto"/>
        <w:rPr>
          <w:rStyle w:val="s1"/>
          <w:rFonts w:ascii="Arial" w:hAnsi="Arial" w:cs="Arial"/>
          <w:b w:val="0"/>
          <w:bCs w:val="0"/>
          <w:sz w:val="23"/>
          <w:szCs w:val="23"/>
        </w:rPr>
      </w:pPr>
    </w:p>
    <w:p w14:paraId="034FF93A" w14:textId="77777777" w:rsidR="0047328A" w:rsidRDefault="0047328A" w:rsidP="0047328A">
      <w:pPr>
        <w:pStyle w:val="p1"/>
        <w:spacing w:line="360" w:lineRule="auto"/>
        <w:rPr>
          <w:rStyle w:val="s1"/>
          <w:rFonts w:ascii="Arial" w:hAnsi="Arial" w:cs="Arial"/>
          <w:b w:val="0"/>
          <w:bCs w:val="0"/>
          <w:sz w:val="23"/>
          <w:szCs w:val="23"/>
        </w:rPr>
      </w:pPr>
    </w:p>
    <w:p w14:paraId="0BF10F6E" w14:textId="77777777" w:rsidR="0047328A" w:rsidRDefault="0047328A" w:rsidP="0047328A">
      <w:pPr>
        <w:pStyle w:val="p1"/>
        <w:spacing w:line="360" w:lineRule="auto"/>
        <w:rPr>
          <w:rStyle w:val="s1"/>
          <w:rFonts w:ascii="Arial" w:hAnsi="Arial" w:cs="Arial"/>
          <w:b w:val="0"/>
          <w:bCs w:val="0"/>
          <w:sz w:val="23"/>
          <w:szCs w:val="23"/>
        </w:rPr>
      </w:pPr>
    </w:p>
    <w:p w14:paraId="56313005" w14:textId="77777777" w:rsidR="0047328A" w:rsidRDefault="0047328A" w:rsidP="0047328A">
      <w:pPr>
        <w:pStyle w:val="p1"/>
        <w:spacing w:line="360" w:lineRule="auto"/>
        <w:rPr>
          <w:rStyle w:val="s1"/>
          <w:rFonts w:ascii="Arial" w:hAnsi="Arial" w:cs="Arial"/>
          <w:b w:val="0"/>
          <w:bCs w:val="0"/>
          <w:sz w:val="23"/>
          <w:szCs w:val="23"/>
        </w:rPr>
      </w:pPr>
    </w:p>
    <w:p w14:paraId="3FB8F0C4" w14:textId="77777777" w:rsidR="0047328A" w:rsidRDefault="0047328A" w:rsidP="0047328A">
      <w:pPr>
        <w:pStyle w:val="p1"/>
        <w:spacing w:line="360" w:lineRule="auto"/>
        <w:rPr>
          <w:rStyle w:val="s1"/>
          <w:rFonts w:ascii="Arial" w:hAnsi="Arial" w:cs="Arial"/>
          <w:b w:val="0"/>
          <w:bCs w:val="0"/>
          <w:sz w:val="23"/>
          <w:szCs w:val="23"/>
        </w:rPr>
      </w:pPr>
    </w:p>
    <w:p w14:paraId="5E510767" w14:textId="77777777" w:rsidR="0047328A" w:rsidRDefault="0047328A" w:rsidP="0047328A">
      <w:pPr>
        <w:pStyle w:val="p1"/>
        <w:spacing w:line="360" w:lineRule="auto"/>
        <w:rPr>
          <w:rStyle w:val="s1"/>
          <w:rFonts w:ascii="Arial" w:hAnsi="Arial" w:cs="Arial"/>
          <w:b w:val="0"/>
          <w:bCs w:val="0"/>
          <w:sz w:val="23"/>
          <w:szCs w:val="23"/>
        </w:rPr>
      </w:pPr>
    </w:p>
    <w:p w14:paraId="3F6FDFFC" w14:textId="77777777" w:rsidR="0047328A" w:rsidRDefault="0047328A" w:rsidP="0047328A">
      <w:pPr>
        <w:pStyle w:val="p1"/>
        <w:spacing w:line="360" w:lineRule="auto"/>
        <w:rPr>
          <w:rStyle w:val="s1"/>
          <w:rFonts w:ascii="Arial" w:hAnsi="Arial" w:cs="Arial"/>
          <w:b w:val="0"/>
          <w:bCs w:val="0"/>
          <w:sz w:val="23"/>
          <w:szCs w:val="23"/>
        </w:rPr>
      </w:pPr>
    </w:p>
    <w:p w14:paraId="48B896F4" w14:textId="77777777" w:rsidR="0047328A" w:rsidRDefault="0047328A" w:rsidP="0047328A">
      <w:pPr>
        <w:pStyle w:val="p1"/>
        <w:spacing w:line="360" w:lineRule="auto"/>
        <w:rPr>
          <w:rStyle w:val="s1"/>
          <w:rFonts w:ascii="Arial" w:hAnsi="Arial" w:cs="Arial"/>
          <w:b w:val="0"/>
          <w:bCs w:val="0"/>
          <w:sz w:val="23"/>
          <w:szCs w:val="23"/>
        </w:rPr>
      </w:pPr>
    </w:p>
    <w:p w14:paraId="1C3B1FB1" w14:textId="77777777" w:rsidR="0047328A" w:rsidRDefault="0047328A" w:rsidP="0047328A">
      <w:pPr>
        <w:pStyle w:val="p1"/>
        <w:spacing w:line="360" w:lineRule="auto"/>
        <w:rPr>
          <w:rStyle w:val="s1"/>
          <w:rFonts w:ascii="Arial" w:hAnsi="Arial" w:cs="Arial"/>
          <w:b w:val="0"/>
          <w:bCs w:val="0"/>
          <w:sz w:val="23"/>
          <w:szCs w:val="23"/>
        </w:rPr>
      </w:pPr>
    </w:p>
    <w:p w14:paraId="40BDBB75" w14:textId="77777777" w:rsidR="0047328A" w:rsidRDefault="0047328A" w:rsidP="0047328A">
      <w:pPr>
        <w:pStyle w:val="p1"/>
        <w:spacing w:line="360" w:lineRule="auto"/>
        <w:rPr>
          <w:rStyle w:val="s1"/>
          <w:rFonts w:ascii="Arial" w:hAnsi="Arial" w:cs="Arial"/>
          <w:b w:val="0"/>
          <w:bCs w:val="0"/>
          <w:sz w:val="23"/>
          <w:szCs w:val="23"/>
        </w:rPr>
      </w:pPr>
    </w:p>
    <w:p w14:paraId="66DE55CF" w14:textId="77777777" w:rsidR="0047328A" w:rsidRDefault="0047328A" w:rsidP="0047328A">
      <w:pPr>
        <w:pStyle w:val="p1"/>
        <w:spacing w:line="360" w:lineRule="auto"/>
        <w:rPr>
          <w:rStyle w:val="s1"/>
          <w:rFonts w:ascii="Arial" w:hAnsi="Arial" w:cs="Arial"/>
          <w:b w:val="0"/>
          <w:bCs w:val="0"/>
          <w:sz w:val="23"/>
          <w:szCs w:val="23"/>
        </w:rPr>
      </w:pPr>
    </w:p>
    <w:p w14:paraId="5380B940" w14:textId="77777777" w:rsidR="0047328A" w:rsidRDefault="0047328A" w:rsidP="0047328A">
      <w:pPr>
        <w:pStyle w:val="p1"/>
        <w:spacing w:line="360" w:lineRule="auto"/>
        <w:rPr>
          <w:rStyle w:val="s1"/>
          <w:rFonts w:ascii="Arial" w:hAnsi="Arial" w:cs="Arial"/>
          <w:b w:val="0"/>
          <w:bCs w:val="0"/>
          <w:sz w:val="23"/>
          <w:szCs w:val="23"/>
        </w:rPr>
      </w:pPr>
    </w:p>
    <w:p w14:paraId="66AF1182" w14:textId="77777777" w:rsidR="0047328A" w:rsidRDefault="0047328A" w:rsidP="0047328A">
      <w:pPr>
        <w:pStyle w:val="p1"/>
        <w:spacing w:line="360" w:lineRule="auto"/>
        <w:rPr>
          <w:rStyle w:val="s1"/>
          <w:rFonts w:ascii="Arial" w:hAnsi="Arial" w:cs="Arial"/>
          <w:b w:val="0"/>
          <w:bCs w:val="0"/>
          <w:sz w:val="23"/>
          <w:szCs w:val="23"/>
        </w:rPr>
      </w:pPr>
    </w:p>
    <w:p w14:paraId="53A3B2DC" w14:textId="77777777" w:rsidR="0047328A" w:rsidRDefault="0047328A" w:rsidP="0047328A">
      <w:pPr>
        <w:pStyle w:val="p1"/>
        <w:spacing w:line="360" w:lineRule="auto"/>
        <w:rPr>
          <w:rStyle w:val="s1"/>
          <w:rFonts w:ascii="Arial" w:hAnsi="Arial" w:cs="Arial"/>
          <w:b w:val="0"/>
          <w:bCs w:val="0"/>
          <w:sz w:val="23"/>
          <w:szCs w:val="23"/>
        </w:rPr>
      </w:pPr>
    </w:p>
    <w:p w14:paraId="1D4CA7ED" w14:textId="77777777" w:rsidR="0047328A" w:rsidRDefault="0047328A" w:rsidP="0047328A">
      <w:pPr>
        <w:pStyle w:val="p1"/>
        <w:spacing w:line="360" w:lineRule="auto"/>
        <w:rPr>
          <w:rStyle w:val="s1"/>
          <w:rFonts w:ascii="Arial" w:hAnsi="Arial" w:cs="Arial"/>
          <w:b w:val="0"/>
          <w:bCs w:val="0"/>
          <w:sz w:val="23"/>
          <w:szCs w:val="23"/>
        </w:rPr>
      </w:pPr>
    </w:p>
    <w:p w14:paraId="577899FC" w14:textId="77777777" w:rsidR="0047328A" w:rsidRDefault="0047328A" w:rsidP="0047328A">
      <w:pPr>
        <w:pStyle w:val="p1"/>
        <w:spacing w:line="360" w:lineRule="auto"/>
        <w:rPr>
          <w:rStyle w:val="s1"/>
          <w:rFonts w:ascii="Arial" w:hAnsi="Arial" w:cs="Arial"/>
          <w:b w:val="0"/>
          <w:bCs w:val="0"/>
          <w:sz w:val="23"/>
          <w:szCs w:val="23"/>
        </w:rPr>
      </w:pPr>
    </w:p>
    <w:p w14:paraId="5E4C47CE" w14:textId="77777777" w:rsidR="0047328A" w:rsidRDefault="0047328A" w:rsidP="0047328A">
      <w:pPr>
        <w:pStyle w:val="p1"/>
        <w:spacing w:line="360" w:lineRule="auto"/>
        <w:rPr>
          <w:rStyle w:val="s1"/>
          <w:rFonts w:ascii="Arial" w:hAnsi="Arial" w:cs="Arial"/>
          <w:b w:val="0"/>
          <w:bCs w:val="0"/>
          <w:sz w:val="23"/>
          <w:szCs w:val="23"/>
        </w:rPr>
      </w:pPr>
    </w:p>
    <w:p w14:paraId="4F645EF2" w14:textId="77777777" w:rsidR="0047328A" w:rsidRDefault="0047328A" w:rsidP="0047328A">
      <w:pPr>
        <w:pStyle w:val="p1"/>
        <w:spacing w:line="360" w:lineRule="auto"/>
        <w:rPr>
          <w:rStyle w:val="s1"/>
          <w:rFonts w:ascii="Arial" w:hAnsi="Arial" w:cs="Arial"/>
          <w:b w:val="0"/>
          <w:bCs w:val="0"/>
          <w:sz w:val="23"/>
          <w:szCs w:val="23"/>
        </w:rPr>
      </w:pPr>
    </w:p>
    <w:p w14:paraId="55892B8C" w14:textId="77777777" w:rsidR="0047328A" w:rsidRDefault="0047328A" w:rsidP="0047328A">
      <w:pPr>
        <w:pStyle w:val="p1"/>
        <w:spacing w:line="360" w:lineRule="auto"/>
        <w:rPr>
          <w:rStyle w:val="s1"/>
          <w:rFonts w:ascii="Arial" w:hAnsi="Arial" w:cs="Arial"/>
          <w:b w:val="0"/>
          <w:bCs w:val="0"/>
          <w:sz w:val="23"/>
          <w:szCs w:val="23"/>
        </w:rPr>
      </w:pPr>
    </w:p>
    <w:p w14:paraId="7DC032AE" w14:textId="77777777" w:rsidR="0047328A" w:rsidRDefault="0047328A" w:rsidP="0047328A">
      <w:pPr>
        <w:pStyle w:val="p1"/>
        <w:spacing w:line="360" w:lineRule="auto"/>
        <w:rPr>
          <w:rStyle w:val="s1"/>
          <w:rFonts w:ascii="Arial" w:hAnsi="Arial" w:cs="Arial"/>
          <w:b w:val="0"/>
          <w:bCs w:val="0"/>
          <w:sz w:val="23"/>
          <w:szCs w:val="23"/>
        </w:rPr>
      </w:pPr>
    </w:p>
    <w:p w14:paraId="32BB6B39" w14:textId="77777777" w:rsidR="0047328A" w:rsidRDefault="0047328A" w:rsidP="0047328A">
      <w:pPr>
        <w:pStyle w:val="p1"/>
        <w:spacing w:line="360" w:lineRule="auto"/>
        <w:rPr>
          <w:rStyle w:val="s1"/>
          <w:rFonts w:ascii="Arial" w:hAnsi="Arial" w:cs="Arial"/>
          <w:b w:val="0"/>
          <w:bCs w:val="0"/>
          <w:sz w:val="23"/>
          <w:szCs w:val="23"/>
        </w:rPr>
      </w:pPr>
    </w:p>
    <w:p w14:paraId="2594D2AA" w14:textId="77777777" w:rsidR="0047328A" w:rsidRDefault="0047328A" w:rsidP="0047328A">
      <w:pPr>
        <w:pStyle w:val="p1"/>
        <w:spacing w:line="360" w:lineRule="auto"/>
        <w:rPr>
          <w:rStyle w:val="s1"/>
          <w:rFonts w:ascii="Arial" w:hAnsi="Arial" w:cs="Arial"/>
          <w:b w:val="0"/>
          <w:bCs w:val="0"/>
          <w:sz w:val="23"/>
          <w:szCs w:val="23"/>
        </w:rPr>
      </w:pPr>
    </w:p>
    <w:p w14:paraId="34B8459D" w14:textId="77777777" w:rsidR="0047328A" w:rsidRDefault="0047328A" w:rsidP="0047328A">
      <w:pPr>
        <w:pStyle w:val="p1"/>
        <w:spacing w:line="360" w:lineRule="auto"/>
        <w:rPr>
          <w:rStyle w:val="s1"/>
          <w:rFonts w:ascii="Arial" w:hAnsi="Arial" w:cs="Arial"/>
          <w:b w:val="0"/>
          <w:bCs w:val="0"/>
          <w:sz w:val="23"/>
          <w:szCs w:val="23"/>
        </w:rPr>
      </w:pPr>
    </w:p>
    <w:p w14:paraId="44A9B98F" w14:textId="77777777" w:rsidR="0047328A" w:rsidRDefault="0047328A" w:rsidP="0047328A">
      <w:pPr>
        <w:pStyle w:val="p1"/>
        <w:spacing w:line="360" w:lineRule="auto"/>
        <w:rPr>
          <w:rStyle w:val="s1"/>
          <w:rFonts w:ascii="Arial" w:hAnsi="Arial" w:cs="Arial"/>
          <w:b w:val="0"/>
          <w:bCs w:val="0"/>
          <w:sz w:val="23"/>
          <w:szCs w:val="23"/>
        </w:rPr>
      </w:pPr>
    </w:p>
    <w:p w14:paraId="4DB4E3E3" w14:textId="77777777" w:rsidR="0047328A" w:rsidRDefault="0047328A" w:rsidP="0047328A">
      <w:pPr>
        <w:pStyle w:val="p1"/>
        <w:spacing w:line="360" w:lineRule="auto"/>
        <w:rPr>
          <w:rStyle w:val="s1"/>
          <w:rFonts w:ascii="Arial" w:hAnsi="Arial" w:cs="Arial"/>
          <w:b w:val="0"/>
          <w:bCs w:val="0"/>
          <w:sz w:val="23"/>
          <w:szCs w:val="23"/>
        </w:rPr>
      </w:pPr>
    </w:p>
    <w:p w14:paraId="5C42FC69" w14:textId="77777777" w:rsidR="0047328A" w:rsidRDefault="0047328A" w:rsidP="0047328A">
      <w:pPr>
        <w:pStyle w:val="p1"/>
        <w:spacing w:line="360" w:lineRule="auto"/>
        <w:rPr>
          <w:rStyle w:val="s1"/>
          <w:rFonts w:ascii="Arial" w:hAnsi="Arial" w:cs="Arial"/>
          <w:b w:val="0"/>
          <w:bCs w:val="0"/>
          <w:sz w:val="23"/>
          <w:szCs w:val="23"/>
        </w:rPr>
      </w:pPr>
    </w:p>
    <w:p w14:paraId="1E44D078" w14:textId="77777777" w:rsidR="0047328A" w:rsidRDefault="0047328A" w:rsidP="0047328A">
      <w:pPr>
        <w:pStyle w:val="p1"/>
        <w:spacing w:line="360" w:lineRule="auto"/>
        <w:rPr>
          <w:rStyle w:val="s1"/>
          <w:rFonts w:ascii="Arial" w:hAnsi="Arial" w:cs="Arial"/>
          <w:b w:val="0"/>
          <w:bCs w:val="0"/>
          <w:sz w:val="23"/>
          <w:szCs w:val="23"/>
        </w:rPr>
      </w:pPr>
    </w:p>
    <w:p w14:paraId="5C52F59C" w14:textId="77777777" w:rsidR="0047328A" w:rsidRPr="0047328A" w:rsidRDefault="0047328A" w:rsidP="0047328A">
      <w:pPr>
        <w:spacing w:line="360" w:lineRule="auto"/>
        <w:rPr>
          <w:rFonts w:ascii="Arial" w:hAnsi="Arial" w:cs="Arial"/>
          <w:sz w:val="22"/>
          <w:szCs w:val="22"/>
        </w:rPr>
      </w:pPr>
    </w:p>
    <w:p w14:paraId="75A558E1"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Title</w:t>
      </w:r>
    </w:p>
    <w:p w14:paraId="634FAF90" w14:textId="77777777" w:rsidR="0047328A" w:rsidRPr="0047328A" w:rsidRDefault="0047328A" w:rsidP="0047328A">
      <w:pPr>
        <w:spacing w:line="360" w:lineRule="auto"/>
        <w:rPr>
          <w:rFonts w:ascii="Arial" w:hAnsi="Arial" w:cs="Arial"/>
          <w:b/>
          <w:bCs/>
          <w:sz w:val="22"/>
          <w:szCs w:val="22"/>
        </w:rPr>
      </w:pPr>
    </w:p>
    <w:p w14:paraId="030F2306"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A Scoping Review of Treatment Effectiveness and Service Barriers for Obesity in Working-Age Adults (18–65) in the UK</w:t>
      </w:r>
    </w:p>
    <w:p w14:paraId="76BF4C62" w14:textId="77777777" w:rsidR="0047328A" w:rsidRPr="0047328A" w:rsidRDefault="0047328A" w:rsidP="0047328A">
      <w:pPr>
        <w:spacing w:line="360" w:lineRule="auto"/>
        <w:rPr>
          <w:rFonts w:ascii="Arial" w:hAnsi="Arial" w:cs="Arial"/>
          <w:sz w:val="22"/>
          <w:szCs w:val="22"/>
        </w:rPr>
      </w:pPr>
    </w:p>
    <w:p w14:paraId="23E23614" w14:textId="77777777" w:rsidR="0047328A" w:rsidRPr="0047328A" w:rsidRDefault="0047328A" w:rsidP="0047328A">
      <w:pPr>
        <w:spacing w:line="360" w:lineRule="auto"/>
        <w:rPr>
          <w:rFonts w:ascii="Arial" w:hAnsi="Arial" w:cs="Arial"/>
          <w:sz w:val="22"/>
          <w:szCs w:val="22"/>
        </w:rPr>
      </w:pPr>
    </w:p>
    <w:p w14:paraId="38416C04"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Background and Rationale</w:t>
      </w:r>
    </w:p>
    <w:p w14:paraId="40D9AB9F" w14:textId="77777777" w:rsidR="0047328A" w:rsidRPr="0047328A" w:rsidRDefault="0047328A" w:rsidP="0047328A">
      <w:pPr>
        <w:spacing w:line="360" w:lineRule="auto"/>
        <w:rPr>
          <w:rFonts w:ascii="Arial" w:hAnsi="Arial" w:cs="Arial"/>
          <w:sz w:val="22"/>
          <w:szCs w:val="22"/>
        </w:rPr>
      </w:pPr>
    </w:p>
    <w:p w14:paraId="7999C840" w14:textId="2BD86506"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Obesity remains one of the most significant public health challenges in the United Kingdom, with over 26.5% obese and 64.5% overweight (including obesity BMI&gt;30kg/square meter) of adults classified as overweight or obese reported between 2023-24 (GOV UK, 2025). In working-age adults (18–65), obesity is </w:t>
      </w:r>
      <w:r w:rsidR="00120134">
        <w:rPr>
          <w:rFonts w:ascii="Arial" w:hAnsi="Arial" w:cs="Arial"/>
          <w:sz w:val="22"/>
          <w:szCs w:val="22"/>
        </w:rPr>
        <w:t>l</w:t>
      </w:r>
      <w:r w:rsidR="00120134" w:rsidRPr="00120134">
        <w:rPr>
          <w:rFonts w:ascii="Arial" w:hAnsi="Arial" w:cs="Arial"/>
          <w:sz w:val="22"/>
          <w:szCs w:val="22"/>
        </w:rPr>
        <w:t>inked to a higher likelihood of developing cardiovascular conditions, diabetes</w:t>
      </w:r>
      <w:r w:rsidR="00120134">
        <w:rPr>
          <w:rFonts w:ascii="Arial" w:hAnsi="Arial" w:cs="Arial"/>
          <w:sz w:val="22"/>
          <w:szCs w:val="22"/>
        </w:rPr>
        <w:t xml:space="preserve"> mellitus</w:t>
      </w:r>
      <w:r w:rsidR="00120134" w:rsidRPr="00120134">
        <w:rPr>
          <w:rFonts w:ascii="Arial" w:hAnsi="Arial" w:cs="Arial"/>
          <w:sz w:val="22"/>
          <w:szCs w:val="22"/>
        </w:rPr>
        <w:t xml:space="preserve"> musculoskeletal problems</w:t>
      </w:r>
      <w:r w:rsidRPr="0047328A">
        <w:rPr>
          <w:rFonts w:ascii="Arial" w:hAnsi="Arial" w:cs="Arial"/>
          <w:sz w:val="22"/>
          <w:szCs w:val="22"/>
        </w:rPr>
        <w:t>, reduced productivity, and economic burden to the NHS (Kyle et al., 2017; Fruh, 2017). Despite national strategies such as the NHS Long Term Plan (2025) and updated NICE guidelines (NICE, 2026), obesity prevalence continues to rise, particularly in socioeconomically deprived communities (GOV UK, 2025).</w:t>
      </w:r>
    </w:p>
    <w:p w14:paraId="1BA4491F" w14:textId="77777777" w:rsidR="0047328A" w:rsidRPr="0047328A" w:rsidRDefault="0047328A" w:rsidP="0047328A">
      <w:pPr>
        <w:spacing w:line="360" w:lineRule="auto"/>
        <w:rPr>
          <w:rFonts w:ascii="Arial" w:hAnsi="Arial" w:cs="Arial"/>
          <w:sz w:val="22"/>
          <w:szCs w:val="22"/>
        </w:rPr>
      </w:pPr>
    </w:p>
    <w:p w14:paraId="18058307" w14:textId="2BAAB5FD"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Obesity is widely recognised as a treatable condition through behavioural interventions, pharmacological therapies and bariatric surgery (Martins et al., 2020). However, evidence suggests variability in treatment outcomes and sustained weight loss results (Martins et al., 2020; Coulman et al., 2023)</w:t>
      </w:r>
      <w:r>
        <w:rPr>
          <w:rFonts w:ascii="Arial" w:hAnsi="Arial" w:cs="Arial"/>
          <w:sz w:val="22"/>
          <w:szCs w:val="22"/>
        </w:rPr>
        <w:t xml:space="preserve">. </w:t>
      </w:r>
      <w:r w:rsidRPr="0047328A">
        <w:rPr>
          <w:rFonts w:ascii="Arial" w:hAnsi="Arial" w:cs="Arial"/>
          <w:sz w:val="22"/>
          <w:szCs w:val="22"/>
        </w:rPr>
        <w:t>Furthermore, systemic barriers including referral pathways, waiting times, stigma, digital exclusion, and employment-related constraints may limit access to effective interventions (Flint et al., 2021). Despite national strategies and expanding treatment options, obesity prevalence in the UK has not significantly declined and continues to rise, particularly within socioeconomically deprived communities, raising concerns regarding the long-term effectiveness and accessibility of current interventions (Coulman et al., 2023, Martins at al., 2020)</w:t>
      </w:r>
      <w:r>
        <w:rPr>
          <w:rFonts w:ascii="Arial" w:hAnsi="Arial" w:cs="Arial"/>
          <w:sz w:val="22"/>
          <w:szCs w:val="22"/>
        </w:rPr>
        <w:t xml:space="preserve">. </w:t>
      </w:r>
      <w:r w:rsidRPr="0047328A">
        <w:rPr>
          <w:rFonts w:ascii="Arial" w:hAnsi="Arial" w:cs="Arial"/>
          <w:sz w:val="22"/>
          <w:szCs w:val="22"/>
        </w:rPr>
        <w:t>A scoping review is therefore required to critically map current UK evidence, identify recurring themes, and examine contradictions and inequalities influencing obesity management.</w:t>
      </w:r>
    </w:p>
    <w:p w14:paraId="23667A33" w14:textId="77777777" w:rsidR="0047328A" w:rsidRPr="0047328A" w:rsidRDefault="0047328A" w:rsidP="0047328A">
      <w:pPr>
        <w:spacing w:line="360" w:lineRule="auto"/>
        <w:rPr>
          <w:rFonts w:ascii="Arial" w:hAnsi="Arial" w:cs="Arial"/>
          <w:sz w:val="22"/>
          <w:szCs w:val="22"/>
        </w:rPr>
      </w:pPr>
    </w:p>
    <w:p w14:paraId="2D6AB864"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lastRenderedPageBreak/>
        <w:t>Research Aim and Objectives</w:t>
      </w:r>
    </w:p>
    <w:p w14:paraId="7230A134" w14:textId="77777777" w:rsidR="0047328A" w:rsidRPr="0047328A" w:rsidRDefault="0047328A" w:rsidP="0047328A">
      <w:pPr>
        <w:spacing w:line="360" w:lineRule="auto"/>
        <w:rPr>
          <w:rFonts w:ascii="Arial" w:hAnsi="Arial" w:cs="Arial"/>
          <w:sz w:val="22"/>
          <w:szCs w:val="22"/>
        </w:rPr>
      </w:pPr>
    </w:p>
    <w:p w14:paraId="4EA52FAA"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The primary aim is to map and synthesise UK peer-reviewed research on treatment effectiveness and service barriers for obesity in working-age adults.</w:t>
      </w:r>
    </w:p>
    <w:p w14:paraId="32227CA0" w14:textId="77777777" w:rsidR="0047328A" w:rsidRPr="0047328A" w:rsidRDefault="0047328A" w:rsidP="0047328A">
      <w:pPr>
        <w:spacing w:line="360" w:lineRule="auto"/>
        <w:rPr>
          <w:rFonts w:ascii="Arial" w:hAnsi="Arial" w:cs="Arial"/>
          <w:sz w:val="22"/>
          <w:szCs w:val="22"/>
        </w:rPr>
      </w:pPr>
    </w:p>
    <w:p w14:paraId="7013E73B"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This review will:</w:t>
      </w:r>
    </w:p>
    <w:p w14:paraId="469AABDC" w14:textId="017AFE03" w:rsidR="0047328A" w:rsidRPr="0047328A" w:rsidRDefault="0047328A" w:rsidP="0047328A">
      <w:pPr>
        <w:pStyle w:val="ListParagraph"/>
        <w:numPr>
          <w:ilvl w:val="0"/>
          <w:numId w:val="2"/>
        </w:numPr>
        <w:spacing w:line="360" w:lineRule="auto"/>
        <w:rPr>
          <w:rFonts w:ascii="Arial" w:hAnsi="Arial" w:cs="Arial"/>
          <w:sz w:val="22"/>
          <w:szCs w:val="22"/>
        </w:rPr>
      </w:pPr>
      <w:r w:rsidRPr="0047328A">
        <w:rPr>
          <w:rFonts w:ascii="Arial" w:hAnsi="Arial" w:cs="Arial"/>
          <w:sz w:val="22"/>
          <w:szCs w:val="22"/>
        </w:rPr>
        <w:t>Identify themes relating to behavioural, pharmacological, and surgical treatment effectiveness.</w:t>
      </w:r>
    </w:p>
    <w:p w14:paraId="36BFE047" w14:textId="182A530D" w:rsidR="0047328A" w:rsidRPr="0047328A" w:rsidRDefault="0047328A" w:rsidP="0047328A">
      <w:pPr>
        <w:pStyle w:val="ListParagraph"/>
        <w:numPr>
          <w:ilvl w:val="0"/>
          <w:numId w:val="2"/>
        </w:numPr>
        <w:spacing w:line="360" w:lineRule="auto"/>
        <w:rPr>
          <w:rFonts w:ascii="Arial" w:hAnsi="Arial" w:cs="Arial"/>
          <w:sz w:val="22"/>
          <w:szCs w:val="22"/>
        </w:rPr>
      </w:pPr>
      <w:r w:rsidRPr="0047328A">
        <w:rPr>
          <w:rFonts w:ascii="Arial" w:hAnsi="Arial" w:cs="Arial"/>
          <w:sz w:val="22"/>
          <w:szCs w:val="22"/>
        </w:rPr>
        <w:t>Examine systemic and service-level barriers affecting access and adherence.</w:t>
      </w:r>
    </w:p>
    <w:p w14:paraId="7A0BD6F6" w14:textId="28BFA9EE" w:rsidR="0047328A" w:rsidRPr="0047328A" w:rsidRDefault="0047328A" w:rsidP="0047328A">
      <w:pPr>
        <w:pStyle w:val="ListParagraph"/>
        <w:numPr>
          <w:ilvl w:val="0"/>
          <w:numId w:val="2"/>
        </w:numPr>
        <w:spacing w:line="360" w:lineRule="auto"/>
        <w:rPr>
          <w:rFonts w:ascii="Arial" w:hAnsi="Arial" w:cs="Arial"/>
          <w:sz w:val="22"/>
          <w:szCs w:val="22"/>
        </w:rPr>
      </w:pPr>
      <w:r w:rsidRPr="0047328A">
        <w:rPr>
          <w:rFonts w:ascii="Arial" w:hAnsi="Arial" w:cs="Arial"/>
          <w:sz w:val="22"/>
          <w:szCs w:val="22"/>
        </w:rPr>
        <w:t>Highlight socioeconomic inequalities and gaps in UK obesity management.</w:t>
      </w:r>
    </w:p>
    <w:p w14:paraId="1B295AE1" w14:textId="77777777" w:rsidR="0047328A" w:rsidRPr="0047328A" w:rsidRDefault="0047328A" w:rsidP="0047328A">
      <w:pPr>
        <w:spacing w:line="360" w:lineRule="auto"/>
        <w:rPr>
          <w:rFonts w:ascii="Arial" w:hAnsi="Arial" w:cs="Arial"/>
          <w:sz w:val="22"/>
          <w:szCs w:val="22"/>
        </w:rPr>
      </w:pPr>
    </w:p>
    <w:p w14:paraId="5FCBF801" w14:textId="6078B33A"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Methodology</w:t>
      </w:r>
    </w:p>
    <w:p w14:paraId="2EF62983"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Scoping Review Framework</w:t>
      </w:r>
    </w:p>
    <w:p w14:paraId="34A356B0" w14:textId="77777777" w:rsidR="0047328A" w:rsidRPr="0047328A" w:rsidRDefault="0047328A" w:rsidP="0047328A">
      <w:pPr>
        <w:spacing w:line="360" w:lineRule="auto"/>
        <w:rPr>
          <w:rFonts w:ascii="Arial" w:hAnsi="Arial" w:cs="Arial"/>
          <w:sz w:val="22"/>
          <w:szCs w:val="22"/>
        </w:rPr>
      </w:pPr>
    </w:p>
    <w:p w14:paraId="79417E71"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The review will follow Aveyard’s (2014) thematic analysis approach.</w:t>
      </w:r>
    </w:p>
    <w:p w14:paraId="769D5376" w14:textId="77777777" w:rsidR="0047328A" w:rsidRPr="0047328A" w:rsidRDefault="0047328A" w:rsidP="0047328A">
      <w:pPr>
        <w:spacing w:line="360" w:lineRule="auto"/>
        <w:rPr>
          <w:rFonts w:ascii="Arial" w:hAnsi="Arial" w:cs="Arial"/>
          <w:sz w:val="22"/>
          <w:szCs w:val="22"/>
        </w:rPr>
      </w:pPr>
    </w:p>
    <w:p w14:paraId="0C97CC68"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Research Question</w:t>
      </w:r>
    </w:p>
    <w:p w14:paraId="3689730B" w14:textId="77777777" w:rsidR="0047328A" w:rsidRPr="0047328A" w:rsidRDefault="0047328A" w:rsidP="0047328A">
      <w:pPr>
        <w:spacing w:line="360" w:lineRule="auto"/>
        <w:rPr>
          <w:rFonts w:ascii="Arial" w:hAnsi="Arial" w:cs="Arial"/>
          <w:sz w:val="22"/>
          <w:szCs w:val="22"/>
        </w:rPr>
      </w:pPr>
    </w:p>
    <w:p w14:paraId="520F4EDA"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What does UK peer-reviewed evidence reveal about the effectiveness of obesity treatments and the structural factors limiting equitable access for working-age adults (18–65)?</w:t>
      </w:r>
    </w:p>
    <w:p w14:paraId="3050E394" w14:textId="77777777" w:rsidR="0047328A" w:rsidRPr="0047328A" w:rsidRDefault="0047328A" w:rsidP="0047328A">
      <w:pPr>
        <w:spacing w:line="360" w:lineRule="auto"/>
        <w:rPr>
          <w:rFonts w:ascii="Arial" w:hAnsi="Arial" w:cs="Arial"/>
          <w:sz w:val="22"/>
          <w:szCs w:val="22"/>
        </w:rPr>
      </w:pPr>
    </w:p>
    <w:p w14:paraId="2A376B33" w14:textId="77777777" w:rsidR="0047328A" w:rsidRPr="0047328A" w:rsidRDefault="0047328A" w:rsidP="0047328A">
      <w:pPr>
        <w:spacing w:line="360" w:lineRule="auto"/>
        <w:rPr>
          <w:rFonts w:ascii="Arial" w:hAnsi="Arial" w:cs="Arial"/>
          <w:b/>
          <w:bCs/>
          <w:sz w:val="22"/>
          <w:szCs w:val="22"/>
        </w:rPr>
      </w:pPr>
    </w:p>
    <w:p w14:paraId="2B18537A"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Inclusion and Exclusion Criteria</w:t>
      </w:r>
    </w:p>
    <w:p w14:paraId="5F4741E4" w14:textId="77777777" w:rsidR="0047328A" w:rsidRPr="0047328A" w:rsidRDefault="0047328A" w:rsidP="0047328A">
      <w:pPr>
        <w:spacing w:line="360" w:lineRule="auto"/>
        <w:rPr>
          <w:rFonts w:ascii="Arial" w:hAnsi="Arial" w:cs="Arial"/>
          <w:sz w:val="22"/>
          <w:szCs w:val="22"/>
        </w:rPr>
      </w:pPr>
    </w:p>
    <w:p w14:paraId="4BB7A81C"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Inclusion: UK-based peer-reviewed studies (2016–2026); adults aged 18–65; obesity treatment or service access; qualitative, quantitative or mixed-method designs, full access.</w:t>
      </w:r>
    </w:p>
    <w:p w14:paraId="5FB923AB" w14:textId="77777777" w:rsidR="0047328A" w:rsidRPr="0047328A" w:rsidRDefault="0047328A" w:rsidP="0047328A">
      <w:pPr>
        <w:spacing w:line="360" w:lineRule="auto"/>
        <w:rPr>
          <w:rFonts w:ascii="Arial" w:hAnsi="Arial" w:cs="Arial"/>
          <w:sz w:val="22"/>
          <w:szCs w:val="22"/>
        </w:rPr>
      </w:pPr>
    </w:p>
    <w:p w14:paraId="5C9A4DBB"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lastRenderedPageBreak/>
        <w:t>Exclusion: Non-UK studies; paediatric or older adult populations; non-peer-reviewed sources; studies not reporting treatment or service outcomes.</w:t>
      </w:r>
    </w:p>
    <w:p w14:paraId="26A4ED61" w14:textId="77777777" w:rsidR="0047328A" w:rsidRPr="0047328A" w:rsidRDefault="0047328A" w:rsidP="0047328A">
      <w:pPr>
        <w:spacing w:line="360" w:lineRule="auto"/>
        <w:rPr>
          <w:rFonts w:ascii="Arial" w:hAnsi="Arial" w:cs="Arial"/>
          <w:sz w:val="22"/>
          <w:szCs w:val="22"/>
        </w:rPr>
      </w:pPr>
    </w:p>
    <w:p w14:paraId="2033720A" w14:textId="77777777" w:rsidR="0047328A" w:rsidRPr="0047328A" w:rsidRDefault="0047328A" w:rsidP="0047328A">
      <w:pPr>
        <w:spacing w:line="360" w:lineRule="auto"/>
        <w:rPr>
          <w:rFonts w:ascii="Arial" w:hAnsi="Arial" w:cs="Arial"/>
          <w:sz w:val="22"/>
          <w:szCs w:val="22"/>
        </w:rPr>
      </w:pPr>
    </w:p>
    <w:p w14:paraId="70AAAE44"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Data Collection and Thematic Analysis</w:t>
      </w:r>
    </w:p>
    <w:p w14:paraId="5EEC4F3A" w14:textId="77777777" w:rsidR="0047328A" w:rsidRPr="0047328A" w:rsidRDefault="0047328A" w:rsidP="0047328A">
      <w:pPr>
        <w:spacing w:line="360" w:lineRule="auto"/>
        <w:rPr>
          <w:rFonts w:ascii="Arial" w:hAnsi="Arial" w:cs="Arial"/>
          <w:sz w:val="22"/>
          <w:szCs w:val="22"/>
        </w:rPr>
      </w:pPr>
    </w:p>
    <w:p w14:paraId="2AA84CE6" w14:textId="5E089601"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Databases including PUBMED, CINAHL, Scopus, and the UWTSD Library will be searched using terms</w:t>
      </w:r>
      <w:r>
        <w:rPr>
          <w:rFonts w:ascii="Arial" w:hAnsi="Arial" w:cs="Arial"/>
          <w:sz w:val="22"/>
          <w:szCs w:val="22"/>
        </w:rPr>
        <w:t xml:space="preserve"> and Boolean operators</w:t>
      </w:r>
      <w:r w:rsidRPr="0047328A">
        <w:rPr>
          <w:rFonts w:ascii="Arial" w:hAnsi="Arial" w:cs="Arial"/>
          <w:sz w:val="22"/>
          <w:szCs w:val="22"/>
        </w:rPr>
        <w:t xml:space="preserve"> such as ("obesity" OR "overweight" OR "BMI")</w:t>
      </w:r>
    </w:p>
    <w:p w14:paraId="159ACB74"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AND</w:t>
      </w:r>
    </w:p>
    <w:p w14:paraId="6E7BE7F2"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("weight management" OR "Tier 3" OR "specialist weight management service" OR "bariatric surgery" OR "metabolic surgery" OR "pharmacological treatment" OR "GLP-1" OR "</w:t>
      </w:r>
      <w:proofErr w:type="spellStart"/>
      <w:r w:rsidRPr="0047328A">
        <w:rPr>
          <w:rFonts w:ascii="Arial" w:hAnsi="Arial" w:cs="Arial"/>
          <w:sz w:val="22"/>
          <w:szCs w:val="22"/>
        </w:rPr>
        <w:t>semaglutide</w:t>
      </w:r>
      <w:proofErr w:type="spellEnd"/>
      <w:r w:rsidRPr="0047328A">
        <w:rPr>
          <w:rFonts w:ascii="Arial" w:hAnsi="Arial" w:cs="Arial"/>
          <w:sz w:val="22"/>
          <w:szCs w:val="22"/>
        </w:rPr>
        <w:t>" OR "liraglutide")</w:t>
      </w:r>
    </w:p>
    <w:p w14:paraId="227E21B5"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AND</w:t>
      </w:r>
    </w:p>
    <w:p w14:paraId="5BDFDAB8"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("service barriers" OR "access" OR "adherence" OR "referral pathways" OR "waiting times" OR "health inequalities" OR "socioeconomic factors")</w:t>
      </w:r>
    </w:p>
    <w:p w14:paraId="35D6A700"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AND</w:t>
      </w:r>
    </w:p>
    <w:p w14:paraId="06D182E5"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("United Kingdom" OR "UK" OR "England" OR "Scotland" OR "Wales" OR "NHS")</w:t>
      </w:r>
    </w:p>
    <w:p w14:paraId="2E974124"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AND</w:t>
      </w:r>
    </w:p>
    <w:p w14:paraId="7BAAD386"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("working-age" OR "adults" OR "18-65")</w:t>
      </w:r>
    </w:p>
    <w:p w14:paraId="6381A687" w14:textId="77777777" w:rsidR="0047328A" w:rsidRPr="0047328A" w:rsidRDefault="0047328A" w:rsidP="0047328A">
      <w:pPr>
        <w:spacing w:line="360" w:lineRule="auto"/>
        <w:rPr>
          <w:rFonts w:ascii="Arial" w:hAnsi="Arial" w:cs="Arial"/>
          <w:sz w:val="22"/>
          <w:szCs w:val="22"/>
        </w:rPr>
      </w:pPr>
    </w:p>
    <w:p w14:paraId="7FDE63C7"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Aveyard’s (2014) thematic analysis will involve:</w:t>
      </w:r>
    </w:p>
    <w:p w14:paraId="11A6C83A"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Familiarisation with findings</w:t>
      </w:r>
    </w:p>
    <w:p w14:paraId="465C0128"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Coding recurring concepts (e.g., adherence, effectiveness, access inequality)</w:t>
      </w:r>
    </w:p>
    <w:p w14:paraId="52A53C30"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Grouping codes into analytical themes</w:t>
      </w:r>
    </w:p>
    <w:p w14:paraId="2802E36B"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Critically comparing similarities and contradictions across studies</w:t>
      </w:r>
    </w:p>
    <w:p w14:paraId="228700E9" w14:textId="77777777" w:rsidR="0047328A" w:rsidRPr="0047328A" w:rsidRDefault="0047328A" w:rsidP="0047328A">
      <w:pPr>
        <w:spacing w:line="360" w:lineRule="auto"/>
        <w:rPr>
          <w:rFonts w:ascii="Arial" w:hAnsi="Arial" w:cs="Arial"/>
          <w:sz w:val="22"/>
          <w:szCs w:val="22"/>
        </w:rPr>
      </w:pPr>
    </w:p>
    <w:p w14:paraId="303AA8D6"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Expected Outcomes</w:t>
      </w:r>
    </w:p>
    <w:p w14:paraId="556BEA70" w14:textId="77777777" w:rsidR="0047328A" w:rsidRPr="0047328A" w:rsidRDefault="0047328A" w:rsidP="0047328A">
      <w:pPr>
        <w:spacing w:line="360" w:lineRule="auto"/>
        <w:rPr>
          <w:rFonts w:ascii="Arial" w:hAnsi="Arial" w:cs="Arial"/>
          <w:sz w:val="22"/>
          <w:szCs w:val="22"/>
        </w:rPr>
      </w:pPr>
    </w:p>
    <w:p w14:paraId="05062CC7" w14:textId="747CC936"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The review will produce a thematic map demonstrating how treatment effectiveness interacts with structural and socioeconomic barriers, informing equitable and sustainable obesity management in UK health services.</w:t>
      </w:r>
    </w:p>
    <w:p w14:paraId="58F07B53"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Ethical Considerations</w:t>
      </w:r>
    </w:p>
    <w:p w14:paraId="1CB7FF5D" w14:textId="77777777" w:rsidR="0047328A" w:rsidRPr="0047328A" w:rsidRDefault="0047328A" w:rsidP="0047328A">
      <w:pPr>
        <w:spacing w:line="360" w:lineRule="auto"/>
        <w:rPr>
          <w:rFonts w:ascii="Arial" w:hAnsi="Arial" w:cs="Arial"/>
          <w:sz w:val="22"/>
          <w:szCs w:val="22"/>
        </w:rPr>
      </w:pPr>
    </w:p>
    <w:p w14:paraId="59CC4EF4" w14:textId="49A7EDDA" w:rsidR="0047328A" w:rsidRPr="0047328A" w:rsidRDefault="00120134" w:rsidP="0047328A">
      <w:pPr>
        <w:spacing w:line="360" w:lineRule="auto"/>
        <w:rPr>
          <w:rFonts w:ascii="Arial" w:hAnsi="Arial" w:cs="Arial"/>
          <w:sz w:val="22"/>
          <w:szCs w:val="22"/>
        </w:rPr>
      </w:pPr>
      <w:r w:rsidRPr="00120134">
        <w:rPr>
          <w:rFonts w:ascii="Arial" w:hAnsi="Arial" w:cs="Arial"/>
          <w:sz w:val="22"/>
          <w:szCs w:val="22"/>
        </w:rPr>
        <w:t>Given that this research involved analysis of already published material, no ethical approval was needed</w:t>
      </w:r>
      <w:r w:rsidR="0047328A" w:rsidRPr="0047328A">
        <w:rPr>
          <w:rFonts w:ascii="Arial" w:hAnsi="Arial" w:cs="Arial"/>
          <w:sz w:val="22"/>
          <w:szCs w:val="22"/>
        </w:rPr>
        <w:t>. Ethical standards will be maintained through transparent reporting, accurate Harvard referencing, and critical, unbiased interpretation of findings.</w:t>
      </w:r>
    </w:p>
    <w:p w14:paraId="0DFDBB03" w14:textId="77777777" w:rsidR="0047328A" w:rsidRPr="0047328A" w:rsidRDefault="0047328A" w:rsidP="0047328A">
      <w:pPr>
        <w:spacing w:line="360" w:lineRule="auto"/>
        <w:rPr>
          <w:rFonts w:ascii="Arial" w:hAnsi="Arial" w:cs="Arial"/>
          <w:sz w:val="22"/>
          <w:szCs w:val="22"/>
        </w:rPr>
      </w:pPr>
    </w:p>
    <w:p w14:paraId="59FC29CC" w14:textId="77777777" w:rsidR="0047328A" w:rsidRPr="0047328A" w:rsidRDefault="0047328A" w:rsidP="0047328A">
      <w:pPr>
        <w:spacing w:line="360" w:lineRule="auto"/>
        <w:rPr>
          <w:rFonts w:ascii="Arial" w:hAnsi="Arial" w:cs="Arial"/>
          <w:sz w:val="22"/>
          <w:szCs w:val="22"/>
        </w:rPr>
      </w:pPr>
    </w:p>
    <w:p w14:paraId="39DC4A6E" w14:textId="77777777" w:rsidR="0047328A" w:rsidRPr="0047328A" w:rsidRDefault="0047328A" w:rsidP="0047328A">
      <w:pPr>
        <w:spacing w:line="360" w:lineRule="auto"/>
        <w:rPr>
          <w:rFonts w:ascii="Arial" w:hAnsi="Arial" w:cs="Arial"/>
          <w:sz w:val="22"/>
          <w:szCs w:val="22"/>
        </w:rPr>
      </w:pPr>
    </w:p>
    <w:p w14:paraId="53203733" w14:textId="77777777" w:rsidR="0047328A" w:rsidRPr="0047328A" w:rsidRDefault="0047328A" w:rsidP="0047328A">
      <w:pPr>
        <w:spacing w:line="360" w:lineRule="auto"/>
        <w:rPr>
          <w:rFonts w:ascii="Arial" w:hAnsi="Arial" w:cs="Arial"/>
          <w:sz w:val="22"/>
          <w:szCs w:val="22"/>
        </w:rPr>
      </w:pPr>
    </w:p>
    <w:p w14:paraId="15F2862F" w14:textId="77777777" w:rsidR="0047328A" w:rsidRPr="0047328A" w:rsidRDefault="0047328A" w:rsidP="0047328A">
      <w:pPr>
        <w:spacing w:line="360" w:lineRule="auto"/>
        <w:rPr>
          <w:rFonts w:ascii="Arial" w:hAnsi="Arial" w:cs="Arial"/>
          <w:sz w:val="22"/>
          <w:szCs w:val="22"/>
        </w:rPr>
      </w:pPr>
    </w:p>
    <w:p w14:paraId="141266B5" w14:textId="77777777" w:rsidR="0047328A" w:rsidRPr="0047328A" w:rsidRDefault="0047328A" w:rsidP="0047328A">
      <w:pPr>
        <w:spacing w:line="360" w:lineRule="auto"/>
        <w:rPr>
          <w:rFonts w:ascii="Arial" w:hAnsi="Arial" w:cs="Arial"/>
          <w:b/>
          <w:bCs/>
          <w:sz w:val="22"/>
          <w:szCs w:val="22"/>
        </w:rPr>
      </w:pPr>
      <w:r w:rsidRPr="0047328A">
        <w:rPr>
          <w:rFonts w:ascii="Arial" w:hAnsi="Arial" w:cs="Arial"/>
          <w:b/>
          <w:bCs/>
          <w:sz w:val="22"/>
          <w:szCs w:val="22"/>
        </w:rPr>
        <w:t>References</w:t>
      </w:r>
    </w:p>
    <w:p w14:paraId="20FAF8FC" w14:textId="77777777" w:rsidR="0047328A" w:rsidRPr="0047328A" w:rsidRDefault="0047328A" w:rsidP="0047328A">
      <w:pPr>
        <w:spacing w:line="360" w:lineRule="auto"/>
        <w:rPr>
          <w:rFonts w:ascii="Arial" w:hAnsi="Arial" w:cs="Arial"/>
          <w:sz w:val="22"/>
          <w:szCs w:val="22"/>
        </w:rPr>
      </w:pPr>
    </w:p>
    <w:p w14:paraId="572E9D1C"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GOV UK (2025) </w:t>
      </w:r>
      <w:r w:rsidRPr="0047328A">
        <w:rPr>
          <w:rFonts w:ascii="Arial" w:hAnsi="Arial" w:cs="Arial"/>
          <w:i/>
          <w:iCs/>
          <w:sz w:val="22"/>
          <w:szCs w:val="22"/>
        </w:rPr>
        <w:t>Obesity profile: short statistical commentary</w:t>
      </w:r>
      <w:r w:rsidRPr="0047328A">
        <w:rPr>
          <w:rFonts w:ascii="Arial" w:hAnsi="Arial" w:cs="Arial"/>
          <w:sz w:val="22"/>
          <w:szCs w:val="22"/>
        </w:rPr>
        <w:t>. Available at: https://www.gov.uk/government/statistics/obesity-profile-may-2025-update/obesity-profile-short-statistical-commentary-may-2025 (Accessed: 13 February 2026).</w:t>
      </w:r>
    </w:p>
    <w:p w14:paraId="324E128A" w14:textId="77777777" w:rsidR="0047328A" w:rsidRPr="0047328A" w:rsidRDefault="0047328A" w:rsidP="0047328A">
      <w:pPr>
        <w:spacing w:line="360" w:lineRule="auto"/>
        <w:rPr>
          <w:rFonts w:ascii="Arial" w:hAnsi="Arial" w:cs="Arial"/>
          <w:sz w:val="22"/>
          <w:szCs w:val="22"/>
        </w:rPr>
      </w:pPr>
    </w:p>
    <w:p w14:paraId="782A0A07"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National Institute for Health and Care Excellence (2026) </w:t>
      </w:r>
      <w:r w:rsidRPr="0047328A">
        <w:rPr>
          <w:rFonts w:ascii="Arial" w:hAnsi="Arial" w:cs="Arial"/>
          <w:i/>
          <w:iCs/>
          <w:sz w:val="22"/>
          <w:szCs w:val="22"/>
        </w:rPr>
        <w:t>Overweight and obesity management (NICE guideline NG246)</w:t>
      </w:r>
      <w:r w:rsidRPr="0047328A">
        <w:rPr>
          <w:rFonts w:ascii="Arial" w:hAnsi="Arial" w:cs="Arial"/>
          <w:sz w:val="22"/>
          <w:szCs w:val="22"/>
        </w:rPr>
        <w:t>. Available at: https://www.nice.org.uk/guidance/ng246 (Accessed: 13 February 2026).</w:t>
      </w:r>
    </w:p>
    <w:p w14:paraId="7FCF9CD5" w14:textId="77777777" w:rsidR="0047328A" w:rsidRPr="0047328A" w:rsidRDefault="0047328A" w:rsidP="0047328A">
      <w:pPr>
        <w:spacing w:line="360" w:lineRule="auto"/>
        <w:rPr>
          <w:rFonts w:ascii="Arial" w:hAnsi="Arial" w:cs="Arial"/>
          <w:sz w:val="22"/>
          <w:szCs w:val="22"/>
        </w:rPr>
      </w:pPr>
    </w:p>
    <w:p w14:paraId="5AC0A5F7"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Kyle, R.G., Wills, J., Mahoney, C., Hoyle, L., Kelly, M. and Atherton, I.M. (2017) ‘Obesity prevalence among healthcare professionals in England: a cross-sectional study using the Health Survey for England’, </w:t>
      </w:r>
      <w:r w:rsidRPr="0047328A">
        <w:rPr>
          <w:rFonts w:ascii="Arial" w:hAnsi="Arial" w:cs="Arial"/>
          <w:i/>
          <w:iCs/>
          <w:sz w:val="22"/>
          <w:szCs w:val="22"/>
        </w:rPr>
        <w:t>BMJ Open</w:t>
      </w:r>
      <w:r w:rsidRPr="0047328A">
        <w:rPr>
          <w:rFonts w:ascii="Arial" w:hAnsi="Arial" w:cs="Arial"/>
          <w:sz w:val="22"/>
          <w:szCs w:val="22"/>
        </w:rPr>
        <w:t>, 7(12). Available at: https://doi.org/10.1136/bmjopen-2017-018498.</w:t>
      </w:r>
    </w:p>
    <w:p w14:paraId="2BABE80C" w14:textId="77777777" w:rsidR="0047328A" w:rsidRPr="0047328A" w:rsidRDefault="0047328A" w:rsidP="0047328A">
      <w:pPr>
        <w:spacing w:line="360" w:lineRule="auto"/>
        <w:rPr>
          <w:rFonts w:ascii="Arial" w:hAnsi="Arial" w:cs="Arial"/>
          <w:sz w:val="22"/>
          <w:szCs w:val="22"/>
        </w:rPr>
      </w:pPr>
    </w:p>
    <w:p w14:paraId="7CF1DCBD"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lastRenderedPageBreak/>
        <w:t xml:space="preserve">Martins, M., Robertson, C., Cooper, D., Avenell, A., Stewart, F., Aveyard, P. and de Bruin, M. (2020) ‘A systematic review of UK-based long-term nonsurgical interventions for people with severe obesity (BMI ≥35 kg m−2)’, </w:t>
      </w:r>
      <w:r w:rsidRPr="0047328A">
        <w:rPr>
          <w:rFonts w:ascii="Arial" w:hAnsi="Arial" w:cs="Arial"/>
          <w:i/>
          <w:iCs/>
          <w:sz w:val="22"/>
          <w:szCs w:val="22"/>
        </w:rPr>
        <w:t>Journal of Human Nutrition and Dietetics</w:t>
      </w:r>
      <w:r w:rsidRPr="0047328A">
        <w:rPr>
          <w:rFonts w:ascii="Arial" w:hAnsi="Arial" w:cs="Arial"/>
          <w:sz w:val="22"/>
          <w:szCs w:val="22"/>
        </w:rPr>
        <w:t>, 33(3), pp. 351–372. Available at: https://doi.org/10.1111/jhn.12732.</w:t>
      </w:r>
    </w:p>
    <w:p w14:paraId="65AE2A55" w14:textId="77777777" w:rsidR="0047328A" w:rsidRPr="0047328A" w:rsidRDefault="0047328A" w:rsidP="0047328A">
      <w:pPr>
        <w:spacing w:line="360" w:lineRule="auto"/>
        <w:rPr>
          <w:rFonts w:ascii="Arial" w:hAnsi="Arial" w:cs="Arial"/>
          <w:sz w:val="22"/>
          <w:szCs w:val="22"/>
        </w:rPr>
      </w:pPr>
    </w:p>
    <w:p w14:paraId="659AD977"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Coulman, K.D., </w:t>
      </w:r>
      <w:proofErr w:type="spellStart"/>
      <w:r w:rsidRPr="0047328A">
        <w:rPr>
          <w:rFonts w:ascii="Arial" w:hAnsi="Arial" w:cs="Arial"/>
          <w:sz w:val="22"/>
          <w:szCs w:val="22"/>
        </w:rPr>
        <w:t>Margelyte</w:t>
      </w:r>
      <w:proofErr w:type="spellEnd"/>
      <w:r w:rsidRPr="0047328A">
        <w:rPr>
          <w:rFonts w:ascii="Arial" w:hAnsi="Arial" w:cs="Arial"/>
          <w:sz w:val="22"/>
          <w:szCs w:val="22"/>
        </w:rPr>
        <w:t xml:space="preserve">, R., Jones, T., </w:t>
      </w:r>
      <w:proofErr w:type="spellStart"/>
      <w:r w:rsidRPr="0047328A">
        <w:rPr>
          <w:rFonts w:ascii="Arial" w:hAnsi="Arial" w:cs="Arial"/>
          <w:sz w:val="22"/>
          <w:szCs w:val="22"/>
        </w:rPr>
        <w:t>Blazeby</w:t>
      </w:r>
      <w:proofErr w:type="spellEnd"/>
      <w:r w:rsidRPr="0047328A">
        <w:rPr>
          <w:rFonts w:ascii="Arial" w:hAnsi="Arial" w:cs="Arial"/>
          <w:sz w:val="22"/>
          <w:szCs w:val="22"/>
        </w:rPr>
        <w:t xml:space="preserve">, J.M., Macleod, J., Owen-Smith, A., </w:t>
      </w:r>
      <w:proofErr w:type="spellStart"/>
      <w:r w:rsidRPr="0047328A">
        <w:rPr>
          <w:rFonts w:ascii="Arial" w:hAnsi="Arial" w:cs="Arial"/>
          <w:sz w:val="22"/>
          <w:szCs w:val="22"/>
        </w:rPr>
        <w:t>Parretti</w:t>
      </w:r>
      <w:proofErr w:type="spellEnd"/>
      <w:r w:rsidRPr="0047328A">
        <w:rPr>
          <w:rFonts w:ascii="Arial" w:hAnsi="Arial" w:cs="Arial"/>
          <w:sz w:val="22"/>
          <w:szCs w:val="22"/>
        </w:rPr>
        <w:t xml:space="preserve">, H., Welbourn, R., Redaniel, M.T. and Judge, A. (2023) ‘Access to publicly funded weight management services in England using routine data from primary and secondary care (2007–2020): An observational cohort study’, </w:t>
      </w:r>
      <w:proofErr w:type="spellStart"/>
      <w:r w:rsidRPr="0047328A">
        <w:rPr>
          <w:rFonts w:ascii="Arial" w:hAnsi="Arial" w:cs="Arial"/>
          <w:i/>
          <w:iCs/>
          <w:sz w:val="22"/>
          <w:szCs w:val="22"/>
        </w:rPr>
        <w:t>PLoS</w:t>
      </w:r>
      <w:proofErr w:type="spellEnd"/>
      <w:r w:rsidRPr="0047328A">
        <w:rPr>
          <w:rFonts w:ascii="Arial" w:hAnsi="Arial" w:cs="Arial"/>
          <w:i/>
          <w:iCs/>
          <w:sz w:val="22"/>
          <w:szCs w:val="22"/>
        </w:rPr>
        <w:t xml:space="preserve"> Medicine</w:t>
      </w:r>
      <w:r w:rsidRPr="0047328A">
        <w:rPr>
          <w:rFonts w:ascii="Arial" w:hAnsi="Arial" w:cs="Arial"/>
          <w:sz w:val="22"/>
          <w:szCs w:val="22"/>
        </w:rPr>
        <w:t>, 20(9). Available at: https://doi.org/10.1371/journal.pmed.1004282.</w:t>
      </w:r>
    </w:p>
    <w:p w14:paraId="00959B3A" w14:textId="77777777" w:rsidR="0047328A" w:rsidRPr="0047328A" w:rsidRDefault="0047328A" w:rsidP="0047328A">
      <w:pPr>
        <w:spacing w:line="360" w:lineRule="auto"/>
        <w:rPr>
          <w:rFonts w:ascii="Arial" w:hAnsi="Arial" w:cs="Arial"/>
          <w:sz w:val="22"/>
          <w:szCs w:val="22"/>
        </w:rPr>
      </w:pPr>
    </w:p>
    <w:p w14:paraId="0670B041"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Fruh, S.M. (2017) ‘Obesity: Risk factors, complications, and strategies for sustainable long</w:t>
      </w:r>
      <w:r w:rsidRPr="0047328A">
        <w:rPr>
          <w:rFonts w:ascii="Cambria Math" w:hAnsi="Cambria Math" w:cs="Cambria Math"/>
          <w:sz w:val="22"/>
          <w:szCs w:val="22"/>
        </w:rPr>
        <w:t>‐</w:t>
      </w:r>
      <w:r w:rsidRPr="0047328A">
        <w:rPr>
          <w:rFonts w:ascii="Arial" w:hAnsi="Arial" w:cs="Arial"/>
          <w:sz w:val="22"/>
          <w:szCs w:val="22"/>
        </w:rPr>
        <w:t xml:space="preserve">term weight management’, </w:t>
      </w:r>
      <w:r w:rsidRPr="0047328A">
        <w:rPr>
          <w:rFonts w:ascii="Arial" w:hAnsi="Arial" w:cs="Arial"/>
          <w:i/>
          <w:iCs/>
          <w:sz w:val="22"/>
          <w:szCs w:val="22"/>
        </w:rPr>
        <w:t>Journal of the American Association of Nurse Practitioners</w:t>
      </w:r>
      <w:r w:rsidRPr="0047328A">
        <w:rPr>
          <w:rFonts w:ascii="Arial" w:hAnsi="Arial" w:cs="Arial"/>
          <w:sz w:val="22"/>
          <w:szCs w:val="22"/>
        </w:rPr>
        <w:t>, 29(1), pp. S3–S14. Available at: https://doi.org/10.1002/2327-6924.12510.</w:t>
      </w:r>
    </w:p>
    <w:p w14:paraId="2C265939" w14:textId="77777777" w:rsidR="0047328A" w:rsidRPr="0047328A" w:rsidRDefault="0047328A" w:rsidP="0047328A">
      <w:pPr>
        <w:spacing w:line="360" w:lineRule="auto"/>
        <w:rPr>
          <w:rFonts w:ascii="Arial" w:hAnsi="Arial" w:cs="Arial"/>
          <w:sz w:val="22"/>
          <w:szCs w:val="22"/>
        </w:rPr>
      </w:pPr>
    </w:p>
    <w:p w14:paraId="5639BA1A"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Flint, S.W., Leaver, M., Griffiths, A. and </w:t>
      </w:r>
      <w:proofErr w:type="spellStart"/>
      <w:r w:rsidRPr="0047328A">
        <w:rPr>
          <w:rFonts w:ascii="Arial" w:hAnsi="Arial" w:cs="Arial"/>
          <w:sz w:val="22"/>
          <w:szCs w:val="22"/>
        </w:rPr>
        <w:t>Kaykanloo</w:t>
      </w:r>
      <w:proofErr w:type="spellEnd"/>
      <w:r w:rsidRPr="0047328A">
        <w:rPr>
          <w:rFonts w:ascii="Arial" w:hAnsi="Arial" w:cs="Arial"/>
          <w:sz w:val="22"/>
          <w:szCs w:val="22"/>
        </w:rPr>
        <w:t xml:space="preserve">, M. (2021) ‘Disparate healthcare experiences of people living with overweight or obesity in England’, </w:t>
      </w:r>
      <w:proofErr w:type="spellStart"/>
      <w:r w:rsidRPr="0047328A">
        <w:rPr>
          <w:rFonts w:ascii="Arial" w:hAnsi="Arial" w:cs="Arial"/>
          <w:i/>
          <w:iCs/>
          <w:sz w:val="22"/>
          <w:szCs w:val="22"/>
        </w:rPr>
        <w:t>eClinicalMedicine</w:t>
      </w:r>
      <w:proofErr w:type="spellEnd"/>
      <w:r w:rsidRPr="0047328A">
        <w:rPr>
          <w:rFonts w:ascii="Arial" w:hAnsi="Arial" w:cs="Arial"/>
          <w:sz w:val="22"/>
          <w:szCs w:val="22"/>
        </w:rPr>
        <w:t>, 41. Available at: https://doi.org/10.1016/j.eclinm.2021.101140.</w:t>
      </w:r>
    </w:p>
    <w:p w14:paraId="7FA5628D" w14:textId="77777777" w:rsidR="0047328A" w:rsidRPr="0047328A" w:rsidRDefault="0047328A" w:rsidP="0047328A">
      <w:pPr>
        <w:spacing w:line="360" w:lineRule="auto"/>
        <w:rPr>
          <w:rFonts w:ascii="Arial" w:hAnsi="Arial" w:cs="Arial"/>
          <w:sz w:val="22"/>
          <w:szCs w:val="22"/>
        </w:rPr>
      </w:pPr>
    </w:p>
    <w:p w14:paraId="06C2C159"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NHS Long Term Plan (2025) </w:t>
      </w:r>
      <w:r w:rsidRPr="0047328A">
        <w:rPr>
          <w:rFonts w:ascii="Arial" w:hAnsi="Arial" w:cs="Arial"/>
          <w:i/>
          <w:iCs/>
          <w:sz w:val="22"/>
          <w:szCs w:val="22"/>
        </w:rPr>
        <w:t>10 Year Health Plan for England: fit for the future</w:t>
      </w:r>
      <w:r w:rsidRPr="0047328A">
        <w:rPr>
          <w:rFonts w:ascii="Arial" w:hAnsi="Arial" w:cs="Arial"/>
          <w:sz w:val="22"/>
          <w:szCs w:val="22"/>
        </w:rPr>
        <w:t>. Available at: https://www.gov.uk/government/publications/10-year-health-plan-for-england-fit-for-the-future (Accessed: 13 February 2026).</w:t>
      </w:r>
    </w:p>
    <w:p w14:paraId="78802C33" w14:textId="77777777" w:rsidR="0047328A" w:rsidRPr="0047328A" w:rsidRDefault="0047328A" w:rsidP="0047328A">
      <w:pPr>
        <w:spacing w:line="360" w:lineRule="auto"/>
        <w:rPr>
          <w:rFonts w:ascii="Arial" w:hAnsi="Arial" w:cs="Arial"/>
          <w:sz w:val="22"/>
          <w:szCs w:val="22"/>
        </w:rPr>
      </w:pPr>
    </w:p>
    <w:p w14:paraId="682C9B8F" w14:textId="77777777" w:rsidR="0047328A" w:rsidRPr="0047328A" w:rsidRDefault="0047328A" w:rsidP="0047328A">
      <w:pPr>
        <w:spacing w:line="360" w:lineRule="auto"/>
        <w:rPr>
          <w:rFonts w:ascii="Arial" w:hAnsi="Arial" w:cs="Arial"/>
          <w:sz w:val="22"/>
          <w:szCs w:val="22"/>
        </w:rPr>
      </w:pPr>
      <w:r w:rsidRPr="0047328A">
        <w:rPr>
          <w:rFonts w:ascii="Arial" w:hAnsi="Arial" w:cs="Arial"/>
          <w:sz w:val="22"/>
          <w:szCs w:val="22"/>
        </w:rPr>
        <w:t xml:space="preserve">Aveyard, H. (2014) </w:t>
      </w:r>
      <w:r w:rsidRPr="0047328A">
        <w:rPr>
          <w:rFonts w:ascii="Arial" w:hAnsi="Arial" w:cs="Arial"/>
          <w:i/>
          <w:iCs/>
          <w:sz w:val="22"/>
          <w:szCs w:val="22"/>
        </w:rPr>
        <w:t>Doing a literature review in health and social care: a practical guide</w:t>
      </w:r>
      <w:r w:rsidRPr="0047328A">
        <w:rPr>
          <w:rFonts w:ascii="Arial" w:hAnsi="Arial" w:cs="Arial"/>
          <w:sz w:val="22"/>
          <w:szCs w:val="22"/>
        </w:rPr>
        <w:t xml:space="preserve">. 3rd </w:t>
      </w:r>
      <w:proofErr w:type="spellStart"/>
      <w:r w:rsidRPr="0047328A">
        <w:rPr>
          <w:rFonts w:ascii="Arial" w:hAnsi="Arial" w:cs="Arial"/>
          <w:sz w:val="22"/>
          <w:szCs w:val="22"/>
        </w:rPr>
        <w:t>edn</w:t>
      </w:r>
      <w:proofErr w:type="spellEnd"/>
      <w:r w:rsidRPr="0047328A">
        <w:rPr>
          <w:rFonts w:ascii="Arial" w:hAnsi="Arial" w:cs="Arial"/>
          <w:sz w:val="22"/>
          <w:szCs w:val="22"/>
        </w:rPr>
        <w:t>. Maidenhead: Open University Press. Available at: https://www-vlebooks-com.uwtsd.idm.oclc.org/Product/Index/344727?page=0&amp;startBookmarkId=-1 (Accessed: 13 February 2026).</w:t>
      </w:r>
    </w:p>
    <w:p w14:paraId="1D5082FB" w14:textId="44AFF5D9" w:rsidR="00384239" w:rsidRPr="0047328A" w:rsidRDefault="00384239" w:rsidP="0047328A">
      <w:pPr>
        <w:spacing w:line="360" w:lineRule="auto"/>
        <w:rPr>
          <w:rFonts w:ascii="Arial" w:hAnsi="Arial" w:cs="Arial"/>
          <w:sz w:val="22"/>
          <w:szCs w:val="22"/>
        </w:rPr>
      </w:pPr>
    </w:p>
    <w:sectPr w:rsidR="00384239" w:rsidRPr="0047328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877F6" w14:textId="77777777" w:rsidR="003F31B3" w:rsidRDefault="003F31B3" w:rsidP="00195680">
      <w:pPr>
        <w:spacing w:after="0" w:line="240" w:lineRule="auto"/>
      </w:pPr>
      <w:r>
        <w:separator/>
      </w:r>
    </w:p>
  </w:endnote>
  <w:endnote w:type="continuationSeparator" w:id="0">
    <w:p w14:paraId="0EBEFDCC" w14:textId="77777777" w:rsidR="003F31B3" w:rsidRDefault="003F31B3" w:rsidP="00195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1D815" w14:textId="77777777" w:rsidR="00195680" w:rsidRDefault="00195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65523"/>
      <w:docPartObj>
        <w:docPartGallery w:val="Page Numbers (Bottom of Page)"/>
        <w:docPartUnique/>
      </w:docPartObj>
    </w:sdtPr>
    <w:sdtContent>
      <w:p w14:paraId="757225F7" w14:textId="7EEA74A5" w:rsidR="00195680" w:rsidRDefault="00195680">
        <w:pPr>
          <w:pStyle w:val="Footer"/>
        </w:pPr>
        <w:r>
          <w:fldChar w:fldCharType="begin"/>
        </w:r>
        <w:r>
          <w:instrText>PAGE   \* MERGEFORMAT</w:instrText>
        </w:r>
        <w:r>
          <w:fldChar w:fldCharType="separate"/>
        </w:r>
        <w:r>
          <w:t>2</w:t>
        </w:r>
        <w:r>
          <w:fldChar w:fldCharType="end"/>
        </w:r>
      </w:p>
    </w:sdtContent>
  </w:sdt>
  <w:p w14:paraId="10554494" w14:textId="77777777" w:rsidR="00195680" w:rsidRDefault="001956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77972" w14:textId="77777777" w:rsidR="00195680" w:rsidRDefault="00195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DECD4" w14:textId="77777777" w:rsidR="003F31B3" w:rsidRDefault="003F31B3" w:rsidP="00195680">
      <w:pPr>
        <w:spacing w:after="0" w:line="240" w:lineRule="auto"/>
      </w:pPr>
      <w:r>
        <w:separator/>
      </w:r>
    </w:p>
  </w:footnote>
  <w:footnote w:type="continuationSeparator" w:id="0">
    <w:p w14:paraId="6EBAC216" w14:textId="77777777" w:rsidR="003F31B3" w:rsidRDefault="003F31B3" w:rsidP="00195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C65B1" w14:textId="77777777" w:rsidR="00195680" w:rsidRDefault="001956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B9CA8" w14:textId="77777777" w:rsidR="00195680" w:rsidRDefault="001956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EE516" w14:textId="77777777" w:rsidR="00195680" w:rsidRDefault="001956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F0A2D"/>
    <w:multiLevelType w:val="hybridMultilevel"/>
    <w:tmpl w:val="0BEC9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D2CAD"/>
    <w:multiLevelType w:val="hybridMultilevel"/>
    <w:tmpl w:val="669AB4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597756640">
    <w:abstractNumId w:val="1"/>
  </w:num>
  <w:num w:numId="2" w16cid:durableId="2043436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676"/>
    <w:rsid w:val="00116DB6"/>
    <w:rsid w:val="0011706C"/>
    <w:rsid w:val="00120134"/>
    <w:rsid w:val="00195680"/>
    <w:rsid w:val="00384239"/>
    <w:rsid w:val="003F31B3"/>
    <w:rsid w:val="0047328A"/>
    <w:rsid w:val="00506C11"/>
    <w:rsid w:val="0051132F"/>
    <w:rsid w:val="005D5A41"/>
    <w:rsid w:val="006350C8"/>
    <w:rsid w:val="00694988"/>
    <w:rsid w:val="00816906"/>
    <w:rsid w:val="008317B2"/>
    <w:rsid w:val="00842676"/>
    <w:rsid w:val="00874EE5"/>
    <w:rsid w:val="00966625"/>
    <w:rsid w:val="00A27F86"/>
    <w:rsid w:val="00BC726B"/>
    <w:rsid w:val="00C555BC"/>
    <w:rsid w:val="00D61EB3"/>
    <w:rsid w:val="00E26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07271"/>
  <w15:chartTrackingRefBased/>
  <w15:docId w15:val="{0EB00355-D723-5844-9FCD-688F5C448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6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6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6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6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6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6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676"/>
    <w:rPr>
      <w:rFonts w:eastAsiaTheme="majorEastAsia" w:cstheme="majorBidi"/>
      <w:color w:val="272727" w:themeColor="text1" w:themeTint="D8"/>
    </w:rPr>
  </w:style>
  <w:style w:type="paragraph" w:styleId="Title">
    <w:name w:val="Title"/>
    <w:basedOn w:val="Normal"/>
    <w:next w:val="Normal"/>
    <w:link w:val="TitleChar"/>
    <w:uiPriority w:val="10"/>
    <w:qFormat/>
    <w:rsid w:val="00842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676"/>
    <w:pPr>
      <w:spacing w:before="160"/>
      <w:jc w:val="center"/>
    </w:pPr>
    <w:rPr>
      <w:i/>
      <w:iCs/>
      <w:color w:val="404040" w:themeColor="text1" w:themeTint="BF"/>
    </w:rPr>
  </w:style>
  <w:style w:type="character" w:customStyle="1" w:styleId="QuoteChar">
    <w:name w:val="Quote Char"/>
    <w:basedOn w:val="DefaultParagraphFont"/>
    <w:link w:val="Quote"/>
    <w:uiPriority w:val="29"/>
    <w:rsid w:val="00842676"/>
    <w:rPr>
      <w:i/>
      <w:iCs/>
      <w:color w:val="404040" w:themeColor="text1" w:themeTint="BF"/>
    </w:rPr>
  </w:style>
  <w:style w:type="paragraph" w:styleId="ListParagraph">
    <w:name w:val="List Paragraph"/>
    <w:basedOn w:val="Normal"/>
    <w:uiPriority w:val="34"/>
    <w:qFormat/>
    <w:rsid w:val="00842676"/>
    <w:pPr>
      <w:ind w:left="720"/>
      <w:contextualSpacing/>
    </w:pPr>
  </w:style>
  <w:style w:type="character" w:styleId="IntenseEmphasis">
    <w:name w:val="Intense Emphasis"/>
    <w:basedOn w:val="DefaultParagraphFont"/>
    <w:uiPriority w:val="21"/>
    <w:qFormat/>
    <w:rsid w:val="00842676"/>
    <w:rPr>
      <w:i/>
      <w:iCs/>
      <w:color w:val="0F4761" w:themeColor="accent1" w:themeShade="BF"/>
    </w:rPr>
  </w:style>
  <w:style w:type="paragraph" w:styleId="IntenseQuote">
    <w:name w:val="Intense Quote"/>
    <w:basedOn w:val="Normal"/>
    <w:next w:val="Normal"/>
    <w:link w:val="IntenseQuoteChar"/>
    <w:uiPriority w:val="30"/>
    <w:qFormat/>
    <w:rsid w:val="00842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676"/>
    <w:rPr>
      <w:i/>
      <w:iCs/>
      <w:color w:val="0F4761" w:themeColor="accent1" w:themeShade="BF"/>
    </w:rPr>
  </w:style>
  <w:style w:type="character" w:styleId="IntenseReference">
    <w:name w:val="Intense Reference"/>
    <w:basedOn w:val="DefaultParagraphFont"/>
    <w:uiPriority w:val="32"/>
    <w:qFormat/>
    <w:rsid w:val="00842676"/>
    <w:rPr>
      <w:b/>
      <w:bCs/>
      <w:smallCaps/>
      <w:color w:val="0F4761" w:themeColor="accent1" w:themeShade="BF"/>
      <w:spacing w:val="5"/>
    </w:rPr>
  </w:style>
  <w:style w:type="paragraph" w:customStyle="1" w:styleId="p1">
    <w:name w:val="p1"/>
    <w:basedOn w:val="Normal"/>
    <w:rsid w:val="00842676"/>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842676"/>
    <w:pPr>
      <w:spacing w:after="0" w:line="240" w:lineRule="auto"/>
    </w:pPr>
    <w:rPr>
      <w:rFonts w:ascii=".AppleSystemUIFont" w:hAnsi=".AppleSystemUIFont" w:cs="Times New Roman"/>
      <w:kern w:val="0"/>
      <w:sz w:val="29"/>
      <w:szCs w:val="29"/>
      <w14:ligatures w14:val="none"/>
    </w:rPr>
  </w:style>
  <w:style w:type="paragraph" w:customStyle="1" w:styleId="p3">
    <w:name w:val="p3"/>
    <w:basedOn w:val="Normal"/>
    <w:rsid w:val="00842676"/>
    <w:pPr>
      <w:spacing w:after="0" w:line="240" w:lineRule="auto"/>
      <w:ind w:left="540"/>
    </w:pPr>
    <w:rPr>
      <w:rFonts w:ascii=".AppleSystemUIFont" w:hAnsi=".AppleSystemUIFont" w:cs="Times New Roman"/>
      <w:kern w:val="0"/>
      <w:sz w:val="29"/>
      <w:szCs w:val="29"/>
      <w14:ligatures w14:val="none"/>
    </w:rPr>
  </w:style>
  <w:style w:type="paragraph" w:customStyle="1" w:styleId="p4">
    <w:name w:val="p4"/>
    <w:basedOn w:val="Normal"/>
    <w:rsid w:val="00842676"/>
    <w:pPr>
      <w:spacing w:after="0" w:line="240" w:lineRule="auto"/>
      <w:ind w:left="540"/>
    </w:pPr>
    <w:rPr>
      <w:rFonts w:ascii=".AppleSystemUIFont" w:hAnsi=".AppleSystemUIFont" w:cs="Times New Roman"/>
      <w:kern w:val="0"/>
      <w:sz w:val="29"/>
      <w:szCs w:val="29"/>
      <w14:ligatures w14:val="none"/>
    </w:rPr>
  </w:style>
  <w:style w:type="character" w:customStyle="1" w:styleId="s1">
    <w:name w:val="s1"/>
    <w:basedOn w:val="DefaultParagraphFont"/>
    <w:rsid w:val="00842676"/>
    <w:rPr>
      <w:rFonts w:ascii="UICTFontTextStyleEmphasizedBody" w:hAnsi="UICTFontTextStyleEmphasizedBody" w:hint="default"/>
      <w:b/>
      <w:bCs/>
      <w:i w:val="0"/>
      <w:iCs w:val="0"/>
      <w:sz w:val="29"/>
      <w:szCs w:val="29"/>
    </w:rPr>
  </w:style>
  <w:style w:type="character" w:customStyle="1" w:styleId="s2">
    <w:name w:val="s2"/>
    <w:basedOn w:val="DefaultParagraphFont"/>
    <w:rsid w:val="00842676"/>
    <w:rPr>
      <w:rFonts w:ascii="UICTFontTextStyleBody" w:hAnsi="UICTFontTextStyleBody" w:hint="default"/>
      <w:b w:val="0"/>
      <w:bCs w:val="0"/>
      <w:i w:val="0"/>
      <w:iCs w:val="0"/>
      <w:sz w:val="29"/>
      <w:szCs w:val="29"/>
    </w:rPr>
  </w:style>
  <w:style w:type="character" w:customStyle="1" w:styleId="apple-tab-span">
    <w:name w:val="apple-tab-span"/>
    <w:basedOn w:val="DefaultParagraphFont"/>
    <w:rsid w:val="00842676"/>
  </w:style>
  <w:style w:type="character" w:customStyle="1" w:styleId="apple-converted-space">
    <w:name w:val="apple-converted-space"/>
    <w:basedOn w:val="DefaultParagraphFont"/>
    <w:rsid w:val="00842676"/>
  </w:style>
  <w:style w:type="paragraph" w:styleId="Header">
    <w:name w:val="header"/>
    <w:basedOn w:val="Normal"/>
    <w:link w:val="HeaderChar"/>
    <w:uiPriority w:val="99"/>
    <w:unhideWhenUsed/>
    <w:rsid w:val="00195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680"/>
  </w:style>
  <w:style w:type="paragraph" w:styleId="Footer">
    <w:name w:val="footer"/>
    <w:basedOn w:val="Normal"/>
    <w:link w:val="FooterChar"/>
    <w:uiPriority w:val="99"/>
    <w:unhideWhenUsed/>
    <w:rsid w:val="00195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1064</Words>
  <Characters>6071</Characters>
  <Application>Microsoft Office Word</Application>
  <DocSecurity>0</DocSecurity>
  <Lines>50</Lines>
  <Paragraphs>14</Paragraphs>
  <ScaleCrop>false</ScaleCrop>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Gaiu (2332587)</dc:creator>
  <cp:keywords/>
  <dc:description/>
  <cp:lastModifiedBy>Alexandru Gaiu (2332587)</cp:lastModifiedBy>
  <cp:revision>2</cp:revision>
  <dcterms:created xsi:type="dcterms:W3CDTF">2026-02-15T01:45:00Z</dcterms:created>
  <dcterms:modified xsi:type="dcterms:W3CDTF">2026-02-15T01:45:00Z</dcterms:modified>
</cp:coreProperties>
</file>