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581A1F" w:rsidRPr="00FF5F52" w:rsidRDefault="00581A1F">
      <w:pPr>
        <w:rPr>
          <w:rFonts w:eastAsia="Times New Roman" w:cs="Times New Roman"/>
          <w:color w:val="000000" w:themeColor="text1"/>
        </w:rPr>
      </w:pPr>
    </w:p>
    <w:p w14:paraId="00000002" w14:textId="77777777" w:rsidR="00581A1F" w:rsidRPr="00FF5F52" w:rsidRDefault="00581A1F">
      <w:pPr>
        <w:rPr>
          <w:rFonts w:eastAsia="Times New Roman" w:cs="Times New Roman"/>
          <w:color w:val="000000" w:themeColor="text1"/>
        </w:rPr>
      </w:pPr>
    </w:p>
    <w:p w14:paraId="4F1C05D8" w14:textId="6929EB65" w:rsidR="00BA495D" w:rsidRPr="00FF5F52" w:rsidRDefault="0002442C" w:rsidP="002462EB">
      <w:pPr>
        <w:jc w:val="center"/>
        <w:rPr>
          <w:rFonts w:eastAsia="Times New Roman" w:cs="Times New Roman"/>
          <w:b/>
          <w:color w:val="000000" w:themeColor="text1"/>
          <w:szCs w:val="24"/>
        </w:rPr>
      </w:pPr>
      <w:r>
        <w:rPr>
          <w:noProof/>
        </w:rPr>
        <w:drawing>
          <wp:inline distT="0" distB="0" distL="0" distR="0" wp14:anchorId="08387B27" wp14:editId="79D94B80">
            <wp:extent cx="3714750" cy="1231900"/>
            <wp:effectExtent l="0" t="0" r="0" b="6350"/>
            <wp:docPr id="154273658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736581" name="Picture 1542736581" descr="Text&#10;&#10;Description automatically generated with medium confidence"/>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4750" cy="1231900"/>
                    </a:xfrm>
                    <a:prstGeom prst="rect">
                      <a:avLst/>
                    </a:prstGeom>
                    <a:noFill/>
                    <a:ln>
                      <a:noFill/>
                    </a:ln>
                  </pic:spPr>
                </pic:pic>
              </a:graphicData>
            </a:graphic>
          </wp:inline>
        </w:drawing>
      </w:r>
    </w:p>
    <w:p w14:paraId="21ED5874" w14:textId="77777777" w:rsidR="0002442C" w:rsidRDefault="0002442C" w:rsidP="0002442C">
      <w:pPr>
        <w:jc w:val="center"/>
        <w:rPr>
          <w:rFonts w:eastAsia="Times New Roman" w:cs="Times New Roman"/>
          <w:b/>
          <w:bCs/>
          <w:color w:val="000000" w:themeColor="text1"/>
          <w:sz w:val="28"/>
          <w:szCs w:val="28"/>
        </w:rPr>
      </w:pPr>
    </w:p>
    <w:p w14:paraId="554CC15C" w14:textId="3F830F43" w:rsidR="0002442C" w:rsidRPr="0002442C" w:rsidRDefault="0002442C" w:rsidP="0002442C">
      <w:pPr>
        <w:jc w:val="center"/>
        <w:rPr>
          <w:rFonts w:ascii="Arial" w:eastAsia="Times New Roman" w:hAnsi="Arial"/>
          <w:b/>
          <w:bCs/>
          <w:color w:val="000000" w:themeColor="text1"/>
          <w:sz w:val="22"/>
        </w:rPr>
      </w:pPr>
      <w:r w:rsidRPr="0002442C">
        <w:rPr>
          <w:rFonts w:ascii="Arial" w:eastAsia="Times New Roman" w:hAnsi="Arial"/>
          <w:b/>
          <w:bCs/>
          <w:color w:val="000000" w:themeColor="text1"/>
          <w:sz w:val="22"/>
        </w:rPr>
        <w:t>BA BUSINESS MANAGEMENT</w:t>
      </w:r>
    </w:p>
    <w:p w14:paraId="7CA2DA7B" w14:textId="77777777" w:rsidR="0002442C" w:rsidRPr="0002442C" w:rsidRDefault="0002442C" w:rsidP="0002442C">
      <w:pPr>
        <w:jc w:val="center"/>
        <w:rPr>
          <w:rFonts w:ascii="Arial" w:eastAsia="Times New Roman" w:hAnsi="Arial"/>
          <w:b/>
          <w:bCs/>
          <w:color w:val="000000" w:themeColor="text1"/>
          <w:sz w:val="22"/>
        </w:rPr>
      </w:pPr>
      <w:r w:rsidRPr="0002442C">
        <w:rPr>
          <w:rFonts w:ascii="Arial" w:eastAsia="Times New Roman" w:hAnsi="Arial"/>
          <w:b/>
          <w:bCs/>
          <w:color w:val="000000" w:themeColor="text1"/>
          <w:sz w:val="22"/>
        </w:rPr>
        <w:t>Assignment 1</w:t>
      </w:r>
    </w:p>
    <w:p w14:paraId="54F6A833" w14:textId="77777777" w:rsidR="0002442C" w:rsidRDefault="0002442C" w:rsidP="002462EB">
      <w:pPr>
        <w:jc w:val="center"/>
        <w:rPr>
          <w:rFonts w:eastAsia="Times New Roman" w:cs="Times New Roman"/>
          <w:b/>
          <w:color w:val="000000" w:themeColor="text1"/>
          <w:sz w:val="32"/>
          <w:szCs w:val="32"/>
        </w:rPr>
      </w:pPr>
    </w:p>
    <w:p w14:paraId="22EFE176" w14:textId="77777777" w:rsidR="0002442C" w:rsidRDefault="0002442C" w:rsidP="002462EB">
      <w:pPr>
        <w:jc w:val="center"/>
        <w:rPr>
          <w:rFonts w:eastAsia="Times New Roman" w:cs="Times New Roman"/>
          <w:b/>
          <w:color w:val="000000" w:themeColor="text1"/>
          <w:sz w:val="32"/>
          <w:szCs w:val="32"/>
        </w:rPr>
      </w:pPr>
    </w:p>
    <w:p w14:paraId="61EA192F" w14:textId="77777777" w:rsidR="0002442C" w:rsidRDefault="0002442C" w:rsidP="002462EB">
      <w:pPr>
        <w:jc w:val="center"/>
        <w:rPr>
          <w:rFonts w:eastAsia="Times New Roman" w:cs="Times New Roman"/>
          <w:b/>
          <w:color w:val="000000" w:themeColor="text1"/>
          <w:sz w:val="32"/>
          <w:szCs w:val="32"/>
        </w:rPr>
      </w:pPr>
    </w:p>
    <w:p w14:paraId="0B582EE2" w14:textId="34004B05" w:rsidR="007B0E78" w:rsidRPr="009B3D9A" w:rsidRDefault="0002442C" w:rsidP="0002442C">
      <w:r w:rsidRPr="009B3D9A">
        <w:rPr>
          <w:b/>
          <w:bCs/>
        </w:rPr>
        <w:t>Module</w:t>
      </w:r>
      <w:r w:rsidRPr="009B3D9A">
        <w:t>:</w:t>
      </w:r>
      <w:r>
        <w:t xml:space="preserve"> International</w:t>
      </w:r>
      <w:r w:rsidR="007B0E78">
        <w:t xml:space="preserve"> Financial Management</w:t>
      </w:r>
    </w:p>
    <w:p w14:paraId="39934262" w14:textId="742FD928" w:rsidR="0002442C" w:rsidRPr="009B3D9A" w:rsidRDefault="0002442C" w:rsidP="0002442C">
      <w:r w:rsidRPr="009B3D9A">
        <w:rPr>
          <w:b/>
          <w:bCs/>
        </w:rPr>
        <w:t>Code</w:t>
      </w:r>
      <w:r w:rsidRPr="009B3D9A">
        <w:t>: LCBB</w:t>
      </w:r>
      <w:r>
        <w:t>600</w:t>
      </w:r>
      <w:r w:rsidR="007B0E78">
        <w:t>2</w:t>
      </w:r>
    </w:p>
    <w:p w14:paraId="61667FFE" w14:textId="7B18BC9E" w:rsidR="0002442C" w:rsidRPr="009B3D9A" w:rsidRDefault="0002442C" w:rsidP="0002442C">
      <w:r w:rsidRPr="009B3D9A">
        <w:rPr>
          <w:b/>
          <w:bCs/>
        </w:rPr>
        <w:t>Lecturer</w:t>
      </w:r>
      <w:r w:rsidRPr="009B3D9A">
        <w:t xml:space="preserve">: </w:t>
      </w:r>
      <w:r w:rsidR="00C6578B">
        <w:t>Dr Amandeep Sahota</w:t>
      </w:r>
    </w:p>
    <w:p w14:paraId="34491DAC" w14:textId="77777777" w:rsidR="0002442C" w:rsidRPr="009B3D9A" w:rsidRDefault="0002442C" w:rsidP="0002442C">
      <w:pPr>
        <w:tabs>
          <w:tab w:val="left" w:pos="1224"/>
        </w:tabs>
        <w:rPr>
          <w:b/>
          <w:bCs/>
        </w:rPr>
      </w:pPr>
      <w:r w:rsidRPr="009B3D9A">
        <w:rPr>
          <w:b/>
          <w:bCs/>
        </w:rPr>
        <w:t xml:space="preserve">Name: </w:t>
      </w:r>
      <w:r w:rsidRPr="00C773C1">
        <w:t>Tanya Garabinska</w:t>
      </w:r>
    </w:p>
    <w:p w14:paraId="740426A0" w14:textId="77777777" w:rsidR="0002442C" w:rsidRPr="009B3D9A" w:rsidRDefault="0002442C" w:rsidP="0002442C">
      <w:pPr>
        <w:rPr>
          <w:b/>
          <w:bCs/>
        </w:rPr>
      </w:pPr>
      <w:r w:rsidRPr="009B3D9A">
        <w:rPr>
          <w:b/>
          <w:bCs/>
        </w:rPr>
        <w:t xml:space="preserve">Student </w:t>
      </w:r>
      <w:r w:rsidRPr="00C773C1">
        <w:t>ID:2129044</w:t>
      </w:r>
    </w:p>
    <w:p w14:paraId="5E4AAB7A" w14:textId="77777777" w:rsidR="0002442C" w:rsidRDefault="0002442C" w:rsidP="0002442C">
      <w:pPr>
        <w:rPr>
          <w:rFonts w:eastAsia="Times New Roman" w:cs="Times New Roman"/>
          <w:b/>
          <w:szCs w:val="24"/>
        </w:rPr>
      </w:pPr>
    </w:p>
    <w:p w14:paraId="5536225C" w14:textId="77777777" w:rsidR="0002442C" w:rsidRDefault="0002442C" w:rsidP="002462EB">
      <w:pPr>
        <w:jc w:val="center"/>
        <w:rPr>
          <w:rFonts w:eastAsia="Times New Roman" w:cs="Times New Roman"/>
          <w:b/>
          <w:color w:val="000000" w:themeColor="text1"/>
          <w:sz w:val="32"/>
          <w:szCs w:val="32"/>
        </w:rPr>
      </w:pPr>
    </w:p>
    <w:p w14:paraId="24B90334" w14:textId="77777777" w:rsidR="0002442C" w:rsidRDefault="0002442C" w:rsidP="002462EB">
      <w:pPr>
        <w:jc w:val="center"/>
        <w:rPr>
          <w:rFonts w:eastAsia="Times New Roman" w:cs="Times New Roman"/>
          <w:b/>
          <w:color w:val="000000" w:themeColor="text1"/>
          <w:sz w:val="32"/>
          <w:szCs w:val="32"/>
        </w:rPr>
      </w:pPr>
    </w:p>
    <w:p w14:paraId="2883E8C0" w14:textId="77777777" w:rsidR="0002442C" w:rsidRDefault="0002442C" w:rsidP="002462EB">
      <w:pPr>
        <w:jc w:val="center"/>
        <w:rPr>
          <w:rFonts w:eastAsia="Times New Roman" w:cs="Times New Roman"/>
          <w:b/>
          <w:color w:val="000000" w:themeColor="text1"/>
          <w:sz w:val="32"/>
          <w:szCs w:val="32"/>
        </w:rPr>
      </w:pPr>
    </w:p>
    <w:p w14:paraId="6CF548B8" w14:textId="77777777" w:rsidR="0002442C" w:rsidRDefault="0002442C" w:rsidP="002462EB">
      <w:pPr>
        <w:jc w:val="center"/>
        <w:rPr>
          <w:rFonts w:eastAsia="Times New Roman" w:cs="Times New Roman"/>
          <w:b/>
          <w:color w:val="000000" w:themeColor="text1"/>
          <w:sz w:val="32"/>
          <w:szCs w:val="32"/>
        </w:rPr>
      </w:pPr>
    </w:p>
    <w:p w14:paraId="589815E6" w14:textId="1D1B8A02" w:rsidR="0002442C" w:rsidRPr="0002442C" w:rsidRDefault="0002442C" w:rsidP="0002442C">
      <w:pPr>
        <w:jc w:val="center"/>
        <w:rPr>
          <w:rFonts w:ascii="Arial" w:hAnsi="Arial"/>
          <w:b/>
          <w:bCs/>
          <w:sz w:val="22"/>
        </w:rPr>
      </w:pPr>
      <w:r w:rsidRPr="0002442C">
        <w:rPr>
          <w:rFonts w:ascii="Arial" w:hAnsi="Arial"/>
          <w:b/>
          <w:bCs/>
          <w:sz w:val="22"/>
        </w:rPr>
        <w:t xml:space="preserve">SUBMITTED ON THE </w:t>
      </w:r>
      <w:r>
        <w:rPr>
          <w:rFonts w:ascii="Arial" w:hAnsi="Arial"/>
          <w:b/>
          <w:bCs/>
          <w:sz w:val="22"/>
        </w:rPr>
        <w:t>25</w:t>
      </w:r>
      <w:r>
        <w:rPr>
          <w:rFonts w:ascii="Arial" w:hAnsi="Arial"/>
          <w:b/>
          <w:bCs/>
          <w:sz w:val="22"/>
          <w:vertAlign w:val="superscript"/>
        </w:rPr>
        <w:t>th</w:t>
      </w:r>
      <w:r w:rsidRPr="0002442C">
        <w:rPr>
          <w:rFonts w:ascii="Arial" w:hAnsi="Arial"/>
          <w:b/>
          <w:bCs/>
          <w:sz w:val="22"/>
        </w:rPr>
        <w:t>August 2024</w:t>
      </w:r>
    </w:p>
    <w:p w14:paraId="104DD25F" w14:textId="6784CE90" w:rsidR="00C36B13" w:rsidRPr="00FF5F52" w:rsidRDefault="00C36B13" w:rsidP="002462EB">
      <w:pPr>
        <w:jc w:val="center"/>
        <w:rPr>
          <w:rFonts w:eastAsia="Times New Roman" w:cs="Times New Roman"/>
          <w:b/>
          <w:color w:val="000000" w:themeColor="text1"/>
          <w:sz w:val="32"/>
          <w:szCs w:val="32"/>
        </w:rPr>
      </w:pPr>
      <w:r w:rsidRPr="00FF5F52">
        <w:rPr>
          <w:rFonts w:eastAsia="Times New Roman" w:cs="Times New Roman"/>
          <w:b/>
          <w:color w:val="000000" w:themeColor="text1"/>
          <w:sz w:val="32"/>
          <w:szCs w:val="32"/>
        </w:rPr>
        <w:br w:type="page"/>
      </w:r>
    </w:p>
    <w:sdt>
      <w:sdtPr>
        <w:rPr>
          <w:rFonts w:ascii="Arial" w:eastAsia="Arial" w:hAnsi="Arial" w:cs="Arial"/>
          <w:color w:val="000000" w:themeColor="text1"/>
          <w:sz w:val="22"/>
          <w:szCs w:val="22"/>
          <w:lang w:val="en-GB" w:eastAsia="en-IN"/>
        </w:rPr>
        <w:id w:val="248713999"/>
        <w:docPartObj>
          <w:docPartGallery w:val="Table of Contents"/>
          <w:docPartUnique/>
        </w:docPartObj>
      </w:sdtPr>
      <w:sdtEndPr>
        <w:rPr>
          <w:rFonts w:ascii="Times New Roman" w:hAnsi="Times New Roman"/>
          <w:b/>
          <w:bCs/>
          <w:noProof/>
          <w:sz w:val="24"/>
        </w:rPr>
      </w:sdtEndPr>
      <w:sdtContent>
        <w:p w14:paraId="51DBA4AE" w14:textId="0AB2037F" w:rsidR="00E44F95" w:rsidRDefault="00E44F95" w:rsidP="00FF5F52">
          <w:pPr>
            <w:pStyle w:val="TOCHeading"/>
            <w:spacing w:line="360" w:lineRule="auto"/>
            <w:jc w:val="center"/>
            <w:rPr>
              <w:rFonts w:ascii="Times New Roman" w:hAnsi="Times New Roman" w:cs="Times New Roman"/>
              <w:b/>
              <w:bCs/>
              <w:color w:val="000000" w:themeColor="text1"/>
              <w:sz w:val="24"/>
              <w:szCs w:val="24"/>
            </w:rPr>
          </w:pPr>
          <w:r w:rsidRPr="00FF5F52">
            <w:rPr>
              <w:rFonts w:ascii="Times New Roman" w:hAnsi="Times New Roman" w:cs="Times New Roman"/>
              <w:b/>
              <w:bCs/>
              <w:color w:val="000000" w:themeColor="text1"/>
              <w:sz w:val="24"/>
              <w:szCs w:val="24"/>
            </w:rPr>
            <w:t>Table of Contents</w:t>
          </w:r>
        </w:p>
        <w:p w14:paraId="6A3CDB9A" w14:textId="77777777" w:rsidR="00FF5F52" w:rsidRPr="00FF5F52" w:rsidRDefault="00FF5F52" w:rsidP="00FF5F52">
          <w:pPr>
            <w:rPr>
              <w:lang w:val="en-US" w:eastAsia="en-US"/>
            </w:rPr>
          </w:pPr>
        </w:p>
        <w:p w14:paraId="63C2BEED" w14:textId="06260A56" w:rsidR="00FF5F52" w:rsidRPr="00FF5F52" w:rsidRDefault="00E44F95" w:rsidP="00FF5F52">
          <w:pPr>
            <w:pStyle w:val="TOC1"/>
            <w:tabs>
              <w:tab w:val="right" w:leader="dot" w:pos="9350"/>
            </w:tabs>
            <w:rPr>
              <w:rFonts w:eastAsiaTheme="minorEastAsia" w:cs="Times New Roman"/>
              <w:noProof/>
              <w:szCs w:val="24"/>
              <w:lang w:val="en-IN"/>
            </w:rPr>
          </w:pPr>
          <w:r w:rsidRPr="00FF5F52">
            <w:rPr>
              <w:rFonts w:cs="Times New Roman"/>
              <w:color w:val="000000" w:themeColor="text1"/>
              <w:szCs w:val="24"/>
            </w:rPr>
            <w:fldChar w:fldCharType="begin"/>
          </w:r>
          <w:r w:rsidRPr="00FF5F52">
            <w:rPr>
              <w:rFonts w:cs="Times New Roman"/>
              <w:color w:val="000000" w:themeColor="text1"/>
              <w:szCs w:val="24"/>
            </w:rPr>
            <w:instrText xml:space="preserve"> TOC \o "1-3" \h \z \u </w:instrText>
          </w:r>
          <w:r w:rsidRPr="00FF5F52">
            <w:rPr>
              <w:rFonts w:cs="Times New Roman"/>
              <w:color w:val="000000" w:themeColor="text1"/>
              <w:szCs w:val="24"/>
            </w:rPr>
            <w:fldChar w:fldCharType="separate"/>
          </w:r>
          <w:hyperlink w:anchor="_Toc172669941" w:history="1">
            <w:r w:rsidR="00FF5F52" w:rsidRPr="00FF5F52">
              <w:rPr>
                <w:rStyle w:val="Hyperlink"/>
                <w:rFonts w:cs="Times New Roman"/>
                <w:noProof/>
                <w:szCs w:val="24"/>
              </w:rPr>
              <w:t>Introduction</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_Toc172669941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3</w:t>
            </w:r>
            <w:r w:rsidR="00FF5F52" w:rsidRPr="00FF5F52">
              <w:rPr>
                <w:rFonts w:cs="Times New Roman"/>
                <w:noProof/>
                <w:webHidden/>
                <w:szCs w:val="24"/>
              </w:rPr>
              <w:fldChar w:fldCharType="end"/>
            </w:r>
          </w:hyperlink>
        </w:p>
        <w:p w14:paraId="41236416" w14:textId="186427EF" w:rsidR="00FF5F52" w:rsidRPr="00FF5F52" w:rsidRDefault="00000000" w:rsidP="00FF5F52">
          <w:pPr>
            <w:pStyle w:val="TOC1"/>
            <w:tabs>
              <w:tab w:val="right" w:leader="dot" w:pos="9350"/>
            </w:tabs>
            <w:rPr>
              <w:rFonts w:eastAsiaTheme="minorEastAsia" w:cs="Times New Roman"/>
              <w:noProof/>
              <w:szCs w:val="24"/>
              <w:lang w:val="en-IN"/>
            </w:rPr>
          </w:pPr>
          <w:hyperlink w:anchor="_Toc172669942" w:history="1">
            <w:r w:rsidR="00FF5F52" w:rsidRPr="00FF5F52">
              <w:rPr>
                <w:rStyle w:val="Hyperlink"/>
                <w:rFonts w:cs="Times New Roman"/>
                <w:noProof/>
                <w:szCs w:val="24"/>
              </w:rPr>
              <w:t>Risks of International Financial Management And Mitigation Strategies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_Toc172669942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3</w:t>
            </w:r>
            <w:r w:rsidR="00FF5F52" w:rsidRPr="00FF5F52">
              <w:rPr>
                <w:rFonts w:cs="Times New Roman"/>
                <w:noProof/>
                <w:webHidden/>
                <w:szCs w:val="24"/>
              </w:rPr>
              <w:fldChar w:fldCharType="end"/>
            </w:r>
          </w:hyperlink>
        </w:p>
        <w:p w14:paraId="05C37F9B" w14:textId="5F39B498" w:rsidR="00FF5F52" w:rsidRPr="00FF5F52" w:rsidRDefault="00000000" w:rsidP="00FF5F52">
          <w:pPr>
            <w:pStyle w:val="TOC2"/>
            <w:tabs>
              <w:tab w:val="right" w:leader="dot" w:pos="9350"/>
            </w:tabs>
            <w:rPr>
              <w:rFonts w:eastAsiaTheme="minorEastAsia" w:cs="Times New Roman"/>
              <w:noProof/>
              <w:szCs w:val="24"/>
              <w:lang w:val="en-IN"/>
            </w:rPr>
          </w:pPr>
          <w:hyperlink w:anchor="_Toc172669943" w:history="1">
            <w:r w:rsidR="00FF5F52" w:rsidRPr="00FF5F52">
              <w:rPr>
                <w:rStyle w:val="Hyperlink"/>
                <w:rFonts w:cs="Times New Roman"/>
                <w:noProof/>
                <w:szCs w:val="24"/>
              </w:rPr>
              <w:t>Standardisation Approach</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_Toc172669943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3</w:t>
            </w:r>
            <w:r w:rsidR="00FF5F52" w:rsidRPr="00FF5F52">
              <w:rPr>
                <w:rFonts w:cs="Times New Roman"/>
                <w:noProof/>
                <w:webHidden/>
                <w:szCs w:val="24"/>
              </w:rPr>
              <w:fldChar w:fldCharType="end"/>
            </w:r>
          </w:hyperlink>
        </w:p>
        <w:p w14:paraId="38030818" w14:textId="6AB166C6" w:rsidR="00FF5F52" w:rsidRPr="00FF5F52" w:rsidRDefault="00000000" w:rsidP="00FF5F52">
          <w:pPr>
            <w:pStyle w:val="TOC2"/>
            <w:tabs>
              <w:tab w:val="right" w:leader="dot" w:pos="9350"/>
            </w:tabs>
            <w:rPr>
              <w:rFonts w:eastAsiaTheme="minorEastAsia" w:cs="Times New Roman"/>
              <w:noProof/>
              <w:szCs w:val="24"/>
              <w:lang w:val="en-IN"/>
            </w:rPr>
          </w:pPr>
          <w:hyperlink w:anchor="_Toc172669944" w:history="1">
            <w:r w:rsidR="00FF5F52" w:rsidRPr="00FF5F52">
              <w:rPr>
                <w:rStyle w:val="Hyperlink"/>
                <w:rFonts w:cs="Times New Roman"/>
                <w:noProof/>
                <w:szCs w:val="24"/>
              </w:rPr>
              <w:t>Internal Hedging Strategies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_Toc172669944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4</w:t>
            </w:r>
            <w:r w:rsidR="00FF5F52" w:rsidRPr="00FF5F52">
              <w:rPr>
                <w:rFonts w:cs="Times New Roman"/>
                <w:noProof/>
                <w:webHidden/>
                <w:szCs w:val="24"/>
              </w:rPr>
              <w:fldChar w:fldCharType="end"/>
            </w:r>
          </w:hyperlink>
        </w:p>
        <w:p w14:paraId="675A4FB1" w14:textId="25DCC598" w:rsidR="00FF5F52" w:rsidRPr="00FF5F52" w:rsidRDefault="00000000" w:rsidP="00FF5F52">
          <w:pPr>
            <w:pStyle w:val="TOC1"/>
            <w:tabs>
              <w:tab w:val="right" w:leader="dot" w:pos="9350"/>
            </w:tabs>
            <w:rPr>
              <w:rFonts w:eastAsiaTheme="minorEastAsia" w:cs="Times New Roman"/>
              <w:noProof/>
              <w:szCs w:val="24"/>
              <w:lang w:val="en-IN"/>
            </w:rPr>
          </w:pPr>
          <w:hyperlink w:anchor="_Toc172669945" w:history="1">
            <w:r w:rsidR="00FF5F52" w:rsidRPr="00FF5F52">
              <w:rPr>
                <w:rStyle w:val="Hyperlink"/>
                <w:rFonts w:cs="Times New Roman"/>
                <w:noProof/>
                <w:szCs w:val="24"/>
              </w:rPr>
              <w:t>Methods and Techniques adopted by MNCs to manage exposure to foreign exchange risks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_Toc172669945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4</w:t>
            </w:r>
            <w:r w:rsidR="00FF5F52" w:rsidRPr="00FF5F52">
              <w:rPr>
                <w:rFonts w:cs="Times New Roman"/>
                <w:noProof/>
                <w:webHidden/>
                <w:szCs w:val="24"/>
              </w:rPr>
              <w:fldChar w:fldCharType="end"/>
            </w:r>
          </w:hyperlink>
        </w:p>
        <w:p w14:paraId="0EB02460" w14:textId="73523F42" w:rsidR="00FF5F52" w:rsidRPr="00FF5F52" w:rsidRDefault="00000000" w:rsidP="00FF5F52">
          <w:pPr>
            <w:pStyle w:val="TOC2"/>
            <w:tabs>
              <w:tab w:val="right" w:leader="dot" w:pos="9350"/>
            </w:tabs>
            <w:rPr>
              <w:rFonts w:eastAsiaTheme="minorEastAsia" w:cs="Times New Roman"/>
              <w:noProof/>
              <w:szCs w:val="24"/>
              <w:lang w:val="en-IN"/>
            </w:rPr>
          </w:pPr>
          <w:hyperlink w:anchor="_Toc172669946" w:history="1">
            <w:r w:rsidR="00FF5F52" w:rsidRPr="00FF5F52">
              <w:rPr>
                <w:rStyle w:val="Hyperlink"/>
                <w:rFonts w:cs="Times New Roman"/>
                <w:noProof/>
                <w:szCs w:val="24"/>
              </w:rPr>
              <w:t>Challenges in managing foreign exchange risks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_Toc172669946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4</w:t>
            </w:r>
            <w:r w:rsidR="00FF5F52" w:rsidRPr="00FF5F52">
              <w:rPr>
                <w:rFonts w:cs="Times New Roman"/>
                <w:noProof/>
                <w:webHidden/>
                <w:szCs w:val="24"/>
              </w:rPr>
              <w:fldChar w:fldCharType="end"/>
            </w:r>
          </w:hyperlink>
        </w:p>
        <w:p w14:paraId="16704002" w14:textId="1A05E77B" w:rsidR="00FF5F52" w:rsidRPr="00FF5F52" w:rsidRDefault="00000000" w:rsidP="00FF5F52">
          <w:pPr>
            <w:pStyle w:val="TOC2"/>
            <w:tabs>
              <w:tab w:val="right" w:leader="dot" w:pos="9350"/>
            </w:tabs>
            <w:rPr>
              <w:rFonts w:eastAsiaTheme="minorEastAsia" w:cs="Times New Roman"/>
              <w:noProof/>
              <w:szCs w:val="24"/>
              <w:lang w:val="en-IN"/>
            </w:rPr>
          </w:pPr>
          <w:hyperlink w:anchor="_Toc172669947" w:history="1">
            <w:r w:rsidR="00FF5F52" w:rsidRPr="00FF5F52">
              <w:rPr>
                <w:rStyle w:val="Hyperlink"/>
                <w:rFonts w:cs="Times New Roman"/>
                <w:noProof/>
                <w:szCs w:val="24"/>
              </w:rPr>
              <w:t>Strategies for managing foreign exchange risks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_Toc172669947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5</w:t>
            </w:r>
            <w:r w:rsidR="00FF5F52" w:rsidRPr="00FF5F52">
              <w:rPr>
                <w:rFonts w:cs="Times New Roman"/>
                <w:noProof/>
                <w:webHidden/>
                <w:szCs w:val="24"/>
              </w:rPr>
              <w:fldChar w:fldCharType="end"/>
            </w:r>
          </w:hyperlink>
        </w:p>
        <w:p w14:paraId="6B544AFD" w14:textId="3BEE5DC7" w:rsidR="00FF5F52" w:rsidRPr="00FF5F52" w:rsidRDefault="00000000" w:rsidP="00FF5F52">
          <w:pPr>
            <w:pStyle w:val="TOC3"/>
            <w:tabs>
              <w:tab w:val="right" w:leader="dot" w:pos="9350"/>
            </w:tabs>
            <w:rPr>
              <w:rFonts w:eastAsiaTheme="minorEastAsia" w:cs="Times New Roman"/>
              <w:noProof/>
              <w:szCs w:val="24"/>
              <w:lang w:val="en-IN"/>
            </w:rPr>
          </w:pPr>
          <w:hyperlink w:anchor="_Toc172669948" w:history="1">
            <w:r w:rsidR="00FF5F52" w:rsidRPr="00FF5F52">
              <w:rPr>
                <w:rStyle w:val="Hyperlink"/>
                <w:rFonts w:cs="Times New Roman"/>
                <w:noProof/>
                <w:szCs w:val="24"/>
              </w:rPr>
              <w:t>Cost-Benefit Analysis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_Toc172669948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5</w:t>
            </w:r>
            <w:r w:rsidR="00FF5F52" w:rsidRPr="00FF5F52">
              <w:rPr>
                <w:rFonts w:cs="Times New Roman"/>
                <w:noProof/>
                <w:webHidden/>
                <w:szCs w:val="24"/>
              </w:rPr>
              <w:fldChar w:fldCharType="end"/>
            </w:r>
          </w:hyperlink>
        </w:p>
        <w:p w14:paraId="1BCDC9F1" w14:textId="38CE0356" w:rsidR="00FF5F52" w:rsidRPr="00FF5F52" w:rsidRDefault="00000000" w:rsidP="00FF5F52">
          <w:pPr>
            <w:pStyle w:val="TOC3"/>
            <w:tabs>
              <w:tab w:val="right" w:leader="dot" w:pos="9350"/>
            </w:tabs>
            <w:rPr>
              <w:rFonts w:eastAsiaTheme="minorEastAsia" w:cs="Times New Roman"/>
              <w:noProof/>
              <w:szCs w:val="24"/>
              <w:lang w:val="en-IN"/>
            </w:rPr>
          </w:pPr>
          <w:hyperlink w:anchor="_Toc172669949" w:history="1">
            <w:r w:rsidR="00FF5F52" w:rsidRPr="00FF5F52">
              <w:rPr>
                <w:rStyle w:val="Hyperlink"/>
                <w:rFonts w:cs="Times New Roman"/>
                <w:noProof/>
                <w:szCs w:val="24"/>
              </w:rPr>
              <w:t>Applying Retained Earnings Strategy</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_Toc172669949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6</w:t>
            </w:r>
            <w:r w:rsidR="00FF5F52" w:rsidRPr="00FF5F52">
              <w:rPr>
                <w:rFonts w:cs="Times New Roman"/>
                <w:noProof/>
                <w:webHidden/>
                <w:szCs w:val="24"/>
              </w:rPr>
              <w:fldChar w:fldCharType="end"/>
            </w:r>
          </w:hyperlink>
        </w:p>
        <w:p w14:paraId="40C8EA1C" w14:textId="357D2F25" w:rsidR="00FF5F52" w:rsidRPr="00FF5F52" w:rsidRDefault="00000000" w:rsidP="00FF5F52">
          <w:pPr>
            <w:pStyle w:val="TOC3"/>
            <w:tabs>
              <w:tab w:val="right" w:leader="dot" w:pos="9350"/>
            </w:tabs>
            <w:rPr>
              <w:rFonts w:eastAsiaTheme="minorEastAsia" w:cs="Times New Roman"/>
              <w:noProof/>
              <w:szCs w:val="24"/>
              <w:lang w:val="en-IN"/>
            </w:rPr>
          </w:pPr>
          <w:hyperlink w:anchor="_Toc172669950" w:history="1">
            <w:r w:rsidR="00FF5F52" w:rsidRPr="00FF5F52">
              <w:rPr>
                <w:rStyle w:val="Hyperlink"/>
                <w:rFonts w:cs="Times New Roman"/>
                <w:noProof/>
                <w:szCs w:val="24"/>
              </w:rPr>
              <w:t>Predicting Customer Demand Fluctuations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_Toc172669950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6</w:t>
            </w:r>
            <w:r w:rsidR="00FF5F52" w:rsidRPr="00FF5F52">
              <w:rPr>
                <w:rFonts w:cs="Times New Roman"/>
                <w:noProof/>
                <w:webHidden/>
                <w:szCs w:val="24"/>
              </w:rPr>
              <w:fldChar w:fldCharType="end"/>
            </w:r>
          </w:hyperlink>
        </w:p>
        <w:p w14:paraId="76C9F98D" w14:textId="27203B12" w:rsidR="00FF5F52" w:rsidRPr="00FF5F52" w:rsidRDefault="00000000" w:rsidP="00FF5F52">
          <w:pPr>
            <w:pStyle w:val="TOC3"/>
            <w:tabs>
              <w:tab w:val="right" w:leader="dot" w:pos="9350"/>
            </w:tabs>
            <w:rPr>
              <w:rFonts w:eastAsiaTheme="minorEastAsia" w:cs="Times New Roman"/>
              <w:noProof/>
              <w:szCs w:val="24"/>
              <w:lang w:val="en-IN"/>
            </w:rPr>
          </w:pPr>
          <w:hyperlink w:anchor="_Toc172669951" w:history="1">
            <w:r w:rsidR="00FF5F52" w:rsidRPr="00FF5F52">
              <w:rPr>
                <w:rStyle w:val="Hyperlink"/>
                <w:rFonts w:cs="Times New Roman"/>
                <w:noProof/>
                <w:szCs w:val="24"/>
              </w:rPr>
              <w:t>Value-Based Pricing Strategy</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_Toc172669951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7</w:t>
            </w:r>
            <w:r w:rsidR="00FF5F52" w:rsidRPr="00FF5F52">
              <w:rPr>
                <w:rFonts w:cs="Times New Roman"/>
                <w:noProof/>
                <w:webHidden/>
                <w:szCs w:val="24"/>
              </w:rPr>
              <w:fldChar w:fldCharType="end"/>
            </w:r>
          </w:hyperlink>
        </w:p>
        <w:p w14:paraId="3D779E11" w14:textId="476C49A7" w:rsidR="00FF5F52" w:rsidRPr="00FF5F52" w:rsidRDefault="00000000" w:rsidP="00FF5F52">
          <w:pPr>
            <w:pStyle w:val="TOC1"/>
            <w:tabs>
              <w:tab w:val="right" w:leader="dot" w:pos="9350"/>
            </w:tabs>
            <w:rPr>
              <w:rFonts w:eastAsiaTheme="minorEastAsia" w:cs="Times New Roman"/>
              <w:noProof/>
              <w:szCs w:val="24"/>
              <w:lang w:val="en-IN"/>
            </w:rPr>
          </w:pPr>
          <w:hyperlink w:anchor="_Toc172669952" w:history="1">
            <w:r w:rsidR="00FF5F52" w:rsidRPr="00FF5F52">
              <w:rPr>
                <w:rStyle w:val="Hyperlink"/>
                <w:rFonts w:cs="Times New Roman"/>
                <w:noProof/>
                <w:szCs w:val="24"/>
              </w:rPr>
              <w:t>Conclusion</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_Toc172669952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7</w:t>
            </w:r>
            <w:r w:rsidR="00FF5F52" w:rsidRPr="00FF5F52">
              <w:rPr>
                <w:rFonts w:cs="Times New Roman"/>
                <w:noProof/>
                <w:webHidden/>
                <w:szCs w:val="24"/>
              </w:rPr>
              <w:fldChar w:fldCharType="end"/>
            </w:r>
          </w:hyperlink>
        </w:p>
        <w:p w14:paraId="30F7D828" w14:textId="12BF8CE7" w:rsidR="00FF5F52" w:rsidRPr="00FF5F52" w:rsidRDefault="00000000" w:rsidP="00FF5F52">
          <w:pPr>
            <w:pStyle w:val="TOC1"/>
            <w:tabs>
              <w:tab w:val="right" w:leader="dot" w:pos="9350"/>
            </w:tabs>
            <w:rPr>
              <w:rFonts w:eastAsiaTheme="minorEastAsia" w:cs="Times New Roman"/>
              <w:noProof/>
              <w:szCs w:val="24"/>
              <w:lang w:val="en-IN"/>
            </w:rPr>
          </w:pPr>
          <w:hyperlink w:anchor="_Toc172669953" w:history="1">
            <w:r w:rsidR="00FF5F52" w:rsidRPr="00FF5F52">
              <w:rPr>
                <w:rStyle w:val="Hyperlink"/>
                <w:rFonts w:cs="Times New Roman"/>
                <w:noProof/>
                <w:szCs w:val="24"/>
              </w:rPr>
              <w:t>References</w:t>
            </w:r>
            <w:r w:rsidR="00FF5F52" w:rsidRPr="00FF5F52">
              <w:rPr>
                <w:rFonts w:cs="Times New Roman"/>
                <w:noProof/>
                <w:webHidden/>
                <w:szCs w:val="24"/>
              </w:rPr>
              <w:tab/>
            </w:r>
            <w:r w:rsidR="00FF5F52" w:rsidRPr="00FF5F52">
              <w:rPr>
                <w:rFonts w:cs="Times New Roman"/>
                <w:noProof/>
                <w:webHidden/>
                <w:szCs w:val="24"/>
              </w:rPr>
              <w:fldChar w:fldCharType="begin"/>
            </w:r>
            <w:r w:rsidR="00FF5F52" w:rsidRPr="00FF5F52">
              <w:rPr>
                <w:rFonts w:cs="Times New Roman"/>
                <w:noProof/>
                <w:webHidden/>
                <w:szCs w:val="24"/>
              </w:rPr>
              <w:instrText xml:space="preserve"> PAGEREF _Toc172669953 \h </w:instrText>
            </w:r>
            <w:r w:rsidR="00FF5F52" w:rsidRPr="00FF5F52">
              <w:rPr>
                <w:rFonts w:cs="Times New Roman"/>
                <w:noProof/>
                <w:webHidden/>
                <w:szCs w:val="24"/>
              </w:rPr>
            </w:r>
            <w:r w:rsidR="00FF5F52" w:rsidRPr="00FF5F52">
              <w:rPr>
                <w:rFonts w:cs="Times New Roman"/>
                <w:noProof/>
                <w:webHidden/>
                <w:szCs w:val="24"/>
              </w:rPr>
              <w:fldChar w:fldCharType="separate"/>
            </w:r>
            <w:r w:rsidR="0002442C">
              <w:rPr>
                <w:rFonts w:cs="Times New Roman"/>
                <w:noProof/>
                <w:webHidden/>
                <w:szCs w:val="24"/>
              </w:rPr>
              <w:t>8</w:t>
            </w:r>
            <w:r w:rsidR="00FF5F52" w:rsidRPr="00FF5F52">
              <w:rPr>
                <w:rFonts w:cs="Times New Roman"/>
                <w:noProof/>
                <w:webHidden/>
                <w:szCs w:val="24"/>
              </w:rPr>
              <w:fldChar w:fldCharType="end"/>
            </w:r>
          </w:hyperlink>
        </w:p>
        <w:p w14:paraId="7249883E" w14:textId="565DB3AC" w:rsidR="00E44F95" w:rsidRPr="00FF5F52" w:rsidRDefault="00E44F95" w:rsidP="00FF5F52">
          <w:pPr>
            <w:rPr>
              <w:color w:val="000000" w:themeColor="text1"/>
            </w:rPr>
          </w:pPr>
          <w:r w:rsidRPr="00FF5F52">
            <w:rPr>
              <w:rFonts w:cs="Times New Roman"/>
              <w:b/>
              <w:bCs/>
              <w:noProof/>
              <w:color w:val="000000" w:themeColor="text1"/>
              <w:szCs w:val="24"/>
            </w:rPr>
            <w:fldChar w:fldCharType="end"/>
          </w:r>
        </w:p>
      </w:sdtContent>
    </w:sdt>
    <w:p w14:paraId="4762D396" w14:textId="7F9EA8A8" w:rsidR="00E44F95" w:rsidRPr="00FF5F52" w:rsidRDefault="008E7A58" w:rsidP="00E44F95">
      <w:pPr>
        <w:pStyle w:val="TableofFigures"/>
        <w:tabs>
          <w:tab w:val="right" w:leader="dot" w:pos="9350"/>
        </w:tabs>
        <w:rPr>
          <w:rFonts w:asciiTheme="minorHAnsi" w:eastAsiaTheme="minorEastAsia" w:hAnsiTheme="minorHAnsi" w:cstheme="minorBidi"/>
          <w:noProof/>
          <w:kern w:val="2"/>
          <w:sz w:val="22"/>
          <w:lang w:val="en-IN"/>
          <w14:ligatures w14:val="standardContextual"/>
        </w:rPr>
      </w:pPr>
      <w:r w:rsidRPr="00FF5F52">
        <w:rPr>
          <w:rFonts w:eastAsia="Times New Roman" w:cs="Times New Roman"/>
          <w:b/>
          <w:szCs w:val="24"/>
        </w:rPr>
        <w:fldChar w:fldCharType="begin"/>
      </w:r>
      <w:r w:rsidRPr="00FF5F52">
        <w:rPr>
          <w:rFonts w:eastAsia="Times New Roman" w:cs="Times New Roman"/>
          <w:b/>
          <w:szCs w:val="24"/>
        </w:rPr>
        <w:instrText xml:space="preserve"> TOC \h \z \t "Heading 1" \c </w:instrText>
      </w:r>
      <w:r w:rsidRPr="00FF5F52">
        <w:rPr>
          <w:rFonts w:eastAsia="Times New Roman" w:cs="Times New Roman"/>
          <w:b/>
          <w:szCs w:val="24"/>
        </w:rPr>
        <w:fldChar w:fldCharType="separate"/>
      </w:r>
    </w:p>
    <w:p w14:paraId="546FCF00" w14:textId="01C88DE0" w:rsidR="00795154" w:rsidRPr="00FF5F52" w:rsidRDefault="00795154">
      <w:pPr>
        <w:pStyle w:val="TableofFigures"/>
        <w:tabs>
          <w:tab w:val="right" w:leader="dot" w:pos="9350"/>
        </w:tabs>
        <w:rPr>
          <w:rFonts w:asciiTheme="minorHAnsi" w:eastAsiaTheme="minorEastAsia" w:hAnsiTheme="minorHAnsi" w:cstheme="minorBidi"/>
          <w:noProof/>
          <w:kern w:val="2"/>
          <w:sz w:val="22"/>
          <w:lang w:val="en-IN"/>
          <w14:ligatures w14:val="standardContextual"/>
        </w:rPr>
      </w:pPr>
    </w:p>
    <w:p w14:paraId="67B42B6E" w14:textId="60652890" w:rsidR="008E7A58" w:rsidRPr="00FF5F52" w:rsidRDefault="008E7A58">
      <w:pPr>
        <w:jc w:val="center"/>
        <w:rPr>
          <w:rFonts w:eastAsia="Times New Roman" w:cs="Times New Roman"/>
          <w:b/>
          <w:color w:val="000000" w:themeColor="text1"/>
          <w:szCs w:val="24"/>
        </w:rPr>
      </w:pPr>
      <w:r w:rsidRPr="00FF5F52">
        <w:rPr>
          <w:rFonts w:eastAsia="Times New Roman" w:cs="Times New Roman"/>
          <w:b/>
          <w:color w:val="000000" w:themeColor="text1"/>
          <w:szCs w:val="24"/>
        </w:rPr>
        <w:fldChar w:fldCharType="end"/>
      </w:r>
    </w:p>
    <w:p w14:paraId="00000009" w14:textId="77777777" w:rsidR="00581A1F" w:rsidRPr="00FF5F52" w:rsidRDefault="00CC313B">
      <w:pPr>
        <w:jc w:val="center"/>
        <w:rPr>
          <w:rFonts w:eastAsia="Times New Roman" w:cs="Times New Roman"/>
          <w:b/>
          <w:color w:val="000000" w:themeColor="text1"/>
          <w:sz w:val="32"/>
          <w:szCs w:val="32"/>
        </w:rPr>
      </w:pPr>
      <w:r w:rsidRPr="00FF5F52">
        <w:rPr>
          <w:color w:val="000000" w:themeColor="text1"/>
        </w:rPr>
        <w:br w:type="page"/>
      </w:r>
    </w:p>
    <w:p w14:paraId="0000000A" w14:textId="3CC9B972" w:rsidR="00581A1F" w:rsidRPr="00FF5F52" w:rsidRDefault="00CC313B" w:rsidP="008E7A58">
      <w:pPr>
        <w:pStyle w:val="Heading1"/>
      </w:pPr>
      <w:bookmarkStart w:id="0" w:name="_Toc172662809"/>
      <w:bookmarkStart w:id="1" w:name="_Toc172669941"/>
      <w:r w:rsidRPr="00FF5F52">
        <w:lastRenderedPageBreak/>
        <w:t>Introduction</w:t>
      </w:r>
      <w:bookmarkEnd w:id="0"/>
      <w:bookmarkEnd w:id="1"/>
      <w:r w:rsidRPr="00FF5F52">
        <w:t xml:space="preserve"> </w:t>
      </w:r>
    </w:p>
    <w:p w14:paraId="0000000B" w14:textId="77777777" w:rsidR="00581A1F" w:rsidRPr="0002442C" w:rsidRDefault="00CC313B">
      <w:pPr>
        <w:rPr>
          <w:rFonts w:ascii="Arial" w:eastAsia="Times New Roman" w:hAnsi="Arial"/>
          <w:b/>
          <w:color w:val="000000" w:themeColor="text1"/>
          <w:sz w:val="22"/>
        </w:rPr>
      </w:pPr>
      <w:r w:rsidRPr="0002442C">
        <w:rPr>
          <w:rFonts w:ascii="Arial" w:eastAsia="Times New Roman" w:hAnsi="Arial"/>
          <w:color w:val="000000" w:themeColor="text1"/>
          <w:sz w:val="22"/>
        </w:rPr>
        <w:t xml:space="preserve">International Financial Management (IFM) collectively termed as International Finance, indulges in operating financial activities of organisations on a global scale. This study focuses on understanding the relevant applications of theories and frameworks related to IFM. Based on theoretical understanding, discussions are interlinked with methods and techniques adopted by multinational corporations to deal with exposure of foreign exchange risks. Purpose of this study lies in evaluating the risks of international finance and analysing prospects of financial international businesses. </w:t>
      </w:r>
    </w:p>
    <w:p w14:paraId="0000000C" w14:textId="6480FF53" w:rsidR="00581A1F" w:rsidRPr="00FF5F52" w:rsidRDefault="00993DCC" w:rsidP="008E7A58">
      <w:pPr>
        <w:pStyle w:val="Heading1"/>
      </w:pPr>
      <w:bookmarkStart w:id="2" w:name="_Toc172662810"/>
      <w:bookmarkStart w:id="3" w:name="_Toc172669942"/>
      <w:r w:rsidRPr="00FF5F52">
        <w:t xml:space="preserve">Risks of </w:t>
      </w:r>
      <w:r w:rsidR="00CC313B" w:rsidRPr="00FF5F52">
        <w:t xml:space="preserve">International Financial Management </w:t>
      </w:r>
      <w:r w:rsidR="004E6432" w:rsidRPr="00FF5F52">
        <w:t>and</w:t>
      </w:r>
      <w:r w:rsidRPr="00FF5F52">
        <w:t xml:space="preserve"> Mitigation Strategies</w:t>
      </w:r>
      <w:bookmarkEnd w:id="2"/>
      <w:bookmarkEnd w:id="3"/>
      <w:r w:rsidRPr="00FF5F52">
        <w:t xml:space="preserve"> </w:t>
      </w:r>
    </w:p>
    <w:p w14:paraId="5B6C0931" w14:textId="5AA99582" w:rsidR="00993DCC" w:rsidRPr="0002442C" w:rsidRDefault="00993DCC" w:rsidP="00993DCC">
      <w:pPr>
        <w:rPr>
          <w:rFonts w:ascii="Arial" w:eastAsia="Times New Roman" w:hAnsi="Arial"/>
          <w:color w:val="000000" w:themeColor="text1"/>
          <w:sz w:val="22"/>
        </w:rPr>
      </w:pPr>
      <w:r w:rsidRPr="0002442C">
        <w:rPr>
          <w:rFonts w:ascii="Arial" w:eastAsia="Times New Roman" w:hAnsi="Arial"/>
          <w:color w:val="000000" w:themeColor="text1"/>
          <w:sz w:val="22"/>
        </w:rPr>
        <w:t xml:space="preserve">International Financial Management is susceptible to foreign exchange risks that arise due to currency fluctuations, trading restrictions and geo-political issues. According to Ghauri </w:t>
      </w:r>
      <w:r w:rsidRPr="0002442C">
        <w:rPr>
          <w:rFonts w:ascii="Arial" w:eastAsia="Times New Roman" w:hAnsi="Arial"/>
          <w:i/>
          <w:color w:val="000000" w:themeColor="text1"/>
          <w:sz w:val="22"/>
        </w:rPr>
        <w:t>et al.</w:t>
      </w:r>
      <w:r w:rsidRPr="0002442C">
        <w:rPr>
          <w:rFonts w:ascii="Arial" w:eastAsia="Times New Roman" w:hAnsi="Arial"/>
          <w:color w:val="000000" w:themeColor="text1"/>
          <w:sz w:val="22"/>
        </w:rPr>
        <w:t xml:space="preserve"> (2021), foreign exchange risks primarily involve </w:t>
      </w:r>
      <w:r w:rsidRPr="0002442C">
        <w:rPr>
          <w:rFonts w:ascii="Arial" w:eastAsia="Times New Roman" w:hAnsi="Arial"/>
          <w:i/>
          <w:iCs/>
          <w:color w:val="000000" w:themeColor="text1"/>
          <w:sz w:val="22"/>
        </w:rPr>
        <w:t>“economic risks”, “transactional” and “translation” risks.</w:t>
      </w:r>
      <w:r w:rsidRPr="0002442C">
        <w:rPr>
          <w:rFonts w:ascii="Arial" w:eastAsia="Times New Roman" w:hAnsi="Arial"/>
          <w:color w:val="000000" w:themeColor="text1"/>
          <w:sz w:val="22"/>
        </w:rPr>
        <w:t xml:space="preserve">  Common perspectives of each foreign exchange risk involve currency and demand fluctuations across international businesses. Diverse mitigation strategies for foreign exchange risks commonly focus on analysing currency fluctuations in the global economy (Ghauri </w:t>
      </w:r>
      <w:r w:rsidRPr="0002442C">
        <w:rPr>
          <w:rFonts w:ascii="Arial" w:eastAsia="Times New Roman" w:hAnsi="Arial"/>
          <w:i/>
          <w:color w:val="000000" w:themeColor="text1"/>
          <w:sz w:val="22"/>
        </w:rPr>
        <w:t>et al.</w:t>
      </w:r>
      <w:r w:rsidRPr="0002442C">
        <w:rPr>
          <w:rFonts w:ascii="Arial" w:eastAsia="Times New Roman" w:hAnsi="Arial"/>
          <w:color w:val="000000" w:themeColor="text1"/>
          <w:sz w:val="22"/>
        </w:rPr>
        <w:t xml:space="preserve"> 2021). Based on which, internal funding and external expansionary policies are strategically drafted. The following section discusses strategies observed by renowned MNCs in managing different foreign exchange risks.</w:t>
      </w:r>
    </w:p>
    <w:p w14:paraId="4112820D" w14:textId="5983240E" w:rsidR="00993DCC" w:rsidRPr="00FF5F52" w:rsidRDefault="00993DCC" w:rsidP="00E44F95">
      <w:pPr>
        <w:pStyle w:val="Heading2"/>
      </w:pPr>
      <w:bookmarkStart w:id="4" w:name="_Toc172669943"/>
      <w:r w:rsidRPr="00FF5F52">
        <w:t>Standardisation Approach</w:t>
      </w:r>
      <w:bookmarkEnd w:id="4"/>
      <w:r w:rsidRPr="00FF5F52">
        <w:t xml:space="preserve"> </w:t>
      </w:r>
    </w:p>
    <w:p w14:paraId="1E0ADD99" w14:textId="77777777" w:rsidR="00993DCC" w:rsidRPr="0002442C" w:rsidRDefault="00993DCC" w:rsidP="00993DCC">
      <w:pPr>
        <w:rPr>
          <w:rFonts w:ascii="Arial" w:eastAsia="Times New Roman" w:hAnsi="Arial"/>
          <w:color w:val="000000" w:themeColor="text1"/>
          <w:sz w:val="22"/>
        </w:rPr>
      </w:pPr>
      <w:r w:rsidRPr="0002442C">
        <w:rPr>
          <w:rFonts w:ascii="Arial" w:eastAsia="Times New Roman" w:hAnsi="Arial"/>
          <w:b/>
          <w:bCs/>
          <w:i/>
          <w:iCs/>
          <w:color w:val="000000" w:themeColor="text1"/>
          <w:sz w:val="22"/>
        </w:rPr>
        <w:t>Economic risks</w:t>
      </w:r>
      <w:r w:rsidRPr="0002442C">
        <w:rPr>
          <w:rFonts w:ascii="Arial" w:eastAsia="Times New Roman" w:hAnsi="Arial"/>
          <w:color w:val="000000" w:themeColor="text1"/>
          <w:sz w:val="22"/>
        </w:rPr>
        <w:t xml:space="preserve"> forming as a part of foreign exchange risks have been effectively managed by MNCs like Coca-Cola. As analysed by Liu (2021), Coca-Cola uses “Total Beverage Approach” in standardising product type, packaging and quality across international markets. This strategy enables the business to reduce economic risks of consumer taste variations and eliminate local or regional substitutes. On the other hand, Coca-Cola had simultaneously used “local and regional marketing strategies” as a part of international financing to target domestic customer engagement (Liu, 2021). This strategy reduced economic risks of being replaced by cheaper alternatives and international competitors. Thus, product standardisation approach followed by Coca-Cola had reduced exposure to foreign exchange risks like economic fluctuations across global beverage markets. </w:t>
      </w:r>
    </w:p>
    <w:p w14:paraId="1F03BE0F" w14:textId="207405AF" w:rsidR="00993DCC" w:rsidRPr="00FF5F52" w:rsidRDefault="00993DCC" w:rsidP="00E44F95">
      <w:pPr>
        <w:pStyle w:val="Heading2"/>
      </w:pPr>
      <w:bookmarkStart w:id="5" w:name="_Toc172669944"/>
      <w:r w:rsidRPr="00FF5F52">
        <w:lastRenderedPageBreak/>
        <w:t>Internal Hedging Strategies</w:t>
      </w:r>
      <w:bookmarkEnd w:id="5"/>
      <w:r w:rsidRPr="00FF5F52">
        <w:t xml:space="preserve"> </w:t>
      </w:r>
    </w:p>
    <w:p w14:paraId="6D9EF89F" w14:textId="77777777" w:rsidR="00993DCC" w:rsidRPr="0002442C" w:rsidRDefault="00993DCC" w:rsidP="00993DCC">
      <w:pPr>
        <w:rPr>
          <w:rFonts w:ascii="Arial" w:eastAsia="Times New Roman" w:hAnsi="Arial"/>
          <w:color w:val="000000" w:themeColor="text1"/>
          <w:sz w:val="22"/>
        </w:rPr>
      </w:pPr>
      <w:r w:rsidRPr="0002442C">
        <w:rPr>
          <w:rFonts w:ascii="Arial" w:eastAsia="Times New Roman" w:hAnsi="Arial"/>
          <w:color w:val="000000" w:themeColor="text1"/>
          <w:sz w:val="22"/>
        </w:rPr>
        <w:t xml:space="preserve">Multinational corporations like Unilever have mitigated foreign exchange risks like </w:t>
      </w:r>
      <w:r w:rsidRPr="0002442C">
        <w:rPr>
          <w:rFonts w:ascii="Arial" w:eastAsia="Times New Roman" w:hAnsi="Arial"/>
          <w:b/>
          <w:bCs/>
          <w:i/>
          <w:iCs/>
          <w:color w:val="000000" w:themeColor="text1"/>
          <w:sz w:val="22"/>
        </w:rPr>
        <w:t>transaction risks</w:t>
      </w:r>
      <w:r w:rsidRPr="0002442C">
        <w:rPr>
          <w:rFonts w:ascii="Arial" w:eastAsia="Times New Roman" w:hAnsi="Arial"/>
          <w:color w:val="000000" w:themeColor="text1"/>
          <w:sz w:val="22"/>
        </w:rPr>
        <w:t xml:space="preserve"> through “Currency Hedging” strategy. According to Zhang (2022), currency hedging refers to a strategy used by international organisations to manage risks of currency fluctuations in foreign exchange rates. Application of this strategy enables Unilever to improve price flexibility as per international currencies. For instance, Zhang (2022) noted Unilever uses “Forward Foreign Exchange Contracts” to manage currency exposures within a certain limit. Issuing these contracts allows Unilever to identify foreign exchange risks in future and thereby reducing impact of currency fluctuations. Hence, it can be explained that consistent evaluation of foreign exchange rates is necessary to handle an internationally effective international financing. </w:t>
      </w:r>
    </w:p>
    <w:p w14:paraId="06203E00" w14:textId="1DF729E5" w:rsidR="00782498" w:rsidRPr="0002442C" w:rsidRDefault="00993DCC" w:rsidP="00993DCC">
      <w:pPr>
        <w:rPr>
          <w:rFonts w:ascii="Arial" w:eastAsia="Times New Roman" w:hAnsi="Arial"/>
          <w:color w:val="000000" w:themeColor="text1"/>
          <w:sz w:val="22"/>
        </w:rPr>
      </w:pPr>
      <w:r w:rsidRPr="0002442C">
        <w:rPr>
          <w:rFonts w:ascii="Arial" w:eastAsia="Times New Roman" w:hAnsi="Arial"/>
          <w:b/>
          <w:bCs/>
          <w:i/>
          <w:iCs/>
          <w:color w:val="000000" w:themeColor="text1"/>
          <w:sz w:val="22"/>
        </w:rPr>
        <w:t>Translation risks</w:t>
      </w:r>
      <w:r w:rsidRPr="0002442C">
        <w:rPr>
          <w:rFonts w:ascii="Arial" w:eastAsia="Times New Roman" w:hAnsi="Arial"/>
          <w:color w:val="000000" w:themeColor="text1"/>
          <w:sz w:val="22"/>
        </w:rPr>
        <w:t xml:space="preserve"> functioning across foreign exchange aspects have similarly been mitigated by international fashion company Zara. Popović </w:t>
      </w:r>
      <w:r w:rsidRPr="0002442C">
        <w:rPr>
          <w:rFonts w:ascii="Arial" w:eastAsia="Times New Roman" w:hAnsi="Arial"/>
          <w:i/>
          <w:color w:val="000000" w:themeColor="text1"/>
          <w:sz w:val="22"/>
        </w:rPr>
        <w:t xml:space="preserve">et al. </w:t>
      </w:r>
      <w:r w:rsidRPr="0002442C">
        <w:rPr>
          <w:rFonts w:ascii="Arial" w:eastAsia="Times New Roman" w:hAnsi="Arial"/>
          <w:color w:val="000000" w:themeColor="text1"/>
          <w:sz w:val="22"/>
        </w:rPr>
        <w:t xml:space="preserve">(2021) explained that assets and debt of Zara’s parent company Inditex are equally distributed to avoid lower rates of returns. Balance operations between mostly sold brands and parent companies have enabled the international business to flexibly handle international financing. Thus, it can be explained that for successful international financing, balanced internal financing needs to be strategically observed to lead long-term success. </w:t>
      </w:r>
    </w:p>
    <w:p w14:paraId="0F1F5996" w14:textId="77777777" w:rsidR="00993DCC" w:rsidRPr="00FF5F52" w:rsidRDefault="00993DCC" w:rsidP="00993DCC">
      <w:pPr>
        <w:pStyle w:val="Heading1"/>
      </w:pPr>
      <w:bookmarkStart w:id="6" w:name="_Toc172662811"/>
      <w:bookmarkStart w:id="7" w:name="_Toc172669945"/>
      <w:r w:rsidRPr="00FF5F52">
        <w:t>Methods and Techniques adopted by MNCs to manage exposure to foreign exchange risks</w:t>
      </w:r>
      <w:bookmarkEnd w:id="6"/>
      <w:bookmarkEnd w:id="7"/>
      <w:r w:rsidRPr="00FF5F52">
        <w:t xml:space="preserve"> </w:t>
      </w:r>
    </w:p>
    <w:p w14:paraId="7A7580CE" w14:textId="77777777" w:rsidR="00782498" w:rsidRPr="00FF5F52" w:rsidRDefault="00782498" w:rsidP="00FF5F52">
      <w:pPr>
        <w:pStyle w:val="Heading2"/>
      </w:pPr>
      <w:bookmarkStart w:id="8" w:name="_Toc172669946"/>
      <w:r w:rsidRPr="00FF5F52">
        <w:t>Challenges in managing foreign exchange risks</w:t>
      </w:r>
      <w:bookmarkEnd w:id="8"/>
      <w:r w:rsidRPr="00FF5F52">
        <w:t xml:space="preserve"> </w:t>
      </w:r>
    </w:p>
    <w:p w14:paraId="08DB548D" w14:textId="77777777" w:rsidR="00782498" w:rsidRPr="0002442C" w:rsidRDefault="00782498" w:rsidP="002D7678">
      <w:pPr>
        <w:rPr>
          <w:rFonts w:ascii="Arial" w:eastAsia="Times New Roman" w:hAnsi="Arial"/>
          <w:bCs/>
          <w:color w:val="000000" w:themeColor="text1"/>
          <w:sz w:val="22"/>
        </w:rPr>
      </w:pPr>
      <w:r w:rsidRPr="0002442C">
        <w:rPr>
          <w:rFonts w:ascii="Arial" w:eastAsia="Times New Roman" w:hAnsi="Arial"/>
          <w:bCs/>
          <w:color w:val="000000" w:themeColor="text1"/>
          <w:sz w:val="22"/>
        </w:rPr>
        <w:t xml:space="preserve">International markets consistently experience fluctuations in demand and supply trends, which imposes challenges in creating a stabilised financing. According to </w:t>
      </w:r>
      <w:r w:rsidRPr="0002442C">
        <w:rPr>
          <w:rFonts w:ascii="Arial" w:eastAsia="Times New Roman" w:hAnsi="Arial"/>
          <w:color w:val="000000" w:themeColor="text1"/>
          <w:sz w:val="22"/>
        </w:rPr>
        <w:t xml:space="preserve">Shams </w:t>
      </w:r>
      <w:r w:rsidRPr="0002442C">
        <w:rPr>
          <w:rFonts w:ascii="Arial" w:eastAsia="Times New Roman" w:hAnsi="Arial"/>
          <w:i/>
          <w:color w:val="000000" w:themeColor="text1"/>
          <w:sz w:val="22"/>
        </w:rPr>
        <w:t xml:space="preserve">et al. </w:t>
      </w:r>
      <w:r w:rsidRPr="0002442C">
        <w:rPr>
          <w:rFonts w:ascii="Arial" w:eastAsia="Times New Roman" w:hAnsi="Arial"/>
          <w:color w:val="000000" w:themeColor="text1"/>
          <w:sz w:val="22"/>
        </w:rPr>
        <w:t xml:space="preserve">(2021), economic risks might differ as per local, regional and national contexts within a same industry. Inability to understand how to calculate economic risks separately for different markets might impose high financing risk. Thus, fluctuating and diversified economic risks imposes challenges in creating a standardized approach. On the other hand, Zhang (2022) noted that transaction risks of unable to figure currency fluctuations decreases international financing strength. As a result, MNCs might fail to adopt their internal financing strategies with that of consumer purchasing power in foreign economies. </w:t>
      </w:r>
    </w:p>
    <w:p w14:paraId="0702BD28" w14:textId="66ECBF28" w:rsidR="00993DCC" w:rsidRPr="00FF5F52" w:rsidRDefault="00993DCC" w:rsidP="00E44F95">
      <w:pPr>
        <w:pStyle w:val="Heading2"/>
      </w:pPr>
      <w:bookmarkStart w:id="9" w:name="_Toc172669947"/>
      <w:r w:rsidRPr="00FF5F52">
        <w:lastRenderedPageBreak/>
        <w:t>Strategies for managing foreign exchange risks</w:t>
      </w:r>
      <w:bookmarkEnd w:id="9"/>
      <w:r w:rsidRPr="00FF5F52">
        <w:t xml:space="preserve"> </w:t>
      </w:r>
    </w:p>
    <w:p w14:paraId="0000000D" w14:textId="4B886C52" w:rsidR="00581A1F"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Functioning in the international market requires a strategic analysis of global needs and requirements of diverse consumer supplier and investor segments. As observed by Shams </w:t>
      </w:r>
      <w:r w:rsidRPr="0002442C">
        <w:rPr>
          <w:rFonts w:ascii="Arial" w:eastAsia="Times New Roman" w:hAnsi="Arial"/>
          <w:i/>
          <w:color w:val="000000" w:themeColor="text1"/>
          <w:sz w:val="22"/>
        </w:rPr>
        <w:t xml:space="preserve">et al. </w:t>
      </w:r>
      <w:r w:rsidRPr="0002442C">
        <w:rPr>
          <w:rFonts w:ascii="Arial" w:eastAsia="Times New Roman" w:hAnsi="Arial"/>
          <w:color w:val="000000" w:themeColor="text1"/>
          <w:sz w:val="22"/>
        </w:rPr>
        <w:t>(2021), developing an international corporate value is necessary to handle exposure to foreign financing risks and strengthen internal financing structure. For enhancing efficiency in international financial management, theoretical models and frameworks related to “Corporate Value</w:t>
      </w:r>
      <w:r w:rsidR="008E7A58" w:rsidRPr="0002442C">
        <w:rPr>
          <w:rFonts w:ascii="Arial" w:eastAsia="Times New Roman" w:hAnsi="Arial"/>
          <w:color w:val="000000" w:themeColor="text1"/>
          <w:sz w:val="22"/>
        </w:rPr>
        <w:t>,”</w:t>
      </w:r>
      <w:r w:rsidRPr="0002442C">
        <w:rPr>
          <w:rFonts w:ascii="Arial" w:eastAsia="Times New Roman" w:hAnsi="Arial"/>
          <w:color w:val="000000" w:themeColor="text1"/>
          <w:sz w:val="22"/>
        </w:rPr>
        <w:t xml:space="preserve"> “International Cost of Capital” and “Financial structure” were developed. </w:t>
      </w:r>
    </w:p>
    <w:p w14:paraId="20543E66" w14:textId="714B03B0" w:rsidR="00993DCC" w:rsidRPr="00FF5F52" w:rsidRDefault="00993DCC" w:rsidP="00FF5F52">
      <w:pPr>
        <w:pStyle w:val="Heading3"/>
      </w:pPr>
      <w:bookmarkStart w:id="10" w:name="_Toc172669948"/>
      <w:r w:rsidRPr="00FF5F52">
        <w:t>Cost-Benefit Analysis</w:t>
      </w:r>
      <w:bookmarkEnd w:id="10"/>
      <w:r w:rsidRPr="00FF5F52">
        <w:t xml:space="preserve"> </w:t>
      </w:r>
    </w:p>
    <w:p w14:paraId="00000011" w14:textId="77777777" w:rsidR="00581A1F"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Transaction Cost Theory (TCT) evaluates the diverse strategies based on which firms can take relevant financial decisions. According to Rindfleisch (2020), TCT suggests firms to use the most evident and effective financial decisions to minimise costs in domestic and international financing. Evaluation of different costs associated with planning, decision-making, sourcing and dispute-resolution is necessary for determining sustainable financing strategies. For instance, international app-based car rentals like Uber have diminished franchisees and have been directly managing on-site operations through digital monitoring and networking (Cuypers </w:t>
      </w:r>
      <w:r w:rsidRPr="0002442C">
        <w:rPr>
          <w:rFonts w:ascii="Arial" w:eastAsia="Times New Roman" w:hAnsi="Arial"/>
          <w:i/>
          <w:color w:val="000000" w:themeColor="text1"/>
          <w:sz w:val="22"/>
        </w:rPr>
        <w:t xml:space="preserve">et al. </w:t>
      </w:r>
      <w:r w:rsidRPr="0002442C">
        <w:rPr>
          <w:rFonts w:ascii="Arial" w:eastAsia="Times New Roman" w:hAnsi="Arial"/>
          <w:color w:val="000000" w:themeColor="text1"/>
          <w:sz w:val="22"/>
        </w:rPr>
        <w:t xml:space="preserve">2021). Uber’s operational units across regional branches can manage driver’s navigation, behaviour and payment systems without relying on franchises. This strategy allows Uber to reduce costs of partnering and managing profit with regional franchises across international markets. Thus, applying TCT it can be stated that Uber’s decentralised control on international operations had reduced the company’s cost in partnership and profit sharing. </w:t>
      </w:r>
    </w:p>
    <w:p w14:paraId="00000018" w14:textId="72EBD150" w:rsidR="00581A1F" w:rsidRPr="0002442C" w:rsidRDefault="00CC313B" w:rsidP="00993DCC">
      <w:pPr>
        <w:rPr>
          <w:rFonts w:ascii="Arial" w:eastAsia="Times New Roman" w:hAnsi="Arial"/>
          <w:color w:val="000000" w:themeColor="text1"/>
          <w:sz w:val="22"/>
        </w:rPr>
      </w:pPr>
      <w:r w:rsidRPr="0002442C">
        <w:rPr>
          <w:rFonts w:ascii="Arial" w:eastAsia="Times New Roman" w:hAnsi="Arial"/>
          <w:color w:val="000000" w:themeColor="text1"/>
          <w:sz w:val="22"/>
        </w:rPr>
        <w:t>“Trade Off Theory of Capital Structure” applied in international businesses suggests that globally functioning organisations are required to find a balance between debt and equity. Ngatno</w:t>
      </w:r>
      <w:r w:rsidRPr="0002442C">
        <w:rPr>
          <w:rFonts w:ascii="Arial" w:eastAsia="Times New Roman" w:hAnsi="Arial"/>
          <w:i/>
          <w:color w:val="000000" w:themeColor="text1"/>
          <w:sz w:val="22"/>
        </w:rPr>
        <w:t xml:space="preserve"> et al.</w:t>
      </w:r>
      <w:r w:rsidRPr="0002442C">
        <w:rPr>
          <w:rFonts w:ascii="Arial" w:eastAsia="Times New Roman" w:hAnsi="Arial"/>
          <w:color w:val="000000" w:themeColor="text1"/>
          <w:sz w:val="22"/>
        </w:rPr>
        <w:t xml:space="preserve"> (2021) noted that Trade Off Theory suggests </w:t>
      </w:r>
      <w:r w:rsidR="0002442C" w:rsidRPr="0002442C">
        <w:rPr>
          <w:rFonts w:ascii="Arial" w:eastAsia="Times New Roman" w:hAnsi="Arial"/>
          <w:color w:val="000000" w:themeColor="text1"/>
          <w:sz w:val="22"/>
        </w:rPr>
        <w:t>balancing</w:t>
      </w:r>
      <w:r w:rsidRPr="0002442C">
        <w:rPr>
          <w:rFonts w:ascii="Arial" w:eastAsia="Times New Roman" w:hAnsi="Arial"/>
          <w:color w:val="000000" w:themeColor="text1"/>
          <w:sz w:val="22"/>
        </w:rPr>
        <w:t xml:space="preserve"> liability and assets to minimise cost of capital and thereby increasing financial sustainability in international business. Purpose of this theory lies in developing strategic financing regarding country-level influences on cost of debt. For instance, international fast food chain McDonald’s had initially faced financial distress in balancing equity and debt, prior to opening franchise outlets (Chatfield </w:t>
      </w:r>
      <w:r w:rsidRPr="0002442C">
        <w:rPr>
          <w:rFonts w:ascii="Arial" w:eastAsia="Times New Roman" w:hAnsi="Arial"/>
          <w:i/>
          <w:color w:val="000000" w:themeColor="text1"/>
          <w:sz w:val="22"/>
        </w:rPr>
        <w:t>et al.</w:t>
      </w:r>
      <w:r w:rsidRPr="0002442C">
        <w:rPr>
          <w:rFonts w:ascii="Arial" w:eastAsia="Times New Roman" w:hAnsi="Arial"/>
          <w:color w:val="000000" w:themeColor="text1"/>
          <w:sz w:val="22"/>
        </w:rPr>
        <w:t xml:space="preserve"> 2020). In terms of reducing cost of capital, investment was later distributed across franchisee outlets across regional markets. This financial strategy allowed McDonald’s to distribute store managing, sourcing and employee costs through franchises and thereby reducing initial capital costs. Hence, as per Trade Off Theory, McDonald’s indulgence in distributing store management costs and increased chances of international business expansion. </w:t>
      </w:r>
    </w:p>
    <w:p w14:paraId="5EF97D13" w14:textId="624C5E0E" w:rsidR="00993DCC" w:rsidRPr="00FF5F52" w:rsidRDefault="00993DCC" w:rsidP="00E44F95">
      <w:pPr>
        <w:pStyle w:val="Heading3"/>
      </w:pPr>
      <w:bookmarkStart w:id="11" w:name="_Toc172669949"/>
      <w:r w:rsidRPr="00FF5F52">
        <w:lastRenderedPageBreak/>
        <w:t>Applying Retained Earnings Strategy</w:t>
      </w:r>
      <w:bookmarkEnd w:id="11"/>
      <w:r w:rsidRPr="00FF5F52">
        <w:t xml:space="preserve"> </w:t>
      </w:r>
    </w:p>
    <w:p w14:paraId="0000001F" w14:textId="6CC55D85" w:rsidR="00581A1F" w:rsidRPr="0002442C" w:rsidRDefault="00CC313B" w:rsidP="003970FB">
      <w:pPr>
        <w:rPr>
          <w:rFonts w:ascii="Arial" w:eastAsia="Times New Roman" w:hAnsi="Arial"/>
          <w:color w:val="000000" w:themeColor="text1"/>
          <w:sz w:val="22"/>
        </w:rPr>
      </w:pPr>
      <w:r w:rsidRPr="0002442C">
        <w:rPr>
          <w:rFonts w:ascii="Arial" w:eastAsia="Times New Roman" w:hAnsi="Arial"/>
          <w:color w:val="000000" w:themeColor="text1"/>
          <w:sz w:val="22"/>
        </w:rPr>
        <w:t xml:space="preserve">Strategic management of internal financing is necessary for international business operations. Modular frameworks like “Pecking Order Theory” focus on balancing internal financial hierarchy by prioritising internal funds, debt and equity (Chen </w:t>
      </w:r>
      <w:r w:rsidRPr="0002442C">
        <w:rPr>
          <w:rFonts w:ascii="Arial" w:eastAsia="Times New Roman" w:hAnsi="Arial"/>
          <w:i/>
          <w:color w:val="000000" w:themeColor="text1"/>
          <w:sz w:val="22"/>
        </w:rPr>
        <w:t>et al.</w:t>
      </w:r>
      <w:r w:rsidRPr="0002442C">
        <w:rPr>
          <w:rFonts w:ascii="Arial" w:eastAsia="Times New Roman" w:hAnsi="Arial"/>
          <w:color w:val="000000" w:themeColor="text1"/>
          <w:sz w:val="22"/>
        </w:rPr>
        <w:t xml:space="preserve"> 2021). Focus of strengthening internal funds lies in improving the sufficiency of financial management by utilising retained earnings for international business management. </w:t>
      </w:r>
      <w:r w:rsidR="008E7A58" w:rsidRPr="0002442C">
        <w:rPr>
          <w:rFonts w:ascii="Arial" w:eastAsia="Times New Roman" w:hAnsi="Arial"/>
          <w:color w:val="000000" w:themeColor="text1"/>
          <w:sz w:val="22"/>
        </w:rPr>
        <w:t>For instance</w:t>
      </w:r>
      <w:r w:rsidRPr="0002442C">
        <w:rPr>
          <w:rFonts w:ascii="Arial" w:eastAsia="Times New Roman" w:hAnsi="Arial"/>
          <w:color w:val="000000" w:themeColor="text1"/>
          <w:sz w:val="22"/>
        </w:rPr>
        <w:t xml:space="preserve">, multinational firms like Apple have utilised retained earnings over the years for initiating internal research and development and domestic business expansion (Riyanto </w:t>
      </w:r>
      <w:r w:rsidRPr="0002442C">
        <w:rPr>
          <w:rFonts w:ascii="Arial" w:eastAsia="Times New Roman" w:hAnsi="Arial"/>
          <w:i/>
          <w:color w:val="000000" w:themeColor="text1"/>
          <w:sz w:val="22"/>
        </w:rPr>
        <w:t>et al</w:t>
      </w:r>
      <w:r w:rsidRPr="0002442C">
        <w:rPr>
          <w:rFonts w:ascii="Arial" w:eastAsia="Times New Roman" w:hAnsi="Arial"/>
          <w:color w:val="000000" w:themeColor="text1"/>
          <w:sz w:val="22"/>
        </w:rPr>
        <w:t xml:space="preserve">. 2024). Retained earnings have helped Apple to avoid risks of bankruptcy that can occur </w:t>
      </w:r>
      <w:r w:rsidR="0002442C" w:rsidRPr="0002442C">
        <w:rPr>
          <w:rFonts w:ascii="Arial" w:eastAsia="Times New Roman" w:hAnsi="Arial"/>
          <w:color w:val="000000" w:themeColor="text1"/>
          <w:sz w:val="22"/>
        </w:rPr>
        <w:t>because of</w:t>
      </w:r>
      <w:r w:rsidRPr="0002442C">
        <w:rPr>
          <w:rFonts w:ascii="Arial" w:eastAsia="Times New Roman" w:hAnsi="Arial"/>
          <w:color w:val="000000" w:themeColor="text1"/>
          <w:sz w:val="22"/>
        </w:rPr>
        <w:t xml:space="preserve"> debt and thereby increased stability in international financing. Thus, efficiency of Pecking Order Theory lies in improving internal financing and in return reduces external financing debts. </w:t>
      </w:r>
    </w:p>
    <w:p w14:paraId="4B0193D6" w14:textId="2E353373" w:rsidR="00795154" w:rsidRPr="00FF5F52" w:rsidRDefault="00795154" w:rsidP="00E44F95">
      <w:pPr>
        <w:pStyle w:val="Heading3"/>
      </w:pPr>
      <w:bookmarkStart w:id="12" w:name="_Toc172669950"/>
      <w:r w:rsidRPr="00FF5F52">
        <w:t>Predicting Customer Demand Fluctuations</w:t>
      </w:r>
      <w:bookmarkEnd w:id="12"/>
      <w:r w:rsidRPr="00FF5F52">
        <w:t xml:space="preserve"> </w:t>
      </w:r>
    </w:p>
    <w:p w14:paraId="6618873F" w14:textId="10D684DC" w:rsidR="00795154"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Theoretical frameworks related to international businesses can be simultaneously used for strategically financial global operations. For instance, automobile MNCS like Volkswagen had adopted economically sustainable pricing strategies to satisfy customers as per customer affordability in target market (Bai, 2021). Pricing flexibility offered across local markets enables Volkswagen to derive domestic customer satisfaction in international automobile dealing. Simultaneously, regional headquarters of Volkswagen strategically evaluates local customer behaviour and designs vehicle models to sustain domestic transportation needs (Bai, 2021). As a result, economic risks of customer dissatisfaction are reduced, while chances of profitability have simultaneously increased. Interlinking with transaction cost theory it can be explained that </w:t>
      </w:r>
      <w:r w:rsidR="008E7A58" w:rsidRPr="0002442C">
        <w:rPr>
          <w:rFonts w:ascii="Arial" w:eastAsia="Times New Roman" w:hAnsi="Arial"/>
          <w:color w:val="000000" w:themeColor="text1"/>
          <w:sz w:val="22"/>
        </w:rPr>
        <w:t>local pricing</w:t>
      </w:r>
      <w:r w:rsidRPr="0002442C">
        <w:rPr>
          <w:rFonts w:ascii="Arial" w:eastAsia="Times New Roman" w:hAnsi="Arial"/>
          <w:color w:val="000000" w:themeColor="text1"/>
          <w:sz w:val="22"/>
        </w:rPr>
        <w:t xml:space="preserve"> strategies of Volkswagen have been effective in delivering high product quality </w:t>
      </w:r>
      <w:r w:rsidR="008E7A58" w:rsidRPr="0002442C">
        <w:rPr>
          <w:rFonts w:ascii="Arial" w:eastAsia="Times New Roman" w:hAnsi="Arial"/>
          <w:color w:val="000000" w:themeColor="text1"/>
          <w:sz w:val="22"/>
        </w:rPr>
        <w:t>without compromising</w:t>
      </w:r>
      <w:r w:rsidRPr="0002442C">
        <w:rPr>
          <w:rFonts w:ascii="Arial" w:eastAsia="Times New Roman" w:hAnsi="Arial"/>
          <w:color w:val="000000" w:themeColor="text1"/>
          <w:sz w:val="22"/>
        </w:rPr>
        <w:t xml:space="preserve"> financial sustainability. </w:t>
      </w:r>
    </w:p>
    <w:p w14:paraId="00000021" w14:textId="03BC4E30" w:rsidR="00581A1F"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Financing in international business has been strategically fulfilled by designer fashion MNCs like Zara. For instance, Popović </w:t>
      </w:r>
      <w:r w:rsidRPr="0002442C">
        <w:rPr>
          <w:rFonts w:ascii="Arial" w:eastAsia="Times New Roman" w:hAnsi="Arial"/>
          <w:i/>
          <w:color w:val="000000" w:themeColor="text1"/>
          <w:sz w:val="22"/>
        </w:rPr>
        <w:t xml:space="preserve">et al. </w:t>
      </w:r>
      <w:r w:rsidRPr="0002442C">
        <w:rPr>
          <w:rFonts w:ascii="Arial" w:eastAsia="Times New Roman" w:hAnsi="Arial"/>
          <w:color w:val="000000" w:themeColor="text1"/>
          <w:sz w:val="22"/>
        </w:rPr>
        <w:t xml:space="preserve">(2021) </w:t>
      </w:r>
      <w:r w:rsidR="008E7A58" w:rsidRPr="0002442C">
        <w:rPr>
          <w:rFonts w:ascii="Arial" w:eastAsia="Times New Roman" w:hAnsi="Arial"/>
          <w:color w:val="000000" w:themeColor="text1"/>
          <w:sz w:val="22"/>
        </w:rPr>
        <w:t>explained Zara’s</w:t>
      </w:r>
      <w:r w:rsidRPr="0002442C">
        <w:rPr>
          <w:rFonts w:ascii="Arial" w:eastAsia="Times New Roman" w:hAnsi="Arial"/>
          <w:color w:val="000000" w:themeColor="text1"/>
          <w:sz w:val="22"/>
        </w:rPr>
        <w:t xml:space="preserve"> “Customer-Centric Model” to penetrate local market needs and employ capital as per local customer demands. Customer-Centric Model allows both designers and finance managers to manage internal and foreign financing to balance the amount of capital employed. On the other hand, </w:t>
      </w:r>
      <w:proofErr w:type="spellStart"/>
      <w:r w:rsidRPr="0002442C">
        <w:rPr>
          <w:rFonts w:ascii="Arial" w:eastAsia="Times New Roman" w:hAnsi="Arial"/>
          <w:color w:val="000000" w:themeColor="text1"/>
          <w:sz w:val="22"/>
        </w:rPr>
        <w:t>Mionel</w:t>
      </w:r>
      <w:proofErr w:type="spellEnd"/>
      <w:r w:rsidRPr="0002442C">
        <w:rPr>
          <w:rFonts w:ascii="Arial" w:eastAsia="Times New Roman" w:hAnsi="Arial"/>
          <w:color w:val="000000" w:themeColor="text1"/>
          <w:sz w:val="22"/>
        </w:rPr>
        <w:t xml:space="preserve"> and </w:t>
      </w:r>
      <w:proofErr w:type="spellStart"/>
      <w:r w:rsidRPr="0002442C">
        <w:rPr>
          <w:rFonts w:ascii="Arial" w:eastAsia="Times New Roman" w:hAnsi="Arial"/>
          <w:color w:val="000000" w:themeColor="text1"/>
          <w:sz w:val="22"/>
        </w:rPr>
        <w:t>Ştefănescu</w:t>
      </w:r>
      <w:proofErr w:type="spellEnd"/>
      <w:r w:rsidRPr="0002442C">
        <w:rPr>
          <w:rFonts w:ascii="Arial" w:eastAsia="Times New Roman" w:hAnsi="Arial"/>
          <w:color w:val="000000" w:themeColor="text1"/>
          <w:sz w:val="22"/>
        </w:rPr>
        <w:t xml:space="preserve"> (2024) noted the active utilisation of “Radio Frequency Identification” (RFID) to effectively handle inventory levels across large supply chain units. As inventory levels are strategically managed, risks of capital and asset imbalance are treated. Interlinking this aspect with Trade-Off Theory it can be explained </w:t>
      </w:r>
      <w:r w:rsidRPr="0002442C">
        <w:rPr>
          <w:rFonts w:ascii="Arial" w:eastAsia="Times New Roman" w:hAnsi="Arial"/>
          <w:color w:val="000000" w:themeColor="text1"/>
          <w:sz w:val="22"/>
        </w:rPr>
        <w:lastRenderedPageBreak/>
        <w:t>that strategic inventory management is necessary fo</w:t>
      </w:r>
      <w:r w:rsidRPr="00FF5F52">
        <w:rPr>
          <w:rFonts w:eastAsia="Times New Roman" w:cs="Times New Roman"/>
          <w:color w:val="000000" w:themeColor="text1"/>
          <w:szCs w:val="24"/>
        </w:rPr>
        <w:t xml:space="preserve">r </w:t>
      </w:r>
      <w:r w:rsidRPr="0002442C">
        <w:rPr>
          <w:rFonts w:ascii="Arial" w:eastAsia="Times New Roman" w:hAnsi="Arial"/>
          <w:color w:val="000000" w:themeColor="text1"/>
          <w:sz w:val="22"/>
        </w:rPr>
        <w:t xml:space="preserve">successful financing of international businesses. </w:t>
      </w:r>
    </w:p>
    <w:p w14:paraId="0D31DE39" w14:textId="0F923E53" w:rsidR="00795154" w:rsidRPr="00FF5F52" w:rsidRDefault="00795154" w:rsidP="00E44F95">
      <w:pPr>
        <w:pStyle w:val="Heading3"/>
      </w:pPr>
      <w:bookmarkStart w:id="13" w:name="_Toc172669951"/>
      <w:r w:rsidRPr="00FF5F52">
        <w:t>Value-Based Pricing Strategy</w:t>
      </w:r>
      <w:bookmarkEnd w:id="13"/>
      <w:r w:rsidRPr="00FF5F52">
        <w:t xml:space="preserve"> </w:t>
      </w:r>
    </w:p>
    <w:p w14:paraId="00000022" w14:textId="25F03D6D" w:rsidR="00581A1F"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Renowned international coffee chain Starbucks had adopted “Value-based Pricing Strategy” to determine pricing variation across international markets. As observed by Chen and Wang (2023), value-based pricing refers to setting up price standards as per customer evaluation of products, instead of internal company decisions. Customer-centric product pricing had allowed Starbucks to acquire regional profits without creating conflicts in currency variation. On the other hand, </w:t>
      </w:r>
      <w:proofErr w:type="spellStart"/>
      <w:r w:rsidRPr="0002442C">
        <w:rPr>
          <w:rFonts w:ascii="Arial" w:eastAsia="Times New Roman" w:hAnsi="Arial"/>
          <w:color w:val="000000" w:themeColor="text1"/>
          <w:sz w:val="22"/>
        </w:rPr>
        <w:t>Rancati</w:t>
      </w:r>
      <w:proofErr w:type="spellEnd"/>
      <w:r w:rsidRPr="0002442C">
        <w:rPr>
          <w:rFonts w:ascii="Arial" w:eastAsia="Times New Roman" w:hAnsi="Arial"/>
          <w:i/>
          <w:color w:val="000000" w:themeColor="text1"/>
          <w:sz w:val="22"/>
        </w:rPr>
        <w:t xml:space="preserve"> et al.</w:t>
      </w:r>
      <w:r w:rsidRPr="0002442C">
        <w:rPr>
          <w:rFonts w:ascii="Arial" w:eastAsia="Times New Roman" w:hAnsi="Arial"/>
          <w:color w:val="000000" w:themeColor="text1"/>
          <w:sz w:val="22"/>
        </w:rPr>
        <w:t xml:space="preserve"> (2024) noted that extensive mobile payment and online ordering facilitated by Starbucks had continued to actively engage customers. This strategy falls under “sunk cost fallacy</w:t>
      </w:r>
      <w:r w:rsidR="009B67C5" w:rsidRPr="0002442C">
        <w:rPr>
          <w:rFonts w:ascii="Arial" w:eastAsia="Times New Roman" w:hAnsi="Arial"/>
          <w:color w:val="000000" w:themeColor="text1"/>
          <w:sz w:val="22"/>
        </w:rPr>
        <w:t>,”</w:t>
      </w:r>
      <w:r w:rsidRPr="0002442C">
        <w:rPr>
          <w:rFonts w:ascii="Arial" w:eastAsia="Times New Roman" w:hAnsi="Arial"/>
          <w:color w:val="000000" w:themeColor="text1"/>
          <w:sz w:val="22"/>
        </w:rPr>
        <w:t xml:space="preserve"> where tendency of customers to continue spending was observed, despite diversity in preferences and behavioural aspects. As a result, Starbucks was able to balance international investment costs and retained earnings through constant customer engagement. </w:t>
      </w:r>
    </w:p>
    <w:p w14:paraId="00000023" w14:textId="77777777" w:rsidR="00581A1F" w:rsidRPr="00FF5F52" w:rsidRDefault="00CC313B" w:rsidP="008E7A58">
      <w:pPr>
        <w:pStyle w:val="Heading1"/>
      </w:pPr>
      <w:bookmarkStart w:id="14" w:name="_Toc172662813"/>
      <w:bookmarkStart w:id="15" w:name="_Toc172669952"/>
      <w:r w:rsidRPr="00FF5F52">
        <w:t>Conclusion</w:t>
      </w:r>
      <w:bookmarkEnd w:id="14"/>
      <w:bookmarkEnd w:id="15"/>
      <w:r w:rsidRPr="00FF5F52">
        <w:t xml:space="preserve"> </w:t>
      </w:r>
    </w:p>
    <w:p w14:paraId="00000024" w14:textId="77777777" w:rsidR="00581A1F" w:rsidRPr="0002442C" w:rsidRDefault="00CC313B">
      <w:pPr>
        <w:rPr>
          <w:rFonts w:ascii="Arial" w:eastAsia="Times New Roman" w:hAnsi="Arial"/>
          <w:color w:val="000000" w:themeColor="text1"/>
          <w:sz w:val="22"/>
        </w:rPr>
      </w:pPr>
      <w:r w:rsidRPr="0002442C">
        <w:rPr>
          <w:rFonts w:ascii="Arial" w:eastAsia="Times New Roman" w:hAnsi="Arial"/>
          <w:color w:val="000000" w:themeColor="text1"/>
          <w:sz w:val="22"/>
        </w:rPr>
        <w:t xml:space="preserve">This study had discussed international financing strategies adopted by multinational corporations for handling global business operations. It was observed that long-term success in international financing can be obtained through thorough understanding of customer diversity. Furthermore, foreign exchange risks can be easily mitigated through decentralised control and internal financial improvement. Theoretical perspectives were interlinked with real-life business examples to determine the fact that successful financing comes with market-centricity. Therefore, it can be concluded that international financial management can be successfully performed with strategic collaboration of centralised and decentralised business ideas. </w:t>
      </w:r>
      <w:r w:rsidRPr="0002442C">
        <w:rPr>
          <w:rFonts w:ascii="Arial" w:hAnsi="Arial"/>
          <w:color w:val="000000" w:themeColor="text1"/>
          <w:sz w:val="22"/>
        </w:rPr>
        <w:br w:type="page"/>
      </w:r>
    </w:p>
    <w:p w14:paraId="39D8422C" w14:textId="157A0843" w:rsidR="008E7A58" w:rsidRPr="00FF5F52" w:rsidRDefault="00CC313B" w:rsidP="008E7A58">
      <w:pPr>
        <w:pStyle w:val="Heading1"/>
      </w:pPr>
      <w:bookmarkStart w:id="16" w:name="_Toc172662814"/>
      <w:bookmarkStart w:id="17" w:name="_Toc172669953"/>
      <w:r w:rsidRPr="00FF5F52">
        <w:lastRenderedPageBreak/>
        <w:t>References</w:t>
      </w:r>
      <w:bookmarkEnd w:id="16"/>
      <w:bookmarkEnd w:id="17"/>
      <w:r w:rsidRPr="00FF5F52">
        <w:t xml:space="preserve"> </w:t>
      </w:r>
    </w:p>
    <w:p w14:paraId="386F520D" w14:textId="77777777" w:rsidR="008E7A58" w:rsidRPr="00FF5F52" w:rsidRDefault="008E7A58" w:rsidP="008E7A58">
      <w:pPr>
        <w:spacing w:before="240"/>
        <w:rPr>
          <w:rFonts w:eastAsia="Times New Roman" w:cs="Times New Roman"/>
          <w:i/>
          <w:color w:val="000000" w:themeColor="text1"/>
          <w:szCs w:val="24"/>
        </w:rPr>
      </w:pPr>
      <w:r w:rsidRPr="00FF5F52">
        <w:rPr>
          <w:rFonts w:eastAsia="Times New Roman" w:cs="Times New Roman"/>
          <w:color w:val="000000" w:themeColor="text1"/>
          <w:szCs w:val="24"/>
        </w:rPr>
        <w:t xml:space="preserve">Bai, Y., (2021), March. Analysis of Overseas Management Strategy of the Volkswagen Group. In 6th International Conference on Financial Innovation and Economic Development (ICFIED 2021) (pp. 229-234). </w:t>
      </w:r>
      <w:r w:rsidRPr="00FF5F52">
        <w:rPr>
          <w:rFonts w:eastAsia="Times New Roman" w:cs="Times New Roman"/>
          <w:i/>
          <w:color w:val="000000" w:themeColor="text1"/>
          <w:szCs w:val="24"/>
        </w:rPr>
        <w:t>Atlantis Press.</w:t>
      </w:r>
    </w:p>
    <w:p w14:paraId="21AB7BD1"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Chatfield, H.K., Chatfield, R.E., </w:t>
      </w:r>
      <w:proofErr w:type="spellStart"/>
      <w:r w:rsidRPr="00FF5F52">
        <w:rPr>
          <w:rFonts w:eastAsia="Times New Roman" w:cs="Times New Roman"/>
          <w:color w:val="000000" w:themeColor="text1"/>
          <w:szCs w:val="24"/>
        </w:rPr>
        <w:t>Baloglu</w:t>
      </w:r>
      <w:proofErr w:type="spellEnd"/>
      <w:r w:rsidRPr="00FF5F52">
        <w:rPr>
          <w:rFonts w:eastAsia="Times New Roman" w:cs="Times New Roman"/>
          <w:color w:val="000000" w:themeColor="text1"/>
          <w:szCs w:val="24"/>
        </w:rPr>
        <w:t xml:space="preserve">, S. and Poon, P., (2020). Preferred stock issuance in the restaurant industry and financial distress. </w:t>
      </w:r>
      <w:r w:rsidRPr="00FF5F52">
        <w:rPr>
          <w:rFonts w:eastAsia="Times New Roman" w:cs="Times New Roman"/>
          <w:i/>
          <w:color w:val="000000" w:themeColor="text1"/>
          <w:szCs w:val="24"/>
        </w:rPr>
        <w:t>Journal of Foodservice Business Research, 23</w:t>
      </w:r>
      <w:r w:rsidRPr="00FF5F52">
        <w:rPr>
          <w:rFonts w:eastAsia="Times New Roman" w:cs="Times New Roman"/>
          <w:color w:val="000000" w:themeColor="text1"/>
          <w:szCs w:val="24"/>
        </w:rPr>
        <w:t>(5), pp.401-416.</w:t>
      </w:r>
    </w:p>
    <w:p w14:paraId="4AB9B227"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Chen, Y. and Wang, Y., (2023). Research on Financial Analysis and Development of Starbucks. </w:t>
      </w:r>
      <w:r w:rsidRPr="00FF5F52">
        <w:rPr>
          <w:rFonts w:eastAsia="Times New Roman" w:cs="Times New Roman"/>
          <w:i/>
          <w:color w:val="000000" w:themeColor="text1"/>
          <w:szCs w:val="24"/>
        </w:rPr>
        <w:t>Highlights in Business, Economics and Management, 10</w:t>
      </w:r>
      <w:r w:rsidRPr="00FF5F52">
        <w:rPr>
          <w:rFonts w:eastAsia="Times New Roman" w:cs="Times New Roman"/>
          <w:color w:val="000000" w:themeColor="text1"/>
          <w:szCs w:val="24"/>
        </w:rPr>
        <w:t>, pp.81-87.</w:t>
      </w:r>
    </w:p>
    <w:p w14:paraId="50F468F8"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Chen, Y., </w:t>
      </w:r>
      <w:proofErr w:type="spellStart"/>
      <w:r w:rsidRPr="00FF5F52">
        <w:rPr>
          <w:rFonts w:eastAsia="Times New Roman" w:cs="Times New Roman"/>
          <w:color w:val="000000" w:themeColor="text1"/>
          <w:szCs w:val="24"/>
        </w:rPr>
        <w:t>Sensini</w:t>
      </w:r>
      <w:proofErr w:type="spellEnd"/>
      <w:r w:rsidRPr="00FF5F52">
        <w:rPr>
          <w:rFonts w:eastAsia="Times New Roman" w:cs="Times New Roman"/>
          <w:color w:val="000000" w:themeColor="text1"/>
          <w:szCs w:val="24"/>
        </w:rPr>
        <w:t xml:space="preserve">, L. and Vazquez, M., (2021). Determinants of leverage in emerging markets: empirical evidence. </w:t>
      </w:r>
      <w:r w:rsidRPr="00FF5F52">
        <w:rPr>
          <w:rFonts w:eastAsia="Times New Roman" w:cs="Times New Roman"/>
          <w:i/>
          <w:color w:val="000000" w:themeColor="text1"/>
          <w:szCs w:val="24"/>
        </w:rPr>
        <w:t>International Journal of Economics and Financial Issues, 11</w:t>
      </w:r>
      <w:r w:rsidRPr="00FF5F52">
        <w:rPr>
          <w:rFonts w:eastAsia="Times New Roman" w:cs="Times New Roman"/>
          <w:color w:val="000000" w:themeColor="text1"/>
          <w:szCs w:val="24"/>
        </w:rPr>
        <w:t>(2), p.40.</w:t>
      </w:r>
    </w:p>
    <w:p w14:paraId="4B6BD406"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Cuypers, I.R., </w:t>
      </w:r>
      <w:proofErr w:type="spellStart"/>
      <w:r w:rsidRPr="00FF5F52">
        <w:rPr>
          <w:rFonts w:eastAsia="Times New Roman" w:cs="Times New Roman"/>
          <w:color w:val="000000" w:themeColor="text1"/>
          <w:szCs w:val="24"/>
        </w:rPr>
        <w:t>Hennart</w:t>
      </w:r>
      <w:proofErr w:type="spellEnd"/>
      <w:r w:rsidRPr="00FF5F52">
        <w:rPr>
          <w:rFonts w:eastAsia="Times New Roman" w:cs="Times New Roman"/>
          <w:color w:val="000000" w:themeColor="text1"/>
          <w:szCs w:val="24"/>
        </w:rPr>
        <w:t xml:space="preserve">, J.F., Silverman, B.S. and </w:t>
      </w:r>
      <w:proofErr w:type="spellStart"/>
      <w:r w:rsidRPr="00FF5F52">
        <w:rPr>
          <w:rFonts w:eastAsia="Times New Roman" w:cs="Times New Roman"/>
          <w:color w:val="000000" w:themeColor="text1"/>
          <w:szCs w:val="24"/>
        </w:rPr>
        <w:t>Ertug</w:t>
      </w:r>
      <w:proofErr w:type="spellEnd"/>
      <w:r w:rsidRPr="00FF5F52">
        <w:rPr>
          <w:rFonts w:eastAsia="Times New Roman" w:cs="Times New Roman"/>
          <w:color w:val="000000" w:themeColor="text1"/>
          <w:szCs w:val="24"/>
        </w:rPr>
        <w:t xml:space="preserve">, G., (2021). Transaction cost theory: Past progress, current challenges, and suggestions for the future. </w:t>
      </w:r>
      <w:r w:rsidRPr="00FF5F52">
        <w:rPr>
          <w:rFonts w:eastAsia="Times New Roman" w:cs="Times New Roman"/>
          <w:i/>
          <w:color w:val="000000" w:themeColor="text1"/>
          <w:szCs w:val="24"/>
        </w:rPr>
        <w:t>Academy of Management Annals, 15</w:t>
      </w:r>
      <w:r w:rsidRPr="00FF5F52">
        <w:rPr>
          <w:rFonts w:eastAsia="Times New Roman" w:cs="Times New Roman"/>
          <w:color w:val="000000" w:themeColor="text1"/>
          <w:szCs w:val="24"/>
        </w:rPr>
        <w:t>(1), pp.111-150.</w:t>
      </w:r>
    </w:p>
    <w:p w14:paraId="02B1D388"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Ghauri, P., Strange, R. and Cooke, F.L., (2021). Research on international business: The new realities. </w:t>
      </w:r>
      <w:r w:rsidRPr="00FF5F52">
        <w:rPr>
          <w:rFonts w:eastAsia="Times New Roman" w:cs="Times New Roman"/>
          <w:i/>
          <w:color w:val="000000" w:themeColor="text1"/>
          <w:szCs w:val="24"/>
        </w:rPr>
        <w:t>International Business Review, 30</w:t>
      </w:r>
      <w:r w:rsidRPr="00FF5F52">
        <w:rPr>
          <w:rFonts w:eastAsia="Times New Roman" w:cs="Times New Roman"/>
          <w:color w:val="000000" w:themeColor="text1"/>
          <w:szCs w:val="24"/>
        </w:rPr>
        <w:t>(2), p.101794.</w:t>
      </w:r>
    </w:p>
    <w:p w14:paraId="7B0CCAB7"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Liu, S., (2021). A Report on Strategic Analysis and Recommendations of Coca-Cola. </w:t>
      </w:r>
      <w:r w:rsidRPr="00FF5F52">
        <w:rPr>
          <w:rFonts w:eastAsia="Times New Roman" w:cs="Times New Roman"/>
          <w:i/>
          <w:color w:val="000000" w:themeColor="text1"/>
          <w:szCs w:val="24"/>
        </w:rPr>
        <w:t>International Journal of Frontiers in Sociology, 3</w:t>
      </w:r>
      <w:r w:rsidRPr="00FF5F52">
        <w:rPr>
          <w:rFonts w:eastAsia="Times New Roman" w:cs="Times New Roman"/>
          <w:color w:val="000000" w:themeColor="text1"/>
          <w:szCs w:val="24"/>
        </w:rPr>
        <w:t>(17).</w:t>
      </w:r>
    </w:p>
    <w:p w14:paraId="34C9C52C" w14:textId="77777777" w:rsidR="008E7A58" w:rsidRPr="00FF5F52" w:rsidRDefault="008E7A58" w:rsidP="008E7A58">
      <w:pPr>
        <w:spacing w:before="240"/>
        <w:rPr>
          <w:rFonts w:eastAsia="Times New Roman" w:cs="Times New Roman"/>
          <w:color w:val="000000" w:themeColor="text1"/>
          <w:szCs w:val="24"/>
        </w:rPr>
      </w:pPr>
      <w:proofErr w:type="spellStart"/>
      <w:r w:rsidRPr="00FF5F52">
        <w:rPr>
          <w:rFonts w:eastAsia="Times New Roman" w:cs="Times New Roman"/>
          <w:color w:val="000000" w:themeColor="text1"/>
          <w:szCs w:val="24"/>
        </w:rPr>
        <w:t>Mionel</w:t>
      </w:r>
      <w:proofErr w:type="spellEnd"/>
      <w:r w:rsidRPr="00FF5F52">
        <w:rPr>
          <w:rFonts w:eastAsia="Times New Roman" w:cs="Times New Roman"/>
          <w:color w:val="000000" w:themeColor="text1"/>
          <w:szCs w:val="24"/>
        </w:rPr>
        <w:t xml:space="preserve">, O. and </w:t>
      </w:r>
      <w:proofErr w:type="spellStart"/>
      <w:r w:rsidRPr="00FF5F52">
        <w:rPr>
          <w:rFonts w:eastAsia="Times New Roman" w:cs="Times New Roman"/>
          <w:color w:val="000000" w:themeColor="text1"/>
          <w:szCs w:val="24"/>
        </w:rPr>
        <w:t>Ştefănescu</w:t>
      </w:r>
      <w:proofErr w:type="spellEnd"/>
      <w:r w:rsidRPr="00FF5F52">
        <w:rPr>
          <w:rFonts w:eastAsia="Times New Roman" w:cs="Times New Roman"/>
          <w:color w:val="000000" w:themeColor="text1"/>
          <w:szCs w:val="24"/>
        </w:rPr>
        <w:t xml:space="preserve">, M., (2024). Valuing Modern Technologies to Boost the Circular Economy in the Fashion Industry. </w:t>
      </w:r>
      <w:r w:rsidRPr="00FF5F52">
        <w:rPr>
          <w:rFonts w:eastAsia="Times New Roman" w:cs="Times New Roman"/>
          <w:i/>
          <w:color w:val="000000" w:themeColor="text1"/>
          <w:szCs w:val="24"/>
        </w:rPr>
        <w:t xml:space="preserve">In Proceedings of the International Conference on Business Excellence </w:t>
      </w:r>
      <w:r w:rsidRPr="00FF5F52">
        <w:rPr>
          <w:rFonts w:eastAsia="Times New Roman" w:cs="Times New Roman"/>
          <w:color w:val="000000" w:themeColor="text1"/>
          <w:szCs w:val="24"/>
        </w:rPr>
        <w:t>(Vol. 18, No. 1, pp. 870-887).</w:t>
      </w:r>
    </w:p>
    <w:p w14:paraId="3B9DE8C0"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Ngatno, </w:t>
      </w:r>
      <w:proofErr w:type="spellStart"/>
      <w:r w:rsidRPr="00FF5F52">
        <w:rPr>
          <w:rFonts w:eastAsia="Times New Roman" w:cs="Times New Roman"/>
          <w:color w:val="000000" w:themeColor="text1"/>
          <w:szCs w:val="24"/>
        </w:rPr>
        <w:t>Apriatni</w:t>
      </w:r>
      <w:proofErr w:type="spellEnd"/>
      <w:r w:rsidRPr="00FF5F52">
        <w:rPr>
          <w:rFonts w:eastAsia="Times New Roman" w:cs="Times New Roman"/>
          <w:color w:val="000000" w:themeColor="text1"/>
          <w:szCs w:val="24"/>
        </w:rPr>
        <w:t xml:space="preserve">, E.P. and </w:t>
      </w:r>
      <w:proofErr w:type="spellStart"/>
      <w:r w:rsidRPr="00FF5F52">
        <w:rPr>
          <w:rFonts w:eastAsia="Times New Roman" w:cs="Times New Roman"/>
          <w:color w:val="000000" w:themeColor="text1"/>
          <w:szCs w:val="24"/>
        </w:rPr>
        <w:t>Youlianto</w:t>
      </w:r>
      <w:proofErr w:type="spellEnd"/>
      <w:r w:rsidRPr="00FF5F52">
        <w:rPr>
          <w:rFonts w:eastAsia="Times New Roman" w:cs="Times New Roman"/>
          <w:color w:val="000000" w:themeColor="text1"/>
          <w:szCs w:val="24"/>
        </w:rPr>
        <w:t xml:space="preserve">, A., (2021). Moderating effects of corporate governance mechanism on the relation between capital structure and firm performance. </w:t>
      </w:r>
      <w:r w:rsidRPr="00FF5F52">
        <w:rPr>
          <w:rFonts w:eastAsia="Times New Roman" w:cs="Times New Roman"/>
          <w:i/>
          <w:color w:val="000000" w:themeColor="text1"/>
          <w:szCs w:val="24"/>
        </w:rPr>
        <w:t>Cogent Business &amp; Management, 8</w:t>
      </w:r>
      <w:r w:rsidRPr="00FF5F52">
        <w:rPr>
          <w:rFonts w:eastAsia="Times New Roman" w:cs="Times New Roman"/>
          <w:color w:val="000000" w:themeColor="text1"/>
          <w:szCs w:val="24"/>
        </w:rPr>
        <w:t>(1), p.1866822.</w:t>
      </w:r>
    </w:p>
    <w:p w14:paraId="33F6D755"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lastRenderedPageBreak/>
        <w:t xml:space="preserve">Popović, Š.N., Jeremić, A., </w:t>
      </w:r>
      <w:proofErr w:type="spellStart"/>
      <w:r w:rsidRPr="00FF5F52">
        <w:rPr>
          <w:rFonts w:eastAsia="Times New Roman" w:cs="Times New Roman"/>
          <w:color w:val="000000" w:themeColor="text1"/>
          <w:szCs w:val="24"/>
        </w:rPr>
        <w:t>Slijepčević</w:t>
      </w:r>
      <w:proofErr w:type="spellEnd"/>
      <w:r w:rsidRPr="00FF5F52">
        <w:rPr>
          <w:rFonts w:eastAsia="Times New Roman" w:cs="Times New Roman"/>
          <w:color w:val="000000" w:themeColor="text1"/>
          <w:szCs w:val="24"/>
        </w:rPr>
        <w:t xml:space="preserve">, M. and Ilić, M., (2021). Marketing focused on the online brand community: </w:t>
      </w:r>
      <w:r w:rsidRPr="00FF5F52">
        <w:rPr>
          <w:rFonts w:eastAsia="Times New Roman" w:cs="Times New Roman"/>
          <w:i/>
          <w:color w:val="000000" w:themeColor="text1"/>
          <w:szCs w:val="24"/>
        </w:rPr>
        <w:t>The example of Zara. Marketing, 52</w:t>
      </w:r>
      <w:r w:rsidRPr="00FF5F52">
        <w:rPr>
          <w:rFonts w:eastAsia="Times New Roman" w:cs="Times New Roman"/>
          <w:color w:val="000000" w:themeColor="text1"/>
          <w:szCs w:val="24"/>
        </w:rPr>
        <w:t>(1), pp.32-42.</w:t>
      </w:r>
    </w:p>
    <w:p w14:paraId="1FAF9998" w14:textId="77777777" w:rsidR="008E7A58" w:rsidRPr="00FF5F52" w:rsidRDefault="008E7A58" w:rsidP="008E7A58">
      <w:pPr>
        <w:spacing w:before="240"/>
        <w:rPr>
          <w:rFonts w:eastAsia="Times New Roman" w:cs="Times New Roman"/>
          <w:color w:val="000000" w:themeColor="text1"/>
          <w:szCs w:val="24"/>
        </w:rPr>
      </w:pPr>
      <w:proofErr w:type="spellStart"/>
      <w:r w:rsidRPr="00FF5F52">
        <w:rPr>
          <w:rFonts w:eastAsia="Times New Roman" w:cs="Times New Roman"/>
          <w:color w:val="000000" w:themeColor="text1"/>
          <w:szCs w:val="24"/>
        </w:rPr>
        <w:t>Rancati</w:t>
      </w:r>
      <w:proofErr w:type="spellEnd"/>
      <w:r w:rsidRPr="00FF5F52">
        <w:rPr>
          <w:rFonts w:eastAsia="Times New Roman" w:cs="Times New Roman"/>
          <w:color w:val="000000" w:themeColor="text1"/>
          <w:szCs w:val="24"/>
        </w:rPr>
        <w:t xml:space="preserve">, G., Nguyen, T.T.T., Fowler, D., Mauri, M. and Schultz, C.D., (2024). Customer experience in coffee stores: A multidisciplinary Neuromarketing approach. </w:t>
      </w:r>
      <w:r w:rsidRPr="00FF5F52">
        <w:rPr>
          <w:rFonts w:eastAsia="Times New Roman" w:cs="Times New Roman"/>
          <w:i/>
          <w:color w:val="000000" w:themeColor="text1"/>
          <w:szCs w:val="24"/>
        </w:rPr>
        <w:t>Journal of Consumer Behaviour, 23</w:t>
      </w:r>
      <w:r w:rsidRPr="00FF5F52">
        <w:rPr>
          <w:rFonts w:eastAsia="Times New Roman" w:cs="Times New Roman"/>
          <w:color w:val="000000" w:themeColor="text1"/>
          <w:szCs w:val="24"/>
        </w:rPr>
        <w:t>(1), pp.243-259.</w:t>
      </w:r>
    </w:p>
    <w:p w14:paraId="2EA41B29"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Rindfleisch, A., (2020). Transaction cost theory: past, present and future. </w:t>
      </w:r>
      <w:r w:rsidRPr="00FF5F52">
        <w:rPr>
          <w:rFonts w:eastAsia="Times New Roman" w:cs="Times New Roman"/>
          <w:i/>
          <w:color w:val="000000" w:themeColor="text1"/>
          <w:szCs w:val="24"/>
        </w:rPr>
        <w:t>AMS Review, 10</w:t>
      </w:r>
      <w:r w:rsidRPr="00FF5F52">
        <w:rPr>
          <w:rFonts w:eastAsia="Times New Roman" w:cs="Times New Roman"/>
          <w:color w:val="000000" w:themeColor="text1"/>
          <w:szCs w:val="24"/>
        </w:rPr>
        <w:t>(1), pp.85-97.</w:t>
      </w:r>
    </w:p>
    <w:p w14:paraId="68B2BD8C"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Riyanto, S., Sudarso, S. and Sumardi, S., (2024). International Market Development Strategy in Companies. </w:t>
      </w:r>
      <w:r w:rsidRPr="00FF5F52">
        <w:rPr>
          <w:rFonts w:eastAsia="Times New Roman" w:cs="Times New Roman"/>
          <w:i/>
          <w:color w:val="000000" w:themeColor="text1"/>
          <w:szCs w:val="24"/>
        </w:rPr>
        <w:t>International Journal of Management Science and Information Technology, 4</w:t>
      </w:r>
      <w:r w:rsidRPr="00FF5F52">
        <w:rPr>
          <w:rFonts w:eastAsia="Times New Roman" w:cs="Times New Roman"/>
          <w:color w:val="000000" w:themeColor="text1"/>
          <w:szCs w:val="24"/>
        </w:rPr>
        <w:t>(1), pp.137-147.</w:t>
      </w:r>
    </w:p>
    <w:p w14:paraId="2C1E92E8"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Shams, R., </w:t>
      </w:r>
      <w:proofErr w:type="spellStart"/>
      <w:r w:rsidRPr="00FF5F52">
        <w:rPr>
          <w:rFonts w:eastAsia="Times New Roman" w:cs="Times New Roman"/>
          <w:color w:val="000000" w:themeColor="text1"/>
          <w:szCs w:val="24"/>
        </w:rPr>
        <w:t>Vrontis</w:t>
      </w:r>
      <w:proofErr w:type="spellEnd"/>
      <w:r w:rsidRPr="00FF5F52">
        <w:rPr>
          <w:rFonts w:eastAsia="Times New Roman" w:cs="Times New Roman"/>
          <w:color w:val="000000" w:themeColor="text1"/>
          <w:szCs w:val="24"/>
        </w:rPr>
        <w:t xml:space="preserve">, D., Belyaeva, Z., Ferraris, A. and Czinkota, M.R., (2021). Strategic agility in international business: A conceptual framework for “agile” multinationals. </w:t>
      </w:r>
      <w:r w:rsidRPr="00FF5F52">
        <w:rPr>
          <w:rFonts w:eastAsia="Times New Roman" w:cs="Times New Roman"/>
          <w:i/>
          <w:color w:val="000000" w:themeColor="text1"/>
          <w:szCs w:val="24"/>
        </w:rPr>
        <w:t>Journal of International Management, 27</w:t>
      </w:r>
      <w:r w:rsidRPr="00FF5F52">
        <w:rPr>
          <w:rFonts w:eastAsia="Times New Roman" w:cs="Times New Roman"/>
          <w:color w:val="000000" w:themeColor="text1"/>
          <w:szCs w:val="24"/>
        </w:rPr>
        <w:t>(1), p.100737.</w:t>
      </w:r>
    </w:p>
    <w:p w14:paraId="2BF6891A" w14:textId="77777777" w:rsidR="008E7A58" w:rsidRPr="00FF5F52" w:rsidRDefault="008E7A58" w:rsidP="008E7A58">
      <w:pPr>
        <w:spacing w:before="240"/>
        <w:rPr>
          <w:rFonts w:eastAsia="Times New Roman" w:cs="Times New Roman"/>
          <w:color w:val="000000" w:themeColor="text1"/>
          <w:szCs w:val="24"/>
        </w:rPr>
      </w:pPr>
      <w:r w:rsidRPr="00FF5F52">
        <w:rPr>
          <w:rFonts w:eastAsia="Times New Roman" w:cs="Times New Roman"/>
          <w:color w:val="000000" w:themeColor="text1"/>
          <w:szCs w:val="24"/>
        </w:rPr>
        <w:t xml:space="preserve">Zhang, J., (2022). Analysis of the hedging strategy for the huge loss of Sinopec Group. </w:t>
      </w:r>
      <w:r w:rsidRPr="00FF5F52">
        <w:rPr>
          <w:rFonts w:eastAsia="Times New Roman" w:cs="Times New Roman"/>
          <w:i/>
          <w:color w:val="000000" w:themeColor="text1"/>
          <w:szCs w:val="24"/>
        </w:rPr>
        <w:t>BCP Business &amp; Management, 30</w:t>
      </w:r>
      <w:r w:rsidRPr="00FF5F52">
        <w:rPr>
          <w:rFonts w:eastAsia="Times New Roman" w:cs="Times New Roman"/>
          <w:color w:val="000000" w:themeColor="text1"/>
          <w:szCs w:val="24"/>
        </w:rPr>
        <w:t>, pp.441-446.</w:t>
      </w:r>
    </w:p>
    <w:p w14:paraId="00000043" w14:textId="77777777" w:rsidR="00581A1F" w:rsidRPr="00FF5F52" w:rsidRDefault="00581A1F">
      <w:pPr>
        <w:rPr>
          <w:rFonts w:eastAsia="Times New Roman" w:cs="Times New Roman"/>
          <w:color w:val="000000" w:themeColor="text1"/>
          <w:szCs w:val="24"/>
        </w:rPr>
      </w:pPr>
    </w:p>
    <w:p w14:paraId="00000044" w14:textId="77777777" w:rsidR="00581A1F" w:rsidRPr="00FF5F52" w:rsidRDefault="00581A1F">
      <w:pPr>
        <w:rPr>
          <w:rFonts w:eastAsia="Times New Roman" w:cs="Times New Roman"/>
          <w:b/>
          <w:color w:val="000000" w:themeColor="text1"/>
          <w:szCs w:val="24"/>
        </w:rPr>
      </w:pPr>
    </w:p>
    <w:p w14:paraId="00000045" w14:textId="77777777" w:rsidR="00581A1F" w:rsidRPr="00FF5F52" w:rsidRDefault="00581A1F">
      <w:pPr>
        <w:rPr>
          <w:rFonts w:eastAsia="Times New Roman" w:cs="Times New Roman"/>
          <w:color w:val="000000" w:themeColor="text1"/>
          <w:szCs w:val="24"/>
        </w:rPr>
      </w:pPr>
    </w:p>
    <w:p w14:paraId="00000046" w14:textId="77777777" w:rsidR="00581A1F" w:rsidRPr="00FF5F52" w:rsidRDefault="00581A1F">
      <w:pPr>
        <w:jc w:val="center"/>
        <w:rPr>
          <w:rFonts w:eastAsia="Times New Roman" w:cs="Times New Roman"/>
          <w:b/>
          <w:color w:val="000000" w:themeColor="text1"/>
          <w:sz w:val="32"/>
          <w:szCs w:val="32"/>
        </w:rPr>
      </w:pPr>
    </w:p>
    <w:sectPr w:rsidR="00581A1F" w:rsidRPr="00FF5F52" w:rsidSect="00EA536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17A636C" w14:textId="77777777" w:rsidR="00800207" w:rsidRDefault="00800207" w:rsidP="00C36B13">
      <w:pPr>
        <w:spacing w:line="240" w:lineRule="auto"/>
      </w:pPr>
      <w:r>
        <w:separator/>
      </w:r>
    </w:p>
  </w:endnote>
  <w:endnote w:type="continuationSeparator" w:id="0">
    <w:p w14:paraId="55F28122" w14:textId="77777777" w:rsidR="00800207" w:rsidRDefault="00800207" w:rsidP="00C36B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4833841"/>
      <w:docPartObj>
        <w:docPartGallery w:val="Page Numbers (Bottom of Page)"/>
        <w:docPartUnique/>
      </w:docPartObj>
    </w:sdtPr>
    <w:sdtEndPr>
      <w:rPr>
        <w:rFonts w:cs="Times New Roman"/>
        <w:noProof/>
        <w:sz w:val="20"/>
        <w:szCs w:val="20"/>
      </w:rPr>
    </w:sdtEndPr>
    <w:sdtContent>
      <w:p w14:paraId="305E50B4" w14:textId="655A7C90" w:rsidR="00C36B13" w:rsidRPr="00C36B13" w:rsidRDefault="00C36B13">
        <w:pPr>
          <w:pStyle w:val="Footer"/>
          <w:jc w:val="right"/>
          <w:rPr>
            <w:rFonts w:cs="Times New Roman"/>
            <w:sz w:val="20"/>
            <w:szCs w:val="20"/>
          </w:rPr>
        </w:pPr>
        <w:r w:rsidRPr="00C36B13">
          <w:rPr>
            <w:rFonts w:cs="Times New Roman"/>
            <w:sz w:val="20"/>
            <w:szCs w:val="20"/>
          </w:rPr>
          <w:fldChar w:fldCharType="begin"/>
        </w:r>
        <w:r w:rsidRPr="00C36B13">
          <w:rPr>
            <w:rFonts w:cs="Times New Roman"/>
            <w:sz w:val="20"/>
            <w:szCs w:val="20"/>
          </w:rPr>
          <w:instrText xml:space="preserve"> PAGE   \* MERGEFORMAT </w:instrText>
        </w:r>
        <w:r w:rsidRPr="00C36B13">
          <w:rPr>
            <w:rFonts w:cs="Times New Roman"/>
            <w:sz w:val="20"/>
            <w:szCs w:val="20"/>
          </w:rPr>
          <w:fldChar w:fldCharType="separate"/>
        </w:r>
        <w:r w:rsidR="005A2D76">
          <w:rPr>
            <w:rFonts w:cs="Times New Roman"/>
            <w:noProof/>
            <w:sz w:val="20"/>
            <w:szCs w:val="20"/>
          </w:rPr>
          <w:t>2</w:t>
        </w:r>
        <w:r w:rsidRPr="00C36B13">
          <w:rPr>
            <w:rFonts w:cs="Times New Roman"/>
            <w:noProof/>
            <w:sz w:val="20"/>
            <w:szCs w:val="20"/>
          </w:rPr>
          <w:fldChar w:fldCharType="end"/>
        </w:r>
      </w:p>
    </w:sdtContent>
  </w:sdt>
  <w:p w14:paraId="31F28C9C" w14:textId="77777777" w:rsidR="00C36B13" w:rsidRDefault="00C36B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A3A3DBB" w14:textId="77777777" w:rsidR="00800207" w:rsidRDefault="00800207" w:rsidP="00C36B13">
      <w:pPr>
        <w:spacing w:line="240" w:lineRule="auto"/>
      </w:pPr>
      <w:r>
        <w:separator/>
      </w:r>
    </w:p>
  </w:footnote>
  <w:footnote w:type="continuationSeparator" w:id="0">
    <w:p w14:paraId="0A0D757B" w14:textId="77777777" w:rsidR="00800207" w:rsidRDefault="00800207" w:rsidP="00C36B13">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7OwMDE0BNJGphbmZko6SsGpxcWZ+XkgBYa1AM2E/1IsAAAA"/>
  </w:docVars>
  <w:rsids>
    <w:rsidRoot w:val="00581A1F"/>
    <w:rsid w:val="0002442C"/>
    <w:rsid w:val="00027CD7"/>
    <w:rsid w:val="000F70E5"/>
    <w:rsid w:val="001E0E03"/>
    <w:rsid w:val="002462EB"/>
    <w:rsid w:val="002D15F8"/>
    <w:rsid w:val="0036704C"/>
    <w:rsid w:val="003970FB"/>
    <w:rsid w:val="003C68E2"/>
    <w:rsid w:val="00491064"/>
    <w:rsid w:val="004E6432"/>
    <w:rsid w:val="00545721"/>
    <w:rsid w:val="0057790F"/>
    <w:rsid w:val="00581A1F"/>
    <w:rsid w:val="0059099F"/>
    <w:rsid w:val="00594AA2"/>
    <w:rsid w:val="005A2D76"/>
    <w:rsid w:val="006E3E81"/>
    <w:rsid w:val="00782498"/>
    <w:rsid w:val="00795154"/>
    <w:rsid w:val="007A7DEA"/>
    <w:rsid w:val="007B0E78"/>
    <w:rsid w:val="007D0553"/>
    <w:rsid w:val="00800207"/>
    <w:rsid w:val="008C75AA"/>
    <w:rsid w:val="008E7A58"/>
    <w:rsid w:val="00951E6F"/>
    <w:rsid w:val="00993DCC"/>
    <w:rsid w:val="009B67C5"/>
    <w:rsid w:val="00BA495D"/>
    <w:rsid w:val="00C0018A"/>
    <w:rsid w:val="00C36B13"/>
    <w:rsid w:val="00C647B0"/>
    <w:rsid w:val="00C6578B"/>
    <w:rsid w:val="00C87992"/>
    <w:rsid w:val="00CC313B"/>
    <w:rsid w:val="00D12B91"/>
    <w:rsid w:val="00D53E06"/>
    <w:rsid w:val="00D81F99"/>
    <w:rsid w:val="00E44F95"/>
    <w:rsid w:val="00E56703"/>
    <w:rsid w:val="00E7787B"/>
    <w:rsid w:val="00EA536A"/>
    <w:rsid w:val="00F05CCD"/>
    <w:rsid w:val="00F1260B"/>
    <w:rsid w:val="00F4793E"/>
    <w:rsid w:val="00FF5F5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703AD"/>
  <w15:docId w15:val="{B248BFCC-7812-474A-9A8D-B5D053E371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A2D76"/>
    <w:pPr>
      <w:spacing w:line="360" w:lineRule="auto"/>
      <w:jc w:val="both"/>
    </w:pPr>
    <w:rPr>
      <w:rFonts w:ascii="Times New Roman" w:hAnsi="Times New Roman"/>
      <w:sz w:val="24"/>
    </w:rPr>
  </w:style>
  <w:style w:type="paragraph" w:styleId="Heading1">
    <w:name w:val="heading 1"/>
    <w:basedOn w:val="Normal"/>
    <w:next w:val="Normal"/>
    <w:uiPriority w:val="9"/>
    <w:qFormat/>
    <w:rsid w:val="008E7A58"/>
    <w:pPr>
      <w:keepNext/>
      <w:keepLines/>
      <w:spacing w:before="400" w:after="120"/>
      <w:outlineLvl w:val="0"/>
    </w:pPr>
    <w:rPr>
      <w:b/>
      <w:color w:val="000000" w:themeColor="text1"/>
      <w:szCs w:val="40"/>
    </w:rPr>
  </w:style>
  <w:style w:type="paragraph" w:styleId="Heading2">
    <w:name w:val="heading 2"/>
    <w:basedOn w:val="Normal"/>
    <w:next w:val="Normal"/>
    <w:uiPriority w:val="9"/>
    <w:unhideWhenUsed/>
    <w:qFormat/>
    <w:rsid w:val="00E44F95"/>
    <w:pPr>
      <w:keepNext/>
      <w:keepLines/>
      <w:spacing w:before="360" w:after="120"/>
      <w:outlineLvl w:val="1"/>
    </w:pPr>
    <w:rPr>
      <w:b/>
      <w:color w:val="000000" w:themeColor="text1"/>
      <w:szCs w:val="32"/>
    </w:rPr>
  </w:style>
  <w:style w:type="paragraph" w:styleId="Heading3">
    <w:name w:val="heading 3"/>
    <w:basedOn w:val="Normal"/>
    <w:next w:val="Normal"/>
    <w:uiPriority w:val="9"/>
    <w:unhideWhenUsed/>
    <w:qFormat/>
    <w:rsid w:val="00E44F95"/>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36B13"/>
    <w:pPr>
      <w:tabs>
        <w:tab w:val="center" w:pos="4513"/>
        <w:tab w:val="right" w:pos="9026"/>
      </w:tabs>
      <w:spacing w:line="240" w:lineRule="auto"/>
    </w:pPr>
  </w:style>
  <w:style w:type="character" w:customStyle="1" w:styleId="HeaderChar">
    <w:name w:val="Header Char"/>
    <w:basedOn w:val="DefaultParagraphFont"/>
    <w:link w:val="Header"/>
    <w:uiPriority w:val="99"/>
    <w:rsid w:val="00C36B13"/>
  </w:style>
  <w:style w:type="paragraph" w:styleId="Footer">
    <w:name w:val="footer"/>
    <w:basedOn w:val="Normal"/>
    <w:link w:val="FooterChar"/>
    <w:uiPriority w:val="99"/>
    <w:unhideWhenUsed/>
    <w:rsid w:val="00C36B13"/>
    <w:pPr>
      <w:tabs>
        <w:tab w:val="center" w:pos="4513"/>
        <w:tab w:val="right" w:pos="9026"/>
      </w:tabs>
      <w:spacing w:line="240" w:lineRule="auto"/>
    </w:pPr>
  </w:style>
  <w:style w:type="character" w:customStyle="1" w:styleId="FooterChar">
    <w:name w:val="Footer Char"/>
    <w:basedOn w:val="DefaultParagraphFont"/>
    <w:link w:val="Footer"/>
    <w:uiPriority w:val="99"/>
    <w:rsid w:val="00C36B13"/>
  </w:style>
  <w:style w:type="paragraph" w:styleId="TableofFigures">
    <w:name w:val="table of figures"/>
    <w:basedOn w:val="Normal"/>
    <w:next w:val="Normal"/>
    <w:uiPriority w:val="99"/>
    <w:unhideWhenUsed/>
    <w:rsid w:val="008E7A58"/>
    <w:rPr>
      <w:color w:val="000000" w:themeColor="text1"/>
    </w:rPr>
  </w:style>
  <w:style w:type="character" w:styleId="Hyperlink">
    <w:name w:val="Hyperlink"/>
    <w:basedOn w:val="DefaultParagraphFont"/>
    <w:uiPriority w:val="99"/>
    <w:unhideWhenUsed/>
    <w:rsid w:val="008E7A58"/>
    <w:rPr>
      <w:color w:val="0000FF" w:themeColor="hyperlink"/>
      <w:u w:val="single"/>
    </w:rPr>
  </w:style>
  <w:style w:type="paragraph" w:styleId="TOCHeading">
    <w:name w:val="TOC Heading"/>
    <w:basedOn w:val="Heading1"/>
    <w:next w:val="Normal"/>
    <w:uiPriority w:val="39"/>
    <w:unhideWhenUsed/>
    <w:qFormat/>
    <w:rsid w:val="00E44F9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44F95"/>
    <w:pPr>
      <w:spacing w:after="100"/>
    </w:pPr>
  </w:style>
  <w:style w:type="paragraph" w:styleId="TOC2">
    <w:name w:val="toc 2"/>
    <w:basedOn w:val="Normal"/>
    <w:next w:val="Normal"/>
    <w:autoRedefine/>
    <w:uiPriority w:val="39"/>
    <w:unhideWhenUsed/>
    <w:rsid w:val="00E44F95"/>
    <w:pPr>
      <w:spacing w:after="100"/>
      <w:ind w:left="220"/>
    </w:pPr>
  </w:style>
  <w:style w:type="paragraph" w:styleId="TOC3">
    <w:name w:val="toc 3"/>
    <w:basedOn w:val="Normal"/>
    <w:next w:val="Normal"/>
    <w:autoRedefine/>
    <w:uiPriority w:val="39"/>
    <w:unhideWhenUsed/>
    <w:rsid w:val="00E44F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17020231">
      <w:bodyDiv w:val="1"/>
      <w:marLeft w:val="0"/>
      <w:marRight w:val="0"/>
      <w:marTop w:val="0"/>
      <w:marBottom w:val="0"/>
      <w:divBdr>
        <w:top w:val="none" w:sz="0" w:space="0" w:color="auto"/>
        <w:left w:val="none" w:sz="0" w:space="0" w:color="auto"/>
        <w:bottom w:val="none" w:sz="0" w:space="0" w:color="auto"/>
        <w:right w:val="none" w:sz="0" w:space="0" w:color="auto"/>
      </w:divBdr>
    </w:div>
    <w:div w:id="19076396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C63507-EF64-4552-A308-C2726C30A8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2454</Words>
  <Characters>13990</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Tanya Garabinska (2129044)</cp:lastModifiedBy>
  <cp:revision>2</cp:revision>
  <dcterms:created xsi:type="dcterms:W3CDTF">2024-08-13T11:30:00Z</dcterms:created>
  <dcterms:modified xsi:type="dcterms:W3CDTF">2024-08-13T11:30:00Z</dcterms:modified>
</cp:coreProperties>
</file>