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28F8D" w14:textId="77777777" w:rsidR="00A54A48" w:rsidRDefault="00A54A48" w:rsidP="008A6B09">
      <w:pPr>
        <w:spacing w:line="360" w:lineRule="auto"/>
        <w:jc w:val="center"/>
        <w:rPr>
          <w:rFonts w:ascii="Arial" w:hAnsi="Arial" w:cs="Arial"/>
          <w:b/>
          <w:bCs/>
          <w:sz w:val="32"/>
          <w:szCs w:val="32"/>
        </w:rPr>
      </w:pPr>
    </w:p>
    <w:p w14:paraId="51B2780D" w14:textId="77777777" w:rsidR="00CA41FF" w:rsidRPr="00CA41FF" w:rsidRDefault="00CA41FF" w:rsidP="008A6B09">
      <w:pPr>
        <w:spacing w:line="360" w:lineRule="auto"/>
        <w:jc w:val="center"/>
        <w:rPr>
          <w:rFonts w:ascii="Arial" w:hAnsi="Arial" w:cs="Arial"/>
          <w:sz w:val="32"/>
          <w:szCs w:val="32"/>
        </w:rPr>
      </w:pPr>
      <w:r w:rsidRPr="00CA41FF">
        <w:rPr>
          <w:rFonts w:ascii="Arial" w:hAnsi="Arial" w:cs="Arial"/>
          <w:b/>
          <w:bCs/>
          <w:sz w:val="32"/>
          <w:szCs w:val="32"/>
        </w:rPr>
        <w:t xml:space="preserve">Student Name: </w:t>
      </w:r>
      <w:r w:rsidRPr="00CA41FF">
        <w:rPr>
          <w:rFonts w:ascii="Arial" w:hAnsi="Arial" w:cs="Arial"/>
          <w:sz w:val="32"/>
          <w:szCs w:val="32"/>
        </w:rPr>
        <w:t>Fatima Ali</w:t>
      </w:r>
    </w:p>
    <w:p w14:paraId="46B4756C" w14:textId="77777777"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Student ID Number: </w:t>
      </w:r>
      <w:r w:rsidRPr="00CA41FF">
        <w:rPr>
          <w:rFonts w:ascii="Arial" w:hAnsi="Arial" w:cs="Arial"/>
          <w:sz w:val="32"/>
          <w:szCs w:val="32"/>
        </w:rPr>
        <w:t>2222409</w:t>
      </w:r>
    </w:p>
    <w:p w14:paraId="14097CE4" w14:textId="32E59C82"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Module Name: </w:t>
      </w:r>
      <w:r w:rsidR="00CF00D2">
        <w:rPr>
          <w:rFonts w:ascii="Arial" w:hAnsi="Arial" w:cs="Arial"/>
          <w:sz w:val="32"/>
          <w:szCs w:val="32"/>
        </w:rPr>
        <w:t>Quali</w:t>
      </w:r>
      <w:r w:rsidR="00D05FC6">
        <w:rPr>
          <w:rFonts w:ascii="Arial" w:hAnsi="Arial" w:cs="Arial"/>
          <w:sz w:val="32"/>
          <w:szCs w:val="32"/>
        </w:rPr>
        <w:t>ty Assurance and Service Improvement</w:t>
      </w:r>
    </w:p>
    <w:p w14:paraId="4B08E356" w14:textId="18D9DA06"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Module code: </w:t>
      </w:r>
      <w:r w:rsidRPr="00CA41FF">
        <w:rPr>
          <w:rFonts w:ascii="Arial" w:hAnsi="Arial" w:cs="Arial"/>
          <w:sz w:val="32"/>
          <w:szCs w:val="32"/>
        </w:rPr>
        <w:t>LCHS700</w:t>
      </w:r>
      <w:r w:rsidR="00CF00D2">
        <w:rPr>
          <w:rFonts w:ascii="Arial" w:hAnsi="Arial" w:cs="Arial"/>
          <w:sz w:val="32"/>
          <w:szCs w:val="32"/>
        </w:rPr>
        <w:t>6</w:t>
      </w:r>
    </w:p>
    <w:p w14:paraId="2F063009" w14:textId="77777777"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Lecturer Name: </w:t>
      </w:r>
      <w:r w:rsidRPr="00CA41FF">
        <w:rPr>
          <w:rFonts w:ascii="Arial" w:hAnsi="Arial" w:cs="Arial"/>
          <w:sz w:val="32"/>
          <w:szCs w:val="32"/>
        </w:rPr>
        <w:t>Dr Fahad Khan</w:t>
      </w:r>
    </w:p>
    <w:p w14:paraId="1B6DA249" w14:textId="6C9AC0B8"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Assignment Title: </w:t>
      </w:r>
      <w:r w:rsidR="00CC678D">
        <w:rPr>
          <w:rFonts w:ascii="Arial" w:hAnsi="Arial" w:cs="Arial"/>
          <w:sz w:val="32"/>
          <w:szCs w:val="32"/>
        </w:rPr>
        <w:t xml:space="preserve">Service </w:t>
      </w:r>
      <w:r w:rsidR="001F2086">
        <w:rPr>
          <w:rFonts w:ascii="Arial" w:hAnsi="Arial" w:cs="Arial"/>
          <w:sz w:val="32"/>
          <w:szCs w:val="32"/>
        </w:rPr>
        <w:t>Improvement</w:t>
      </w:r>
      <w:r w:rsidRPr="00CA41FF">
        <w:rPr>
          <w:rFonts w:ascii="Arial" w:hAnsi="Arial" w:cs="Arial"/>
          <w:sz w:val="32"/>
          <w:szCs w:val="32"/>
        </w:rPr>
        <w:t xml:space="preserve"> Report</w:t>
      </w:r>
    </w:p>
    <w:p w14:paraId="4F64FE69" w14:textId="77777777" w:rsidR="00A54A48" w:rsidRDefault="00A54A48" w:rsidP="008223CC">
      <w:pPr>
        <w:spacing w:line="360" w:lineRule="auto"/>
        <w:rPr>
          <w:rFonts w:ascii="Arial" w:hAnsi="Arial" w:cs="Arial"/>
          <w:b/>
          <w:bCs/>
          <w:sz w:val="32"/>
          <w:szCs w:val="32"/>
        </w:rPr>
      </w:pPr>
    </w:p>
    <w:p w14:paraId="19DD6BB9" w14:textId="77777777" w:rsidR="00A54A48" w:rsidRDefault="00A54A48" w:rsidP="008223CC">
      <w:pPr>
        <w:spacing w:line="360" w:lineRule="auto"/>
        <w:rPr>
          <w:rFonts w:ascii="Arial" w:hAnsi="Arial" w:cs="Arial"/>
          <w:b/>
          <w:bCs/>
          <w:sz w:val="32"/>
          <w:szCs w:val="32"/>
        </w:rPr>
      </w:pPr>
    </w:p>
    <w:p w14:paraId="15F83BC4" w14:textId="77777777" w:rsidR="00A54A48" w:rsidRDefault="00A54A48" w:rsidP="008223CC">
      <w:pPr>
        <w:spacing w:line="360" w:lineRule="auto"/>
        <w:rPr>
          <w:rFonts w:ascii="Arial" w:hAnsi="Arial" w:cs="Arial"/>
          <w:b/>
          <w:bCs/>
          <w:sz w:val="32"/>
          <w:szCs w:val="32"/>
        </w:rPr>
      </w:pPr>
    </w:p>
    <w:p w14:paraId="405184BA" w14:textId="77777777" w:rsidR="00A54A48" w:rsidRDefault="00A54A48" w:rsidP="008223CC">
      <w:pPr>
        <w:spacing w:line="360" w:lineRule="auto"/>
        <w:rPr>
          <w:rFonts w:ascii="Arial" w:hAnsi="Arial" w:cs="Arial"/>
          <w:b/>
          <w:bCs/>
          <w:sz w:val="32"/>
          <w:szCs w:val="32"/>
        </w:rPr>
      </w:pPr>
    </w:p>
    <w:p w14:paraId="30D7CF8A" w14:textId="77777777" w:rsidR="00A54A48" w:rsidRDefault="00A54A48" w:rsidP="008223CC">
      <w:pPr>
        <w:spacing w:line="360" w:lineRule="auto"/>
        <w:rPr>
          <w:rFonts w:ascii="Arial" w:hAnsi="Arial" w:cs="Arial"/>
          <w:b/>
          <w:bCs/>
          <w:sz w:val="32"/>
          <w:szCs w:val="32"/>
        </w:rPr>
      </w:pPr>
    </w:p>
    <w:p w14:paraId="0CAF0B27" w14:textId="77777777" w:rsidR="00A54A48" w:rsidRDefault="00A54A48" w:rsidP="008223CC">
      <w:pPr>
        <w:spacing w:line="360" w:lineRule="auto"/>
        <w:rPr>
          <w:rFonts w:ascii="Arial" w:hAnsi="Arial" w:cs="Arial"/>
          <w:b/>
          <w:bCs/>
          <w:sz w:val="32"/>
          <w:szCs w:val="32"/>
        </w:rPr>
      </w:pPr>
    </w:p>
    <w:p w14:paraId="17B3A660" w14:textId="77777777" w:rsidR="00A54A48" w:rsidRDefault="00A54A48" w:rsidP="008223CC">
      <w:pPr>
        <w:spacing w:line="360" w:lineRule="auto"/>
        <w:rPr>
          <w:rFonts w:ascii="Arial" w:hAnsi="Arial" w:cs="Arial"/>
          <w:b/>
          <w:bCs/>
          <w:sz w:val="32"/>
          <w:szCs w:val="32"/>
        </w:rPr>
      </w:pPr>
    </w:p>
    <w:p w14:paraId="10A8642E" w14:textId="77777777" w:rsidR="00A54A48" w:rsidRDefault="00A54A48" w:rsidP="008223CC">
      <w:pPr>
        <w:spacing w:line="360" w:lineRule="auto"/>
        <w:rPr>
          <w:rFonts w:ascii="Arial" w:hAnsi="Arial" w:cs="Arial"/>
          <w:b/>
          <w:bCs/>
          <w:sz w:val="32"/>
          <w:szCs w:val="32"/>
        </w:rPr>
      </w:pPr>
    </w:p>
    <w:p w14:paraId="5EA11E85" w14:textId="77777777" w:rsidR="00A54A48" w:rsidRDefault="00A54A48" w:rsidP="008223CC">
      <w:pPr>
        <w:spacing w:line="360" w:lineRule="auto"/>
        <w:rPr>
          <w:rFonts w:ascii="Arial" w:hAnsi="Arial" w:cs="Arial"/>
          <w:b/>
          <w:bCs/>
          <w:sz w:val="32"/>
          <w:szCs w:val="32"/>
        </w:rPr>
      </w:pPr>
    </w:p>
    <w:p w14:paraId="74D94BA2" w14:textId="77777777" w:rsidR="00A54A48" w:rsidRDefault="00A54A48" w:rsidP="008223CC">
      <w:pPr>
        <w:spacing w:line="360" w:lineRule="auto"/>
        <w:rPr>
          <w:rFonts w:ascii="Arial" w:hAnsi="Arial" w:cs="Arial"/>
          <w:b/>
          <w:bCs/>
          <w:sz w:val="32"/>
          <w:szCs w:val="32"/>
        </w:rPr>
      </w:pPr>
    </w:p>
    <w:p w14:paraId="1D3EB9F1" w14:textId="77777777" w:rsidR="00A54A48" w:rsidRDefault="00A54A48" w:rsidP="008223CC">
      <w:pPr>
        <w:spacing w:line="360" w:lineRule="auto"/>
        <w:rPr>
          <w:rFonts w:ascii="Arial" w:hAnsi="Arial" w:cs="Arial"/>
          <w:b/>
          <w:bCs/>
          <w:sz w:val="32"/>
          <w:szCs w:val="32"/>
        </w:rPr>
      </w:pPr>
    </w:p>
    <w:p w14:paraId="16064EF8" w14:textId="77777777" w:rsidR="00A54A48" w:rsidRDefault="00A54A48" w:rsidP="008223CC">
      <w:pPr>
        <w:spacing w:line="360" w:lineRule="auto"/>
        <w:rPr>
          <w:rFonts w:ascii="Arial" w:hAnsi="Arial" w:cs="Arial"/>
          <w:b/>
          <w:bCs/>
          <w:sz w:val="32"/>
          <w:szCs w:val="32"/>
        </w:rPr>
      </w:pPr>
    </w:p>
    <w:p w14:paraId="1374A26E" w14:textId="77777777" w:rsidR="005B79F5" w:rsidRDefault="005B79F5" w:rsidP="008223CC">
      <w:pPr>
        <w:spacing w:line="360" w:lineRule="auto"/>
        <w:rPr>
          <w:rFonts w:ascii="Arial" w:hAnsi="Arial" w:cs="Arial"/>
          <w:b/>
          <w:bCs/>
          <w:sz w:val="32"/>
          <w:szCs w:val="32"/>
        </w:rPr>
      </w:pPr>
    </w:p>
    <w:p w14:paraId="086C270D" w14:textId="77777777" w:rsidR="005B79F5" w:rsidRDefault="005B79F5" w:rsidP="008223CC">
      <w:pPr>
        <w:spacing w:line="360" w:lineRule="auto"/>
        <w:rPr>
          <w:rFonts w:ascii="Arial" w:hAnsi="Arial" w:cs="Arial"/>
          <w:b/>
          <w:bCs/>
          <w:sz w:val="32"/>
          <w:szCs w:val="32"/>
        </w:rPr>
      </w:pPr>
    </w:p>
    <w:sdt>
      <w:sdtPr>
        <w:rPr>
          <w:rFonts w:asciiTheme="minorHAnsi" w:eastAsiaTheme="minorHAnsi" w:hAnsiTheme="minorHAnsi" w:cstheme="minorBidi"/>
          <w:color w:val="auto"/>
          <w:kern w:val="2"/>
          <w:sz w:val="22"/>
          <w:szCs w:val="22"/>
          <w:lang w:val="en-GB"/>
          <w14:ligatures w14:val="standardContextual"/>
        </w:rPr>
        <w:id w:val="1157506122"/>
        <w:docPartObj>
          <w:docPartGallery w:val="Table of Contents"/>
          <w:docPartUnique/>
        </w:docPartObj>
      </w:sdtPr>
      <w:sdtEndPr>
        <w:rPr>
          <w:b/>
          <w:bCs/>
          <w:noProof/>
        </w:rPr>
      </w:sdtEndPr>
      <w:sdtContent>
        <w:p w14:paraId="25702B0A" w14:textId="45C49B1D" w:rsidR="000048DE" w:rsidRDefault="000048DE">
          <w:pPr>
            <w:pStyle w:val="TOCHeading"/>
          </w:pPr>
          <w:r>
            <w:t>Contents</w:t>
          </w:r>
        </w:p>
        <w:p w14:paraId="0FBCA877" w14:textId="41FA82BD" w:rsidR="000048DE" w:rsidRDefault="000048D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129162" w:history="1">
            <w:r w:rsidRPr="0063663C">
              <w:rPr>
                <w:rStyle w:val="Hyperlink"/>
                <w:noProof/>
              </w:rPr>
              <w:t>Introduction</w:t>
            </w:r>
            <w:r>
              <w:rPr>
                <w:noProof/>
                <w:webHidden/>
              </w:rPr>
              <w:tab/>
            </w:r>
            <w:r>
              <w:rPr>
                <w:noProof/>
                <w:webHidden/>
              </w:rPr>
              <w:fldChar w:fldCharType="begin"/>
            </w:r>
            <w:r>
              <w:rPr>
                <w:noProof/>
                <w:webHidden/>
              </w:rPr>
              <w:instrText xml:space="preserve"> PAGEREF _Toc235129162 \h </w:instrText>
            </w:r>
            <w:r>
              <w:rPr>
                <w:noProof/>
                <w:webHidden/>
              </w:rPr>
            </w:r>
            <w:r>
              <w:rPr>
                <w:noProof/>
                <w:webHidden/>
              </w:rPr>
              <w:fldChar w:fldCharType="separate"/>
            </w:r>
            <w:r>
              <w:rPr>
                <w:noProof/>
                <w:webHidden/>
              </w:rPr>
              <w:t>3</w:t>
            </w:r>
            <w:r>
              <w:rPr>
                <w:noProof/>
                <w:webHidden/>
              </w:rPr>
              <w:fldChar w:fldCharType="end"/>
            </w:r>
          </w:hyperlink>
        </w:p>
        <w:p w14:paraId="5397A7A2" w14:textId="52E272B3"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63" w:history="1">
            <w:r w:rsidRPr="0063663C">
              <w:rPr>
                <w:rStyle w:val="Hyperlink"/>
                <w:noProof/>
              </w:rPr>
              <w:t>Application of the Donabedian Model</w:t>
            </w:r>
            <w:r>
              <w:rPr>
                <w:noProof/>
                <w:webHidden/>
              </w:rPr>
              <w:tab/>
            </w:r>
            <w:r>
              <w:rPr>
                <w:noProof/>
                <w:webHidden/>
              </w:rPr>
              <w:fldChar w:fldCharType="begin"/>
            </w:r>
            <w:r>
              <w:rPr>
                <w:noProof/>
                <w:webHidden/>
              </w:rPr>
              <w:instrText xml:space="preserve"> PAGEREF _Toc235129163 \h </w:instrText>
            </w:r>
            <w:r>
              <w:rPr>
                <w:noProof/>
                <w:webHidden/>
              </w:rPr>
            </w:r>
            <w:r>
              <w:rPr>
                <w:noProof/>
                <w:webHidden/>
              </w:rPr>
              <w:fldChar w:fldCharType="separate"/>
            </w:r>
            <w:r>
              <w:rPr>
                <w:noProof/>
                <w:webHidden/>
              </w:rPr>
              <w:t>4</w:t>
            </w:r>
            <w:r>
              <w:rPr>
                <w:noProof/>
                <w:webHidden/>
              </w:rPr>
              <w:fldChar w:fldCharType="end"/>
            </w:r>
          </w:hyperlink>
        </w:p>
        <w:p w14:paraId="7C06D9D9" w14:textId="2AA24501" w:rsidR="000048DE" w:rsidRDefault="000048DE">
          <w:pPr>
            <w:pStyle w:val="TOC2"/>
            <w:tabs>
              <w:tab w:val="right" w:leader="dot" w:pos="9016"/>
            </w:tabs>
            <w:rPr>
              <w:rFonts w:cstheme="minorBidi"/>
              <w:noProof/>
              <w:kern w:val="2"/>
              <w:sz w:val="24"/>
              <w:szCs w:val="24"/>
              <w:lang w:val="en-GB" w:eastAsia="en-GB"/>
              <w14:ligatures w14:val="standardContextual"/>
            </w:rPr>
          </w:pPr>
          <w:hyperlink w:anchor="_Toc235129164" w:history="1">
            <w:r w:rsidRPr="0063663C">
              <w:rPr>
                <w:rStyle w:val="Hyperlink"/>
                <w:noProof/>
              </w:rPr>
              <w:t>Table 1: Donabedian Model Applied to Bristol Royal Infirmary</w:t>
            </w:r>
            <w:r>
              <w:rPr>
                <w:noProof/>
                <w:webHidden/>
              </w:rPr>
              <w:tab/>
            </w:r>
            <w:r>
              <w:rPr>
                <w:noProof/>
                <w:webHidden/>
              </w:rPr>
              <w:fldChar w:fldCharType="begin"/>
            </w:r>
            <w:r>
              <w:rPr>
                <w:noProof/>
                <w:webHidden/>
              </w:rPr>
              <w:instrText xml:space="preserve"> PAGEREF _Toc235129164 \h </w:instrText>
            </w:r>
            <w:r>
              <w:rPr>
                <w:noProof/>
                <w:webHidden/>
              </w:rPr>
            </w:r>
            <w:r>
              <w:rPr>
                <w:noProof/>
                <w:webHidden/>
              </w:rPr>
              <w:fldChar w:fldCharType="separate"/>
            </w:r>
            <w:r>
              <w:rPr>
                <w:noProof/>
                <w:webHidden/>
              </w:rPr>
              <w:t>4</w:t>
            </w:r>
            <w:r>
              <w:rPr>
                <w:noProof/>
                <w:webHidden/>
              </w:rPr>
              <w:fldChar w:fldCharType="end"/>
            </w:r>
          </w:hyperlink>
        </w:p>
        <w:p w14:paraId="2DE05E88" w14:textId="1D43B3C8" w:rsidR="000048DE" w:rsidRDefault="000048DE">
          <w:pPr>
            <w:pStyle w:val="TOC3"/>
            <w:tabs>
              <w:tab w:val="right" w:leader="dot" w:pos="9016"/>
            </w:tabs>
            <w:rPr>
              <w:rFonts w:cstheme="minorBidi"/>
              <w:noProof/>
              <w:kern w:val="2"/>
              <w:sz w:val="24"/>
              <w:szCs w:val="24"/>
              <w:lang w:val="en-GB" w:eastAsia="en-GB"/>
              <w14:ligatures w14:val="standardContextual"/>
            </w:rPr>
          </w:pPr>
          <w:hyperlink w:anchor="_Toc235129165" w:history="1">
            <w:r w:rsidRPr="0063663C">
              <w:rPr>
                <w:rStyle w:val="Hyperlink"/>
                <w:noProof/>
              </w:rPr>
              <w:t>Analysis of the Donabedian Model</w:t>
            </w:r>
            <w:r>
              <w:rPr>
                <w:noProof/>
                <w:webHidden/>
              </w:rPr>
              <w:tab/>
            </w:r>
            <w:r>
              <w:rPr>
                <w:noProof/>
                <w:webHidden/>
              </w:rPr>
              <w:fldChar w:fldCharType="begin"/>
            </w:r>
            <w:r>
              <w:rPr>
                <w:noProof/>
                <w:webHidden/>
              </w:rPr>
              <w:instrText xml:space="preserve"> PAGEREF _Toc235129165 \h </w:instrText>
            </w:r>
            <w:r>
              <w:rPr>
                <w:noProof/>
                <w:webHidden/>
              </w:rPr>
            </w:r>
            <w:r>
              <w:rPr>
                <w:noProof/>
                <w:webHidden/>
              </w:rPr>
              <w:fldChar w:fldCharType="separate"/>
            </w:r>
            <w:r>
              <w:rPr>
                <w:noProof/>
                <w:webHidden/>
              </w:rPr>
              <w:t>4</w:t>
            </w:r>
            <w:r>
              <w:rPr>
                <w:noProof/>
                <w:webHidden/>
              </w:rPr>
              <w:fldChar w:fldCharType="end"/>
            </w:r>
          </w:hyperlink>
        </w:p>
        <w:p w14:paraId="13975543" w14:textId="54237199"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66" w:history="1">
            <w:r w:rsidRPr="0063663C">
              <w:rPr>
                <w:rStyle w:val="Hyperlink"/>
                <w:noProof/>
              </w:rPr>
              <w:t>Fishbone Diagram and 5 Whys Root Cause Analysis</w:t>
            </w:r>
            <w:r>
              <w:rPr>
                <w:noProof/>
                <w:webHidden/>
              </w:rPr>
              <w:tab/>
            </w:r>
            <w:r>
              <w:rPr>
                <w:noProof/>
                <w:webHidden/>
              </w:rPr>
              <w:fldChar w:fldCharType="begin"/>
            </w:r>
            <w:r>
              <w:rPr>
                <w:noProof/>
                <w:webHidden/>
              </w:rPr>
              <w:instrText xml:space="preserve"> PAGEREF _Toc235129166 \h </w:instrText>
            </w:r>
            <w:r>
              <w:rPr>
                <w:noProof/>
                <w:webHidden/>
              </w:rPr>
            </w:r>
            <w:r>
              <w:rPr>
                <w:noProof/>
                <w:webHidden/>
              </w:rPr>
              <w:fldChar w:fldCharType="separate"/>
            </w:r>
            <w:r>
              <w:rPr>
                <w:noProof/>
                <w:webHidden/>
              </w:rPr>
              <w:t>4</w:t>
            </w:r>
            <w:r>
              <w:rPr>
                <w:noProof/>
                <w:webHidden/>
              </w:rPr>
              <w:fldChar w:fldCharType="end"/>
            </w:r>
          </w:hyperlink>
        </w:p>
        <w:p w14:paraId="2FAE9441" w14:textId="4F3D6C89" w:rsidR="000048DE" w:rsidRDefault="000048DE">
          <w:pPr>
            <w:pStyle w:val="TOC2"/>
            <w:tabs>
              <w:tab w:val="right" w:leader="dot" w:pos="9016"/>
            </w:tabs>
            <w:rPr>
              <w:rFonts w:cstheme="minorBidi"/>
              <w:noProof/>
              <w:kern w:val="2"/>
              <w:sz w:val="24"/>
              <w:szCs w:val="24"/>
              <w:lang w:val="en-GB" w:eastAsia="en-GB"/>
              <w14:ligatures w14:val="standardContextual"/>
            </w:rPr>
          </w:pPr>
          <w:hyperlink w:anchor="_Toc235129167" w:history="1">
            <w:r w:rsidRPr="0063663C">
              <w:rPr>
                <w:rStyle w:val="Hyperlink"/>
                <w:noProof/>
              </w:rPr>
              <w:t>Table 2. Fishbone Diagram (Cause-and-Effect Analysis)</w:t>
            </w:r>
            <w:r>
              <w:rPr>
                <w:noProof/>
                <w:webHidden/>
              </w:rPr>
              <w:tab/>
            </w:r>
            <w:r>
              <w:rPr>
                <w:noProof/>
                <w:webHidden/>
              </w:rPr>
              <w:fldChar w:fldCharType="begin"/>
            </w:r>
            <w:r>
              <w:rPr>
                <w:noProof/>
                <w:webHidden/>
              </w:rPr>
              <w:instrText xml:space="preserve"> PAGEREF _Toc235129167 \h </w:instrText>
            </w:r>
            <w:r>
              <w:rPr>
                <w:noProof/>
                <w:webHidden/>
              </w:rPr>
            </w:r>
            <w:r>
              <w:rPr>
                <w:noProof/>
                <w:webHidden/>
              </w:rPr>
              <w:fldChar w:fldCharType="separate"/>
            </w:r>
            <w:r>
              <w:rPr>
                <w:noProof/>
                <w:webHidden/>
              </w:rPr>
              <w:t>6</w:t>
            </w:r>
            <w:r>
              <w:rPr>
                <w:noProof/>
                <w:webHidden/>
              </w:rPr>
              <w:fldChar w:fldCharType="end"/>
            </w:r>
          </w:hyperlink>
        </w:p>
        <w:p w14:paraId="577A3BD5" w14:textId="1083259F" w:rsidR="000048DE" w:rsidRDefault="000048DE">
          <w:pPr>
            <w:pStyle w:val="TOC3"/>
            <w:tabs>
              <w:tab w:val="right" w:leader="dot" w:pos="9016"/>
            </w:tabs>
            <w:rPr>
              <w:rFonts w:cstheme="minorBidi"/>
              <w:noProof/>
              <w:kern w:val="2"/>
              <w:sz w:val="24"/>
              <w:szCs w:val="24"/>
              <w:lang w:val="en-GB" w:eastAsia="en-GB"/>
              <w14:ligatures w14:val="standardContextual"/>
            </w:rPr>
          </w:pPr>
          <w:hyperlink w:anchor="_Toc235129168" w:history="1">
            <w:r w:rsidRPr="0063663C">
              <w:rPr>
                <w:rStyle w:val="Hyperlink"/>
                <w:noProof/>
              </w:rPr>
              <w:t>Figure 1 Whys Root Cause Analysis</w:t>
            </w:r>
            <w:r>
              <w:rPr>
                <w:noProof/>
                <w:webHidden/>
              </w:rPr>
              <w:tab/>
            </w:r>
            <w:r>
              <w:rPr>
                <w:noProof/>
                <w:webHidden/>
              </w:rPr>
              <w:fldChar w:fldCharType="begin"/>
            </w:r>
            <w:r>
              <w:rPr>
                <w:noProof/>
                <w:webHidden/>
              </w:rPr>
              <w:instrText xml:space="preserve"> PAGEREF _Toc235129168 \h </w:instrText>
            </w:r>
            <w:r>
              <w:rPr>
                <w:noProof/>
                <w:webHidden/>
              </w:rPr>
            </w:r>
            <w:r>
              <w:rPr>
                <w:noProof/>
                <w:webHidden/>
              </w:rPr>
              <w:fldChar w:fldCharType="separate"/>
            </w:r>
            <w:r>
              <w:rPr>
                <w:noProof/>
                <w:webHidden/>
              </w:rPr>
              <w:t>6</w:t>
            </w:r>
            <w:r>
              <w:rPr>
                <w:noProof/>
                <w:webHidden/>
              </w:rPr>
              <w:fldChar w:fldCharType="end"/>
            </w:r>
          </w:hyperlink>
        </w:p>
        <w:p w14:paraId="07563964" w14:textId="4757E8B7"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69" w:history="1">
            <w:r w:rsidRPr="0063663C">
              <w:rPr>
                <w:rStyle w:val="Hyperlink"/>
                <w:noProof/>
              </w:rPr>
              <w:t>SWOT Analysis and Comparison with PESTLE</w:t>
            </w:r>
            <w:r>
              <w:rPr>
                <w:noProof/>
                <w:webHidden/>
              </w:rPr>
              <w:tab/>
            </w:r>
            <w:r>
              <w:rPr>
                <w:noProof/>
                <w:webHidden/>
              </w:rPr>
              <w:fldChar w:fldCharType="begin"/>
            </w:r>
            <w:r>
              <w:rPr>
                <w:noProof/>
                <w:webHidden/>
              </w:rPr>
              <w:instrText xml:space="preserve"> PAGEREF _Toc235129169 \h </w:instrText>
            </w:r>
            <w:r>
              <w:rPr>
                <w:noProof/>
                <w:webHidden/>
              </w:rPr>
            </w:r>
            <w:r>
              <w:rPr>
                <w:noProof/>
                <w:webHidden/>
              </w:rPr>
              <w:fldChar w:fldCharType="separate"/>
            </w:r>
            <w:r>
              <w:rPr>
                <w:noProof/>
                <w:webHidden/>
              </w:rPr>
              <w:t>7</w:t>
            </w:r>
            <w:r>
              <w:rPr>
                <w:noProof/>
                <w:webHidden/>
              </w:rPr>
              <w:fldChar w:fldCharType="end"/>
            </w:r>
          </w:hyperlink>
        </w:p>
        <w:p w14:paraId="11E47118" w14:textId="75465324" w:rsidR="000048DE" w:rsidRDefault="000048DE">
          <w:pPr>
            <w:pStyle w:val="TOC2"/>
            <w:tabs>
              <w:tab w:val="right" w:leader="dot" w:pos="9016"/>
            </w:tabs>
            <w:rPr>
              <w:rFonts w:cstheme="minorBidi"/>
              <w:noProof/>
              <w:kern w:val="2"/>
              <w:sz w:val="24"/>
              <w:szCs w:val="24"/>
              <w:lang w:val="en-GB" w:eastAsia="en-GB"/>
              <w14:ligatures w14:val="standardContextual"/>
            </w:rPr>
          </w:pPr>
          <w:hyperlink w:anchor="_Toc235129170" w:history="1">
            <w:r w:rsidRPr="0063663C">
              <w:rPr>
                <w:rStyle w:val="Hyperlink"/>
                <w:noProof/>
              </w:rPr>
              <w:t>Table 3. SWOT Analysis – Bristol Royal Infirmary</w:t>
            </w:r>
            <w:r>
              <w:rPr>
                <w:noProof/>
                <w:webHidden/>
              </w:rPr>
              <w:tab/>
            </w:r>
            <w:r>
              <w:rPr>
                <w:noProof/>
                <w:webHidden/>
              </w:rPr>
              <w:fldChar w:fldCharType="begin"/>
            </w:r>
            <w:r>
              <w:rPr>
                <w:noProof/>
                <w:webHidden/>
              </w:rPr>
              <w:instrText xml:space="preserve"> PAGEREF _Toc235129170 \h </w:instrText>
            </w:r>
            <w:r>
              <w:rPr>
                <w:noProof/>
                <w:webHidden/>
              </w:rPr>
            </w:r>
            <w:r>
              <w:rPr>
                <w:noProof/>
                <w:webHidden/>
              </w:rPr>
              <w:fldChar w:fldCharType="separate"/>
            </w:r>
            <w:r>
              <w:rPr>
                <w:noProof/>
                <w:webHidden/>
              </w:rPr>
              <w:t>8</w:t>
            </w:r>
            <w:r>
              <w:rPr>
                <w:noProof/>
                <w:webHidden/>
              </w:rPr>
              <w:fldChar w:fldCharType="end"/>
            </w:r>
          </w:hyperlink>
        </w:p>
        <w:p w14:paraId="03D36F4D" w14:textId="14B90092"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1" w:history="1">
            <w:r w:rsidRPr="0063663C">
              <w:rPr>
                <w:rStyle w:val="Hyperlink"/>
                <w:noProof/>
              </w:rPr>
              <w:t>PDSA Cycle, Kotter's Eight-Step Change Model and Benchmarking</w:t>
            </w:r>
            <w:r>
              <w:rPr>
                <w:noProof/>
                <w:webHidden/>
              </w:rPr>
              <w:tab/>
            </w:r>
            <w:r>
              <w:rPr>
                <w:noProof/>
                <w:webHidden/>
              </w:rPr>
              <w:fldChar w:fldCharType="begin"/>
            </w:r>
            <w:r>
              <w:rPr>
                <w:noProof/>
                <w:webHidden/>
              </w:rPr>
              <w:instrText xml:space="preserve"> PAGEREF _Toc235129171 \h </w:instrText>
            </w:r>
            <w:r>
              <w:rPr>
                <w:noProof/>
                <w:webHidden/>
              </w:rPr>
            </w:r>
            <w:r>
              <w:rPr>
                <w:noProof/>
                <w:webHidden/>
              </w:rPr>
              <w:fldChar w:fldCharType="separate"/>
            </w:r>
            <w:r>
              <w:rPr>
                <w:noProof/>
                <w:webHidden/>
              </w:rPr>
              <w:t>9</w:t>
            </w:r>
            <w:r>
              <w:rPr>
                <w:noProof/>
                <w:webHidden/>
              </w:rPr>
              <w:fldChar w:fldCharType="end"/>
            </w:r>
          </w:hyperlink>
        </w:p>
        <w:p w14:paraId="61619EAF" w14:textId="71E98922" w:rsidR="000048DE" w:rsidRDefault="000048DE">
          <w:pPr>
            <w:pStyle w:val="TOC3"/>
            <w:tabs>
              <w:tab w:val="right" w:leader="dot" w:pos="9016"/>
            </w:tabs>
            <w:rPr>
              <w:rFonts w:cstheme="minorBidi"/>
              <w:noProof/>
              <w:kern w:val="2"/>
              <w:sz w:val="24"/>
              <w:szCs w:val="24"/>
              <w:lang w:val="en-GB" w:eastAsia="en-GB"/>
              <w14:ligatures w14:val="standardContextual"/>
            </w:rPr>
          </w:pPr>
          <w:hyperlink w:anchor="_Toc235129172" w:history="1">
            <w:r w:rsidRPr="0063663C">
              <w:rPr>
                <w:rStyle w:val="Hyperlink"/>
                <w:noProof/>
              </w:rPr>
              <w:t>Table 4. Benchmarking: Before and After Service Improvement</w:t>
            </w:r>
            <w:r>
              <w:rPr>
                <w:noProof/>
                <w:webHidden/>
              </w:rPr>
              <w:tab/>
            </w:r>
            <w:r>
              <w:rPr>
                <w:noProof/>
                <w:webHidden/>
              </w:rPr>
              <w:fldChar w:fldCharType="begin"/>
            </w:r>
            <w:r>
              <w:rPr>
                <w:noProof/>
                <w:webHidden/>
              </w:rPr>
              <w:instrText xml:space="preserve"> PAGEREF _Toc235129172 \h </w:instrText>
            </w:r>
            <w:r>
              <w:rPr>
                <w:noProof/>
                <w:webHidden/>
              </w:rPr>
            </w:r>
            <w:r>
              <w:rPr>
                <w:noProof/>
                <w:webHidden/>
              </w:rPr>
              <w:fldChar w:fldCharType="separate"/>
            </w:r>
            <w:r>
              <w:rPr>
                <w:noProof/>
                <w:webHidden/>
              </w:rPr>
              <w:t>11</w:t>
            </w:r>
            <w:r>
              <w:rPr>
                <w:noProof/>
                <w:webHidden/>
              </w:rPr>
              <w:fldChar w:fldCharType="end"/>
            </w:r>
          </w:hyperlink>
        </w:p>
        <w:p w14:paraId="791184E0" w14:textId="2F2E6022"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3" w:history="1">
            <w:r w:rsidRPr="0063663C">
              <w:rPr>
                <w:rStyle w:val="Hyperlink"/>
                <w:noProof/>
              </w:rPr>
              <w:t>Recommendations</w:t>
            </w:r>
            <w:r>
              <w:rPr>
                <w:noProof/>
                <w:webHidden/>
              </w:rPr>
              <w:tab/>
            </w:r>
            <w:r>
              <w:rPr>
                <w:noProof/>
                <w:webHidden/>
              </w:rPr>
              <w:fldChar w:fldCharType="begin"/>
            </w:r>
            <w:r>
              <w:rPr>
                <w:noProof/>
                <w:webHidden/>
              </w:rPr>
              <w:instrText xml:space="preserve"> PAGEREF _Toc235129173 \h </w:instrText>
            </w:r>
            <w:r>
              <w:rPr>
                <w:noProof/>
                <w:webHidden/>
              </w:rPr>
            </w:r>
            <w:r>
              <w:rPr>
                <w:noProof/>
                <w:webHidden/>
              </w:rPr>
              <w:fldChar w:fldCharType="separate"/>
            </w:r>
            <w:r>
              <w:rPr>
                <w:noProof/>
                <w:webHidden/>
              </w:rPr>
              <w:t>12</w:t>
            </w:r>
            <w:r>
              <w:rPr>
                <w:noProof/>
                <w:webHidden/>
              </w:rPr>
              <w:fldChar w:fldCharType="end"/>
            </w:r>
          </w:hyperlink>
        </w:p>
        <w:p w14:paraId="30237565" w14:textId="01AC208A"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4" w:history="1">
            <w:r w:rsidRPr="0063663C">
              <w:rPr>
                <w:rStyle w:val="Hyperlink"/>
                <w:noProof/>
              </w:rPr>
              <w:t>Conclusion</w:t>
            </w:r>
            <w:r>
              <w:rPr>
                <w:noProof/>
                <w:webHidden/>
              </w:rPr>
              <w:tab/>
            </w:r>
            <w:r>
              <w:rPr>
                <w:noProof/>
                <w:webHidden/>
              </w:rPr>
              <w:fldChar w:fldCharType="begin"/>
            </w:r>
            <w:r>
              <w:rPr>
                <w:noProof/>
                <w:webHidden/>
              </w:rPr>
              <w:instrText xml:space="preserve"> PAGEREF _Toc235129174 \h </w:instrText>
            </w:r>
            <w:r>
              <w:rPr>
                <w:noProof/>
                <w:webHidden/>
              </w:rPr>
            </w:r>
            <w:r>
              <w:rPr>
                <w:noProof/>
                <w:webHidden/>
              </w:rPr>
              <w:fldChar w:fldCharType="separate"/>
            </w:r>
            <w:r>
              <w:rPr>
                <w:noProof/>
                <w:webHidden/>
              </w:rPr>
              <w:t>13</w:t>
            </w:r>
            <w:r>
              <w:rPr>
                <w:noProof/>
                <w:webHidden/>
              </w:rPr>
              <w:fldChar w:fldCharType="end"/>
            </w:r>
          </w:hyperlink>
        </w:p>
        <w:p w14:paraId="5B5B6C72" w14:textId="2D80FA15"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5" w:history="1">
            <w:r w:rsidRPr="0063663C">
              <w:rPr>
                <w:rStyle w:val="Hyperlink"/>
                <w:noProof/>
              </w:rPr>
              <w:t>Reference List</w:t>
            </w:r>
            <w:r>
              <w:rPr>
                <w:noProof/>
                <w:webHidden/>
              </w:rPr>
              <w:tab/>
            </w:r>
            <w:r>
              <w:rPr>
                <w:noProof/>
                <w:webHidden/>
              </w:rPr>
              <w:fldChar w:fldCharType="begin"/>
            </w:r>
            <w:r>
              <w:rPr>
                <w:noProof/>
                <w:webHidden/>
              </w:rPr>
              <w:instrText xml:space="preserve"> PAGEREF _Toc235129175 \h </w:instrText>
            </w:r>
            <w:r>
              <w:rPr>
                <w:noProof/>
                <w:webHidden/>
              </w:rPr>
            </w:r>
            <w:r>
              <w:rPr>
                <w:noProof/>
                <w:webHidden/>
              </w:rPr>
              <w:fldChar w:fldCharType="separate"/>
            </w:r>
            <w:r>
              <w:rPr>
                <w:noProof/>
                <w:webHidden/>
              </w:rPr>
              <w:t>14</w:t>
            </w:r>
            <w:r>
              <w:rPr>
                <w:noProof/>
                <w:webHidden/>
              </w:rPr>
              <w:fldChar w:fldCharType="end"/>
            </w:r>
          </w:hyperlink>
        </w:p>
        <w:p w14:paraId="5B2FE032" w14:textId="4806BE70" w:rsidR="000048DE" w:rsidRDefault="000048DE">
          <w:r>
            <w:rPr>
              <w:b/>
              <w:bCs/>
              <w:noProof/>
            </w:rPr>
            <w:fldChar w:fldCharType="end"/>
          </w:r>
        </w:p>
      </w:sdtContent>
    </w:sdt>
    <w:p w14:paraId="28817D11" w14:textId="4C9932D1" w:rsidR="005B79F5" w:rsidRDefault="005B79F5" w:rsidP="008223CC">
      <w:pPr>
        <w:spacing w:line="360" w:lineRule="auto"/>
        <w:rPr>
          <w:rFonts w:ascii="Arial" w:hAnsi="Arial" w:cs="Arial"/>
          <w:b/>
          <w:bCs/>
          <w:sz w:val="32"/>
          <w:szCs w:val="32"/>
        </w:rPr>
      </w:pPr>
    </w:p>
    <w:p w14:paraId="5FB5810B" w14:textId="77777777" w:rsidR="005B79F5" w:rsidRDefault="005B79F5" w:rsidP="008223CC">
      <w:pPr>
        <w:spacing w:line="360" w:lineRule="auto"/>
        <w:rPr>
          <w:rFonts w:ascii="Arial" w:hAnsi="Arial" w:cs="Arial"/>
          <w:b/>
          <w:bCs/>
          <w:sz w:val="32"/>
          <w:szCs w:val="32"/>
        </w:rPr>
      </w:pPr>
    </w:p>
    <w:p w14:paraId="7AFECFEE" w14:textId="77777777" w:rsidR="005B79F5" w:rsidRDefault="005B79F5" w:rsidP="008223CC">
      <w:pPr>
        <w:spacing w:line="360" w:lineRule="auto"/>
        <w:rPr>
          <w:rFonts w:ascii="Arial" w:hAnsi="Arial" w:cs="Arial"/>
          <w:b/>
          <w:bCs/>
          <w:sz w:val="32"/>
          <w:szCs w:val="32"/>
        </w:rPr>
      </w:pPr>
    </w:p>
    <w:p w14:paraId="539AFB0B" w14:textId="77777777" w:rsidR="005B79F5" w:rsidRDefault="005B79F5" w:rsidP="008223CC">
      <w:pPr>
        <w:spacing w:line="360" w:lineRule="auto"/>
        <w:rPr>
          <w:rFonts w:ascii="Arial" w:hAnsi="Arial" w:cs="Arial"/>
          <w:b/>
          <w:bCs/>
          <w:sz w:val="32"/>
          <w:szCs w:val="32"/>
        </w:rPr>
      </w:pPr>
    </w:p>
    <w:p w14:paraId="6C546D62" w14:textId="77777777" w:rsidR="005B79F5" w:rsidRDefault="005B79F5" w:rsidP="008223CC">
      <w:pPr>
        <w:spacing w:line="360" w:lineRule="auto"/>
        <w:rPr>
          <w:rFonts w:ascii="Arial" w:hAnsi="Arial" w:cs="Arial"/>
          <w:b/>
          <w:bCs/>
          <w:sz w:val="32"/>
          <w:szCs w:val="32"/>
        </w:rPr>
      </w:pPr>
    </w:p>
    <w:p w14:paraId="45F6D895" w14:textId="77777777" w:rsidR="005B79F5" w:rsidRDefault="005B79F5" w:rsidP="008223CC">
      <w:pPr>
        <w:spacing w:line="360" w:lineRule="auto"/>
        <w:rPr>
          <w:rFonts w:ascii="Arial" w:hAnsi="Arial" w:cs="Arial"/>
          <w:b/>
          <w:bCs/>
          <w:sz w:val="32"/>
          <w:szCs w:val="32"/>
        </w:rPr>
      </w:pPr>
    </w:p>
    <w:p w14:paraId="04EBE164" w14:textId="77777777" w:rsidR="005B79F5" w:rsidRDefault="005B79F5" w:rsidP="008223CC">
      <w:pPr>
        <w:spacing w:line="360" w:lineRule="auto"/>
        <w:rPr>
          <w:rFonts w:ascii="Arial" w:hAnsi="Arial" w:cs="Arial"/>
          <w:b/>
          <w:bCs/>
          <w:sz w:val="32"/>
          <w:szCs w:val="32"/>
        </w:rPr>
      </w:pPr>
    </w:p>
    <w:p w14:paraId="6ED8CB49" w14:textId="77777777" w:rsidR="005B79F5" w:rsidRDefault="005B79F5" w:rsidP="008223CC">
      <w:pPr>
        <w:spacing w:line="360" w:lineRule="auto"/>
        <w:rPr>
          <w:rFonts w:ascii="Arial" w:hAnsi="Arial" w:cs="Arial"/>
          <w:b/>
          <w:bCs/>
          <w:sz w:val="32"/>
          <w:szCs w:val="32"/>
        </w:rPr>
      </w:pPr>
    </w:p>
    <w:p w14:paraId="0A6E78FF" w14:textId="77777777" w:rsidR="00A54A48" w:rsidRDefault="00A54A48" w:rsidP="008223CC">
      <w:pPr>
        <w:spacing w:line="360" w:lineRule="auto"/>
        <w:rPr>
          <w:rFonts w:ascii="Arial" w:hAnsi="Arial" w:cs="Arial"/>
          <w:b/>
          <w:bCs/>
          <w:sz w:val="32"/>
          <w:szCs w:val="32"/>
        </w:rPr>
      </w:pPr>
    </w:p>
    <w:p w14:paraId="6B8CE415" w14:textId="30AA9895" w:rsidR="001C22B8" w:rsidRPr="008223CC" w:rsidRDefault="001C22B8" w:rsidP="000E78AD">
      <w:pPr>
        <w:pStyle w:val="Title"/>
      </w:pPr>
      <w:r w:rsidRPr="008223CC">
        <w:lastRenderedPageBreak/>
        <w:t>Service Improvement Report: Quality Failures at Bristol Royal Infirmary and Strategies for Service Improvement</w:t>
      </w:r>
    </w:p>
    <w:p w14:paraId="483A244B" w14:textId="77777777" w:rsidR="00DA098A" w:rsidRPr="007228D8" w:rsidRDefault="00DA098A" w:rsidP="000E78AD">
      <w:pPr>
        <w:pStyle w:val="Heading1"/>
      </w:pPr>
      <w:bookmarkStart w:id="0" w:name="_Toc235129162"/>
      <w:r w:rsidRPr="007228D8">
        <w:t>Introduction</w:t>
      </w:r>
      <w:bookmarkEnd w:id="0"/>
    </w:p>
    <w:p w14:paraId="798F3B57" w14:textId="77777777" w:rsidR="00DA098A" w:rsidRPr="007228D8" w:rsidRDefault="00DA098A" w:rsidP="007228D8">
      <w:pPr>
        <w:spacing w:line="360" w:lineRule="auto"/>
        <w:rPr>
          <w:rFonts w:ascii="Arial" w:hAnsi="Arial" w:cs="Arial"/>
        </w:rPr>
      </w:pPr>
      <w:r w:rsidRPr="007228D8">
        <w:rPr>
          <w:rFonts w:ascii="Arial" w:hAnsi="Arial" w:cs="Arial"/>
        </w:rPr>
        <w:t xml:space="preserve">Quality improvement is essential for ensuring healthcare organisations deliver safe, effective and person-centred care. Within the National Health Service (NHS), failures in quality can lead to avoidable patient harm, increased healthcare costs and reduced public confidence. One of the most significant examples of quality failure in the United Kingdom was the </w:t>
      </w:r>
      <w:r w:rsidRPr="007228D8">
        <w:rPr>
          <w:rFonts w:ascii="Arial" w:hAnsi="Arial" w:cs="Arial"/>
          <w:b/>
          <w:bCs/>
        </w:rPr>
        <w:t>Bristol Royal Infirmary Inquiry</w:t>
      </w:r>
      <w:r w:rsidRPr="007228D8">
        <w:rPr>
          <w:rFonts w:ascii="Arial" w:hAnsi="Arial" w:cs="Arial"/>
        </w:rPr>
        <w:t>, which investigated paediatric cardiac surgery performed between 1984 and 1995. The inquiry found serious failures in clinical governance, leadership, communication and organisational culture that resulted in avoidable harm to children and their families (Kennedy, 2001).</w:t>
      </w:r>
    </w:p>
    <w:p w14:paraId="06E4809B" w14:textId="77777777" w:rsidR="00DA098A" w:rsidRPr="007228D8" w:rsidRDefault="00DA098A" w:rsidP="007228D8">
      <w:pPr>
        <w:spacing w:line="360" w:lineRule="auto"/>
        <w:rPr>
          <w:rFonts w:ascii="Arial" w:hAnsi="Arial" w:cs="Arial"/>
        </w:rPr>
      </w:pPr>
      <w:r w:rsidRPr="007228D8">
        <w:rPr>
          <w:rFonts w:ascii="Arial" w:hAnsi="Arial" w:cs="Arial"/>
        </w:rPr>
        <w:t xml:space="preserve">The inquiry reported that mortality rates for some paediatric cardiac procedures were </w:t>
      </w:r>
      <w:r w:rsidRPr="007228D8">
        <w:rPr>
          <w:rFonts w:ascii="Arial" w:hAnsi="Arial" w:cs="Arial"/>
          <w:b/>
          <w:bCs/>
        </w:rPr>
        <w:t>almost twice the national average (approximately 100% higher)</w:t>
      </w:r>
      <w:r w:rsidRPr="007228D8">
        <w:rPr>
          <w:rFonts w:ascii="Arial" w:hAnsi="Arial" w:cs="Arial"/>
        </w:rPr>
        <w:t xml:space="preserve">, demonstrating significant variations in the quality of care provided (Kennedy, 2001). Around </w:t>
      </w:r>
      <w:r w:rsidRPr="007228D8">
        <w:rPr>
          <w:rFonts w:ascii="Arial" w:hAnsi="Arial" w:cs="Arial"/>
          <w:b/>
          <w:bCs/>
        </w:rPr>
        <w:t>170 children died</w:t>
      </w:r>
      <w:r w:rsidRPr="007228D8">
        <w:rPr>
          <w:rFonts w:ascii="Arial" w:hAnsi="Arial" w:cs="Arial"/>
        </w:rPr>
        <w:t xml:space="preserve"> during the investigation period, many of whom may have survived if effective governance and performance monitoring had been in place. In response, the inquiry made </w:t>
      </w:r>
      <w:r w:rsidRPr="007228D8">
        <w:rPr>
          <w:rFonts w:ascii="Arial" w:hAnsi="Arial" w:cs="Arial"/>
          <w:b/>
          <w:bCs/>
        </w:rPr>
        <w:t>198 recommendations</w:t>
      </w:r>
      <w:r w:rsidRPr="007228D8">
        <w:rPr>
          <w:rFonts w:ascii="Arial" w:hAnsi="Arial" w:cs="Arial"/>
        </w:rPr>
        <w:t xml:space="preserve"> to improve clinical governance, accountability, transparency and patient safety across the NHS (Kennedy, 2001). These recommendations continue to influence quality improvement strategies within modern healthcare organisations.</w:t>
      </w:r>
    </w:p>
    <w:p w14:paraId="2178D692" w14:textId="2D81BC7F" w:rsidR="007228D8" w:rsidRDefault="00DA098A" w:rsidP="007228D8">
      <w:pPr>
        <w:spacing w:line="360" w:lineRule="auto"/>
        <w:rPr>
          <w:rFonts w:ascii="Arial" w:hAnsi="Arial" w:cs="Arial"/>
        </w:rPr>
      </w:pPr>
      <w:r w:rsidRPr="007228D8">
        <w:rPr>
          <w:rFonts w:ascii="Arial" w:hAnsi="Arial" w:cs="Arial"/>
        </w:rPr>
        <w:t xml:space="preserve">Patient safety remains a major public health concern. The World Health Organization (2021) estimates that </w:t>
      </w:r>
      <w:r w:rsidRPr="007228D8">
        <w:rPr>
          <w:rFonts w:ascii="Arial" w:hAnsi="Arial" w:cs="Arial"/>
          <w:b/>
          <w:bCs/>
        </w:rPr>
        <w:t>approximately 10% of patients admitted to hospital worldwide experience preventable harm</w:t>
      </w:r>
      <w:r w:rsidRPr="007228D8">
        <w:rPr>
          <w:rFonts w:ascii="Arial" w:hAnsi="Arial" w:cs="Arial"/>
        </w:rPr>
        <w:t xml:space="preserve">, highlighting that patient safety continues to be a global challenge. Similarly, NHS England (2023) reports that </w:t>
      </w:r>
      <w:r w:rsidRPr="007228D8">
        <w:rPr>
          <w:rFonts w:ascii="Arial" w:hAnsi="Arial" w:cs="Arial"/>
          <w:b/>
          <w:bCs/>
        </w:rPr>
        <w:t>over two million patient safety incidents are recorded annually</w:t>
      </w:r>
      <w:r w:rsidRPr="007228D8">
        <w:rPr>
          <w:rFonts w:ascii="Arial" w:hAnsi="Arial" w:cs="Arial"/>
        </w:rPr>
        <w:t xml:space="preserve"> across NHS services. Although many incidents cause little or no harm, these figures demonstrate the need for continuous monitoring, effective leadership and robust governance systems to reduce avoidable harm and improve patient outcomes. Learning from the Bristol Inquiry therefore remains highly relevant for strengthening quality improvement within health and social care.</w:t>
      </w:r>
    </w:p>
    <w:p w14:paraId="7EEB55C6" w14:textId="77777777" w:rsidR="00406E28" w:rsidRPr="000E78AD" w:rsidRDefault="00406E28" w:rsidP="007228D8">
      <w:pPr>
        <w:spacing w:line="360" w:lineRule="auto"/>
        <w:rPr>
          <w:rFonts w:ascii="Arial" w:hAnsi="Arial" w:cs="Arial"/>
        </w:rPr>
      </w:pPr>
    </w:p>
    <w:p w14:paraId="02E94EA0" w14:textId="66352FD4" w:rsidR="00DA098A" w:rsidRPr="007228D8" w:rsidRDefault="00DA098A" w:rsidP="00406E28">
      <w:pPr>
        <w:pStyle w:val="Heading1"/>
      </w:pPr>
      <w:bookmarkStart w:id="1" w:name="_Toc235129163"/>
      <w:r w:rsidRPr="007228D8">
        <w:lastRenderedPageBreak/>
        <w:t>Application of the Donabedian Model</w:t>
      </w:r>
      <w:bookmarkEnd w:id="1"/>
    </w:p>
    <w:p w14:paraId="4B7A0746" w14:textId="77777777" w:rsidR="00DA098A" w:rsidRPr="007228D8" w:rsidRDefault="00DA098A" w:rsidP="007228D8">
      <w:pPr>
        <w:spacing w:line="360" w:lineRule="auto"/>
        <w:rPr>
          <w:rFonts w:ascii="Arial" w:hAnsi="Arial" w:cs="Arial"/>
        </w:rPr>
      </w:pPr>
      <w:r w:rsidRPr="007228D8">
        <w:rPr>
          <w:rFonts w:ascii="Arial" w:hAnsi="Arial" w:cs="Arial"/>
        </w:rPr>
        <w:t xml:space="preserve">The </w:t>
      </w:r>
      <w:r w:rsidRPr="007228D8">
        <w:rPr>
          <w:rFonts w:ascii="Arial" w:hAnsi="Arial" w:cs="Arial"/>
          <w:b/>
          <w:bCs/>
        </w:rPr>
        <w:t>Donabedian Model</w:t>
      </w:r>
      <w:r w:rsidRPr="007228D8">
        <w:rPr>
          <w:rFonts w:ascii="Arial" w:hAnsi="Arial" w:cs="Arial"/>
        </w:rPr>
        <w:t xml:space="preserve"> was selected to evaluate the quality failures identified at Bristol Royal Infirmary because it examines healthcare quality through three interconnected components: </w:t>
      </w:r>
      <w:r w:rsidRPr="007228D8">
        <w:rPr>
          <w:rFonts w:ascii="Arial" w:hAnsi="Arial" w:cs="Arial"/>
          <w:b/>
          <w:bCs/>
        </w:rPr>
        <w:t>structure, process and outcomes</w:t>
      </w:r>
      <w:r w:rsidRPr="007228D8">
        <w:rPr>
          <w:rFonts w:ascii="Arial" w:hAnsi="Arial" w:cs="Arial"/>
        </w:rPr>
        <w:t xml:space="preserve"> (Donabedian, 1988). Unlike models that focus primarily on individual clinical errors, Donabedian provides a systems-based approach that examines how organisational factors influence patient care and healthcare outcomes. This makes the model particularly suitable because the Bristol Inquiry concluded that the failures resulted from organisational weaknesses rather than isolated mistakes by individual clinicians (Kennedy, 2001).</w:t>
      </w:r>
    </w:p>
    <w:p w14:paraId="2375D649" w14:textId="77777777" w:rsidR="00DA098A" w:rsidRPr="007228D8" w:rsidRDefault="00DA098A" w:rsidP="007228D8">
      <w:pPr>
        <w:spacing w:line="360" w:lineRule="auto"/>
        <w:rPr>
          <w:rFonts w:ascii="Arial" w:hAnsi="Arial" w:cs="Arial"/>
        </w:rPr>
      </w:pPr>
    </w:p>
    <w:p w14:paraId="7AAA6E6E" w14:textId="77777777" w:rsidR="00DA098A" w:rsidRDefault="00DA098A" w:rsidP="00406E28">
      <w:pPr>
        <w:pStyle w:val="Heading2"/>
      </w:pPr>
      <w:bookmarkStart w:id="2" w:name="_Toc235129164"/>
      <w:r w:rsidRPr="007228D8">
        <w:t>Table 1: Donabedian Model Applied to Bristol Royal Infirmary</w:t>
      </w:r>
      <w:bookmarkEnd w:id="2"/>
    </w:p>
    <w:p w14:paraId="02112D08" w14:textId="77777777" w:rsidR="00406E28" w:rsidRPr="00406E28" w:rsidRDefault="00406E28" w:rsidP="00406E28"/>
    <w:tbl>
      <w:tblPr>
        <w:tblStyle w:val="TableGrid"/>
        <w:tblW w:w="10632" w:type="dxa"/>
        <w:tblInd w:w="-856" w:type="dxa"/>
        <w:tblLook w:val="04A0" w:firstRow="1" w:lastRow="0" w:firstColumn="1" w:lastColumn="0" w:noHBand="0" w:noVBand="1"/>
      </w:tblPr>
      <w:tblGrid>
        <w:gridCol w:w="2836"/>
        <w:gridCol w:w="4030"/>
        <w:gridCol w:w="3766"/>
      </w:tblGrid>
      <w:tr w:rsidR="00623E82" w14:paraId="5C54E94E" w14:textId="77777777" w:rsidTr="00773AD6">
        <w:tc>
          <w:tcPr>
            <w:tcW w:w="2836" w:type="dxa"/>
          </w:tcPr>
          <w:p w14:paraId="1471B782" w14:textId="3A54CA33" w:rsidR="00623E82" w:rsidRPr="00FA6EE8" w:rsidRDefault="00464119" w:rsidP="007228D8">
            <w:pPr>
              <w:spacing w:line="360" w:lineRule="auto"/>
              <w:rPr>
                <w:rFonts w:ascii="Arial" w:hAnsi="Arial" w:cs="Arial"/>
                <w:b/>
                <w:bCs/>
              </w:rPr>
            </w:pPr>
            <w:r w:rsidRPr="00FA6EE8">
              <w:rPr>
                <w:rFonts w:ascii="Arial" w:hAnsi="Arial" w:cs="Arial"/>
                <w:b/>
                <w:bCs/>
              </w:rPr>
              <w:t>Component</w:t>
            </w:r>
          </w:p>
        </w:tc>
        <w:tc>
          <w:tcPr>
            <w:tcW w:w="4030" w:type="dxa"/>
          </w:tcPr>
          <w:p w14:paraId="6999C0EE" w14:textId="2A24F3CF" w:rsidR="00623E82" w:rsidRPr="00FA6EE8" w:rsidRDefault="00D71C96" w:rsidP="007228D8">
            <w:pPr>
              <w:spacing w:line="360" w:lineRule="auto"/>
              <w:rPr>
                <w:rFonts w:ascii="Arial" w:hAnsi="Arial" w:cs="Arial"/>
                <w:b/>
                <w:bCs/>
              </w:rPr>
            </w:pPr>
            <w:r w:rsidRPr="00FA6EE8">
              <w:rPr>
                <w:rFonts w:ascii="Arial" w:hAnsi="Arial" w:cs="Arial"/>
                <w:b/>
                <w:bCs/>
              </w:rPr>
              <w:t>Evidence from Bristol Royal Infirmary</w:t>
            </w:r>
          </w:p>
        </w:tc>
        <w:tc>
          <w:tcPr>
            <w:tcW w:w="3766" w:type="dxa"/>
          </w:tcPr>
          <w:p w14:paraId="4A8B47F9" w14:textId="4266B394" w:rsidR="00623E82" w:rsidRPr="00FA6EE8" w:rsidRDefault="00FA6EE8" w:rsidP="007228D8">
            <w:pPr>
              <w:spacing w:line="360" w:lineRule="auto"/>
              <w:rPr>
                <w:rFonts w:ascii="Arial" w:hAnsi="Arial" w:cs="Arial"/>
                <w:b/>
                <w:bCs/>
              </w:rPr>
            </w:pPr>
            <w:r w:rsidRPr="00FA6EE8">
              <w:rPr>
                <w:rFonts w:ascii="Arial" w:hAnsi="Arial" w:cs="Arial"/>
                <w:b/>
                <w:bCs/>
              </w:rPr>
              <w:t>Impact on Quality</w:t>
            </w:r>
          </w:p>
        </w:tc>
      </w:tr>
      <w:tr w:rsidR="00623E82" w14:paraId="7B5B8AB4" w14:textId="77777777" w:rsidTr="00773AD6">
        <w:tc>
          <w:tcPr>
            <w:tcW w:w="2836" w:type="dxa"/>
          </w:tcPr>
          <w:p w14:paraId="40874AF9" w14:textId="755702A8" w:rsidR="00623E82" w:rsidRPr="00A117D6" w:rsidRDefault="00744644" w:rsidP="007228D8">
            <w:pPr>
              <w:spacing w:line="360" w:lineRule="auto"/>
              <w:rPr>
                <w:rFonts w:ascii="Arial" w:hAnsi="Arial" w:cs="Arial"/>
                <w:b/>
                <w:bCs/>
              </w:rPr>
            </w:pPr>
            <w:r w:rsidRPr="00A117D6">
              <w:rPr>
                <w:rFonts w:ascii="Arial" w:hAnsi="Arial" w:cs="Arial"/>
                <w:b/>
                <w:bCs/>
              </w:rPr>
              <w:t>Structure</w:t>
            </w:r>
          </w:p>
        </w:tc>
        <w:tc>
          <w:tcPr>
            <w:tcW w:w="4030" w:type="dxa"/>
          </w:tcPr>
          <w:p w14:paraId="2154130B" w14:textId="234C0164" w:rsidR="00623E82" w:rsidRPr="00AE19C9" w:rsidRDefault="00AE19C9" w:rsidP="007228D8">
            <w:pPr>
              <w:spacing w:line="360" w:lineRule="auto"/>
              <w:rPr>
                <w:rFonts w:ascii="Arial" w:hAnsi="Arial" w:cs="Arial"/>
                <w:sz w:val="20"/>
                <w:szCs w:val="20"/>
              </w:rPr>
            </w:pPr>
            <w:r w:rsidRPr="00AE19C9">
              <w:rPr>
                <w:rFonts w:ascii="Arial" w:hAnsi="Arial" w:cs="Arial"/>
                <w:sz w:val="20"/>
                <w:szCs w:val="20"/>
              </w:rPr>
              <w:t>Weak leadership, poor clinical governance, limited specialist expertise</w:t>
            </w:r>
          </w:p>
        </w:tc>
        <w:tc>
          <w:tcPr>
            <w:tcW w:w="3766" w:type="dxa"/>
          </w:tcPr>
          <w:p w14:paraId="316B45A5" w14:textId="222F86DF" w:rsidR="00623E82" w:rsidRPr="00F03A17" w:rsidRDefault="00F03A17" w:rsidP="007228D8">
            <w:pPr>
              <w:spacing w:line="360" w:lineRule="auto"/>
              <w:rPr>
                <w:rFonts w:ascii="Arial" w:hAnsi="Arial" w:cs="Arial"/>
                <w:sz w:val="20"/>
                <w:szCs w:val="20"/>
              </w:rPr>
            </w:pPr>
            <w:r w:rsidRPr="00F03A17">
              <w:rPr>
                <w:rFonts w:ascii="Arial" w:hAnsi="Arial" w:cs="Arial"/>
                <w:sz w:val="20"/>
                <w:szCs w:val="20"/>
              </w:rPr>
              <w:t xml:space="preserve">Mortality rates approximately </w:t>
            </w:r>
            <w:r w:rsidRPr="00F03A17">
              <w:rPr>
                <w:rFonts w:ascii="Arial" w:hAnsi="Arial" w:cs="Arial"/>
                <w:b/>
                <w:bCs/>
                <w:sz w:val="20"/>
                <w:szCs w:val="20"/>
              </w:rPr>
              <w:t>100% higher</w:t>
            </w:r>
            <w:r w:rsidRPr="00F03A17">
              <w:rPr>
                <w:rFonts w:ascii="Arial" w:hAnsi="Arial" w:cs="Arial"/>
                <w:sz w:val="20"/>
                <w:szCs w:val="20"/>
              </w:rPr>
              <w:t xml:space="preserve"> than the national average</w:t>
            </w:r>
          </w:p>
        </w:tc>
      </w:tr>
      <w:tr w:rsidR="00623E82" w14:paraId="4C5A745A" w14:textId="77777777" w:rsidTr="00773AD6">
        <w:tc>
          <w:tcPr>
            <w:tcW w:w="2836" w:type="dxa"/>
          </w:tcPr>
          <w:p w14:paraId="01E50B56" w14:textId="143BBCE7" w:rsidR="00623E82" w:rsidRPr="00A117D6" w:rsidRDefault="00C74CD1" w:rsidP="007228D8">
            <w:pPr>
              <w:spacing w:line="360" w:lineRule="auto"/>
              <w:rPr>
                <w:rFonts w:ascii="Arial" w:hAnsi="Arial" w:cs="Arial"/>
                <w:b/>
                <w:bCs/>
              </w:rPr>
            </w:pPr>
            <w:r w:rsidRPr="00A117D6">
              <w:rPr>
                <w:rFonts w:ascii="Arial" w:hAnsi="Arial" w:cs="Arial"/>
                <w:b/>
                <w:bCs/>
              </w:rPr>
              <w:t>Process</w:t>
            </w:r>
          </w:p>
        </w:tc>
        <w:tc>
          <w:tcPr>
            <w:tcW w:w="4030" w:type="dxa"/>
          </w:tcPr>
          <w:p w14:paraId="4AF0A41B" w14:textId="60DE5D2B" w:rsidR="00623E82" w:rsidRPr="00F409A1" w:rsidRDefault="00F409A1" w:rsidP="007228D8">
            <w:pPr>
              <w:spacing w:line="360" w:lineRule="auto"/>
              <w:rPr>
                <w:rFonts w:ascii="Arial" w:hAnsi="Arial" w:cs="Arial"/>
                <w:sz w:val="20"/>
                <w:szCs w:val="20"/>
              </w:rPr>
            </w:pPr>
            <w:r w:rsidRPr="00F409A1">
              <w:rPr>
                <w:rFonts w:ascii="Arial" w:hAnsi="Arial" w:cs="Arial"/>
                <w:sz w:val="20"/>
                <w:szCs w:val="20"/>
              </w:rPr>
              <w:t>Poor communication, limited clinical audit, inadequate monitoring</w:t>
            </w:r>
          </w:p>
        </w:tc>
        <w:tc>
          <w:tcPr>
            <w:tcW w:w="3766" w:type="dxa"/>
          </w:tcPr>
          <w:p w14:paraId="0CD46CB1" w14:textId="46D5CF8E" w:rsidR="00623E82" w:rsidRPr="004E18DB" w:rsidRDefault="004E18DB" w:rsidP="007228D8">
            <w:pPr>
              <w:spacing w:line="360" w:lineRule="auto"/>
              <w:rPr>
                <w:rFonts w:ascii="Arial" w:hAnsi="Arial" w:cs="Arial"/>
                <w:sz w:val="20"/>
                <w:szCs w:val="20"/>
              </w:rPr>
            </w:pPr>
            <w:r w:rsidRPr="004E18DB">
              <w:rPr>
                <w:rFonts w:ascii="Arial" w:hAnsi="Arial" w:cs="Arial"/>
                <w:sz w:val="20"/>
                <w:szCs w:val="20"/>
              </w:rPr>
              <w:t>Delayed action and repeated unsafe practice</w:t>
            </w:r>
          </w:p>
        </w:tc>
      </w:tr>
      <w:tr w:rsidR="00623E82" w14:paraId="22018B27" w14:textId="77777777" w:rsidTr="00773AD6">
        <w:tc>
          <w:tcPr>
            <w:tcW w:w="2836" w:type="dxa"/>
          </w:tcPr>
          <w:p w14:paraId="452E876C" w14:textId="688CD102" w:rsidR="00623E82" w:rsidRPr="00A117D6" w:rsidRDefault="00A117D6" w:rsidP="007228D8">
            <w:pPr>
              <w:spacing w:line="360" w:lineRule="auto"/>
              <w:rPr>
                <w:rFonts w:ascii="Arial" w:hAnsi="Arial" w:cs="Arial"/>
                <w:b/>
                <w:bCs/>
              </w:rPr>
            </w:pPr>
            <w:r w:rsidRPr="00A117D6">
              <w:rPr>
                <w:rFonts w:ascii="Arial" w:hAnsi="Arial" w:cs="Arial"/>
                <w:b/>
                <w:bCs/>
              </w:rPr>
              <w:t>Outcome</w:t>
            </w:r>
          </w:p>
        </w:tc>
        <w:tc>
          <w:tcPr>
            <w:tcW w:w="4030" w:type="dxa"/>
          </w:tcPr>
          <w:p w14:paraId="250E1533" w14:textId="147BFD62" w:rsidR="00623E82" w:rsidRPr="00ED59EB" w:rsidRDefault="00ED59EB" w:rsidP="007228D8">
            <w:pPr>
              <w:spacing w:line="360" w:lineRule="auto"/>
              <w:rPr>
                <w:rFonts w:ascii="Arial" w:hAnsi="Arial" w:cs="Arial"/>
                <w:sz w:val="20"/>
                <w:szCs w:val="20"/>
              </w:rPr>
            </w:pPr>
            <w:r w:rsidRPr="00ED59EB">
              <w:rPr>
                <w:rFonts w:ascii="Arial" w:hAnsi="Arial" w:cs="Arial"/>
                <w:sz w:val="20"/>
                <w:szCs w:val="20"/>
              </w:rPr>
              <w:t xml:space="preserve">Approximately </w:t>
            </w:r>
            <w:r w:rsidRPr="00ED59EB">
              <w:rPr>
                <w:rFonts w:ascii="Arial" w:hAnsi="Arial" w:cs="Arial"/>
                <w:b/>
                <w:bCs/>
                <w:sz w:val="20"/>
                <w:szCs w:val="20"/>
              </w:rPr>
              <w:t>170 child deaths</w:t>
            </w:r>
            <w:r w:rsidRPr="00ED59EB">
              <w:rPr>
                <w:rFonts w:ascii="Arial" w:hAnsi="Arial" w:cs="Arial"/>
                <w:sz w:val="20"/>
                <w:szCs w:val="20"/>
              </w:rPr>
              <w:t>, psychological harm and reduced public confidence</w:t>
            </w:r>
          </w:p>
        </w:tc>
        <w:tc>
          <w:tcPr>
            <w:tcW w:w="3766" w:type="dxa"/>
          </w:tcPr>
          <w:p w14:paraId="28500CA3" w14:textId="1F6B9745" w:rsidR="00623E82" w:rsidRPr="00773AD6" w:rsidRDefault="00773AD6" w:rsidP="007228D8">
            <w:pPr>
              <w:spacing w:line="360" w:lineRule="auto"/>
              <w:rPr>
                <w:rFonts w:ascii="Arial" w:hAnsi="Arial" w:cs="Arial"/>
                <w:sz w:val="20"/>
                <w:szCs w:val="20"/>
              </w:rPr>
            </w:pPr>
            <w:r w:rsidRPr="00773AD6">
              <w:rPr>
                <w:rFonts w:ascii="Arial" w:hAnsi="Arial" w:cs="Arial"/>
                <w:sz w:val="20"/>
                <w:szCs w:val="20"/>
              </w:rPr>
              <w:t>Poor patient safety and major NHS reforms</w:t>
            </w:r>
          </w:p>
        </w:tc>
      </w:tr>
    </w:tbl>
    <w:p w14:paraId="568B9D67" w14:textId="77777777" w:rsidR="00DA098A" w:rsidRPr="007228D8" w:rsidRDefault="00DA098A" w:rsidP="007228D8">
      <w:pPr>
        <w:spacing w:line="360" w:lineRule="auto"/>
        <w:rPr>
          <w:rFonts w:ascii="Arial" w:hAnsi="Arial" w:cs="Arial"/>
        </w:rPr>
      </w:pPr>
    </w:p>
    <w:p w14:paraId="45226716" w14:textId="7ADD4AE4" w:rsidR="00DA098A" w:rsidRPr="007228D8" w:rsidRDefault="00DA098A" w:rsidP="00406E28">
      <w:pPr>
        <w:pStyle w:val="Heading3"/>
      </w:pPr>
      <w:bookmarkStart w:id="3" w:name="_Toc235129165"/>
      <w:r w:rsidRPr="007228D8">
        <w:t>Analysis of the Donabedian Model</w:t>
      </w:r>
      <w:bookmarkEnd w:id="3"/>
    </w:p>
    <w:p w14:paraId="72006F72" w14:textId="21175A71" w:rsidR="00402AC2" w:rsidRDefault="00DA098A" w:rsidP="00402AC2">
      <w:pPr>
        <w:spacing w:line="360" w:lineRule="auto"/>
        <w:rPr>
          <w:rFonts w:ascii="Arial" w:hAnsi="Arial" w:cs="Arial"/>
        </w:rPr>
      </w:pPr>
      <w:r w:rsidRPr="007228D8">
        <w:rPr>
          <w:rFonts w:ascii="Arial" w:hAnsi="Arial" w:cs="Arial"/>
        </w:rPr>
        <w:t xml:space="preserve">Table 1 demonstrates how weaknesses in organisational </w:t>
      </w:r>
      <w:r w:rsidRPr="007228D8">
        <w:rPr>
          <w:rFonts w:ascii="Arial" w:hAnsi="Arial" w:cs="Arial"/>
          <w:b/>
          <w:bCs/>
        </w:rPr>
        <w:t>structures</w:t>
      </w:r>
      <w:r w:rsidRPr="007228D8">
        <w:rPr>
          <w:rFonts w:ascii="Arial" w:hAnsi="Arial" w:cs="Arial"/>
        </w:rPr>
        <w:t xml:space="preserve">, including poor leadership and ineffective governance, contributed to failures in </w:t>
      </w:r>
      <w:r w:rsidRPr="007228D8">
        <w:rPr>
          <w:rFonts w:ascii="Arial" w:hAnsi="Arial" w:cs="Arial"/>
          <w:b/>
          <w:bCs/>
        </w:rPr>
        <w:t>clinical processes</w:t>
      </w:r>
      <w:r w:rsidRPr="007228D8">
        <w:rPr>
          <w:rFonts w:ascii="Arial" w:hAnsi="Arial" w:cs="Arial"/>
        </w:rPr>
        <w:t xml:space="preserve">, such as inadequate communication and limited performance monitoring. These deficiencies resulted in poor </w:t>
      </w:r>
      <w:r w:rsidRPr="007228D8">
        <w:rPr>
          <w:rFonts w:ascii="Arial" w:hAnsi="Arial" w:cs="Arial"/>
          <w:b/>
          <w:bCs/>
        </w:rPr>
        <w:t>patient outcomes</w:t>
      </w:r>
      <w:r w:rsidRPr="007228D8">
        <w:rPr>
          <w:rFonts w:ascii="Arial" w:hAnsi="Arial" w:cs="Arial"/>
        </w:rPr>
        <w:t>, including avoidable deaths and loss of public confidence. The model therefore highlights that improving organisational systems, rather than focusing solely on individual performance, is essential for reducing patient harm and achieving sustainable quality improvement within healthcare organisations (Donabedian, 1988; Kennedy, 2001).</w:t>
      </w:r>
      <w:bookmarkStart w:id="4" w:name="_Toc235129166"/>
    </w:p>
    <w:p w14:paraId="3E981896" w14:textId="77777777" w:rsidR="00402AC2" w:rsidRPr="00402AC2" w:rsidRDefault="00402AC2" w:rsidP="00402AC2">
      <w:pPr>
        <w:spacing w:line="360" w:lineRule="auto"/>
        <w:rPr>
          <w:rFonts w:ascii="Arial" w:hAnsi="Arial" w:cs="Arial"/>
        </w:rPr>
      </w:pPr>
    </w:p>
    <w:p w14:paraId="79617F41" w14:textId="16FC8ED6" w:rsidR="00DA098A" w:rsidRPr="00406E28" w:rsidRDefault="00DA098A" w:rsidP="00406E28">
      <w:pPr>
        <w:pStyle w:val="Heading1"/>
        <w:rPr>
          <w:sz w:val="22"/>
          <w:szCs w:val="22"/>
        </w:rPr>
      </w:pPr>
      <w:r w:rsidRPr="007228D8">
        <w:lastRenderedPageBreak/>
        <w:t>Fishbone Diagram and 5 Whys Root Cause Analysis</w:t>
      </w:r>
      <w:bookmarkEnd w:id="4"/>
      <w:r w:rsidRPr="007228D8">
        <w:t xml:space="preserve"> </w:t>
      </w:r>
    </w:p>
    <w:p w14:paraId="2C5BE52A" w14:textId="77777777" w:rsidR="00DA098A" w:rsidRPr="007228D8" w:rsidRDefault="00DA098A" w:rsidP="007228D8">
      <w:pPr>
        <w:spacing w:line="360" w:lineRule="auto"/>
        <w:rPr>
          <w:rFonts w:ascii="Arial" w:hAnsi="Arial" w:cs="Arial"/>
        </w:rPr>
      </w:pPr>
      <w:r w:rsidRPr="007228D8">
        <w:rPr>
          <w:rFonts w:ascii="Arial" w:hAnsi="Arial" w:cs="Arial"/>
        </w:rPr>
        <w:t xml:space="preserve">Following the Donabedian Model, a </w:t>
      </w:r>
      <w:r w:rsidRPr="007228D8">
        <w:rPr>
          <w:rFonts w:ascii="Arial" w:hAnsi="Arial" w:cs="Arial"/>
          <w:b/>
          <w:bCs/>
        </w:rPr>
        <w:t>Fishbone Diagram (Ishikawa Cause-and-Effect Diagram)</w:t>
      </w:r>
      <w:r w:rsidRPr="007228D8">
        <w:rPr>
          <w:rFonts w:ascii="Arial" w:hAnsi="Arial" w:cs="Arial"/>
        </w:rPr>
        <w:t xml:space="preserve"> was used to identify the multiple factors that contributed to the quality failures at Bristol Royal Infirmary. The Fishbone Diagram was selected because it provides a systematic approach to analysing the different organisational causes of a problem rather than focusing on a single error (Ishikawa, 1986). This makes it particularly appropriate for the Bristol Inquiry because Kennedy (2001) concluded that the failures resulted from a combination of weaknesses in leadership, communication, governance and organisational culture rather than individual clinical incompetence. By examining these interconnected factors, healthcare organisations can identify where improvements are needed to reduce patient harm and improve the quality of care.</w:t>
      </w:r>
    </w:p>
    <w:p w14:paraId="5C733C2C" w14:textId="77777777" w:rsidR="00DA098A" w:rsidRPr="007228D8" w:rsidRDefault="00DA098A" w:rsidP="007228D8">
      <w:pPr>
        <w:spacing w:line="360" w:lineRule="auto"/>
        <w:rPr>
          <w:rFonts w:ascii="Arial" w:hAnsi="Arial" w:cs="Arial"/>
        </w:rPr>
      </w:pPr>
      <w:r w:rsidRPr="007228D8">
        <w:rPr>
          <w:rFonts w:ascii="Arial" w:hAnsi="Arial" w:cs="Arial"/>
        </w:rPr>
        <w:t xml:space="preserve">One of the main causes identified was </w:t>
      </w:r>
      <w:r w:rsidRPr="007228D8">
        <w:rPr>
          <w:rFonts w:ascii="Arial" w:hAnsi="Arial" w:cs="Arial"/>
          <w:b/>
          <w:bCs/>
        </w:rPr>
        <w:t>poor leadership</w:t>
      </w:r>
      <w:r w:rsidRPr="007228D8">
        <w:rPr>
          <w:rFonts w:ascii="Arial" w:hAnsi="Arial" w:cs="Arial"/>
        </w:rPr>
        <w:t xml:space="preserve">. The inquiry found that senior leaders failed to monitor clinical performance effectively or respond appropriately to concerns raised by healthcare professionals (Kennedy, 2001). As a result, mortality rates for some paediatric cardiac procedures remained </w:t>
      </w:r>
      <w:r w:rsidRPr="007228D8">
        <w:rPr>
          <w:rFonts w:ascii="Arial" w:hAnsi="Arial" w:cs="Arial"/>
          <w:b/>
          <w:bCs/>
        </w:rPr>
        <w:t>almost twice the national average (approximately 100% higher)</w:t>
      </w:r>
      <w:r w:rsidRPr="007228D8">
        <w:rPr>
          <w:rFonts w:ascii="Arial" w:hAnsi="Arial" w:cs="Arial"/>
        </w:rPr>
        <w:t xml:space="preserve"> without timely intervention. This demonstrates that effective leadership is essential for ensuring accountability, supporting staff and monitoring patient outcomes. Leaders who promote openness and continuous learning are more likely to identify safety concerns before they result in avoidable harm.</w:t>
      </w:r>
    </w:p>
    <w:p w14:paraId="4BD83B80" w14:textId="77777777" w:rsidR="00DA098A" w:rsidRPr="007228D8" w:rsidRDefault="00DA098A" w:rsidP="007228D8">
      <w:pPr>
        <w:spacing w:line="360" w:lineRule="auto"/>
        <w:rPr>
          <w:rFonts w:ascii="Arial" w:hAnsi="Arial" w:cs="Arial"/>
        </w:rPr>
      </w:pPr>
      <w:r w:rsidRPr="007228D8">
        <w:rPr>
          <w:rFonts w:ascii="Arial" w:hAnsi="Arial" w:cs="Arial"/>
        </w:rPr>
        <w:t xml:space="preserve">The inquiry also identified significant </w:t>
      </w:r>
      <w:r w:rsidRPr="007228D8">
        <w:rPr>
          <w:rFonts w:ascii="Arial" w:hAnsi="Arial" w:cs="Arial"/>
          <w:b/>
          <w:bCs/>
        </w:rPr>
        <w:t>communication failures</w:t>
      </w:r>
      <w:r w:rsidRPr="007228D8">
        <w:rPr>
          <w:rFonts w:ascii="Arial" w:hAnsi="Arial" w:cs="Arial"/>
        </w:rPr>
        <w:t>. Multidisciplinary communication between healthcare professionals was poor, and concerns regarding patient safety were frequently ignored. Families were not consistently provided with accurate information about treatment risks, limiting opportunities for informed consent and shared decision-making. Poor communication delayed action and prevented organisational learning, increasing the likelihood of repeated patient safety incidents. Effective communication is therefore essential for improving teamwork, reducing clinical errors and delivering safe, person-centred care.</w:t>
      </w:r>
    </w:p>
    <w:p w14:paraId="533CB56E" w14:textId="5B5B1152" w:rsidR="008E6864" w:rsidRPr="00402AC2" w:rsidRDefault="00DA098A" w:rsidP="007228D8">
      <w:pPr>
        <w:spacing w:line="360" w:lineRule="auto"/>
        <w:rPr>
          <w:rFonts w:ascii="Arial" w:hAnsi="Arial" w:cs="Arial"/>
        </w:rPr>
      </w:pPr>
      <w:r w:rsidRPr="007228D8">
        <w:rPr>
          <w:rFonts w:ascii="Arial" w:hAnsi="Arial" w:cs="Arial"/>
        </w:rPr>
        <w:t xml:space="preserve">Another important factor was </w:t>
      </w:r>
      <w:r w:rsidRPr="007228D8">
        <w:rPr>
          <w:rFonts w:ascii="Arial" w:hAnsi="Arial" w:cs="Arial"/>
          <w:b/>
          <w:bCs/>
        </w:rPr>
        <w:t>weak clinical governance and ineffective monitoring</w:t>
      </w:r>
      <w:r w:rsidRPr="007228D8">
        <w:rPr>
          <w:rFonts w:ascii="Arial" w:hAnsi="Arial" w:cs="Arial"/>
        </w:rPr>
        <w:t xml:space="preserve">. Mortality data were not routinely reviewed, benchmarked or acted upon despite evidence that outcomes were significantly worse than those achieved by comparable specialist centres (Kennedy, 2001). Regular clinical audit and performance monitoring are now recognised as essential quality improvement activities because they enable organisations to identify unacceptable variations in care and implement improvements before patients are harmed. NHS England (2023) reports that </w:t>
      </w:r>
      <w:r w:rsidRPr="007228D8">
        <w:rPr>
          <w:rFonts w:ascii="Arial" w:hAnsi="Arial" w:cs="Arial"/>
          <w:b/>
          <w:bCs/>
        </w:rPr>
        <w:t>over two million patient safety incidents</w:t>
      </w:r>
      <w:r w:rsidRPr="007228D8">
        <w:rPr>
          <w:rFonts w:ascii="Arial" w:hAnsi="Arial" w:cs="Arial"/>
        </w:rPr>
        <w:t xml:space="preserve"> are </w:t>
      </w:r>
      <w:r w:rsidRPr="007228D8">
        <w:rPr>
          <w:rFonts w:ascii="Arial" w:hAnsi="Arial" w:cs="Arial"/>
        </w:rPr>
        <w:lastRenderedPageBreak/>
        <w:t>recorded annually across NHS services, demonstrating the importance of monitoring safety data to support continuous quality improvement.</w:t>
      </w:r>
    </w:p>
    <w:p w14:paraId="6D280BEE" w14:textId="7024EA48" w:rsidR="00DA098A" w:rsidRDefault="00DA098A" w:rsidP="00406E28">
      <w:pPr>
        <w:pStyle w:val="Heading2"/>
      </w:pPr>
      <w:bookmarkStart w:id="5" w:name="_Toc235129167"/>
      <w:r w:rsidRPr="007228D8">
        <w:t>Table 2. Fishbone Diagram (Cause-and-Effect Analysis)</w:t>
      </w:r>
      <w:bookmarkEnd w:id="5"/>
    </w:p>
    <w:p w14:paraId="158AC4E8" w14:textId="77777777" w:rsidR="00406E28" w:rsidRPr="00406E28" w:rsidRDefault="00406E28" w:rsidP="00406E28"/>
    <w:tbl>
      <w:tblPr>
        <w:tblStyle w:val="TableGrid"/>
        <w:tblW w:w="10490" w:type="dxa"/>
        <w:tblInd w:w="-289" w:type="dxa"/>
        <w:tblLook w:val="04A0" w:firstRow="1" w:lastRow="0" w:firstColumn="1" w:lastColumn="0" w:noHBand="0" w:noVBand="1"/>
      </w:tblPr>
      <w:tblGrid>
        <w:gridCol w:w="3828"/>
        <w:gridCol w:w="6662"/>
      </w:tblGrid>
      <w:tr w:rsidR="00573865" w14:paraId="4715DCC6" w14:textId="77777777" w:rsidTr="000D2CBF">
        <w:tc>
          <w:tcPr>
            <w:tcW w:w="3828" w:type="dxa"/>
          </w:tcPr>
          <w:p w14:paraId="5629B6BB" w14:textId="4612C87E" w:rsidR="00573865" w:rsidRPr="00063E5A" w:rsidRDefault="00063E5A" w:rsidP="007228D8">
            <w:pPr>
              <w:spacing w:line="360" w:lineRule="auto"/>
              <w:rPr>
                <w:rFonts w:ascii="Arial" w:hAnsi="Arial" w:cs="Arial"/>
                <w:b/>
                <w:bCs/>
              </w:rPr>
            </w:pPr>
            <w:r w:rsidRPr="00063E5A">
              <w:rPr>
                <w:rFonts w:ascii="Arial" w:hAnsi="Arial" w:cs="Arial"/>
                <w:b/>
                <w:bCs/>
              </w:rPr>
              <w:t>Category</w:t>
            </w:r>
          </w:p>
        </w:tc>
        <w:tc>
          <w:tcPr>
            <w:tcW w:w="6662" w:type="dxa"/>
          </w:tcPr>
          <w:p w14:paraId="19540378" w14:textId="6B58FC43" w:rsidR="00573865" w:rsidRPr="00E909BF" w:rsidRDefault="00E909BF" w:rsidP="007228D8">
            <w:pPr>
              <w:spacing w:line="360" w:lineRule="auto"/>
              <w:rPr>
                <w:rFonts w:ascii="Arial" w:hAnsi="Arial" w:cs="Arial"/>
                <w:b/>
                <w:bCs/>
              </w:rPr>
            </w:pPr>
            <w:r w:rsidRPr="00E909BF">
              <w:rPr>
                <w:rFonts w:ascii="Arial" w:hAnsi="Arial" w:cs="Arial"/>
                <w:b/>
                <w:bCs/>
              </w:rPr>
              <w:t>Examples of Contributing Factors</w:t>
            </w:r>
          </w:p>
        </w:tc>
      </w:tr>
      <w:tr w:rsidR="00573865" w14:paraId="3C811764" w14:textId="77777777" w:rsidTr="000D2CBF">
        <w:tc>
          <w:tcPr>
            <w:tcW w:w="3828" w:type="dxa"/>
          </w:tcPr>
          <w:p w14:paraId="2CC36B07" w14:textId="7245179F" w:rsidR="00573865" w:rsidRDefault="00E7300B" w:rsidP="007228D8">
            <w:pPr>
              <w:spacing w:line="360" w:lineRule="auto"/>
              <w:rPr>
                <w:rFonts w:ascii="Arial" w:hAnsi="Arial" w:cs="Arial"/>
              </w:rPr>
            </w:pPr>
            <w:r w:rsidRPr="00E7300B">
              <w:rPr>
                <w:rFonts w:ascii="Arial" w:hAnsi="Arial" w:cs="Arial"/>
              </w:rPr>
              <w:t>Leadership</w:t>
            </w:r>
          </w:p>
        </w:tc>
        <w:tc>
          <w:tcPr>
            <w:tcW w:w="6662" w:type="dxa"/>
          </w:tcPr>
          <w:p w14:paraId="5FEDAFE0" w14:textId="775634FB" w:rsidR="00573865" w:rsidRPr="003C1E59" w:rsidRDefault="00853131" w:rsidP="007228D8">
            <w:pPr>
              <w:spacing w:line="360" w:lineRule="auto"/>
              <w:rPr>
                <w:rFonts w:ascii="Arial" w:hAnsi="Arial" w:cs="Arial"/>
                <w:sz w:val="20"/>
                <w:szCs w:val="20"/>
              </w:rPr>
            </w:pPr>
            <w:r w:rsidRPr="003C1E59">
              <w:rPr>
                <w:rFonts w:ascii="Arial" w:hAnsi="Arial" w:cs="Arial"/>
                <w:sz w:val="20"/>
                <w:szCs w:val="20"/>
              </w:rPr>
              <w:t>Weak leadership, limited accountability and poor oversight</w:t>
            </w:r>
          </w:p>
        </w:tc>
      </w:tr>
      <w:tr w:rsidR="00573865" w14:paraId="3ACB6ECE" w14:textId="77777777" w:rsidTr="000D2CBF">
        <w:tc>
          <w:tcPr>
            <w:tcW w:w="3828" w:type="dxa"/>
          </w:tcPr>
          <w:p w14:paraId="3F6B2A33" w14:textId="14819506" w:rsidR="00573865" w:rsidRDefault="00A56A7E" w:rsidP="007228D8">
            <w:pPr>
              <w:spacing w:line="360" w:lineRule="auto"/>
              <w:rPr>
                <w:rFonts w:ascii="Arial" w:hAnsi="Arial" w:cs="Arial"/>
              </w:rPr>
            </w:pPr>
            <w:r>
              <w:rPr>
                <w:rFonts w:ascii="Arial" w:hAnsi="Arial" w:cs="Arial"/>
              </w:rPr>
              <w:t>People</w:t>
            </w:r>
          </w:p>
        </w:tc>
        <w:tc>
          <w:tcPr>
            <w:tcW w:w="6662" w:type="dxa"/>
          </w:tcPr>
          <w:p w14:paraId="0D3EBC53" w14:textId="59C561DD" w:rsidR="00573865" w:rsidRPr="003C1E59" w:rsidRDefault="009E755D" w:rsidP="007228D8">
            <w:pPr>
              <w:spacing w:line="360" w:lineRule="auto"/>
              <w:rPr>
                <w:rFonts w:ascii="Arial" w:hAnsi="Arial" w:cs="Arial"/>
                <w:sz w:val="20"/>
                <w:szCs w:val="20"/>
              </w:rPr>
            </w:pPr>
            <w:r w:rsidRPr="003C1E59">
              <w:rPr>
                <w:rFonts w:ascii="Arial" w:hAnsi="Arial" w:cs="Arial"/>
                <w:sz w:val="20"/>
                <w:szCs w:val="20"/>
              </w:rPr>
              <w:t>Inadequate specialist training and reluctance to challenge senior staff</w:t>
            </w:r>
          </w:p>
        </w:tc>
      </w:tr>
      <w:tr w:rsidR="00573865" w14:paraId="54C7BF83" w14:textId="77777777" w:rsidTr="000D2CBF">
        <w:tc>
          <w:tcPr>
            <w:tcW w:w="3828" w:type="dxa"/>
          </w:tcPr>
          <w:p w14:paraId="2966A696" w14:textId="5B7FA67E" w:rsidR="00573865" w:rsidRDefault="002B7BBE" w:rsidP="007228D8">
            <w:pPr>
              <w:spacing w:line="360" w:lineRule="auto"/>
              <w:rPr>
                <w:rFonts w:ascii="Arial" w:hAnsi="Arial" w:cs="Arial"/>
              </w:rPr>
            </w:pPr>
            <w:r w:rsidRPr="002B7BBE">
              <w:rPr>
                <w:rFonts w:ascii="Arial" w:hAnsi="Arial" w:cs="Arial"/>
              </w:rPr>
              <w:t>Communication</w:t>
            </w:r>
          </w:p>
        </w:tc>
        <w:tc>
          <w:tcPr>
            <w:tcW w:w="6662" w:type="dxa"/>
          </w:tcPr>
          <w:p w14:paraId="6211827C" w14:textId="722A9EFF" w:rsidR="00573865" w:rsidRPr="003C1E59" w:rsidRDefault="0087026D" w:rsidP="007228D8">
            <w:pPr>
              <w:spacing w:line="360" w:lineRule="auto"/>
              <w:rPr>
                <w:rFonts w:ascii="Arial" w:hAnsi="Arial" w:cs="Arial"/>
                <w:sz w:val="20"/>
                <w:szCs w:val="20"/>
              </w:rPr>
            </w:pPr>
            <w:r w:rsidRPr="003C1E59">
              <w:rPr>
                <w:rFonts w:ascii="Arial" w:hAnsi="Arial" w:cs="Arial"/>
                <w:sz w:val="20"/>
                <w:szCs w:val="20"/>
              </w:rPr>
              <w:t>Poor multidisciplinary communication and concerns ignored</w:t>
            </w:r>
          </w:p>
        </w:tc>
      </w:tr>
      <w:tr w:rsidR="00573865" w14:paraId="35247D45" w14:textId="77777777" w:rsidTr="000D2CBF">
        <w:tc>
          <w:tcPr>
            <w:tcW w:w="3828" w:type="dxa"/>
          </w:tcPr>
          <w:p w14:paraId="0E0AF715" w14:textId="217FABD4" w:rsidR="00573865" w:rsidRDefault="00BD7A97" w:rsidP="007228D8">
            <w:pPr>
              <w:spacing w:line="360" w:lineRule="auto"/>
              <w:rPr>
                <w:rFonts w:ascii="Arial" w:hAnsi="Arial" w:cs="Arial"/>
              </w:rPr>
            </w:pPr>
            <w:r w:rsidRPr="00BD7A97">
              <w:rPr>
                <w:rFonts w:ascii="Arial" w:hAnsi="Arial" w:cs="Arial"/>
              </w:rPr>
              <w:t>Processes</w:t>
            </w:r>
          </w:p>
        </w:tc>
        <w:tc>
          <w:tcPr>
            <w:tcW w:w="6662" w:type="dxa"/>
          </w:tcPr>
          <w:p w14:paraId="55B5A915" w14:textId="0167B8E4" w:rsidR="00573865" w:rsidRPr="003C1E59" w:rsidRDefault="00B0014E" w:rsidP="007228D8">
            <w:pPr>
              <w:spacing w:line="360" w:lineRule="auto"/>
              <w:rPr>
                <w:rFonts w:ascii="Arial" w:hAnsi="Arial" w:cs="Arial"/>
                <w:sz w:val="20"/>
                <w:szCs w:val="20"/>
              </w:rPr>
            </w:pPr>
            <w:r w:rsidRPr="003C1E59">
              <w:rPr>
                <w:rFonts w:ascii="Arial" w:hAnsi="Arial" w:cs="Arial"/>
                <w:sz w:val="20"/>
                <w:szCs w:val="20"/>
              </w:rPr>
              <w:t>Weak governance, limited clinical audit and poor monitoring</w:t>
            </w:r>
          </w:p>
        </w:tc>
      </w:tr>
      <w:tr w:rsidR="00573865" w14:paraId="00F4A510" w14:textId="77777777" w:rsidTr="000D2CBF">
        <w:tc>
          <w:tcPr>
            <w:tcW w:w="3828" w:type="dxa"/>
          </w:tcPr>
          <w:p w14:paraId="53E69675" w14:textId="1BA2DF8D" w:rsidR="00573865" w:rsidRDefault="00F110CE" w:rsidP="007228D8">
            <w:pPr>
              <w:spacing w:line="360" w:lineRule="auto"/>
              <w:rPr>
                <w:rFonts w:ascii="Arial" w:hAnsi="Arial" w:cs="Arial"/>
              </w:rPr>
            </w:pPr>
            <w:r w:rsidRPr="00F110CE">
              <w:rPr>
                <w:rFonts w:ascii="Arial" w:hAnsi="Arial" w:cs="Arial"/>
              </w:rPr>
              <w:t>Environment/Culture</w:t>
            </w:r>
          </w:p>
        </w:tc>
        <w:tc>
          <w:tcPr>
            <w:tcW w:w="6662" w:type="dxa"/>
          </w:tcPr>
          <w:p w14:paraId="5026F0E7" w14:textId="080D50A5" w:rsidR="00573865" w:rsidRPr="003C1E59" w:rsidRDefault="00321008" w:rsidP="007228D8">
            <w:pPr>
              <w:spacing w:line="360" w:lineRule="auto"/>
              <w:rPr>
                <w:rFonts w:ascii="Arial" w:hAnsi="Arial" w:cs="Arial"/>
                <w:sz w:val="20"/>
                <w:szCs w:val="20"/>
              </w:rPr>
            </w:pPr>
            <w:r w:rsidRPr="003C1E59">
              <w:rPr>
                <w:rFonts w:ascii="Arial" w:hAnsi="Arial" w:cs="Arial"/>
                <w:sz w:val="20"/>
                <w:szCs w:val="20"/>
              </w:rPr>
              <w:t>Blame culture, lack of openness and resistance to change</w:t>
            </w:r>
          </w:p>
        </w:tc>
      </w:tr>
      <w:tr w:rsidR="00573865" w14:paraId="642ED68D" w14:textId="77777777" w:rsidTr="000D2CBF">
        <w:tc>
          <w:tcPr>
            <w:tcW w:w="3828" w:type="dxa"/>
          </w:tcPr>
          <w:p w14:paraId="446D13CE" w14:textId="0DAE422B" w:rsidR="00573865" w:rsidRDefault="00540D18" w:rsidP="007228D8">
            <w:pPr>
              <w:spacing w:line="360" w:lineRule="auto"/>
              <w:rPr>
                <w:rFonts w:ascii="Arial" w:hAnsi="Arial" w:cs="Arial"/>
              </w:rPr>
            </w:pPr>
            <w:r w:rsidRPr="00540D18">
              <w:rPr>
                <w:rFonts w:ascii="Arial" w:hAnsi="Arial" w:cs="Arial"/>
              </w:rPr>
              <w:t>Outcome</w:t>
            </w:r>
          </w:p>
        </w:tc>
        <w:tc>
          <w:tcPr>
            <w:tcW w:w="6662" w:type="dxa"/>
          </w:tcPr>
          <w:p w14:paraId="279D9A22" w14:textId="76822AAF" w:rsidR="00573865" w:rsidRPr="003C1E59" w:rsidRDefault="003C1E59" w:rsidP="007228D8">
            <w:pPr>
              <w:spacing w:line="360" w:lineRule="auto"/>
              <w:rPr>
                <w:rFonts w:ascii="Arial" w:hAnsi="Arial" w:cs="Arial"/>
                <w:sz w:val="20"/>
                <w:szCs w:val="20"/>
              </w:rPr>
            </w:pPr>
            <w:r w:rsidRPr="003C1E59">
              <w:rPr>
                <w:rFonts w:ascii="Arial" w:hAnsi="Arial" w:cs="Arial"/>
                <w:sz w:val="20"/>
                <w:szCs w:val="20"/>
              </w:rPr>
              <w:t>High mortality, avoidable harm and reduced public confidence</w:t>
            </w:r>
          </w:p>
        </w:tc>
      </w:tr>
    </w:tbl>
    <w:p w14:paraId="772FF3AB" w14:textId="77777777" w:rsidR="0036600F" w:rsidRDefault="0036600F" w:rsidP="007228D8">
      <w:pPr>
        <w:spacing w:line="360" w:lineRule="auto"/>
        <w:rPr>
          <w:rFonts w:ascii="Arial" w:hAnsi="Arial" w:cs="Arial"/>
        </w:rPr>
      </w:pPr>
    </w:p>
    <w:p w14:paraId="0081ED56" w14:textId="0CD58A86" w:rsidR="00DA098A" w:rsidRPr="007228D8" w:rsidRDefault="00DA098A" w:rsidP="007228D8">
      <w:pPr>
        <w:spacing w:line="360" w:lineRule="auto"/>
        <w:rPr>
          <w:rFonts w:ascii="Arial" w:hAnsi="Arial" w:cs="Arial"/>
        </w:rPr>
      </w:pPr>
      <w:r w:rsidRPr="007228D8">
        <w:rPr>
          <w:rFonts w:ascii="Arial" w:hAnsi="Arial" w:cs="Arial"/>
        </w:rPr>
        <w:t>Table 2 demonstrates that the Bristol failures resulted from several interconnected organisational weaknesses rather than one isolated problem. Improving only one area, such as staff training, would not have prevented the failures without simultaneous improvements in leadership, governance and communication.</w:t>
      </w:r>
    </w:p>
    <w:p w14:paraId="137AAA53" w14:textId="77777777" w:rsidR="00DA098A" w:rsidRPr="007228D8" w:rsidRDefault="00DA098A" w:rsidP="007228D8">
      <w:pPr>
        <w:spacing w:line="360" w:lineRule="auto"/>
        <w:rPr>
          <w:rFonts w:ascii="Arial" w:hAnsi="Arial" w:cs="Arial"/>
        </w:rPr>
      </w:pPr>
      <w:r w:rsidRPr="007228D8">
        <w:rPr>
          <w:rFonts w:ascii="Arial" w:hAnsi="Arial" w:cs="Arial"/>
        </w:rPr>
        <w:t xml:space="preserve">To identify the underlying cause of these failures, the </w:t>
      </w:r>
      <w:r w:rsidRPr="007228D8">
        <w:rPr>
          <w:rFonts w:ascii="Arial" w:hAnsi="Arial" w:cs="Arial"/>
          <w:b/>
          <w:bCs/>
        </w:rPr>
        <w:t>5 Whys</w:t>
      </w:r>
      <w:r w:rsidRPr="007228D8">
        <w:rPr>
          <w:rFonts w:ascii="Arial" w:hAnsi="Arial" w:cs="Arial"/>
        </w:rPr>
        <w:t xml:space="preserve"> technique was also applied. This method repeatedly asks "Why?" until the root cause is identified. The analysis showed that avoidable child deaths occurred because unsafe surgical practices continued. These practices continued because mortality data were not effectively monitored, governance systems were weak and organisational leaders failed to respond to concerns. Ultimately, the root cause was a culture lacking accountability, transparency and effective leadership (Kennedy, 2001).</w:t>
      </w:r>
    </w:p>
    <w:p w14:paraId="6B586798" w14:textId="2A7DDD4B" w:rsidR="00807C53" w:rsidRDefault="00807C53" w:rsidP="00406E28">
      <w:pPr>
        <w:pStyle w:val="Heading3"/>
      </w:pPr>
      <w:bookmarkStart w:id="6" w:name="_Toc235129168"/>
      <w:r w:rsidRPr="004A4D38">
        <w:t>Figure Whys Root Cause Analysis</w:t>
      </w:r>
      <w:bookmarkEnd w:id="6"/>
    </w:p>
    <w:p w14:paraId="398B29F5" w14:textId="77777777" w:rsidR="00807C53" w:rsidRPr="00807C53" w:rsidRDefault="00807C53" w:rsidP="00807C53">
      <w:pPr>
        <w:spacing w:line="360" w:lineRule="auto"/>
        <w:rPr>
          <w:rFonts w:ascii="Arial" w:hAnsi="Arial" w:cs="Arial"/>
        </w:rPr>
      </w:pPr>
      <w:r w:rsidRPr="00807C53">
        <w:rPr>
          <w:rFonts w:ascii="Arial" w:hAnsi="Arial" w:cs="Arial"/>
          <w:b/>
          <w:bCs/>
        </w:rPr>
        <w:t>Problem:</w:t>
      </w:r>
      <w:r w:rsidRPr="00807C53">
        <w:rPr>
          <w:rFonts w:ascii="Arial" w:hAnsi="Arial" w:cs="Arial"/>
        </w:rPr>
        <w:t xml:space="preserve"> Children experienced avoidable deaths</w:t>
      </w:r>
    </w:p>
    <w:p w14:paraId="2AD57099"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1:</w:t>
      </w:r>
      <w:r w:rsidRPr="00807C53">
        <w:rPr>
          <w:rFonts w:ascii="Arial" w:hAnsi="Arial" w:cs="Arial"/>
        </w:rPr>
        <w:t xml:space="preserve"> Unsafe surgical practices continued</w:t>
      </w:r>
    </w:p>
    <w:p w14:paraId="594D7A31"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2:</w:t>
      </w:r>
      <w:r w:rsidRPr="00807C53">
        <w:rPr>
          <w:rFonts w:ascii="Arial" w:hAnsi="Arial" w:cs="Arial"/>
        </w:rPr>
        <w:t xml:space="preserve"> Mortality data were not effectively monitored</w:t>
      </w:r>
    </w:p>
    <w:p w14:paraId="0C559720"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3:</w:t>
      </w:r>
      <w:r w:rsidRPr="00807C53">
        <w:rPr>
          <w:rFonts w:ascii="Arial" w:hAnsi="Arial" w:cs="Arial"/>
        </w:rPr>
        <w:t xml:space="preserve"> Clinical governance systems were inadequate</w:t>
      </w:r>
    </w:p>
    <w:p w14:paraId="4A935AA0"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4:</w:t>
      </w:r>
      <w:r w:rsidRPr="00807C53">
        <w:rPr>
          <w:rFonts w:ascii="Arial" w:hAnsi="Arial" w:cs="Arial"/>
        </w:rPr>
        <w:t xml:space="preserve"> Leadership failed to respond to staff concerns</w:t>
      </w:r>
    </w:p>
    <w:p w14:paraId="12088837" w14:textId="77777777" w:rsid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5 (Root Cause):</w:t>
      </w:r>
      <w:r w:rsidRPr="00807C53">
        <w:rPr>
          <w:rFonts w:ascii="Arial" w:hAnsi="Arial" w:cs="Arial"/>
        </w:rPr>
        <w:t xml:space="preserve"> Poor organisational culture, limited accountability and weak governance allowed unsafe practice to continue (Kennedy, 2001).</w:t>
      </w:r>
    </w:p>
    <w:p w14:paraId="67C71371" w14:textId="136FE524" w:rsidR="004A4D38" w:rsidRPr="00807C53" w:rsidRDefault="00631462" w:rsidP="00807C53">
      <w:pPr>
        <w:spacing w:line="360" w:lineRule="auto"/>
        <w:rPr>
          <w:rFonts w:ascii="Arial" w:hAnsi="Arial" w:cs="Arial"/>
        </w:rPr>
      </w:pPr>
      <w:r w:rsidRPr="00631462">
        <w:rPr>
          <w:rFonts w:ascii="Arial" w:hAnsi="Arial" w:cs="Arial"/>
        </w:rPr>
        <w:lastRenderedPageBreak/>
        <w:t>Figure</w:t>
      </w:r>
      <w:r w:rsidR="005066E4">
        <w:rPr>
          <w:rFonts w:ascii="Arial" w:hAnsi="Arial" w:cs="Arial"/>
        </w:rPr>
        <w:t>:</w:t>
      </w:r>
      <w:r w:rsidRPr="00631462">
        <w:rPr>
          <w:rFonts w:ascii="Arial" w:hAnsi="Arial" w:cs="Arial"/>
        </w:rPr>
        <w:t xml:space="preserve"> demonstrates how repeated questioning identifies the underlying organisational causes of the Bristol Royal Infirmary failures. Rather than attributing responsibility to individual clinicians, the analysis shows that weak governance, ineffective leadership and a lack of accountability created an organisational culture in which unsafe practice continued. This supports the findings of the Bristol Inquiry that sustainable quality improvement requires changes to organisational systems rather than focusing solely on individual performance (Kennedy, 2001).</w:t>
      </w:r>
    </w:p>
    <w:p w14:paraId="1BE4CC41" w14:textId="77777777" w:rsidR="00807C53" w:rsidRDefault="00807C53" w:rsidP="007228D8">
      <w:pPr>
        <w:spacing w:line="360" w:lineRule="auto"/>
        <w:rPr>
          <w:rFonts w:ascii="Arial" w:hAnsi="Arial" w:cs="Arial"/>
        </w:rPr>
      </w:pPr>
    </w:p>
    <w:p w14:paraId="51877D9A" w14:textId="77777777" w:rsidR="00DA098A" w:rsidRDefault="00DA098A" w:rsidP="00406E28">
      <w:pPr>
        <w:pStyle w:val="Heading1"/>
      </w:pPr>
      <w:bookmarkStart w:id="7" w:name="_Toc235129169"/>
      <w:r w:rsidRPr="007228D8">
        <w:t>SWOT Analysis and Comparison with PESTLE</w:t>
      </w:r>
      <w:bookmarkEnd w:id="7"/>
      <w:r w:rsidRPr="007228D8">
        <w:t xml:space="preserve"> </w:t>
      </w:r>
    </w:p>
    <w:p w14:paraId="4C1BAFCF" w14:textId="77777777" w:rsidR="0020710B" w:rsidRPr="0020710B" w:rsidRDefault="0020710B" w:rsidP="0020710B"/>
    <w:p w14:paraId="55EA60F9" w14:textId="77777777" w:rsidR="00DA098A" w:rsidRPr="007228D8" w:rsidRDefault="00DA098A" w:rsidP="007228D8">
      <w:pPr>
        <w:spacing w:line="360" w:lineRule="auto"/>
        <w:rPr>
          <w:rFonts w:ascii="Arial" w:hAnsi="Arial" w:cs="Arial"/>
        </w:rPr>
      </w:pPr>
      <w:r w:rsidRPr="007228D8">
        <w:rPr>
          <w:rFonts w:ascii="Arial" w:hAnsi="Arial" w:cs="Arial"/>
        </w:rPr>
        <w:t xml:space="preserve">Following the root cause analysis, a </w:t>
      </w:r>
      <w:r w:rsidRPr="007228D8">
        <w:rPr>
          <w:rFonts w:ascii="Arial" w:hAnsi="Arial" w:cs="Arial"/>
          <w:b/>
          <w:bCs/>
        </w:rPr>
        <w:t>SWOT (Strengths, Weaknesses, Opportunities and Threats) analysis</w:t>
      </w:r>
      <w:r w:rsidRPr="007228D8">
        <w:rPr>
          <w:rFonts w:ascii="Arial" w:hAnsi="Arial" w:cs="Arial"/>
        </w:rPr>
        <w:t xml:space="preserve"> was undertaken to evaluate the internal and external factors influencing service improvement at Bristol Royal Infirmary. SWOT was selected because it provides a balanced framework for assessing an organisation's current position while identifying opportunities for future improvement (Gürel and Tat, 2017). Unlike the Fishbone Diagram and 5 Whys, which focus on identifying the causes of quality failure, SWOT supports strategic planning by evaluating how existing strengths can be developed, weaknesses addressed and external opportunities used to improve patient safety. This makes the model particularly appropriate for translating the findings of the Bristol Inquiry into practical service improvements.</w:t>
      </w:r>
    </w:p>
    <w:p w14:paraId="1B971D1B" w14:textId="77777777" w:rsidR="00DA098A" w:rsidRPr="007228D8" w:rsidRDefault="00DA098A" w:rsidP="007228D8">
      <w:pPr>
        <w:spacing w:line="360" w:lineRule="auto"/>
        <w:rPr>
          <w:rFonts w:ascii="Arial" w:hAnsi="Arial" w:cs="Arial"/>
        </w:rPr>
      </w:pPr>
      <w:r w:rsidRPr="007228D8">
        <w:rPr>
          <w:rFonts w:ascii="Arial" w:hAnsi="Arial" w:cs="Arial"/>
        </w:rPr>
        <w:t xml:space="preserve">One of the main </w:t>
      </w:r>
      <w:r w:rsidRPr="007228D8">
        <w:rPr>
          <w:rFonts w:ascii="Arial" w:hAnsi="Arial" w:cs="Arial"/>
          <w:b/>
          <w:bCs/>
        </w:rPr>
        <w:t>strengths</w:t>
      </w:r>
      <w:r w:rsidRPr="007228D8">
        <w:rPr>
          <w:rFonts w:ascii="Arial" w:hAnsi="Arial" w:cs="Arial"/>
        </w:rPr>
        <w:t xml:space="preserve"> following the Bristol Inquiry was the introduction of stronger clinical governance and increased professional accountability throughout the NHS. The inquiry resulted in </w:t>
      </w:r>
      <w:r w:rsidRPr="007228D8">
        <w:rPr>
          <w:rFonts w:ascii="Arial" w:hAnsi="Arial" w:cs="Arial"/>
          <w:b/>
          <w:bCs/>
        </w:rPr>
        <w:t>198 recommendations</w:t>
      </w:r>
      <w:r w:rsidRPr="007228D8">
        <w:rPr>
          <w:rFonts w:ascii="Arial" w:hAnsi="Arial" w:cs="Arial"/>
        </w:rPr>
        <w:t>, many of which strengthened clinical audit, governance systems and performance monitoring (Kennedy, 2001). These changes improved transparency and encouraged organisations to monitor patient outcomes more effectively. Greater patient and family involvement in decision-making has also become an important strength, supporting person-centred care and improving trust between healthcare professionals and service users.</w:t>
      </w:r>
    </w:p>
    <w:p w14:paraId="0F4456D3" w14:textId="77777777" w:rsidR="00DA098A" w:rsidRPr="007228D8" w:rsidRDefault="00DA098A" w:rsidP="007228D8">
      <w:pPr>
        <w:spacing w:line="360" w:lineRule="auto"/>
        <w:rPr>
          <w:rFonts w:ascii="Arial" w:hAnsi="Arial" w:cs="Arial"/>
        </w:rPr>
      </w:pPr>
      <w:r w:rsidRPr="007228D8">
        <w:rPr>
          <w:rFonts w:ascii="Arial" w:hAnsi="Arial" w:cs="Arial"/>
        </w:rPr>
        <w:t xml:space="preserve">Despite these improvements, the inquiry highlighted several significant </w:t>
      </w:r>
      <w:r w:rsidRPr="007228D8">
        <w:rPr>
          <w:rFonts w:ascii="Arial" w:hAnsi="Arial" w:cs="Arial"/>
          <w:b/>
          <w:bCs/>
        </w:rPr>
        <w:t>weaknesses</w:t>
      </w:r>
      <w:r w:rsidRPr="007228D8">
        <w:rPr>
          <w:rFonts w:ascii="Arial" w:hAnsi="Arial" w:cs="Arial"/>
        </w:rPr>
        <w:t xml:space="preserve">. Poor leadership, ineffective communication and inadequate performance monitoring contributed to mortality rates that were </w:t>
      </w:r>
      <w:r w:rsidRPr="007228D8">
        <w:rPr>
          <w:rFonts w:ascii="Arial" w:hAnsi="Arial" w:cs="Arial"/>
          <w:b/>
          <w:bCs/>
        </w:rPr>
        <w:t>approximately 100% higher than the national average</w:t>
      </w:r>
      <w:r w:rsidRPr="007228D8">
        <w:rPr>
          <w:rFonts w:ascii="Arial" w:hAnsi="Arial" w:cs="Arial"/>
        </w:rPr>
        <w:t xml:space="preserve"> for some paediatric cardiac procedures (Kennedy, 2001). These findings demonstrated that organisational systems failed to identify unacceptable variations in patient outcomes. Although governance has improved considerably since the inquiry, the Care Quality </w:t>
      </w:r>
      <w:r w:rsidRPr="007228D8">
        <w:rPr>
          <w:rFonts w:ascii="Arial" w:hAnsi="Arial" w:cs="Arial"/>
        </w:rPr>
        <w:lastRenderedPageBreak/>
        <w:t>Commission (2024) continues to identify concerns relating to leadership, workforce pressures and organisational culture within some NHS organisations. This suggests that quality improvement must remain an ongoing process rather than a one-time intervention.</w:t>
      </w:r>
    </w:p>
    <w:p w14:paraId="4BC3911A" w14:textId="77777777" w:rsidR="00DA098A" w:rsidRPr="007228D8" w:rsidRDefault="00DA098A" w:rsidP="007228D8">
      <w:pPr>
        <w:spacing w:line="360" w:lineRule="auto"/>
        <w:rPr>
          <w:rFonts w:ascii="Arial" w:hAnsi="Arial" w:cs="Arial"/>
        </w:rPr>
      </w:pPr>
      <w:r w:rsidRPr="007228D8">
        <w:rPr>
          <w:rFonts w:ascii="Arial" w:hAnsi="Arial" w:cs="Arial"/>
        </w:rPr>
        <w:t xml:space="preserve">The SWOT analysis also identifies several </w:t>
      </w:r>
      <w:r w:rsidRPr="007228D8">
        <w:rPr>
          <w:rFonts w:ascii="Arial" w:hAnsi="Arial" w:cs="Arial"/>
          <w:b/>
          <w:bCs/>
        </w:rPr>
        <w:t>opportunities</w:t>
      </w:r>
      <w:r w:rsidRPr="007228D8">
        <w:rPr>
          <w:rFonts w:ascii="Arial" w:hAnsi="Arial" w:cs="Arial"/>
        </w:rPr>
        <w:t xml:space="preserve"> to improve healthcare quality. Continued investment in digital patient safety systems, electronic health records and incident reporting can strengthen performance monitoring and support earlier identification of patient safety risks. NHS England (2023) also promotes continuous professional development, leadership training and national quality improvement programmes to improve patient outcomes. These initiatives provide organisations with opportunities to strengthen governance, improve communication and reduce preventable harm through evidence-based practice and continuous learning.</w:t>
      </w:r>
    </w:p>
    <w:p w14:paraId="3E6139C8" w14:textId="6DC83498" w:rsidR="0020710B" w:rsidRPr="007228D8" w:rsidRDefault="00DA098A" w:rsidP="007228D8">
      <w:pPr>
        <w:spacing w:line="360" w:lineRule="auto"/>
        <w:rPr>
          <w:rFonts w:ascii="Arial" w:hAnsi="Arial" w:cs="Arial"/>
        </w:rPr>
      </w:pPr>
      <w:r w:rsidRPr="007228D8">
        <w:rPr>
          <w:rFonts w:ascii="Arial" w:hAnsi="Arial" w:cs="Arial"/>
        </w:rPr>
        <w:t xml:space="preserve">However, several external </w:t>
      </w:r>
      <w:r w:rsidRPr="007228D8">
        <w:rPr>
          <w:rFonts w:ascii="Arial" w:hAnsi="Arial" w:cs="Arial"/>
          <w:b/>
          <w:bCs/>
        </w:rPr>
        <w:t>threats</w:t>
      </w:r>
      <w:r w:rsidRPr="007228D8">
        <w:rPr>
          <w:rFonts w:ascii="Arial" w:hAnsi="Arial" w:cs="Arial"/>
        </w:rPr>
        <w:t xml:space="preserve"> may affect the sustainability of service improvement. Workforce shortages, increasing patient demand and financial pressures continue to challenge NHS organisations and may reduce their capacity to implement quality improvement initiatives effectively. Staff shortages can increase workloads, contribute to burnout and affect patient safety if organisations cannot maintain safe staffing levels. Resistance to organisational change may also delay implementation of new policies unless leaders actively engage staff throughout the improvement process.</w:t>
      </w:r>
    </w:p>
    <w:p w14:paraId="7AFB745C" w14:textId="78E0E8CD" w:rsidR="00DA098A" w:rsidRDefault="00DA098A" w:rsidP="0020710B">
      <w:pPr>
        <w:pStyle w:val="Heading2"/>
      </w:pPr>
      <w:bookmarkStart w:id="8" w:name="_Toc235129170"/>
      <w:r w:rsidRPr="007228D8">
        <w:t xml:space="preserve">Table </w:t>
      </w:r>
      <w:r w:rsidR="00DC6AB4">
        <w:t>3</w:t>
      </w:r>
      <w:r w:rsidRPr="007228D8">
        <w:t>. SWOT Analysis – Bristol Royal Infirmary</w:t>
      </w:r>
      <w:bookmarkEnd w:id="8"/>
    </w:p>
    <w:p w14:paraId="136D5307" w14:textId="77777777" w:rsidR="0020710B" w:rsidRPr="0020710B" w:rsidRDefault="0020710B" w:rsidP="0020710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E4AC7" w:rsidRPr="007228D8" w14:paraId="23E2E536" w14:textId="77777777" w:rsidTr="00E63ABC">
        <w:trPr>
          <w:tblHeader/>
          <w:tblCellSpacing w:w="15" w:type="dxa"/>
        </w:trPr>
        <w:tc>
          <w:tcPr>
            <w:tcW w:w="0" w:type="auto"/>
            <w:vAlign w:val="center"/>
            <w:hideMark/>
          </w:tcPr>
          <w:p w14:paraId="2CC53083" w14:textId="681E97BB" w:rsidR="00DE4AC7" w:rsidRPr="007228D8" w:rsidRDefault="00DE4AC7" w:rsidP="007228D8">
            <w:pPr>
              <w:spacing w:line="360" w:lineRule="auto"/>
              <w:rPr>
                <w:rFonts w:ascii="Arial" w:hAnsi="Arial" w:cs="Arial"/>
                <w:b/>
                <w:bCs/>
              </w:rPr>
            </w:pPr>
          </w:p>
        </w:tc>
      </w:tr>
    </w:tbl>
    <w:p w14:paraId="0455A428" w14:textId="77777777" w:rsidR="00DA098A" w:rsidRPr="007228D8" w:rsidRDefault="00DA098A" w:rsidP="007228D8">
      <w:pPr>
        <w:spacing w:line="360" w:lineRule="auto"/>
        <w:rPr>
          <w:rFonts w:ascii="Arial" w:hAnsi="Arial" w:cs="Arial"/>
          <w:vanish/>
        </w:rPr>
      </w:pPr>
    </w:p>
    <w:tbl>
      <w:tblPr>
        <w:tblStyle w:val="TableGrid"/>
        <w:tblW w:w="10632" w:type="dxa"/>
        <w:tblInd w:w="-714" w:type="dxa"/>
        <w:tblLook w:val="04A0" w:firstRow="1" w:lastRow="0" w:firstColumn="1" w:lastColumn="0" w:noHBand="0" w:noVBand="1"/>
      </w:tblPr>
      <w:tblGrid>
        <w:gridCol w:w="5222"/>
        <w:gridCol w:w="5410"/>
      </w:tblGrid>
      <w:tr w:rsidR="0023266F" w14:paraId="67A1A6BE" w14:textId="77777777" w:rsidTr="00693146">
        <w:tc>
          <w:tcPr>
            <w:tcW w:w="5222" w:type="dxa"/>
          </w:tcPr>
          <w:p w14:paraId="14632844" w14:textId="40F0F2B1" w:rsidR="0023266F" w:rsidRPr="00230CC1" w:rsidRDefault="00230CC1" w:rsidP="007228D8">
            <w:pPr>
              <w:spacing w:line="360" w:lineRule="auto"/>
              <w:rPr>
                <w:rFonts w:ascii="Arial" w:hAnsi="Arial" w:cs="Arial"/>
                <w:b/>
                <w:bCs/>
              </w:rPr>
            </w:pPr>
            <w:r w:rsidRPr="00230CC1">
              <w:rPr>
                <w:rFonts w:ascii="Arial" w:hAnsi="Arial" w:cs="Arial"/>
                <w:b/>
                <w:bCs/>
              </w:rPr>
              <w:t>Strengths</w:t>
            </w:r>
          </w:p>
        </w:tc>
        <w:tc>
          <w:tcPr>
            <w:tcW w:w="5410" w:type="dxa"/>
          </w:tcPr>
          <w:p w14:paraId="3B0C72EC" w14:textId="42EC2A37" w:rsidR="0023266F" w:rsidRPr="00125CAF" w:rsidRDefault="00125CAF" w:rsidP="007228D8">
            <w:pPr>
              <w:spacing w:line="360" w:lineRule="auto"/>
              <w:rPr>
                <w:rFonts w:ascii="Arial" w:hAnsi="Arial" w:cs="Arial"/>
                <w:b/>
                <w:bCs/>
              </w:rPr>
            </w:pPr>
            <w:r w:rsidRPr="00125CAF">
              <w:rPr>
                <w:rFonts w:ascii="Arial" w:hAnsi="Arial" w:cs="Arial"/>
                <w:b/>
                <w:bCs/>
              </w:rPr>
              <w:t>Weaknesses</w:t>
            </w:r>
          </w:p>
        </w:tc>
      </w:tr>
      <w:tr w:rsidR="0023266F" w14:paraId="164AD977" w14:textId="77777777" w:rsidTr="00693146">
        <w:tc>
          <w:tcPr>
            <w:tcW w:w="5222" w:type="dxa"/>
          </w:tcPr>
          <w:p w14:paraId="3F86AD27" w14:textId="7D98DDD3" w:rsidR="0023266F" w:rsidRDefault="00CA5BD7" w:rsidP="007228D8">
            <w:pPr>
              <w:spacing w:line="360" w:lineRule="auto"/>
              <w:rPr>
                <w:rFonts w:ascii="Arial" w:hAnsi="Arial" w:cs="Arial"/>
              </w:rPr>
            </w:pPr>
            <w:r w:rsidRPr="00CA5BD7">
              <w:rPr>
                <w:rFonts w:ascii="Arial" w:hAnsi="Arial" w:cs="Arial"/>
              </w:rPr>
              <w:t>Stronger clinical governance following the inquiry</w:t>
            </w:r>
          </w:p>
        </w:tc>
        <w:tc>
          <w:tcPr>
            <w:tcW w:w="5410" w:type="dxa"/>
          </w:tcPr>
          <w:p w14:paraId="2CAD7AC0" w14:textId="7A2F2A2D" w:rsidR="0023266F" w:rsidRDefault="005D2272" w:rsidP="007228D8">
            <w:pPr>
              <w:spacing w:line="360" w:lineRule="auto"/>
              <w:rPr>
                <w:rFonts w:ascii="Arial" w:hAnsi="Arial" w:cs="Arial"/>
              </w:rPr>
            </w:pPr>
            <w:r w:rsidRPr="005D2272">
              <w:rPr>
                <w:rFonts w:ascii="Arial" w:hAnsi="Arial" w:cs="Arial"/>
              </w:rPr>
              <w:t>Weak leadership before the inquiry</w:t>
            </w:r>
          </w:p>
        </w:tc>
      </w:tr>
      <w:tr w:rsidR="0023266F" w14:paraId="5FDA0A42" w14:textId="77777777" w:rsidTr="00693146">
        <w:tc>
          <w:tcPr>
            <w:tcW w:w="5222" w:type="dxa"/>
          </w:tcPr>
          <w:p w14:paraId="5085692B" w14:textId="37628C06" w:rsidR="0023266F" w:rsidRDefault="00DE6730" w:rsidP="007228D8">
            <w:pPr>
              <w:spacing w:line="360" w:lineRule="auto"/>
              <w:rPr>
                <w:rFonts w:ascii="Arial" w:hAnsi="Arial" w:cs="Arial"/>
              </w:rPr>
            </w:pPr>
            <w:r w:rsidRPr="00DE6730">
              <w:rPr>
                <w:rFonts w:ascii="Arial" w:hAnsi="Arial" w:cs="Arial"/>
              </w:rPr>
              <w:t>National clinical audit introduced</w:t>
            </w:r>
          </w:p>
        </w:tc>
        <w:tc>
          <w:tcPr>
            <w:tcW w:w="5410" w:type="dxa"/>
          </w:tcPr>
          <w:p w14:paraId="292086A4" w14:textId="39B381CC" w:rsidR="0023266F" w:rsidRDefault="004F3AFE" w:rsidP="007228D8">
            <w:pPr>
              <w:spacing w:line="360" w:lineRule="auto"/>
              <w:rPr>
                <w:rFonts w:ascii="Arial" w:hAnsi="Arial" w:cs="Arial"/>
              </w:rPr>
            </w:pPr>
            <w:r w:rsidRPr="004F3AFE">
              <w:rPr>
                <w:rFonts w:ascii="Arial" w:hAnsi="Arial" w:cs="Arial"/>
              </w:rPr>
              <w:t>Poor multidisciplinary communication</w:t>
            </w:r>
          </w:p>
        </w:tc>
      </w:tr>
      <w:tr w:rsidR="0023266F" w14:paraId="44C89E42" w14:textId="77777777" w:rsidTr="00693146">
        <w:tc>
          <w:tcPr>
            <w:tcW w:w="5222" w:type="dxa"/>
          </w:tcPr>
          <w:p w14:paraId="4AC86729" w14:textId="1D38A90D" w:rsidR="0023266F" w:rsidRDefault="005E5028" w:rsidP="007228D8">
            <w:pPr>
              <w:spacing w:line="360" w:lineRule="auto"/>
              <w:rPr>
                <w:rFonts w:ascii="Arial" w:hAnsi="Arial" w:cs="Arial"/>
              </w:rPr>
            </w:pPr>
            <w:r w:rsidRPr="005E5028">
              <w:rPr>
                <w:rFonts w:ascii="Arial" w:hAnsi="Arial" w:cs="Arial"/>
              </w:rPr>
              <w:t>Greater patient involvement and accountability</w:t>
            </w:r>
          </w:p>
        </w:tc>
        <w:tc>
          <w:tcPr>
            <w:tcW w:w="5410" w:type="dxa"/>
          </w:tcPr>
          <w:p w14:paraId="052A59ED" w14:textId="6A58B22D" w:rsidR="0023266F" w:rsidRDefault="00726354" w:rsidP="007228D8">
            <w:pPr>
              <w:spacing w:line="360" w:lineRule="auto"/>
              <w:rPr>
                <w:rFonts w:ascii="Arial" w:hAnsi="Arial" w:cs="Arial"/>
              </w:rPr>
            </w:pPr>
            <w:r w:rsidRPr="00726354">
              <w:rPr>
                <w:rFonts w:ascii="Arial" w:hAnsi="Arial" w:cs="Arial"/>
              </w:rPr>
              <w:t>Inadequate performance monitoring</w:t>
            </w:r>
          </w:p>
        </w:tc>
      </w:tr>
      <w:tr w:rsidR="0023266F" w14:paraId="276DC253" w14:textId="77777777" w:rsidTr="00693146">
        <w:tc>
          <w:tcPr>
            <w:tcW w:w="5222" w:type="dxa"/>
          </w:tcPr>
          <w:p w14:paraId="5F6C168D" w14:textId="100D9138" w:rsidR="0023266F" w:rsidRDefault="00C12375" w:rsidP="007228D8">
            <w:pPr>
              <w:spacing w:line="360" w:lineRule="auto"/>
              <w:rPr>
                <w:rFonts w:ascii="Arial" w:hAnsi="Arial" w:cs="Arial"/>
              </w:rPr>
            </w:pPr>
            <w:r w:rsidRPr="00C12375">
              <w:rPr>
                <w:rFonts w:ascii="Arial" w:hAnsi="Arial" w:cs="Arial"/>
              </w:rPr>
              <w:t>Improved transparency</w:t>
            </w:r>
          </w:p>
        </w:tc>
        <w:tc>
          <w:tcPr>
            <w:tcW w:w="5410" w:type="dxa"/>
          </w:tcPr>
          <w:p w14:paraId="50AA117D" w14:textId="664DEB84" w:rsidR="0023266F" w:rsidRDefault="00693146" w:rsidP="007228D8">
            <w:pPr>
              <w:spacing w:line="360" w:lineRule="auto"/>
              <w:rPr>
                <w:rFonts w:ascii="Arial" w:hAnsi="Arial" w:cs="Arial"/>
              </w:rPr>
            </w:pPr>
            <w:r w:rsidRPr="00693146">
              <w:rPr>
                <w:rFonts w:ascii="Arial" w:hAnsi="Arial" w:cs="Arial"/>
              </w:rPr>
              <w:t xml:space="preserve">Mortality rates approximately </w:t>
            </w:r>
            <w:r w:rsidRPr="00693146">
              <w:rPr>
                <w:rFonts w:ascii="Arial" w:hAnsi="Arial" w:cs="Arial"/>
                <w:b/>
                <w:bCs/>
              </w:rPr>
              <w:t>100% higher</w:t>
            </w:r>
            <w:r w:rsidRPr="00693146">
              <w:rPr>
                <w:rFonts w:ascii="Arial" w:hAnsi="Arial" w:cs="Arial"/>
              </w:rPr>
              <w:t xml:space="preserve"> than the national average</w:t>
            </w:r>
          </w:p>
        </w:tc>
      </w:tr>
    </w:tbl>
    <w:p w14:paraId="7F4E6B99" w14:textId="77777777" w:rsidR="00DC6AB4" w:rsidRDefault="00DC6AB4" w:rsidP="007228D8">
      <w:pPr>
        <w:spacing w:line="360" w:lineRule="auto"/>
        <w:rPr>
          <w:rFonts w:ascii="Arial" w:hAnsi="Arial" w:cs="Arial"/>
        </w:rPr>
      </w:pPr>
    </w:p>
    <w:p w14:paraId="0DD0B671" w14:textId="77777777" w:rsidR="00693146" w:rsidRDefault="00693146" w:rsidP="007228D8">
      <w:pPr>
        <w:spacing w:line="360" w:lineRule="auto"/>
        <w:rPr>
          <w:rFonts w:ascii="Arial" w:hAnsi="Arial" w:cs="Arial"/>
        </w:rPr>
      </w:pPr>
    </w:p>
    <w:tbl>
      <w:tblPr>
        <w:tblStyle w:val="TableGrid"/>
        <w:tblW w:w="10490" w:type="dxa"/>
        <w:tblInd w:w="-572" w:type="dxa"/>
        <w:tblLook w:val="04A0" w:firstRow="1" w:lastRow="0" w:firstColumn="1" w:lastColumn="0" w:noHBand="0" w:noVBand="1"/>
      </w:tblPr>
      <w:tblGrid>
        <w:gridCol w:w="5080"/>
        <w:gridCol w:w="5410"/>
      </w:tblGrid>
      <w:tr w:rsidR="00DB59E9" w14:paraId="1FF66A27" w14:textId="77777777" w:rsidTr="008F51D7">
        <w:tc>
          <w:tcPr>
            <w:tcW w:w="5080" w:type="dxa"/>
          </w:tcPr>
          <w:p w14:paraId="63D25814" w14:textId="3CBE72F9" w:rsidR="00DB59E9" w:rsidRDefault="007464BF" w:rsidP="007228D8">
            <w:pPr>
              <w:spacing w:line="360" w:lineRule="auto"/>
              <w:rPr>
                <w:rFonts w:ascii="Arial" w:hAnsi="Arial" w:cs="Arial"/>
              </w:rPr>
            </w:pPr>
            <w:r w:rsidRPr="007464BF">
              <w:rPr>
                <w:rFonts w:ascii="Arial" w:hAnsi="Arial" w:cs="Arial"/>
                <w:b/>
                <w:bCs/>
              </w:rPr>
              <w:t>Opportunities</w:t>
            </w:r>
          </w:p>
        </w:tc>
        <w:tc>
          <w:tcPr>
            <w:tcW w:w="5410" w:type="dxa"/>
          </w:tcPr>
          <w:p w14:paraId="1789E3D7" w14:textId="3F354D38" w:rsidR="00DB59E9" w:rsidRPr="00A10CC7" w:rsidRDefault="00A10CC7" w:rsidP="007228D8">
            <w:pPr>
              <w:spacing w:line="360" w:lineRule="auto"/>
              <w:rPr>
                <w:rFonts w:ascii="Arial" w:hAnsi="Arial" w:cs="Arial"/>
                <w:b/>
                <w:bCs/>
              </w:rPr>
            </w:pPr>
            <w:r w:rsidRPr="00A10CC7">
              <w:rPr>
                <w:rFonts w:ascii="Arial" w:hAnsi="Arial" w:cs="Arial"/>
                <w:b/>
                <w:bCs/>
              </w:rPr>
              <w:t>Threats</w:t>
            </w:r>
          </w:p>
        </w:tc>
      </w:tr>
      <w:tr w:rsidR="00DB59E9" w14:paraId="7CEC34FC" w14:textId="77777777" w:rsidTr="008F51D7">
        <w:tc>
          <w:tcPr>
            <w:tcW w:w="5080" w:type="dxa"/>
          </w:tcPr>
          <w:p w14:paraId="4B5312BD" w14:textId="4436816C" w:rsidR="00DB59E9" w:rsidRDefault="00E62444" w:rsidP="007228D8">
            <w:pPr>
              <w:spacing w:line="360" w:lineRule="auto"/>
              <w:rPr>
                <w:rFonts w:ascii="Arial" w:hAnsi="Arial" w:cs="Arial"/>
              </w:rPr>
            </w:pPr>
            <w:r w:rsidRPr="00E62444">
              <w:rPr>
                <w:rFonts w:ascii="Arial" w:hAnsi="Arial" w:cs="Arial"/>
              </w:rPr>
              <w:t>Digital patient safety systems</w:t>
            </w:r>
          </w:p>
        </w:tc>
        <w:tc>
          <w:tcPr>
            <w:tcW w:w="5410" w:type="dxa"/>
          </w:tcPr>
          <w:p w14:paraId="4D02BBD2" w14:textId="618CC632" w:rsidR="00DB59E9" w:rsidRDefault="00D2079B" w:rsidP="007228D8">
            <w:pPr>
              <w:spacing w:line="360" w:lineRule="auto"/>
              <w:rPr>
                <w:rFonts w:ascii="Arial" w:hAnsi="Arial" w:cs="Arial"/>
              </w:rPr>
            </w:pPr>
            <w:r w:rsidRPr="00D2079B">
              <w:rPr>
                <w:rFonts w:ascii="Arial" w:hAnsi="Arial" w:cs="Arial"/>
              </w:rPr>
              <w:t>Workforce shortages</w:t>
            </w:r>
          </w:p>
        </w:tc>
      </w:tr>
      <w:tr w:rsidR="00DB59E9" w14:paraId="7D948865" w14:textId="77777777" w:rsidTr="008F51D7">
        <w:tc>
          <w:tcPr>
            <w:tcW w:w="5080" w:type="dxa"/>
          </w:tcPr>
          <w:p w14:paraId="0CB9B59D" w14:textId="39792486" w:rsidR="00DB59E9" w:rsidRDefault="008F51D7" w:rsidP="007228D8">
            <w:pPr>
              <w:spacing w:line="360" w:lineRule="auto"/>
              <w:rPr>
                <w:rFonts w:ascii="Arial" w:hAnsi="Arial" w:cs="Arial"/>
              </w:rPr>
            </w:pPr>
            <w:r w:rsidRPr="008F51D7">
              <w:rPr>
                <w:rFonts w:ascii="Arial" w:hAnsi="Arial" w:cs="Arial"/>
              </w:rPr>
              <w:t>Leadership development and staff education</w:t>
            </w:r>
          </w:p>
        </w:tc>
        <w:tc>
          <w:tcPr>
            <w:tcW w:w="5410" w:type="dxa"/>
          </w:tcPr>
          <w:p w14:paraId="4B790A7F" w14:textId="42FBEE15" w:rsidR="00DB59E9" w:rsidRDefault="00D20F04" w:rsidP="007228D8">
            <w:pPr>
              <w:spacing w:line="360" w:lineRule="auto"/>
              <w:rPr>
                <w:rFonts w:ascii="Arial" w:hAnsi="Arial" w:cs="Arial"/>
              </w:rPr>
            </w:pPr>
            <w:r w:rsidRPr="00D20F04">
              <w:rPr>
                <w:rFonts w:ascii="Arial" w:hAnsi="Arial" w:cs="Arial"/>
              </w:rPr>
              <w:t>NHS financial pressures</w:t>
            </w:r>
          </w:p>
        </w:tc>
      </w:tr>
      <w:tr w:rsidR="00DB59E9" w14:paraId="12D67B52" w14:textId="77777777" w:rsidTr="008F51D7">
        <w:tc>
          <w:tcPr>
            <w:tcW w:w="5080" w:type="dxa"/>
          </w:tcPr>
          <w:p w14:paraId="464177DD" w14:textId="42ECD51D" w:rsidR="00DB59E9" w:rsidRDefault="00AF1EF2" w:rsidP="007228D8">
            <w:pPr>
              <w:spacing w:line="360" w:lineRule="auto"/>
              <w:rPr>
                <w:rFonts w:ascii="Arial" w:hAnsi="Arial" w:cs="Arial"/>
              </w:rPr>
            </w:pPr>
            <w:r w:rsidRPr="00AF1EF2">
              <w:rPr>
                <w:rFonts w:ascii="Arial" w:hAnsi="Arial" w:cs="Arial"/>
              </w:rPr>
              <w:t>National quality improvement programmes</w:t>
            </w:r>
          </w:p>
        </w:tc>
        <w:tc>
          <w:tcPr>
            <w:tcW w:w="5410" w:type="dxa"/>
          </w:tcPr>
          <w:p w14:paraId="58A025C9" w14:textId="6984C598" w:rsidR="00DB59E9" w:rsidRDefault="00FB2297" w:rsidP="007228D8">
            <w:pPr>
              <w:spacing w:line="360" w:lineRule="auto"/>
              <w:rPr>
                <w:rFonts w:ascii="Arial" w:hAnsi="Arial" w:cs="Arial"/>
              </w:rPr>
            </w:pPr>
            <w:r w:rsidRPr="00FB2297">
              <w:rPr>
                <w:rFonts w:ascii="Arial" w:hAnsi="Arial" w:cs="Arial"/>
              </w:rPr>
              <w:t>Increasing patient demand</w:t>
            </w:r>
          </w:p>
        </w:tc>
      </w:tr>
      <w:tr w:rsidR="00DB59E9" w14:paraId="47DA2C24" w14:textId="77777777" w:rsidTr="008F51D7">
        <w:tc>
          <w:tcPr>
            <w:tcW w:w="5080" w:type="dxa"/>
          </w:tcPr>
          <w:p w14:paraId="4945B076" w14:textId="01DC361A" w:rsidR="00DB59E9" w:rsidRDefault="00C3332E" w:rsidP="007228D8">
            <w:pPr>
              <w:spacing w:line="360" w:lineRule="auto"/>
              <w:rPr>
                <w:rFonts w:ascii="Arial" w:hAnsi="Arial" w:cs="Arial"/>
              </w:rPr>
            </w:pPr>
            <w:r w:rsidRPr="00C3332E">
              <w:rPr>
                <w:rFonts w:ascii="Arial" w:hAnsi="Arial" w:cs="Arial"/>
              </w:rPr>
              <w:t>Benchmarking with specialist centres</w:t>
            </w:r>
          </w:p>
        </w:tc>
        <w:tc>
          <w:tcPr>
            <w:tcW w:w="5410" w:type="dxa"/>
          </w:tcPr>
          <w:p w14:paraId="118F7723" w14:textId="24971132" w:rsidR="00DB59E9" w:rsidRDefault="0051642E" w:rsidP="007228D8">
            <w:pPr>
              <w:spacing w:line="360" w:lineRule="auto"/>
              <w:rPr>
                <w:rFonts w:ascii="Arial" w:hAnsi="Arial" w:cs="Arial"/>
              </w:rPr>
            </w:pPr>
            <w:r w:rsidRPr="0051642E">
              <w:rPr>
                <w:rFonts w:ascii="Arial" w:hAnsi="Arial" w:cs="Arial"/>
              </w:rPr>
              <w:t>Resistance to organisational change</w:t>
            </w:r>
          </w:p>
        </w:tc>
      </w:tr>
    </w:tbl>
    <w:p w14:paraId="03D878BB" w14:textId="77777777" w:rsidR="00693146" w:rsidRDefault="00693146" w:rsidP="007228D8">
      <w:pPr>
        <w:spacing w:line="360" w:lineRule="auto"/>
        <w:rPr>
          <w:rFonts w:ascii="Arial" w:hAnsi="Arial" w:cs="Arial"/>
        </w:rPr>
      </w:pPr>
    </w:p>
    <w:p w14:paraId="113F553C" w14:textId="7E9060A4" w:rsidR="00DA098A" w:rsidRPr="007228D8" w:rsidRDefault="00DA098A" w:rsidP="007228D8">
      <w:pPr>
        <w:spacing w:line="360" w:lineRule="auto"/>
        <w:rPr>
          <w:rFonts w:ascii="Arial" w:hAnsi="Arial" w:cs="Arial"/>
        </w:rPr>
      </w:pPr>
      <w:r w:rsidRPr="007228D8">
        <w:rPr>
          <w:rFonts w:ascii="Arial" w:hAnsi="Arial" w:cs="Arial"/>
        </w:rPr>
        <w:t xml:space="preserve">Table </w:t>
      </w:r>
      <w:r w:rsidR="00DC6AB4">
        <w:rPr>
          <w:rFonts w:ascii="Arial" w:hAnsi="Arial" w:cs="Arial"/>
        </w:rPr>
        <w:t>3</w:t>
      </w:r>
      <w:r w:rsidRPr="007228D8">
        <w:rPr>
          <w:rFonts w:ascii="Arial" w:hAnsi="Arial" w:cs="Arial"/>
        </w:rPr>
        <w:t xml:space="preserve"> demonstrates that although the Bristol Inquiry exposed serious organisational weaknesses, it also created opportunities for long-term improvement. Strengthened governance, national clinical audit and greater accountability have improved patient safety across the NHS. However, continuing threats such as workforce shortages and financial pressures highlight the need for healthcare organisations to maintain continuous quality improvement. Compared with </w:t>
      </w:r>
      <w:r w:rsidRPr="007228D8">
        <w:rPr>
          <w:rFonts w:ascii="Arial" w:hAnsi="Arial" w:cs="Arial"/>
          <w:b/>
          <w:bCs/>
        </w:rPr>
        <w:t>PESTLE analysis</w:t>
      </w:r>
      <w:r w:rsidRPr="007228D8">
        <w:rPr>
          <w:rFonts w:ascii="Arial" w:hAnsi="Arial" w:cs="Arial"/>
        </w:rPr>
        <w:t>, which focuses mainly on external political, economic, social, technological, legal and environmental factors, SWOT provides a more comprehensive assessment because it evaluates both internal organisational performance and external influences. Therefore, SWOT is more appropriate for analysing the Bristol Royal Infirmary case and developing practical service improvement strategies (Gürel and Tat, 2017).</w:t>
      </w:r>
    </w:p>
    <w:p w14:paraId="45B5A651" w14:textId="0F38A559" w:rsidR="00DA098A" w:rsidRDefault="00DA098A" w:rsidP="0020710B">
      <w:pPr>
        <w:pStyle w:val="Heading1"/>
      </w:pPr>
      <w:bookmarkStart w:id="9" w:name="_Toc235129171"/>
      <w:r w:rsidRPr="007228D8">
        <w:t>PDSA Cycle, Kotter's Eight-Step Change Model and Benchmarking</w:t>
      </w:r>
      <w:bookmarkEnd w:id="9"/>
      <w:r w:rsidRPr="007228D8">
        <w:t xml:space="preserve"> </w:t>
      </w:r>
    </w:p>
    <w:p w14:paraId="332AA697" w14:textId="77777777" w:rsidR="0020710B" w:rsidRPr="0020710B" w:rsidRDefault="0020710B" w:rsidP="0020710B"/>
    <w:p w14:paraId="64BA4681" w14:textId="77777777" w:rsidR="00DA098A" w:rsidRPr="007228D8" w:rsidRDefault="00DA098A" w:rsidP="007228D8">
      <w:pPr>
        <w:spacing w:line="360" w:lineRule="auto"/>
        <w:rPr>
          <w:rFonts w:ascii="Arial" w:hAnsi="Arial" w:cs="Arial"/>
        </w:rPr>
      </w:pPr>
      <w:r w:rsidRPr="007228D8">
        <w:rPr>
          <w:rFonts w:ascii="Arial" w:hAnsi="Arial" w:cs="Arial"/>
        </w:rPr>
        <w:t xml:space="preserve">Following the identification of the root causes through the Donabedian Model, Fishbone Diagram, 5 Whys and SWOT analysis, the next stage is implementing sustainable service improvement. The </w:t>
      </w:r>
      <w:r w:rsidRPr="007228D8">
        <w:rPr>
          <w:rFonts w:ascii="Arial" w:hAnsi="Arial" w:cs="Arial"/>
          <w:b/>
          <w:bCs/>
        </w:rPr>
        <w:t>Plan-Do-Study-Act (PDSA) Cycle</w:t>
      </w:r>
      <w:r w:rsidRPr="007228D8">
        <w:rPr>
          <w:rFonts w:ascii="Arial" w:hAnsi="Arial" w:cs="Arial"/>
        </w:rPr>
        <w:t xml:space="preserve"> was selected because it provides a structured approach for testing, evaluating and refining changes within healthcare organisations (Langley et al., 2009). Unlike quality improvement methods that introduce large-scale organisational changes immediately, the PDSA cycle encourages healthcare providers to test interventions on a small scale, evaluate their effectiveness and make adjustments before wider implementation. This reduces the risk of failure while promoting continuous learning and evidence-based practice, making it particularly suitable for addressing the systemic failures identified at Bristol Royal Infirmary.</w:t>
      </w:r>
    </w:p>
    <w:p w14:paraId="592FB98C" w14:textId="77777777" w:rsidR="00DA098A" w:rsidRPr="007228D8" w:rsidRDefault="00DA098A" w:rsidP="007228D8">
      <w:pPr>
        <w:spacing w:line="360" w:lineRule="auto"/>
        <w:rPr>
          <w:rFonts w:ascii="Arial" w:hAnsi="Arial" w:cs="Arial"/>
        </w:rPr>
      </w:pPr>
      <w:r w:rsidRPr="007228D8">
        <w:rPr>
          <w:rFonts w:ascii="Arial" w:hAnsi="Arial" w:cs="Arial"/>
        </w:rPr>
        <w:t xml:space="preserve">The </w:t>
      </w:r>
      <w:r w:rsidRPr="007228D8">
        <w:rPr>
          <w:rFonts w:ascii="Arial" w:hAnsi="Arial" w:cs="Arial"/>
          <w:b/>
          <w:bCs/>
        </w:rPr>
        <w:t>Plan</w:t>
      </w:r>
      <w:r w:rsidRPr="007228D8">
        <w:rPr>
          <w:rFonts w:ascii="Arial" w:hAnsi="Arial" w:cs="Arial"/>
        </w:rPr>
        <w:t xml:space="preserve"> stage involves identifying the quality problem, setting measurable objectives and designing evidence-based interventions. Following the Bristol Inquiry, priorities would include strengthening clinical governance, introducing regular mortality and morbidity meetings, improving multidisciplinary communication and enhancing leadership accountability. Baseline information, including mortality rates, clinical audit findings and patient safety incidents, should be collected before implementing changes. Collecting baseline data enables organisations to measure whether interventions improve patient outcomes and service quality over time.</w:t>
      </w:r>
    </w:p>
    <w:p w14:paraId="16EE2546" w14:textId="77777777" w:rsidR="00DA098A" w:rsidRPr="007228D8" w:rsidRDefault="00DA098A" w:rsidP="007228D8">
      <w:pPr>
        <w:spacing w:line="360" w:lineRule="auto"/>
        <w:rPr>
          <w:rFonts w:ascii="Arial" w:hAnsi="Arial" w:cs="Arial"/>
        </w:rPr>
      </w:pPr>
      <w:r w:rsidRPr="007228D8">
        <w:rPr>
          <w:rFonts w:ascii="Arial" w:hAnsi="Arial" w:cs="Arial"/>
        </w:rPr>
        <w:lastRenderedPageBreak/>
        <w:t xml:space="preserve">The </w:t>
      </w:r>
      <w:r w:rsidRPr="007228D8">
        <w:rPr>
          <w:rFonts w:ascii="Arial" w:hAnsi="Arial" w:cs="Arial"/>
          <w:b/>
          <w:bCs/>
        </w:rPr>
        <w:t>Do</w:t>
      </w:r>
      <w:r w:rsidRPr="007228D8">
        <w:rPr>
          <w:rFonts w:ascii="Arial" w:hAnsi="Arial" w:cs="Arial"/>
        </w:rPr>
        <w:t xml:space="preserve"> stage involves implementing the proposed improvements on a small scale. For example, new governance procedures, structured multidisciplinary meetings and staff training programmes could initially be introduced within one department before wider implementation across the organisation. Piloting changes allows healthcare organisations to identify practical challenges, gain staff feedback and minimise disruption to patient care.</w:t>
      </w:r>
    </w:p>
    <w:p w14:paraId="4918BA1B" w14:textId="77777777" w:rsidR="00DA098A" w:rsidRPr="007228D8" w:rsidRDefault="00DA098A" w:rsidP="007228D8">
      <w:pPr>
        <w:spacing w:line="360" w:lineRule="auto"/>
        <w:rPr>
          <w:rFonts w:ascii="Arial" w:hAnsi="Arial" w:cs="Arial"/>
        </w:rPr>
      </w:pPr>
      <w:r w:rsidRPr="007228D8">
        <w:rPr>
          <w:rFonts w:ascii="Arial" w:hAnsi="Arial" w:cs="Arial"/>
        </w:rPr>
        <w:t xml:space="preserve">During the </w:t>
      </w:r>
      <w:r w:rsidRPr="007228D8">
        <w:rPr>
          <w:rFonts w:ascii="Arial" w:hAnsi="Arial" w:cs="Arial"/>
          <w:b/>
          <w:bCs/>
        </w:rPr>
        <w:t>Study</w:t>
      </w:r>
      <w:r w:rsidRPr="007228D8">
        <w:rPr>
          <w:rFonts w:ascii="Arial" w:hAnsi="Arial" w:cs="Arial"/>
        </w:rPr>
        <w:t xml:space="preserve"> stage, organisations evaluate whether the interventions have achieved the desired outcomes. This should include reviewing mortality data, clinical audit findings, patient feedback and staff survey results. NHS England (2023) reports that </w:t>
      </w:r>
      <w:r w:rsidRPr="007228D8">
        <w:rPr>
          <w:rFonts w:ascii="Arial" w:hAnsi="Arial" w:cs="Arial"/>
          <w:b/>
          <w:bCs/>
        </w:rPr>
        <w:t>over two million patient safety incidents are recorded annually</w:t>
      </w:r>
      <w:r w:rsidRPr="007228D8">
        <w:rPr>
          <w:rFonts w:ascii="Arial" w:hAnsi="Arial" w:cs="Arial"/>
        </w:rPr>
        <w:t xml:space="preserve"> across NHS services, highlighting the importance of regularly analysing patient safety data to identify trends and evaluate improvement initiatives. If the results demonstrate improvements in governance, communication and patient outcomes, organisations can be more confident that the interventions are effective.</w:t>
      </w:r>
    </w:p>
    <w:p w14:paraId="54A8892E" w14:textId="77777777" w:rsidR="00DA098A" w:rsidRPr="007228D8" w:rsidRDefault="00DA098A" w:rsidP="007228D8">
      <w:pPr>
        <w:spacing w:line="360" w:lineRule="auto"/>
        <w:rPr>
          <w:rFonts w:ascii="Arial" w:hAnsi="Arial" w:cs="Arial"/>
        </w:rPr>
      </w:pPr>
      <w:r w:rsidRPr="007228D8">
        <w:rPr>
          <w:rFonts w:ascii="Arial" w:hAnsi="Arial" w:cs="Arial"/>
        </w:rPr>
        <w:t xml:space="preserve">The final </w:t>
      </w:r>
      <w:r w:rsidRPr="007228D8">
        <w:rPr>
          <w:rFonts w:ascii="Arial" w:hAnsi="Arial" w:cs="Arial"/>
          <w:b/>
          <w:bCs/>
        </w:rPr>
        <w:t>Act</w:t>
      </w:r>
      <w:r w:rsidRPr="007228D8">
        <w:rPr>
          <w:rFonts w:ascii="Arial" w:hAnsi="Arial" w:cs="Arial"/>
        </w:rPr>
        <w:t xml:space="preserve"> stage involves standardising successful interventions or modifying those that have not achieved the expected outcomes. Continuous evaluation ensures that quality improvement becomes an ongoing process rather than a one-off initiative. The cyclical nature of the PDSA model enables healthcare organisations to respond to changing patient needs while maintaining high standards of care and reducing preventable harm.</w:t>
      </w:r>
    </w:p>
    <w:p w14:paraId="60A38EB6" w14:textId="77777777" w:rsidR="00DA098A" w:rsidRPr="007228D8" w:rsidRDefault="00DA098A" w:rsidP="007228D8">
      <w:pPr>
        <w:spacing w:line="360" w:lineRule="auto"/>
        <w:rPr>
          <w:rFonts w:ascii="Arial" w:hAnsi="Arial" w:cs="Arial"/>
        </w:rPr>
      </w:pPr>
      <w:r w:rsidRPr="007228D8">
        <w:rPr>
          <w:rFonts w:ascii="Arial" w:hAnsi="Arial" w:cs="Arial"/>
        </w:rPr>
        <w:t xml:space="preserve">Although </w:t>
      </w:r>
      <w:r w:rsidRPr="007228D8">
        <w:rPr>
          <w:rFonts w:ascii="Arial" w:hAnsi="Arial" w:cs="Arial"/>
          <w:b/>
          <w:bCs/>
        </w:rPr>
        <w:t>Six Sigma</w:t>
      </w:r>
      <w:r w:rsidRPr="007228D8">
        <w:rPr>
          <w:rFonts w:ascii="Arial" w:hAnsi="Arial" w:cs="Arial"/>
        </w:rPr>
        <w:t xml:space="preserve"> is another recognised quality improvement methodology, it was not selected as the primary framework because it focuses on reducing process variation through extensive statistical analysis and often requires specialist training (Antony, 2014). While Six Sigma is valuable in highly standardised healthcare processes, the PDSA cycle is more flexible, easier to implement and widely used across the NHS. Therefore, PDSA is more appropriate for addressing the complex organisational failures identified in the Bristol Inquiry.</w:t>
      </w:r>
    </w:p>
    <w:p w14:paraId="7DA6D69F" w14:textId="77777777" w:rsidR="00DA098A" w:rsidRPr="007228D8" w:rsidRDefault="00DA098A" w:rsidP="007228D8">
      <w:pPr>
        <w:spacing w:line="360" w:lineRule="auto"/>
        <w:rPr>
          <w:rFonts w:ascii="Arial" w:hAnsi="Arial" w:cs="Arial"/>
        </w:rPr>
      </w:pPr>
      <w:r w:rsidRPr="007228D8">
        <w:rPr>
          <w:rFonts w:ascii="Arial" w:hAnsi="Arial" w:cs="Arial"/>
        </w:rPr>
        <w:t xml:space="preserve">Successful quality improvement also depends on effective leadership and organisational change. </w:t>
      </w:r>
      <w:r w:rsidRPr="007228D8">
        <w:rPr>
          <w:rFonts w:ascii="Arial" w:hAnsi="Arial" w:cs="Arial"/>
          <w:b/>
          <w:bCs/>
        </w:rPr>
        <w:t>Kotter's Eight-Step Change Model</w:t>
      </w:r>
      <w:r w:rsidRPr="007228D8">
        <w:rPr>
          <w:rFonts w:ascii="Arial" w:hAnsi="Arial" w:cs="Arial"/>
        </w:rPr>
        <w:t xml:space="preserve"> was selected because it provides a structured framework for implementing and sustaining change through leadership, communication and staff engagement (Kotter, 1996). The first stage involves creating a sense of urgency. The Bristol Inquiry demonstrated this urgency by identifying mortality rates that were </w:t>
      </w:r>
      <w:r w:rsidRPr="007228D8">
        <w:rPr>
          <w:rFonts w:ascii="Arial" w:hAnsi="Arial" w:cs="Arial"/>
          <w:b/>
          <w:bCs/>
        </w:rPr>
        <w:t>approximately 100% higher than the national average</w:t>
      </w:r>
      <w:r w:rsidRPr="007228D8">
        <w:rPr>
          <w:rFonts w:ascii="Arial" w:hAnsi="Arial" w:cs="Arial"/>
        </w:rPr>
        <w:t xml:space="preserve">, resulting in approximately </w:t>
      </w:r>
      <w:r w:rsidRPr="007228D8">
        <w:rPr>
          <w:rFonts w:ascii="Arial" w:hAnsi="Arial" w:cs="Arial"/>
          <w:b/>
          <w:bCs/>
        </w:rPr>
        <w:t>170 child deaths</w:t>
      </w:r>
      <w:r w:rsidRPr="007228D8">
        <w:rPr>
          <w:rFonts w:ascii="Arial" w:hAnsi="Arial" w:cs="Arial"/>
        </w:rPr>
        <w:t xml:space="preserve"> (Kennedy, 2001). These findings highlighted the immediate need for improvements in governance, leadership and organisational culture.</w:t>
      </w:r>
    </w:p>
    <w:p w14:paraId="0484914B" w14:textId="77777777" w:rsidR="00DA098A" w:rsidRPr="007228D8" w:rsidRDefault="00DA098A" w:rsidP="007228D8">
      <w:pPr>
        <w:spacing w:line="360" w:lineRule="auto"/>
        <w:rPr>
          <w:rFonts w:ascii="Arial" w:hAnsi="Arial" w:cs="Arial"/>
        </w:rPr>
      </w:pPr>
      <w:r w:rsidRPr="007228D8">
        <w:rPr>
          <w:rFonts w:ascii="Arial" w:hAnsi="Arial" w:cs="Arial"/>
        </w:rPr>
        <w:t xml:space="preserve">Kotter's model then focuses on building a guiding coalition, developing a shared vision, communicating that vision, empowering staff to act and embedding change within organisational culture. These stages directly address the leadership and communication </w:t>
      </w:r>
      <w:r w:rsidRPr="007228D8">
        <w:rPr>
          <w:rFonts w:ascii="Arial" w:hAnsi="Arial" w:cs="Arial"/>
        </w:rPr>
        <w:lastRenderedPageBreak/>
        <w:t>failures identified during the Bristol Inquiry. Involving healthcare professionals throughout the change process increases staff engagement, reduces resistance and improves the likelihood that quality improvements will be sustained.</w:t>
      </w:r>
    </w:p>
    <w:p w14:paraId="6CC6A3B7" w14:textId="5B3E5DCD" w:rsidR="00DA098A" w:rsidRPr="007228D8" w:rsidRDefault="00DA098A" w:rsidP="0020710B">
      <w:pPr>
        <w:pStyle w:val="Heading3"/>
      </w:pPr>
      <w:bookmarkStart w:id="10" w:name="_Toc235129172"/>
      <w:r w:rsidRPr="007228D8">
        <w:t xml:space="preserve">Table </w:t>
      </w:r>
      <w:r w:rsidR="00D367E3">
        <w:t>4</w:t>
      </w:r>
      <w:r w:rsidRPr="007228D8">
        <w:t>. Benchmarking: Before and After Service Improvement</w:t>
      </w:r>
      <w:bookmarkEnd w:id="10"/>
    </w:p>
    <w:p w14:paraId="6D84ED98" w14:textId="77777777" w:rsidR="002D797B" w:rsidRDefault="002D797B" w:rsidP="007228D8">
      <w:pPr>
        <w:spacing w:line="360" w:lineRule="auto"/>
        <w:rPr>
          <w:rFonts w:ascii="Arial" w:hAnsi="Arial" w:cs="Arial"/>
        </w:rPr>
      </w:pPr>
    </w:p>
    <w:tbl>
      <w:tblPr>
        <w:tblStyle w:val="TableGrid"/>
        <w:tblW w:w="9493" w:type="dxa"/>
        <w:tblLook w:val="04A0" w:firstRow="1" w:lastRow="0" w:firstColumn="1" w:lastColumn="0" w:noHBand="0" w:noVBand="1"/>
      </w:tblPr>
      <w:tblGrid>
        <w:gridCol w:w="3005"/>
        <w:gridCol w:w="2944"/>
        <w:gridCol w:w="3544"/>
      </w:tblGrid>
      <w:tr w:rsidR="002D797B" w14:paraId="5BFDF245" w14:textId="77777777" w:rsidTr="00D6608D">
        <w:tc>
          <w:tcPr>
            <w:tcW w:w="3005" w:type="dxa"/>
          </w:tcPr>
          <w:p w14:paraId="3A4306C9" w14:textId="271DC4F1" w:rsidR="002D797B" w:rsidRPr="00F05862" w:rsidRDefault="00F05862" w:rsidP="007228D8">
            <w:pPr>
              <w:spacing w:line="360" w:lineRule="auto"/>
              <w:rPr>
                <w:rFonts w:ascii="Arial" w:hAnsi="Arial" w:cs="Arial"/>
                <w:b/>
                <w:bCs/>
              </w:rPr>
            </w:pPr>
            <w:r w:rsidRPr="00F05862">
              <w:rPr>
                <w:rFonts w:ascii="Arial" w:hAnsi="Arial" w:cs="Arial"/>
                <w:b/>
                <w:bCs/>
              </w:rPr>
              <w:t>Quality Indicator</w:t>
            </w:r>
          </w:p>
        </w:tc>
        <w:tc>
          <w:tcPr>
            <w:tcW w:w="2944" w:type="dxa"/>
          </w:tcPr>
          <w:p w14:paraId="38683000" w14:textId="7CE373AA" w:rsidR="002D797B" w:rsidRPr="00F7048C" w:rsidRDefault="00F7048C" w:rsidP="007228D8">
            <w:pPr>
              <w:spacing w:line="360" w:lineRule="auto"/>
              <w:rPr>
                <w:rFonts w:ascii="Arial" w:hAnsi="Arial" w:cs="Arial"/>
                <w:b/>
                <w:bCs/>
              </w:rPr>
            </w:pPr>
            <w:r w:rsidRPr="00F7048C">
              <w:rPr>
                <w:rFonts w:ascii="Arial" w:hAnsi="Arial" w:cs="Arial"/>
                <w:b/>
                <w:bCs/>
              </w:rPr>
              <w:t>Before Improvement (Bristol Inquiry)</w:t>
            </w:r>
          </w:p>
        </w:tc>
        <w:tc>
          <w:tcPr>
            <w:tcW w:w="3544" w:type="dxa"/>
          </w:tcPr>
          <w:p w14:paraId="100647D2" w14:textId="25A6EFE7" w:rsidR="002D797B" w:rsidRPr="00D6608D" w:rsidRDefault="00D6608D" w:rsidP="007228D8">
            <w:pPr>
              <w:spacing w:line="360" w:lineRule="auto"/>
              <w:rPr>
                <w:rFonts w:ascii="Arial" w:hAnsi="Arial" w:cs="Arial"/>
                <w:b/>
                <w:bCs/>
              </w:rPr>
            </w:pPr>
            <w:r w:rsidRPr="00D6608D">
              <w:rPr>
                <w:rFonts w:ascii="Arial" w:hAnsi="Arial" w:cs="Arial"/>
                <w:b/>
                <w:bCs/>
              </w:rPr>
              <w:t>Target After Improvement</w:t>
            </w:r>
          </w:p>
        </w:tc>
      </w:tr>
      <w:tr w:rsidR="002D797B" w14:paraId="75C12692" w14:textId="77777777" w:rsidTr="00D6608D">
        <w:tc>
          <w:tcPr>
            <w:tcW w:w="3005" w:type="dxa"/>
          </w:tcPr>
          <w:p w14:paraId="384416A3" w14:textId="28F588DB" w:rsidR="002D797B" w:rsidRDefault="00A44CAE" w:rsidP="007228D8">
            <w:pPr>
              <w:spacing w:line="360" w:lineRule="auto"/>
              <w:rPr>
                <w:rFonts w:ascii="Arial" w:hAnsi="Arial" w:cs="Arial"/>
              </w:rPr>
            </w:pPr>
            <w:r w:rsidRPr="00A44CAE">
              <w:rPr>
                <w:rFonts w:ascii="Arial" w:hAnsi="Arial" w:cs="Arial"/>
              </w:rPr>
              <w:t>Clinical governance</w:t>
            </w:r>
          </w:p>
        </w:tc>
        <w:tc>
          <w:tcPr>
            <w:tcW w:w="2944" w:type="dxa"/>
          </w:tcPr>
          <w:p w14:paraId="27252F54" w14:textId="4EE22F2B" w:rsidR="002D797B" w:rsidRDefault="003C6C5B" w:rsidP="007228D8">
            <w:pPr>
              <w:spacing w:line="360" w:lineRule="auto"/>
              <w:rPr>
                <w:rFonts w:ascii="Arial" w:hAnsi="Arial" w:cs="Arial"/>
              </w:rPr>
            </w:pPr>
            <w:r w:rsidRPr="003C6C5B">
              <w:rPr>
                <w:rFonts w:ascii="Arial" w:hAnsi="Arial" w:cs="Arial"/>
              </w:rPr>
              <w:t>Inconsistent and poorly monitored</w:t>
            </w:r>
          </w:p>
        </w:tc>
        <w:tc>
          <w:tcPr>
            <w:tcW w:w="3544" w:type="dxa"/>
          </w:tcPr>
          <w:p w14:paraId="58956143" w14:textId="1049C17C" w:rsidR="002D797B" w:rsidRDefault="00AF4E86" w:rsidP="007228D8">
            <w:pPr>
              <w:spacing w:line="360" w:lineRule="auto"/>
              <w:rPr>
                <w:rFonts w:ascii="Arial" w:hAnsi="Arial" w:cs="Arial"/>
              </w:rPr>
            </w:pPr>
            <w:r w:rsidRPr="00AF4E86">
              <w:rPr>
                <w:rFonts w:ascii="Arial" w:hAnsi="Arial" w:cs="Arial"/>
              </w:rPr>
              <w:t>Fully compliant with NHS governance standards</w:t>
            </w:r>
          </w:p>
        </w:tc>
      </w:tr>
      <w:tr w:rsidR="002D797B" w14:paraId="3DE34D9A" w14:textId="77777777" w:rsidTr="00D6608D">
        <w:tc>
          <w:tcPr>
            <w:tcW w:w="3005" w:type="dxa"/>
          </w:tcPr>
          <w:p w14:paraId="0DF1AA13" w14:textId="278E9F5C" w:rsidR="002D797B" w:rsidRDefault="005825F9" w:rsidP="007228D8">
            <w:pPr>
              <w:spacing w:line="360" w:lineRule="auto"/>
              <w:rPr>
                <w:rFonts w:ascii="Arial" w:hAnsi="Arial" w:cs="Arial"/>
              </w:rPr>
            </w:pPr>
            <w:r w:rsidRPr="005825F9">
              <w:rPr>
                <w:rFonts w:ascii="Arial" w:hAnsi="Arial" w:cs="Arial"/>
              </w:rPr>
              <w:t>Mortality monitoring</w:t>
            </w:r>
          </w:p>
        </w:tc>
        <w:tc>
          <w:tcPr>
            <w:tcW w:w="2944" w:type="dxa"/>
          </w:tcPr>
          <w:p w14:paraId="0B165846" w14:textId="734373DA" w:rsidR="002D797B" w:rsidRDefault="001A1942" w:rsidP="007228D8">
            <w:pPr>
              <w:spacing w:line="360" w:lineRule="auto"/>
              <w:rPr>
                <w:rFonts w:ascii="Arial" w:hAnsi="Arial" w:cs="Arial"/>
              </w:rPr>
            </w:pPr>
            <w:r w:rsidRPr="001A1942">
              <w:rPr>
                <w:rFonts w:ascii="Arial" w:hAnsi="Arial" w:cs="Arial"/>
              </w:rPr>
              <w:t>Limited audit and delayed reporting</w:t>
            </w:r>
          </w:p>
        </w:tc>
        <w:tc>
          <w:tcPr>
            <w:tcW w:w="3544" w:type="dxa"/>
          </w:tcPr>
          <w:p w14:paraId="73451FD6" w14:textId="34EFC2B7" w:rsidR="002D797B" w:rsidRDefault="0065521A" w:rsidP="007228D8">
            <w:pPr>
              <w:spacing w:line="360" w:lineRule="auto"/>
              <w:rPr>
                <w:rFonts w:ascii="Arial" w:hAnsi="Arial" w:cs="Arial"/>
              </w:rPr>
            </w:pPr>
            <w:r w:rsidRPr="0065521A">
              <w:rPr>
                <w:rFonts w:ascii="Arial" w:hAnsi="Arial" w:cs="Arial"/>
                <w:b/>
                <w:bCs/>
              </w:rPr>
              <w:t>100% compliance</w:t>
            </w:r>
            <w:r w:rsidRPr="0065521A">
              <w:rPr>
                <w:rFonts w:ascii="Arial" w:hAnsi="Arial" w:cs="Arial"/>
              </w:rPr>
              <w:t xml:space="preserve"> with monthly mortality reviews</w:t>
            </w:r>
          </w:p>
        </w:tc>
      </w:tr>
      <w:tr w:rsidR="002D797B" w14:paraId="5F13E44F" w14:textId="77777777" w:rsidTr="00D6608D">
        <w:tc>
          <w:tcPr>
            <w:tcW w:w="3005" w:type="dxa"/>
          </w:tcPr>
          <w:p w14:paraId="5424E655" w14:textId="7331B677" w:rsidR="002D797B" w:rsidRDefault="00127232" w:rsidP="007228D8">
            <w:pPr>
              <w:spacing w:line="360" w:lineRule="auto"/>
              <w:rPr>
                <w:rFonts w:ascii="Arial" w:hAnsi="Arial" w:cs="Arial"/>
              </w:rPr>
            </w:pPr>
            <w:r w:rsidRPr="00127232">
              <w:rPr>
                <w:rFonts w:ascii="Arial" w:hAnsi="Arial" w:cs="Arial"/>
              </w:rPr>
              <w:t>Staff speaking-up culture</w:t>
            </w:r>
          </w:p>
        </w:tc>
        <w:tc>
          <w:tcPr>
            <w:tcW w:w="2944" w:type="dxa"/>
          </w:tcPr>
          <w:p w14:paraId="26A53F78" w14:textId="2C2E143B" w:rsidR="002D797B" w:rsidRDefault="008814F1" w:rsidP="007228D8">
            <w:pPr>
              <w:spacing w:line="360" w:lineRule="auto"/>
              <w:rPr>
                <w:rFonts w:ascii="Arial" w:hAnsi="Arial" w:cs="Arial"/>
              </w:rPr>
            </w:pPr>
            <w:r w:rsidRPr="008814F1">
              <w:rPr>
                <w:rFonts w:ascii="Arial" w:hAnsi="Arial" w:cs="Arial"/>
              </w:rPr>
              <w:t>Concerns frequently ignored</w:t>
            </w:r>
          </w:p>
        </w:tc>
        <w:tc>
          <w:tcPr>
            <w:tcW w:w="3544" w:type="dxa"/>
          </w:tcPr>
          <w:p w14:paraId="2C80AA59" w14:textId="278084A8" w:rsidR="002D797B" w:rsidRDefault="00020E8B" w:rsidP="007228D8">
            <w:pPr>
              <w:spacing w:line="360" w:lineRule="auto"/>
              <w:rPr>
                <w:rFonts w:ascii="Arial" w:hAnsi="Arial" w:cs="Arial"/>
              </w:rPr>
            </w:pPr>
            <w:r w:rsidRPr="00020E8B">
              <w:rPr>
                <w:rFonts w:ascii="Arial" w:hAnsi="Arial" w:cs="Arial"/>
                <w:b/>
                <w:bCs/>
              </w:rPr>
              <w:t>≥90</w:t>
            </w:r>
            <w:r w:rsidRPr="007F5DE7">
              <w:rPr>
                <w:rFonts w:ascii="Arial" w:hAnsi="Arial" w:cs="Arial"/>
                <w:b/>
                <w:bCs/>
              </w:rPr>
              <w:t>% of staff</w:t>
            </w:r>
            <w:r w:rsidRPr="00020E8B">
              <w:rPr>
                <w:rFonts w:ascii="Arial" w:hAnsi="Arial" w:cs="Arial"/>
              </w:rPr>
              <w:t xml:space="preserve"> confident to raise concerns</w:t>
            </w:r>
          </w:p>
        </w:tc>
      </w:tr>
      <w:tr w:rsidR="002D797B" w14:paraId="7751155A" w14:textId="77777777" w:rsidTr="00D6608D">
        <w:tc>
          <w:tcPr>
            <w:tcW w:w="3005" w:type="dxa"/>
          </w:tcPr>
          <w:p w14:paraId="192A8B96" w14:textId="00EADFF9" w:rsidR="002D797B" w:rsidRDefault="009F5178" w:rsidP="007228D8">
            <w:pPr>
              <w:spacing w:line="360" w:lineRule="auto"/>
              <w:rPr>
                <w:rFonts w:ascii="Arial" w:hAnsi="Arial" w:cs="Arial"/>
              </w:rPr>
            </w:pPr>
            <w:r w:rsidRPr="009F5178">
              <w:rPr>
                <w:rFonts w:ascii="Arial" w:hAnsi="Arial" w:cs="Arial"/>
              </w:rPr>
              <w:t>Clinical audit</w:t>
            </w:r>
          </w:p>
        </w:tc>
        <w:tc>
          <w:tcPr>
            <w:tcW w:w="2944" w:type="dxa"/>
          </w:tcPr>
          <w:p w14:paraId="1039A7A7" w14:textId="75516660" w:rsidR="002D797B" w:rsidRDefault="00B776BC" w:rsidP="007228D8">
            <w:pPr>
              <w:spacing w:line="360" w:lineRule="auto"/>
              <w:rPr>
                <w:rFonts w:ascii="Arial" w:hAnsi="Arial" w:cs="Arial"/>
              </w:rPr>
            </w:pPr>
            <w:r w:rsidRPr="00B776BC">
              <w:rPr>
                <w:rFonts w:ascii="Arial" w:hAnsi="Arial" w:cs="Arial"/>
              </w:rPr>
              <w:t>Irregular</w:t>
            </w:r>
          </w:p>
        </w:tc>
        <w:tc>
          <w:tcPr>
            <w:tcW w:w="3544" w:type="dxa"/>
          </w:tcPr>
          <w:p w14:paraId="0EE160F3" w14:textId="1CDFF6DE" w:rsidR="002D797B" w:rsidRDefault="00EA0DE4" w:rsidP="007228D8">
            <w:pPr>
              <w:spacing w:line="360" w:lineRule="auto"/>
              <w:rPr>
                <w:rFonts w:ascii="Arial" w:hAnsi="Arial" w:cs="Arial"/>
              </w:rPr>
            </w:pPr>
            <w:r w:rsidRPr="00EA0DE4">
              <w:rPr>
                <w:rFonts w:ascii="Arial" w:hAnsi="Arial" w:cs="Arial"/>
                <w:b/>
                <w:bCs/>
              </w:rPr>
              <w:t>100% of departments</w:t>
            </w:r>
            <w:r w:rsidRPr="00EA0DE4">
              <w:rPr>
                <w:rFonts w:ascii="Arial" w:hAnsi="Arial" w:cs="Arial"/>
              </w:rPr>
              <w:t xml:space="preserve"> complete quarterly clinical audits</w:t>
            </w:r>
          </w:p>
        </w:tc>
      </w:tr>
      <w:tr w:rsidR="002D797B" w14:paraId="665E6B42" w14:textId="77777777" w:rsidTr="00D6608D">
        <w:tc>
          <w:tcPr>
            <w:tcW w:w="3005" w:type="dxa"/>
          </w:tcPr>
          <w:p w14:paraId="7CAD1E0B" w14:textId="797D2C8B" w:rsidR="002D797B" w:rsidRDefault="00BA5175" w:rsidP="007228D8">
            <w:pPr>
              <w:spacing w:line="360" w:lineRule="auto"/>
              <w:rPr>
                <w:rFonts w:ascii="Arial" w:hAnsi="Arial" w:cs="Arial"/>
              </w:rPr>
            </w:pPr>
            <w:r w:rsidRPr="00BA5175">
              <w:rPr>
                <w:rFonts w:ascii="Arial" w:hAnsi="Arial" w:cs="Arial"/>
              </w:rPr>
              <w:t>Family communication</w:t>
            </w:r>
          </w:p>
        </w:tc>
        <w:tc>
          <w:tcPr>
            <w:tcW w:w="2944" w:type="dxa"/>
          </w:tcPr>
          <w:p w14:paraId="1866920C" w14:textId="08C81AC8" w:rsidR="002D797B" w:rsidRDefault="004D4325" w:rsidP="007228D8">
            <w:pPr>
              <w:spacing w:line="360" w:lineRule="auto"/>
              <w:rPr>
                <w:rFonts w:ascii="Arial" w:hAnsi="Arial" w:cs="Arial"/>
              </w:rPr>
            </w:pPr>
            <w:r w:rsidRPr="004D4325">
              <w:rPr>
                <w:rFonts w:ascii="Arial" w:hAnsi="Arial" w:cs="Arial"/>
              </w:rPr>
              <w:t>Inconsistent information</w:t>
            </w:r>
          </w:p>
        </w:tc>
        <w:tc>
          <w:tcPr>
            <w:tcW w:w="3544" w:type="dxa"/>
          </w:tcPr>
          <w:p w14:paraId="31FD8830" w14:textId="6DDA9D86" w:rsidR="002D797B" w:rsidRDefault="0041709B" w:rsidP="007228D8">
            <w:pPr>
              <w:spacing w:line="360" w:lineRule="auto"/>
              <w:rPr>
                <w:rFonts w:ascii="Arial" w:hAnsi="Arial" w:cs="Arial"/>
              </w:rPr>
            </w:pPr>
            <w:r w:rsidRPr="00332D50">
              <w:rPr>
                <w:rFonts w:ascii="Arial" w:hAnsi="Arial" w:cs="Arial"/>
                <w:b/>
                <w:bCs/>
              </w:rPr>
              <w:t>95% patient and family satisfaction</w:t>
            </w:r>
            <w:r w:rsidRPr="0041709B">
              <w:rPr>
                <w:rFonts w:ascii="Arial" w:hAnsi="Arial" w:cs="Arial"/>
              </w:rPr>
              <w:t xml:space="preserve"> with communication</w:t>
            </w:r>
          </w:p>
        </w:tc>
      </w:tr>
      <w:tr w:rsidR="002D797B" w14:paraId="22F7F82F" w14:textId="77777777" w:rsidTr="00D6608D">
        <w:tc>
          <w:tcPr>
            <w:tcW w:w="3005" w:type="dxa"/>
          </w:tcPr>
          <w:p w14:paraId="4F45AA4D" w14:textId="0A7350B1" w:rsidR="002D797B" w:rsidRDefault="004060B4" w:rsidP="007228D8">
            <w:pPr>
              <w:spacing w:line="360" w:lineRule="auto"/>
              <w:rPr>
                <w:rFonts w:ascii="Arial" w:hAnsi="Arial" w:cs="Arial"/>
              </w:rPr>
            </w:pPr>
            <w:r w:rsidRPr="004060B4">
              <w:rPr>
                <w:rFonts w:ascii="Arial" w:hAnsi="Arial" w:cs="Arial"/>
              </w:rPr>
              <w:t>Benchmarking</w:t>
            </w:r>
          </w:p>
        </w:tc>
        <w:tc>
          <w:tcPr>
            <w:tcW w:w="2944" w:type="dxa"/>
          </w:tcPr>
          <w:p w14:paraId="3EA33852" w14:textId="24E7A3E3" w:rsidR="002D797B" w:rsidRDefault="00141D60" w:rsidP="007228D8">
            <w:pPr>
              <w:spacing w:line="360" w:lineRule="auto"/>
              <w:rPr>
                <w:rFonts w:ascii="Arial" w:hAnsi="Arial" w:cs="Arial"/>
              </w:rPr>
            </w:pPr>
            <w:r w:rsidRPr="00141D60">
              <w:rPr>
                <w:rFonts w:ascii="Arial" w:hAnsi="Arial" w:cs="Arial"/>
              </w:rPr>
              <w:t>Limited comparison with specialist centres</w:t>
            </w:r>
          </w:p>
        </w:tc>
        <w:tc>
          <w:tcPr>
            <w:tcW w:w="3544" w:type="dxa"/>
          </w:tcPr>
          <w:p w14:paraId="16B46E4B" w14:textId="5E7BDF8B" w:rsidR="002D797B" w:rsidRDefault="001E6133" w:rsidP="007228D8">
            <w:pPr>
              <w:spacing w:line="360" w:lineRule="auto"/>
              <w:rPr>
                <w:rFonts w:ascii="Arial" w:hAnsi="Arial" w:cs="Arial"/>
              </w:rPr>
            </w:pPr>
            <w:r w:rsidRPr="001E6133">
              <w:rPr>
                <w:rFonts w:ascii="Arial" w:hAnsi="Arial" w:cs="Arial"/>
              </w:rPr>
              <w:t>Annual benchmarking against national specialist cardiac centres</w:t>
            </w:r>
          </w:p>
        </w:tc>
      </w:tr>
    </w:tbl>
    <w:p w14:paraId="69081352" w14:textId="77777777" w:rsidR="002D797B" w:rsidRDefault="002D797B" w:rsidP="007228D8">
      <w:pPr>
        <w:spacing w:line="360" w:lineRule="auto"/>
        <w:rPr>
          <w:rFonts w:ascii="Arial" w:hAnsi="Arial" w:cs="Arial"/>
        </w:rPr>
      </w:pPr>
    </w:p>
    <w:p w14:paraId="4D90BDB7" w14:textId="77777777" w:rsidR="002D797B" w:rsidRDefault="002D797B" w:rsidP="007228D8">
      <w:pPr>
        <w:spacing w:line="360" w:lineRule="auto"/>
        <w:rPr>
          <w:rFonts w:ascii="Arial" w:hAnsi="Arial" w:cs="Arial"/>
        </w:rPr>
      </w:pPr>
    </w:p>
    <w:p w14:paraId="1BA10A4E" w14:textId="590FD235" w:rsidR="008E6864" w:rsidRPr="00402AC2" w:rsidRDefault="00DA098A" w:rsidP="00402AC2">
      <w:pPr>
        <w:spacing w:line="360" w:lineRule="auto"/>
        <w:rPr>
          <w:rFonts w:ascii="Arial" w:hAnsi="Arial" w:cs="Arial"/>
        </w:rPr>
      </w:pPr>
      <w:r w:rsidRPr="007228D8">
        <w:rPr>
          <w:rFonts w:ascii="Arial" w:hAnsi="Arial" w:cs="Arial"/>
        </w:rPr>
        <w:t xml:space="preserve">Table </w:t>
      </w:r>
      <w:r w:rsidR="008E6864">
        <w:rPr>
          <w:rFonts w:ascii="Arial" w:hAnsi="Arial" w:cs="Arial"/>
        </w:rPr>
        <w:t>4</w:t>
      </w:r>
      <w:r w:rsidRPr="007228D8">
        <w:rPr>
          <w:rFonts w:ascii="Arial" w:hAnsi="Arial" w:cs="Arial"/>
        </w:rPr>
        <w:t xml:space="preserve"> demonstrates how benchmarking can be used to measure the success of service improvement. The proposed targets, including </w:t>
      </w:r>
      <w:r w:rsidRPr="007228D8">
        <w:rPr>
          <w:rFonts w:ascii="Arial" w:hAnsi="Arial" w:cs="Arial"/>
          <w:b/>
          <w:bCs/>
        </w:rPr>
        <w:t>100% compliance</w:t>
      </w:r>
      <w:r w:rsidRPr="007228D8">
        <w:rPr>
          <w:rFonts w:ascii="Arial" w:hAnsi="Arial" w:cs="Arial"/>
        </w:rPr>
        <w:t xml:space="preserve"> with mortality reviews, </w:t>
      </w:r>
      <w:r w:rsidRPr="007228D8">
        <w:rPr>
          <w:rFonts w:ascii="Arial" w:hAnsi="Arial" w:cs="Arial"/>
          <w:b/>
          <w:bCs/>
        </w:rPr>
        <w:t>100% completion</w:t>
      </w:r>
      <w:r w:rsidRPr="007228D8">
        <w:rPr>
          <w:rFonts w:ascii="Arial" w:hAnsi="Arial" w:cs="Arial"/>
        </w:rPr>
        <w:t xml:space="preserve"> of quarterly clinical audits, </w:t>
      </w:r>
      <w:r w:rsidRPr="007228D8">
        <w:rPr>
          <w:rFonts w:ascii="Arial" w:hAnsi="Arial" w:cs="Arial"/>
          <w:b/>
          <w:bCs/>
        </w:rPr>
        <w:t>95% patient satisfaction</w:t>
      </w:r>
      <w:r w:rsidRPr="007228D8">
        <w:rPr>
          <w:rFonts w:ascii="Arial" w:hAnsi="Arial" w:cs="Arial"/>
        </w:rPr>
        <w:t xml:space="preserve"> and </w:t>
      </w:r>
      <w:r w:rsidRPr="007228D8">
        <w:rPr>
          <w:rFonts w:ascii="Arial" w:hAnsi="Arial" w:cs="Arial"/>
          <w:b/>
          <w:bCs/>
        </w:rPr>
        <w:t>90% staff confidence</w:t>
      </w:r>
      <w:r w:rsidRPr="007228D8">
        <w:rPr>
          <w:rFonts w:ascii="Arial" w:hAnsi="Arial" w:cs="Arial"/>
        </w:rPr>
        <w:t xml:space="preserve"> in raising concerns, provide measurable indicators of improvement. Regular benchmarking enables organisations to compare their performance with national standards, identify areas requiring further development and ensure continuous quality improvement. Compared with </w:t>
      </w:r>
      <w:r w:rsidRPr="007228D8">
        <w:rPr>
          <w:rFonts w:ascii="Arial" w:hAnsi="Arial" w:cs="Arial"/>
          <w:b/>
          <w:bCs/>
        </w:rPr>
        <w:t>Lewin's Three-Step Change Model</w:t>
      </w:r>
      <w:r w:rsidRPr="007228D8">
        <w:rPr>
          <w:rFonts w:ascii="Arial" w:hAnsi="Arial" w:cs="Arial"/>
        </w:rPr>
        <w:t>, which provides a simpler approach to organisational change (Lewin, 1951), Kotter's model offers a more detailed framework that is better suited to large NHS organisations where sustaining long-term cultural change is essential. Together, the PDSA Cycle, Kotter's Change Model and benchmarking provide a comprehensive strategy for improving patient safety, strengthening governance and preventing similar failures from occurring in the future.</w:t>
      </w:r>
    </w:p>
    <w:p w14:paraId="4BAE59A3" w14:textId="0C151B05" w:rsidR="00DA098A" w:rsidRDefault="00DA098A" w:rsidP="0020710B">
      <w:pPr>
        <w:pStyle w:val="Heading1"/>
      </w:pPr>
      <w:bookmarkStart w:id="11" w:name="_Toc235129173"/>
      <w:r w:rsidRPr="007228D8">
        <w:lastRenderedPageBreak/>
        <w:t>Recommendations</w:t>
      </w:r>
      <w:bookmarkEnd w:id="11"/>
    </w:p>
    <w:p w14:paraId="6D5968C6" w14:textId="77777777" w:rsidR="0020710B" w:rsidRPr="0020710B" w:rsidRDefault="0020710B" w:rsidP="0020710B"/>
    <w:p w14:paraId="7AB19336" w14:textId="77777777" w:rsidR="00DA098A" w:rsidRPr="007228D8" w:rsidRDefault="00DA098A" w:rsidP="007228D8">
      <w:pPr>
        <w:spacing w:line="360" w:lineRule="auto"/>
        <w:rPr>
          <w:rFonts w:ascii="Arial" w:hAnsi="Arial" w:cs="Arial"/>
        </w:rPr>
      </w:pPr>
      <w:r w:rsidRPr="007228D8">
        <w:rPr>
          <w:rFonts w:ascii="Arial" w:hAnsi="Arial" w:cs="Arial"/>
        </w:rPr>
        <w:t>The findings of this report demonstrate that the quality failures at Bristol Royal Infirmary resulted from weaknesses in clinical governance, leadership, communication and organisational culture rather than isolated clinical errors (Kennedy, 2001). To reduce the likelihood of similar failures, healthcare organisations should implement evidence-based quality improvement strategies that strengthen governance, improve leadership and promote continuous learning. These recommendations align with patient safety priorities identified by NHS England (2023), the Care Quality Commission (2024) and the World Health Organization (2021).</w:t>
      </w:r>
    </w:p>
    <w:p w14:paraId="09696606" w14:textId="77777777" w:rsidR="00DA098A" w:rsidRPr="007228D8" w:rsidRDefault="00DA098A" w:rsidP="007228D8">
      <w:pPr>
        <w:spacing w:line="360" w:lineRule="auto"/>
        <w:rPr>
          <w:rFonts w:ascii="Arial" w:hAnsi="Arial" w:cs="Arial"/>
        </w:rPr>
      </w:pPr>
      <w:r w:rsidRPr="007228D8">
        <w:rPr>
          <w:rFonts w:ascii="Arial" w:hAnsi="Arial" w:cs="Arial"/>
        </w:rPr>
        <w:t xml:space="preserve">The first recommendation is to strengthen </w:t>
      </w:r>
      <w:r w:rsidRPr="007228D8">
        <w:rPr>
          <w:rFonts w:ascii="Arial" w:hAnsi="Arial" w:cs="Arial"/>
          <w:b/>
          <w:bCs/>
        </w:rPr>
        <w:t>clinical governance</w:t>
      </w:r>
      <w:r w:rsidRPr="007228D8">
        <w:rPr>
          <w:rFonts w:ascii="Arial" w:hAnsi="Arial" w:cs="Arial"/>
        </w:rPr>
        <w:t xml:space="preserve"> through regular multidisciplinary mortality and morbidity meetings, clinical audits and benchmarking. The Bristol Inquiry found that mortality rates for some paediatric cardiac procedures were </w:t>
      </w:r>
      <w:r w:rsidRPr="007228D8">
        <w:rPr>
          <w:rFonts w:ascii="Arial" w:hAnsi="Arial" w:cs="Arial"/>
          <w:b/>
          <w:bCs/>
        </w:rPr>
        <w:t>approximately 100% higher than the national average</w:t>
      </w:r>
      <w:r w:rsidRPr="007228D8">
        <w:rPr>
          <w:rFonts w:ascii="Arial" w:hAnsi="Arial" w:cs="Arial"/>
        </w:rPr>
        <w:t>, demonstrating that poor governance and inadequate monitoring allowed unsafe practice to continue (Kennedy, 2001). Quarterly clinical audits and routine benchmarking against national standards would enable organisations to identify variations in care, improve accountability and implement corrective actions before patient safety is compromised.</w:t>
      </w:r>
    </w:p>
    <w:p w14:paraId="2B7B9AC5" w14:textId="77777777" w:rsidR="00DA098A" w:rsidRPr="007228D8" w:rsidRDefault="00DA098A" w:rsidP="007228D8">
      <w:pPr>
        <w:spacing w:line="360" w:lineRule="auto"/>
        <w:rPr>
          <w:rFonts w:ascii="Arial" w:hAnsi="Arial" w:cs="Arial"/>
        </w:rPr>
      </w:pPr>
      <w:r w:rsidRPr="007228D8">
        <w:rPr>
          <w:rFonts w:ascii="Arial" w:hAnsi="Arial" w:cs="Arial"/>
        </w:rPr>
        <w:t xml:space="preserve">The second recommendation is to develop </w:t>
      </w:r>
      <w:r w:rsidRPr="007228D8">
        <w:rPr>
          <w:rFonts w:ascii="Arial" w:hAnsi="Arial" w:cs="Arial"/>
          <w:b/>
          <w:bCs/>
        </w:rPr>
        <w:t>compassionate leadership</w:t>
      </w:r>
      <w:r w:rsidRPr="007228D8">
        <w:rPr>
          <w:rFonts w:ascii="Arial" w:hAnsi="Arial" w:cs="Arial"/>
        </w:rPr>
        <w:t xml:space="preserve"> by providing mandatory leadership training for senior clinicians and managers. Training should focus on patient safety, communication, ethical decision-making and collaborative working. The Bristol Inquiry demonstrated that ineffective leadership delayed responses to concerns and contributed to poor organisational performance (Kennedy, 2001). Kotter (1996) highlights that successful organisational change requires leaders to create a shared vision and engage staff throughout the improvement process. Strong leadership also encourages a positive organisational culture where patient safety remains a priority.</w:t>
      </w:r>
    </w:p>
    <w:p w14:paraId="3FED3FF3" w14:textId="77777777" w:rsidR="00DA098A" w:rsidRPr="007228D8" w:rsidRDefault="00DA098A" w:rsidP="007228D8">
      <w:pPr>
        <w:spacing w:line="360" w:lineRule="auto"/>
        <w:rPr>
          <w:rFonts w:ascii="Arial" w:hAnsi="Arial" w:cs="Arial"/>
        </w:rPr>
      </w:pPr>
      <w:r w:rsidRPr="007228D8">
        <w:rPr>
          <w:rFonts w:ascii="Arial" w:hAnsi="Arial" w:cs="Arial"/>
        </w:rPr>
        <w:t xml:space="preserve">A third recommendation is to improve </w:t>
      </w:r>
      <w:r w:rsidRPr="007228D8">
        <w:rPr>
          <w:rFonts w:ascii="Arial" w:hAnsi="Arial" w:cs="Arial"/>
          <w:b/>
          <w:bCs/>
        </w:rPr>
        <w:t>communication and the speaking-up culture</w:t>
      </w:r>
      <w:r w:rsidRPr="007228D8">
        <w:rPr>
          <w:rFonts w:ascii="Arial" w:hAnsi="Arial" w:cs="Arial"/>
        </w:rPr>
        <w:t xml:space="preserve"> within healthcare organisations. Staff should be encouraged to report concerns without fear of blame through transparent incident reporting systems. The Bristol Inquiry showed that clinicians recognised problems but felt unable to challenge unsafe practice because of hierarchical barriers (Kennedy, 2001). Organisations should aim for </w:t>
      </w:r>
      <w:r w:rsidRPr="007228D8">
        <w:rPr>
          <w:rFonts w:ascii="Arial" w:hAnsi="Arial" w:cs="Arial"/>
          <w:b/>
          <w:bCs/>
        </w:rPr>
        <w:t>at least 90% of staff</w:t>
      </w:r>
      <w:r w:rsidRPr="007228D8">
        <w:rPr>
          <w:rFonts w:ascii="Arial" w:hAnsi="Arial" w:cs="Arial"/>
        </w:rPr>
        <w:t xml:space="preserve"> to feel confident raising concerns through regular staff surveys. Developing a just culture supports organisational learning and reduces the risk of preventable harm (World Health Organization, 2021).</w:t>
      </w:r>
    </w:p>
    <w:p w14:paraId="1125BF34" w14:textId="22245AD6" w:rsidR="008E6864" w:rsidRPr="00402AC2" w:rsidRDefault="00DA098A" w:rsidP="007228D8">
      <w:pPr>
        <w:spacing w:line="360" w:lineRule="auto"/>
        <w:rPr>
          <w:rFonts w:ascii="Arial" w:hAnsi="Arial" w:cs="Arial"/>
        </w:rPr>
      </w:pPr>
      <w:r w:rsidRPr="007228D8">
        <w:rPr>
          <w:rFonts w:ascii="Arial" w:hAnsi="Arial" w:cs="Arial"/>
        </w:rPr>
        <w:lastRenderedPageBreak/>
        <w:t xml:space="preserve">Finally, healthcare organisations should implement these improvements using the </w:t>
      </w:r>
      <w:r w:rsidRPr="007228D8">
        <w:rPr>
          <w:rFonts w:ascii="Arial" w:hAnsi="Arial" w:cs="Arial"/>
          <w:b/>
          <w:bCs/>
        </w:rPr>
        <w:t>Plan-Do-Study-Act (PDSA) Cycle</w:t>
      </w:r>
      <w:r w:rsidRPr="007228D8">
        <w:rPr>
          <w:rFonts w:ascii="Arial" w:hAnsi="Arial" w:cs="Arial"/>
        </w:rPr>
        <w:t xml:space="preserve"> (Langley et al., 2009). Changes should first be tested within individual departments before wider implementation. Progress should be monitored using measurable </w:t>
      </w:r>
      <w:r w:rsidRPr="007228D8">
        <w:rPr>
          <w:rFonts w:ascii="Arial" w:hAnsi="Arial" w:cs="Arial"/>
          <w:b/>
          <w:bCs/>
        </w:rPr>
        <w:t>Key Performance Indicators (KPIs)</w:t>
      </w:r>
      <w:r w:rsidRPr="007228D8">
        <w:rPr>
          <w:rFonts w:ascii="Arial" w:hAnsi="Arial" w:cs="Arial"/>
        </w:rPr>
        <w:t xml:space="preserve">, including </w:t>
      </w:r>
      <w:r w:rsidRPr="007228D8">
        <w:rPr>
          <w:rFonts w:ascii="Arial" w:hAnsi="Arial" w:cs="Arial"/>
          <w:b/>
          <w:bCs/>
        </w:rPr>
        <w:t>100% completion of quarterly clinical audits</w:t>
      </w:r>
      <w:r w:rsidRPr="007228D8">
        <w:rPr>
          <w:rFonts w:ascii="Arial" w:hAnsi="Arial" w:cs="Arial"/>
        </w:rPr>
        <w:t xml:space="preserve">, </w:t>
      </w:r>
      <w:r w:rsidRPr="007228D8">
        <w:rPr>
          <w:rFonts w:ascii="Arial" w:hAnsi="Arial" w:cs="Arial"/>
          <w:b/>
          <w:bCs/>
        </w:rPr>
        <w:t>100% compliance with mortality reviews</w:t>
      </w:r>
      <w:r w:rsidRPr="007228D8">
        <w:rPr>
          <w:rFonts w:ascii="Arial" w:hAnsi="Arial" w:cs="Arial"/>
        </w:rPr>
        <w:t xml:space="preserve">, </w:t>
      </w:r>
      <w:r w:rsidRPr="007228D8">
        <w:rPr>
          <w:rFonts w:ascii="Arial" w:hAnsi="Arial" w:cs="Arial"/>
          <w:b/>
          <w:bCs/>
        </w:rPr>
        <w:t>95% completion of mandatory patient safety training</w:t>
      </w:r>
      <w:r w:rsidRPr="007228D8">
        <w:rPr>
          <w:rFonts w:ascii="Arial" w:hAnsi="Arial" w:cs="Arial"/>
        </w:rPr>
        <w:t xml:space="preserve">, and </w:t>
      </w:r>
      <w:r w:rsidRPr="007228D8">
        <w:rPr>
          <w:rFonts w:ascii="Arial" w:hAnsi="Arial" w:cs="Arial"/>
          <w:b/>
          <w:bCs/>
        </w:rPr>
        <w:t>95% patient satisfaction</w:t>
      </w:r>
      <w:r w:rsidRPr="007228D8">
        <w:rPr>
          <w:rFonts w:ascii="Arial" w:hAnsi="Arial" w:cs="Arial"/>
        </w:rPr>
        <w:t xml:space="preserve"> with communication. These indicators provide objective evidence of whether service improvements are achieving their intended outcomes and support continuous quality improvement.</w:t>
      </w:r>
    </w:p>
    <w:p w14:paraId="22C4DF02" w14:textId="3F0A81E3" w:rsidR="00DA098A" w:rsidRDefault="00DA098A" w:rsidP="0020710B">
      <w:pPr>
        <w:pStyle w:val="Heading1"/>
      </w:pPr>
      <w:bookmarkStart w:id="12" w:name="_Toc235129174"/>
      <w:r w:rsidRPr="007228D8">
        <w:t>Conclusion</w:t>
      </w:r>
      <w:bookmarkEnd w:id="12"/>
    </w:p>
    <w:p w14:paraId="1C17D8BF" w14:textId="77777777" w:rsidR="0020710B" w:rsidRPr="0020710B" w:rsidRDefault="0020710B" w:rsidP="0020710B"/>
    <w:p w14:paraId="75AC1362" w14:textId="77777777" w:rsidR="00DA098A" w:rsidRPr="007228D8" w:rsidRDefault="00DA098A" w:rsidP="007228D8">
      <w:pPr>
        <w:spacing w:line="360" w:lineRule="auto"/>
        <w:rPr>
          <w:rFonts w:ascii="Arial" w:hAnsi="Arial" w:cs="Arial"/>
        </w:rPr>
      </w:pPr>
      <w:r w:rsidRPr="007228D8">
        <w:rPr>
          <w:rFonts w:ascii="Arial" w:hAnsi="Arial" w:cs="Arial"/>
        </w:rPr>
        <w:t xml:space="preserve">The Bristol Royal Infirmary Inquiry remains one of the most significant patient safety failures in NHS history and continues to influence quality improvement across health and social care. The inquiry demonstrated that avoidable harm resulted from weaknesses in organisational systems, including poor leadership, ineffective communication and inadequate clinical governance, rather than isolated clinical errors (Kennedy, 2001). Mortality rates for some paediatric cardiac procedures were </w:t>
      </w:r>
      <w:r w:rsidRPr="007228D8">
        <w:rPr>
          <w:rFonts w:ascii="Arial" w:hAnsi="Arial" w:cs="Arial"/>
          <w:b/>
          <w:bCs/>
        </w:rPr>
        <w:t>approximately 100% higher than the national average</w:t>
      </w:r>
      <w:r w:rsidRPr="007228D8">
        <w:rPr>
          <w:rFonts w:ascii="Arial" w:hAnsi="Arial" w:cs="Arial"/>
        </w:rPr>
        <w:t xml:space="preserve">, resulting in the deaths of around </w:t>
      </w:r>
      <w:r w:rsidRPr="007228D8">
        <w:rPr>
          <w:rFonts w:ascii="Arial" w:hAnsi="Arial" w:cs="Arial"/>
          <w:b/>
          <w:bCs/>
        </w:rPr>
        <w:t>170 children</w:t>
      </w:r>
      <w:r w:rsidRPr="007228D8">
        <w:rPr>
          <w:rFonts w:ascii="Arial" w:hAnsi="Arial" w:cs="Arial"/>
        </w:rPr>
        <w:t>, highlighting the consequences of ineffective governance and monitoring.</w:t>
      </w:r>
    </w:p>
    <w:p w14:paraId="657097A0" w14:textId="77777777" w:rsidR="00DA098A" w:rsidRPr="007228D8" w:rsidRDefault="00DA098A" w:rsidP="007228D8">
      <w:pPr>
        <w:spacing w:line="360" w:lineRule="auto"/>
        <w:rPr>
          <w:rFonts w:ascii="Arial" w:hAnsi="Arial" w:cs="Arial"/>
        </w:rPr>
      </w:pPr>
      <w:r w:rsidRPr="007228D8">
        <w:rPr>
          <w:rFonts w:ascii="Arial" w:hAnsi="Arial" w:cs="Arial"/>
        </w:rPr>
        <w:t xml:space="preserve">This report applied the </w:t>
      </w:r>
      <w:r w:rsidRPr="007228D8">
        <w:rPr>
          <w:rFonts w:ascii="Arial" w:hAnsi="Arial" w:cs="Arial"/>
          <w:b/>
          <w:bCs/>
        </w:rPr>
        <w:t>Donabedian Model</w:t>
      </w:r>
      <w:r w:rsidRPr="007228D8">
        <w:rPr>
          <w:rFonts w:ascii="Arial" w:hAnsi="Arial" w:cs="Arial"/>
        </w:rPr>
        <w:t xml:space="preserve">, </w:t>
      </w:r>
      <w:r w:rsidRPr="007228D8">
        <w:rPr>
          <w:rFonts w:ascii="Arial" w:hAnsi="Arial" w:cs="Arial"/>
          <w:b/>
          <w:bCs/>
        </w:rPr>
        <w:t>Fishbone Diagram</w:t>
      </w:r>
      <w:r w:rsidRPr="007228D8">
        <w:rPr>
          <w:rFonts w:ascii="Arial" w:hAnsi="Arial" w:cs="Arial"/>
        </w:rPr>
        <w:t xml:space="preserve">, </w:t>
      </w:r>
      <w:r w:rsidRPr="007228D8">
        <w:rPr>
          <w:rFonts w:ascii="Arial" w:hAnsi="Arial" w:cs="Arial"/>
          <w:b/>
          <w:bCs/>
        </w:rPr>
        <w:t>5 Whys</w:t>
      </w:r>
      <w:r w:rsidRPr="007228D8">
        <w:rPr>
          <w:rFonts w:ascii="Arial" w:hAnsi="Arial" w:cs="Arial"/>
        </w:rPr>
        <w:t xml:space="preserve">, </w:t>
      </w:r>
      <w:r w:rsidRPr="007228D8">
        <w:rPr>
          <w:rFonts w:ascii="Arial" w:hAnsi="Arial" w:cs="Arial"/>
          <w:b/>
          <w:bCs/>
        </w:rPr>
        <w:t>SWOT analysis</w:t>
      </w:r>
      <w:r w:rsidRPr="007228D8">
        <w:rPr>
          <w:rFonts w:ascii="Arial" w:hAnsi="Arial" w:cs="Arial"/>
        </w:rPr>
        <w:t xml:space="preserve">, </w:t>
      </w:r>
      <w:r w:rsidRPr="007228D8">
        <w:rPr>
          <w:rFonts w:ascii="Arial" w:hAnsi="Arial" w:cs="Arial"/>
          <w:b/>
          <w:bCs/>
        </w:rPr>
        <w:t>PDSA Cycle</w:t>
      </w:r>
      <w:r w:rsidRPr="007228D8">
        <w:rPr>
          <w:rFonts w:ascii="Arial" w:hAnsi="Arial" w:cs="Arial"/>
        </w:rPr>
        <w:t xml:space="preserve"> and </w:t>
      </w:r>
      <w:r w:rsidRPr="007228D8">
        <w:rPr>
          <w:rFonts w:ascii="Arial" w:hAnsi="Arial" w:cs="Arial"/>
          <w:b/>
          <w:bCs/>
        </w:rPr>
        <w:t>Kotter's Eight-Step Change Model</w:t>
      </w:r>
      <w:r w:rsidRPr="007228D8">
        <w:rPr>
          <w:rFonts w:ascii="Arial" w:hAnsi="Arial" w:cs="Arial"/>
        </w:rPr>
        <w:t xml:space="preserve"> to analyse the Bristol case and identify evidence-based strategies for service improvement. These frameworks demonstrated that sustainable quality improvement requires effective leadership, continuous monitoring, staff engagement and a culture that promotes openness and learning.</w:t>
      </w:r>
    </w:p>
    <w:p w14:paraId="2B75CD3D" w14:textId="77777777" w:rsidR="00DA098A" w:rsidRPr="007228D8" w:rsidRDefault="00DA098A" w:rsidP="007228D8">
      <w:pPr>
        <w:spacing w:line="360" w:lineRule="auto"/>
        <w:rPr>
          <w:rFonts w:ascii="Arial" w:hAnsi="Arial" w:cs="Arial"/>
        </w:rPr>
      </w:pPr>
      <w:r w:rsidRPr="007228D8">
        <w:rPr>
          <w:rFonts w:ascii="Arial" w:hAnsi="Arial" w:cs="Arial"/>
        </w:rPr>
        <w:t xml:space="preserve">Furthermore, the World Health Organization (2021) estimates that </w:t>
      </w:r>
      <w:r w:rsidRPr="007228D8">
        <w:rPr>
          <w:rFonts w:ascii="Arial" w:hAnsi="Arial" w:cs="Arial"/>
          <w:b/>
          <w:bCs/>
        </w:rPr>
        <w:t>10% of hospital patients worldwide experience preventable harm</w:t>
      </w:r>
      <w:r w:rsidRPr="007228D8">
        <w:rPr>
          <w:rFonts w:ascii="Arial" w:hAnsi="Arial" w:cs="Arial"/>
        </w:rPr>
        <w:t xml:space="preserve">, while NHS England (2023) records </w:t>
      </w:r>
      <w:r w:rsidRPr="007228D8">
        <w:rPr>
          <w:rFonts w:ascii="Arial" w:hAnsi="Arial" w:cs="Arial"/>
          <w:b/>
          <w:bCs/>
        </w:rPr>
        <w:t>over two million patient safety incidents annually</w:t>
      </w:r>
      <w:r w:rsidRPr="007228D8">
        <w:rPr>
          <w:rFonts w:ascii="Arial" w:hAnsi="Arial" w:cs="Arial"/>
        </w:rPr>
        <w:t>. These statistics demonstrate that patient safety remains a significant challenge, reinforcing the need for continuous quality improvement. By strengthening governance, improving communication and implementing evidence-based improvement strategies, healthcare organisations can reduce preventable harm, improve patient outcomes and maintain public confidence in NHS services.</w:t>
      </w:r>
    </w:p>
    <w:p w14:paraId="06C900B6" w14:textId="77777777" w:rsidR="008E6864" w:rsidRDefault="008E6864" w:rsidP="008223CC">
      <w:pPr>
        <w:spacing w:line="360" w:lineRule="auto"/>
        <w:rPr>
          <w:b/>
          <w:bCs/>
          <w:sz w:val="32"/>
          <w:szCs w:val="32"/>
        </w:rPr>
      </w:pPr>
    </w:p>
    <w:p w14:paraId="70420A19" w14:textId="671DD2C3" w:rsidR="00EA351E" w:rsidRPr="00F57E03" w:rsidRDefault="00EA351E" w:rsidP="0020710B">
      <w:pPr>
        <w:pStyle w:val="Heading1"/>
      </w:pPr>
      <w:bookmarkStart w:id="13" w:name="_Toc235129175"/>
      <w:r w:rsidRPr="00F57E03">
        <w:lastRenderedPageBreak/>
        <w:t>Reference List</w:t>
      </w:r>
      <w:bookmarkEnd w:id="13"/>
    </w:p>
    <w:p w14:paraId="308A5D8A" w14:textId="77777777" w:rsidR="00EA351E" w:rsidRPr="00EA351E" w:rsidRDefault="00EA351E" w:rsidP="008223CC">
      <w:pPr>
        <w:pStyle w:val="ListParagraph"/>
        <w:numPr>
          <w:ilvl w:val="0"/>
          <w:numId w:val="5"/>
        </w:numPr>
        <w:spacing w:line="360" w:lineRule="auto"/>
      </w:pPr>
      <w:r w:rsidRPr="00EA351E">
        <w:t xml:space="preserve">Antony, J. (2014) 'Readiness factors for the Lean Six Sigma journey in the higher education sector', </w:t>
      </w:r>
      <w:r w:rsidRPr="001A5D1B">
        <w:rPr>
          <w:i/>
          <w:iCs/>
        </w:rPr>
        <w:t>International Journal of Productivity and Performance Management</w:t>
      </w:r>
      <w:r w:rsidRPr="00EA351E">
        <w:t>, 63(2), pp. 257–264.</w:t>
      </w:r>
    </w:p>
    <w:p w14:paraId="473345BC" w14:textId="77777777" w:rsidR="00EA351E" w:rsidRPr="00EA351E" w:rsidRDefault="00EA351E" w:rsidP="008223CC">
      <w:pPr>
        <w:pStyle w:val="ListParagraph"/>
        <w:numPr>
          <w:ilvl w:val="0"/>
          <w:numId w:val="5"/>
        </w:numPr>
        <w:spacing w:line="360" w:lineRule="auto"/>
      </w:pPr>
      <w:r w:rsidRPr="00EA351E">
        <w:t xml:space="preserve">Berwick, D.M. (1989) 'Continuous improvement as an ideal in health care', </w:t>
      </w:r>
      <w:r w:rsidRPr="001A5D1B">
        <w:rPr>
          <w:i/>
          <w:iCs/>
        </w:rPr>
        <w:t>New England Journal of Medicine</w:t>
      </w:r>
      <w:r w:rsidRPr="00EA351E">
        <w:t>, 320(1), pp. 53–56.</w:t>
      </w:r>
    </w:p>
    <w:p w14:paraId="15070588" w14:textId="77777777" w:rsidR="00EA351E" w:rsidRPr="00EA351E" w:rsidRDefault="00EA351E" w:rsidP="008223CC">
      <w:pPr>
        <w:pStyle w:val="ListParagraph"/>
        <w:numPr>
          <w:ilvl w:val="0"/>
          <w:numId w:val="5"/>
        </w:numPr>
        <w:spacing w:line="360" w:lineRule="auto"/>
      </w:pPr>
      <w:r w:rsidRPr="00EA351E">
        <w:t xml:space="preserve">Berwick, D.M. (1996) 'A primer on leading the improvement of systems', </w:t>
      </w:r>
      <w:r w:rsidRPr="001A5D1B">
        <w:rPr>
          <w:i/>
          <w:iCs/>
        </w:rPr>
        <w:t>BMJ</w:t>
      </w:r>
      <w:r w:rsidRPr="00EA351E">
        <w:t>, 312(7031), pp. 619–622.</w:t>
      </w:r>
    </w:p>
    <w:p w14:paraId="496BE9C7" w14:textId="77777777" w:rsidR="00EA351E" w:rsidRPr="00EA351E" w:rsidRDefault="00EA351E" w:rsidP="008223CC">
      <w:pPr>
        <w:pStyle w:val="ListParagraph"/>
        <w:numPr>
          <w:ilvl w:val="0"/>
          <w:numId w:val="5"/>
        </w:numPr>
        <w:spacing w:line="360" w:lineRule="auto"/>
      </w:pPr>
      <w:r w:rsidRPr="00EA351E">
        <w:t xml:space="preserve">Braithwaite, J., Westbrook, M.T., Travaglia, J.F. and Hughes, C. (2006) 'Cultural and associated enablers of, and barriers to, adverse incident reporting', </w:t>
      </w:r>
      <w:r w:rsidRPr="001A5D1B">
        <w:rPr>
          <w:i/>
          <w:iCs/>
        </w:rPr>
        <w:t>Quality and Safety in Health Care</w:t>
      </w:r>
      <w:r w:rsidRPr="00EA351E">
        <w:t>, 15(1), pp. 15–22.</w:t>
      </w:r>
    </w:p>
    <w:p w14:paraId="4BF45A0C" w14:textId="77777777" w:rsidR="00EA351E" w:rsidRPr="00EA351E" w:rsidRDefault="00EA351E" w:rsidP="008223CC">
      <w:pPr>
        <w:pStyle w:val="ListParagraph"/>
        <w:numPr>
          <w:ilvl w:val="0"/>
          <w:numId w:val="5"/>
        </w:numPr>
        <w:spacing w:line="360" w:lineRule="auto"/>
      </w:pPr>
      <w:r w:rsidRPr="00EA351E">
        <w:t xml:space="preserve">Care Quality Commission (2024) </w:t>
      </w:r>
      <w:r w:rsidRPr="001A5D1B">
        <w:rPr>
          <w:i/>
          <w:iCs/>
        </w:rPr>
        <w:t>The state of health care and adult social care in England 2023/24</w:t>
      </w:r>
      <w:r w:rsidRPr="00EA351E">
        <w:t>. London: CQC.</w:t>
      </w:r>
    </w:p>
    <w:p w14:paraId="782F67A1" w14:textId="5B5B11B8" w:rsidR="00EA351E" w:rsidRPr="00EA351E" w:rsidRDefault="00EA351E" w:rsidP="008223CC">
      <w:pPr>
        <w:pStyle w:val="ListParagraph"/>
        <w:numPr>
          <w:ilvl w:val="0"/>
          <w:numId w:val="5"/>
        </w:numPr>
        <w:spacing w:line="360" w:lineRule="auto"/>
      </w:pPr>
      <w:r w:rsidRPr="00EA351E">
        <w:t xml:space="preserve">Department of Health (1998) </w:t>
      </w:r>
      <w:r w:rsidRPr="001A5D1B">
        <w:rPr>
          <w:i/>
          <w:iCs/>
        </w:rPr>
        <w:t xml:space="preserve">A </w:t>
      </w:r>
      <w:r w:rsidR="001A5D1B" w:rsidRPr="001A5D1B">
        <w:rPr>
          <w:i/>
          <w:iCs/>
        </w:rPr>
        <w:t>First-Class</w:t>
      </w:r>
      <w:r w:rsidRPr="001A5D1B">
        <w:rPr>
          <w:i/>
          <w:iCs/>
        </w:rPr>
        <w:t xml:space="preserve"> Service: Quality in the New NHS</w:t>
      </w:r>
      <w:r w:rsidRPr="00EA351E">
        <w:t>. London: The Stationery Office.</w:t>
      </w:r>
    </w:p>
    <w:p w14:paraId="4DA7938F" w14:textId="77777777" w:rsidR="00EA351E" w:rsidRPr="00EA351E" w:rsidRDefault="00EA351E" w:rsidP="008223CC">
      <w:pPr>
        <w:pStyle w:val="ListParagraph"/>
        <w:numPr>
          <w:ilvl w:val="0"/>
          <w:numId w:val="5"/>
        </w:numPr>
        <w:spacing w:line="360" w:lineRule="auto"/>
      </w:pPr>
      <w:r w:rsidRPr="00EA351E">
        <w:t xml:space="preserve">Department of Health (2000) </w:t>
      </w:r>
      <w:r w:rsidRPr="001A5D1B">
        <w:rPr>
          <w:i/>
          <w:iCs/>
        </w:rPr>
        <w:t>An Organisation with a Memory</w:t>
      </w:r>
      <w:r w:rsidRPr="00EA351E">
        <w:t>. London: The Stationery Office.</w:t>
      </w:r>
    </w:p>
    <w:p w14:paraId="30D4A965" w14:textId="77777777" w:rsidR="00EA351E" w:rsidRPr="00EA351E" w:rsidRDefault="00EA351E" w:rsidP="008223CC">
      <w:pPr>
        <w:pStyle w:val="ListParagraph"/>
        <w:numPr>
          <w:ilvl w:val="0"/>
          <w:numId w:val="5"/>
        </w:numPr>
        <w:spacing w:line="360" w:lineRule="auto"/>
      </w:pPr>
      <w:r w:rsidRPr="00EA351E">
        <w:t xml:space="preserve">Department of Health (2001) </w:t>
      </w:r>
      <w:r w:rsidRPr="001A5D1B">
        <w:rPr>
          <w:i/>
          <w:iCs/>
        </w:rPr>
        <w:t>Building a Safer NHS for Patients</w:t>
      </w:r>
      <w:r w:rsidRPr="00EA351E">
        <w:t>. London: The Stationery Office.</w:t>
      </w:r>
    </w:p>
    <w:p w14:paraId="6973565D" w14:textId="77777777" w:rsidR="00EA351E" w:rsidRPr="00EA351E" w:rsidRDefault="00EA351E" w:rsidP="008223CC">
      <w:pPr>
        <w:pStyle w:val="ListParagraph"/>
        <w:numPr>
          <w:ilvl w:val="0"/>
          <w:numId w:val="5"/>
        </w:numPr>
        <w:spacing w:line="360" w:lineRule="auto"/>
      </w:pPr>
      <w:r w:rsidRPr="00EA351E">
        <w:t xml:space="preserve">Department of Health and Social Care (2022) </w:t>
      </w:r>
      <w:r w:rsidRPr="001A5D1B">
        <w:rPr>
          <w:i/>
          <w:iCs/>
        </w:rPr>
        <w:t>Health and Care Act 2022</w:t>
      </w:r>
      <w:r w:rsidRPr="00EA351E">
        <w:t>. London: DHSC.</w:t>
      </w:r>
    </w:p>
    <w:p w14:paraId="08C5235A" w14:textId="77777777" w:rsidR="00EA351E" w:rsidRPr="00EA351E" w:rsidRDefault="00EA351E" w:rsidP="008223CC">
      <w:pPr>
        <w:pStyle w:val="ListParagraph"/>
        <w:numPr>
          <w:ilvl w:val="0"/>
          <w:numId w:val="5"/>
        </w:numPr>
        <w:spacing w:line="360" w:lineRule="auto"/>
      </w:pPr>
      <w:r w:rsidRPr="00EA351E">
        <w:t xml:space="preserve">Donabedian, A. (1988) 'The quality of care: How can it be assessed?', </w:t>
      </w:r>
      <w:r w:rsidRPr="001A5D1B">
        <w:rPr>
          <w:i/>
          <w:iCs/>
        </w:rPr>
        <w:t>Journal of the American Medical Association</w:t>
      </w:r>
      <w:r w:rsidRPr="00EA351E">
        <w:t>, 260(12), pp. 1743–1748.</w:t>
      </w:r>
    </w:p>
    <w:p w14:paraId="0DE9E6F3" w14:textId="77777777" w:rsidR="00EA351E" w:rsidRPr="00EA351E" w:rsidRDefault="00EA351E" w:rsidP="008223CC">
      <w:pPr>
        <w:pStyle w:val="ListParagraph"/>
        <w:numPr>
          <w:ilvl w:val="0"/>
          <w:numId w:val="5"/>
        </w:numPr>
        <w:spacing w:line="360" w:lineRule="auto"/>
      </w:pPr>
      <w:r w:rsidRPr="00EA351E">
        <w:t xml:space="preserve">Edmondson, A.C. (2019) </w:t>
      </w:r>
      <w:r w:rsidRPr="001A5D1B">
        <w:rPr>
          <w:i/>
          <w:iCs/>
        </w:rPr>
        <w:t>The Fearless Organization: Creating Psychological Safety in the Workplace for Learning, Innovation, and Growth</w:t>
      </w:r>
      <w:r w:rsidRPr="00EA351E">
        <w:t>. Hoboken: John Wiley &amp; Sons.</w:t>
      </w:r>
    </w:p>
    <w:p w14:paraId="614DB50B" w14:textId="77777777" w:rsidR="00EA351E" w:rsidRPr="00EA351E" w:rsidRDefault="00EA351E" w:rsidP="008223CC">
      <w:pPr>
        <w:pStyle w:val="ListParagraph"/>
        <w:numPr>
          <w:ilvl w:val="0"/>
          <w:numId w:val="5"/>
        </w:numPr>
        <w:spacing w:line="360" w:lineRule="auto"/>
      </w:pPr>
      <w:r w:rsidRPr="00EA351E">
        <w:t xml:space="preserve">Francis, R. (2013) </w:t>
      </w:r>
      <w:r w:rsidRPr="001A5D1B">
        <w:rPr>
          <w:i/>
          <w:iCs/>
        </w:rPr>
        <w:t>Report of the Mid Staffordshire NHS Foundation Trust Public Inquiry</w:t>
      </w:r>
      <w:r w:rsidRPr="00EA351E">
        <w:t>. London: The Stationery Office.</w:t>
      </w:r>
    </w:p>
    <w:p w14:paraId="7D274CBF" w14:textId="77777777" w:rsidR="00EA351E" w:rsidRPr="00EA351E" w:rsidRDefault="00EA351E" w:rsidP="008223CC">
      <w:pPr>
        <w:pStyle w:val="ListParagraph"/>
        <w:numPr>
          <w:ilvl w:val="0"/>
          <w:numId w:val="5"/>
        </w:numPr>
        <w:spacing w:line="360" w:lineRule="auto"/>
      </w:pPr>
      <w:r w:rsidRPr="00EA351E">
        <w:t xml:space="preserve">Gürel, E. and Tat, M. (2017) 'SWOT analysis: A theoretical review', </w:t>
      </w:r>
      <w:r w:rsidRPr="001A5D1B">
        <w:rPr>
          <w:i/>
          <w:iCs/>
        </w:rPr>
        <w:t>The Journal of International Social Research</w:t>
      </w:r>
      <w:r w:rsidRPr="00EA351E">
        <w:t>, 10(51), pp. 994–1006.</w:t>
      </w:r>
    </w:p>
    <w:p w14:paraId="67B82ED9" w14:textId="77777777" w:rsidR="00EA351E" w:rsidRPr="00EA351E" w:rsidRDefault="00EA351E" w:rsidP="008223CC">
      <w:pPr>
        <w:pStyle w:val="ListParagraph"/>
        <w:numPr>
          <w:ilvl w:val="0"/>
          <w:numId w:val="5"/>
        </w:numPr>
        <w:spacing w:line="360" w:lineRule="auto"/>
      </w:pPr>
      <w:r w:rsidRPr="00EA351E">
        <w:t xml:space="preserve">Institute for Healthcare Improvement (2022) </w:t>
      </w:r>
      <w:r w:rsidRPr="001A5D1B">
        <w:rPr>
          <w:i/>
          <w:iCs/>
        </w:rPr>
        <w:t>Science of Improvement: Testing Changes</w:t>
      </w:r>
      <w:r w:rsidRPr="00EA351E">
        <w:t>. Boston, MA: IHI.</w:t>
      </w:r>
    </w:p>
    <w:p w14:paraId="1FEA3797" w14:textId="77777777" w:rsidR="00EA351E" w:rsidRPr="00EA351E" w:rsidRDefault="00EA351E" w:rsidP="008223CC">
      <w:pPr>
        <w:pStyle w:val="ListParagraph"/>
        <w:numPr>
          <w:ilvl w:val="0"/>
          <w:numId w:val="5"/>
        </w:numPr>
        <w:spacing w:line="360" w:lineRule="auto"/>
      </w:pPr>
      <w:r w:rsidRPr="00EA351E">
        <w:t xml:space="preserve">Ishikawa, K. (1986) </w:t>
      </w:r>
      <w:r w:rsidRPr="001A5D1B">
        <w:rPr>
          <w:i/>
          <w:iCs/>
        </w:rPr>
        <w:t>Guide to Quality Control</w:t>
      </w:r>
      <w:r w:rsidRPr="00EA351E">
        <w:t>. 2nd edn. Tokyo: Asian Productivity Organization.</w:t>
      </w:r>
    </w:p>
    <w:p w14:paraId="77635FE3" w14:textId="77777777" w:rsidR="00EA351E" w:rsidRPr="00EA351E" w:rsidRDefault="00EA351E" w:rsidP="008223CC">
      <w:pPr>
        <w:pStyle w:val="ListParagraph"/>
        <w:numPr>
          <w:ilvl w:val="0"/>
          <w:numId w:val="5"/>
        </w:numPr>
        <w:spacing w:line="360" w:lineRule="auto"/>
      </w:pPr>
      <w:r w:rsidRPr="00EA351E">
        <w:t xml:space="preserve">Kennedy, I. (2001) </w:t>
      </w:r>
      <w:r w:rsidRPr="001A5D1B">
        <w:rPr>
          <w:i/>
          <w:iCs/>
        </w:rPr>
        <w:t>The Report of the Public Inquiry into Children's Heart Surgery at the Bristol Royal Infirmary 1984–1995: Learning from Bristol</w:t>
      </w:r>
      <w:r w:rsidRPr="00EA351E">
        <w:t>. London: The Stationery Office.</w:t>
      </w:r>
    </w:p>
    <w:p w14:paraId="3A6284F8" w14:textId="77777777" w:rsidR="00EA351E" w:rsidRPr="00EA351E" w:rsidRDefault="00EA351E" w:rsidP="008223CC">
      <w:pPr>
        <w:pStyle w:val="ListParagraph"/>
        <w:numPr>
          <w:ilvl w:val="0"/>
          <w:numId w:val="5"/>
        </w:numPr>
        <w:spacing w:line="360" w:lineRule="auto"/>
      </w:pPr>
      <w:r w:rsidRPr="00EA351E">
        <w:lastRenderedPageBreak/>
        <w:t xml:space="preserve">Kotter, J.P. (1996) </w:t>
      </w:r>
      <w:r w:rsidRPr="001A5D1B">
        <w:rPr>
          <w:i/>
          <w:iCs/>
        </w:rPr>
        <w:t>Leading Change</w:t>
      </w:r>
      <w:r w:rsidRPr="00EA351E">
        <w:t>. Boston, MA: Harvard Business School Press.</w:t>
      </w:r>
    </w:p>
    <w:p w14:paraId="70940185" w14:textId="77777777" w:rsidR="00EA351E" w:rsidRPr="00EA351E" w:rsidRDefault="00EA351E" w:rsidP="008223CC">
      <w:pPr>
        <w:pStyle w:val="ListParagraph"/>
        <w:numPr>
          <w:ilvl w:val="0"/>
          <w:numId w:val="5"/>
        </w:numPr>
        <w:spacing w:line="360" w:lineRule="auto"/>
      </w:pPr>
      <w:r w:rsidRPr="00EA351E">
        <w:t xml:space="preserve">Langley, G.J., Moen, R.D., Nolan, K.M., Nolan, T.W., Norman, C.L. and Provost, L.P. (2009) </w:t>
      </w:r>
      <w:r w:rsidRPr="001A5D1B">
        <w:rPr>
          <w:i/>
          <w:iCs/>
        </w:rPr>
        <w:t>The Improvement Guide: A Practical Approach to Enhancing Organizational Performance</w:t>
      </w:r>
      <w:r w:rsidRPr="00EA351E">
        <w:t>. 2nd edn. San Francisco: Jossey-Bass.</w:t>
      </w:r>
    </w:p>
    <w:p w14:paraId="790B4CF0" w14:textId="77777777" w:rsidR="00EA351E" w:rsidRPr="00EA351E" w:rsidRDefault="00EA351E" w:rsidP="008223CC">
      <w:pPr>
        <w:pStyle w:val="ListParagraph"/>
        <w:numPr>
          <w:ilvl w:val="0"/>
          <w:numId w:val="5"/>
        </w:numPr>
        <w:spacing w:line="360" w:lineRule="auto"/>
      </w:pPr>
      <w:r w:rsidRPr="00EA351E">
        <w:t xml:space="preserve">Lewin, K. (1951) </w:t>
      </w:r>
      <w:r w:rsidRPr="001A5D1B">
        <w:rPr>
          <w:i/>
          <w:iCs/>
        </w:rPr>
        <w:t>Field Theory in Social Science</w:t>
      </w:r>
      <w:r w:rsidRPr="00EA351E">
        <w:t>. New York: Harper &amp; Row.</w:t>
      </w:r>
    </w:p>
    <w:p w14:paraId="41939CAE" w14:textId="77777777" w:rsidR="00EA351E" w:rsidRPr="00EA351E" w:rsidRDefault="00EA351E" w:rsidP="008223CC">
      <w:pPr>
        <w:pStyle w:val="ListParagraph"/>
        <w:numPr>
          <w:ilvl w:val="0"/>
          <w:numId w:val="5"/>
        </w:numPr>
        <w:spacing w:line="360" w:lineRule="auto"/>
      </w:pPr>
      <w:r w:rsidRPr="00EA351E">
        <w:t xml:space="preserve">McSherry, R. and Pearce, P. (2016) </w:t>
      </w:r>
      <w:r w:rsidRPr="001A5D1B">
        <w:rPr>
          <w:i/>
          <w:iCs/>
        </w:rPr>
        <w:t>Clinical Governance: A Guide to Implementation for Healthcare Professionals</w:t>
      </w:r>
      <w:r w:rsidRPr="00EA351E">
        <w:t>. 4th edn. Chichester: Wiley-Blackwell.</w:t>
      </w:r>
    </w:p>
    <w:p w14:paraId="56EEA50A" w14:textId="77777777" w:rsidR="00EA351E" w:rsidRPr="00EA351E" w:rsidRDefault="00EA351E" w:rsidP="008223CC">
      <w:pPr>
        <w:pStyle w:val="ListParagraph"/>
        <w:numPr>
          <w:ilvl w:val="0"/>
          <w:numId w:val="5"/>
        </w:numPr>
        <w:spacing w:line="360" w:lineRule="auto"/>
      </w:pPr>
      <w:r w:rsidRPr="00EA351E">
        <w:t xml:space="preserve">National Institute for Health and Care Excellence (2021) </w:t>
      </w:r>
      <w:r w:rsidRPr="001A5D1B">
        <w:rPr>
          <w:i/>
          <w:iCs/>
        </w:rPr>
        <w:t>Clinical Governance and Quality Improvement</w:t>
      </w:r>
      <w:r w:rsidRPr="00EA351E">
        <w:t>. London: NICE.</w:t>
      </w:r>
    </w:p>
    <w:p w14:paraId="1C3E44B4" w14:textId="77777777" w:rsidR="00EA351E" w:rsidRPr="00EA351E" w:rsidRDefault="00EA351E" w:rsidP="008223CC">
      <w:pPr>
        <w:pStyle w:val="ListParagraph"/>
        <w:numPr>
          <w:ilvl w:val="0"/>
          <w:numId w:val="5"/>
        </w:numPr>
        <w:spacing w:line="360" w:lineRule="auto"/>
      </w:pPr>
      <w:r w:rsidRPr="00EA351E">
        <w:t xml:space="preserve">National Institute for Health and Care Excellence (2023) </w:t>
      </w:r>
      <w:r w:rsidRPr="001A5D1B">
        <w:rPr>
          <w:i/>
          <w:iCs/>
        </w:rPr>
        <w:t>Patient Experience in Adult NHS Services: Improving the Experience of Care for People Using Adult NHS Services</w:t>
      </w:r>
      <w:r w:rsidRPr="00EA351E">
        <w:t>. London: NICE.</w:t>
      </w:r>
    </w:p>
    <w:p w14:paraId="1BDE7F97" w14:textId="77777777" w:rsidR="00EA351E" w:rsidRPr="00EA351E" w:rsidRDefault="00EA351E" w:rsidP="008223CC">
      <w:pPr>
        <w:pStyle w:val="ListParagraph"/>
        <w:numPr>
          <w:ilvl w:val="0"/>
          <w:numId w:val="5"/>
        </w:numPr>
        <w:spacing w:line="360" w:lineRule="auto"/>
      </w:pPr>
      <w:r w:rsidRPr="00EA351E">
        <w:t xml:space="preserve">NHS England (2019) </w:t>
      </w:r>
      <w:r w:rsidRPr="001A5D1B">
        <w:rPr>
          <w:i/>
          <w:iCs/>
        </w:rPr>
        <w:t>The NHS Patient Safety Strategy: Safer Culture, Safer Systems, Safer Patients</w:t>
      </w:r>
      <w:r w:rsidRPr="00EA351E">
        <w:t>. London: NHS England.</w:t>
      </w:r>
    </w:p>
    <w:p w14:paraId="41D1814C" w14:textId="77777777" w:rsidR="00EA351E" w:rsidRPr="00EA351E" w:rsidRDefault="00EA351E" w:rsidP="008223CC">
      <w:pPr>
        <w:pStyle w:val="ListParagraph"/>
        <w:numPr>
          <w:ilvl w:val="0"/>
          <w:numId w:val="5"/>
        </w:numPr>
        <w:spacing w:line="360" w:lineRule="auto"/>
      </w:pPr>
      <w:r w:rsidRPr="00EA351E">
        <w:t xml:space="preserve">NHS England (2023) </w:t>
      </w:r>
      <w:r w:rsidRPr="001A5D1B">
        <w:rPr>
          <w:i/>
          <w:iCs/>
        </w:rPr>
        <w:t>Patient Safety Incident Response Framework</w:t>
      </w:r>
      <w:r w:rsidRPr="00EA351E">
        <w:t>. London: NHS England.</w:t>
      </w:r>
    </w:p>
    <w:p w14:paraId="1D5A185A" w14:textId="77777777" w:rsidR="00EA351E" w:rsidRPr="00EA351E" w:rsidRDefault="00EA351E" w:rsidP="008223CC">
      <w:pPr>
        <w:pStyle w:val="ListParagraph"/>
        <w:numPr>
          <w:ilvl w:val="0"/>
          <w:numId w:val="5"/>
        </w:numPr>
        <w:spacing w:line="360" w:lineRule="auto"/>
      </w:pPr>
      <w:r w:rsidRPr="00EA351E">
        <w:t xml:space="preserve">NHS England (2024) </w:t>
      </w:r>
      <w:r w:rsidRPr="001A5D1B">
        <w:rPr>
          <w:i/>
          <w:iCs/>
        </w:rPr>
        <w:t>NHS Oversight Framework 2024/25</w:t>
      </w:r>
      <w:r w:rsidRPr="00EA351E">
        <w:t>. London: NHS England.</w:t>
      </w:r>
    </w:p>
    <w:p w14:paraId="24650313" w14:textId="77777777" w:rsidR="00EA351E" w:rsidRPr="00EA351E" w:rsidRDefault="00EA351E" w:rsidP="008223CC">
      <w:pPr>
        <w:pStyle w:val="ListParagraph"/>
        <w:numPr>
          <w:ilvl w:val="0"/>
          <w:numId w:val="5"/>
        </w:numPr>
        <w:spacing w:line="360" w:lineRule="auto"/>
      </w:pPr>
      <w:r w:rsidRPr="00EA351E">
        <w:t xml:space="preserve">NHS Resolution (2023) </w:t>
      </w:r>
      <w:r w:rsidRPr="001A5D1B">
        <w:rPr>
          <w:i/>
          <w:iCs/>
        </w:rPr>
        <w:t>Learning from Safety Events</w:t>
      </w:r>
      <w:r w:rsidRPr="00EA351E">
        <w:t>. London: NHS Resolution.</w:t>
      </w:r>
    </w:p>
    <w:p w14:paraId="5233A33A" w14:textId="77777777" w:rsidR="00EA351E" w:rsidRPr="00EA351E" w:rsidRDefault="00EA351E" w:rsidP="008223CC">
      <w:pPr>
        <w:pStyle w:val="ListParagraph"/>
        <w:numPr>
          <w:ilvl w:val="0"/>
          <w:numId w:val="5"/>
        </w:numPr>
        <w:spacing w:line="360" w:lineRule="auto"/>
      </w:pPr>
      <w:r w:rsidRPr="00EA351E">
        <w:t xml:space="preserve">Øvretveit, J. (2009) </w:t>
      </w:r>
      <w:r w:rsidRPr="001A5D1B">
        <w:rPr>
          <w:i/>
          <w:iCs/>
        </w:rPr>
        <w:t>Does Improving Quality Save Money? A Review of Evidence of Which Improvements to Quality Reduce Costs to Health Service Providers</w:t>
      </w:r>
      <w:r w:rsidRPr="00EA351E">
        <w:t>. London: The Health Foundation.</w:t>
      </w:r>
    </w:p>
    <w:p w14:paraId="2209D22C" w14:textId="77777777" w:rsidR="00EA351E" w:rsidRPr="00EA351E" w:rsidRDefault="00EA351E" w:rsidP="008223CC">
      <w:pPr>
        <w:pStyle w:val="ListParagraph"/>
        <w:numPr>
          <w:ilvl w:val="0"/>
          <w:numId w:val="5"/>
        </w:numPr>
        <w:spacing w:line="360" w:lineRule="auto"/>
      </w:pPr>
      <w:r w:rsidRPr="00EA351E">
        <w:t xml:space="preserve">Reason, J. (1990) </w:t>
      </w:r>
      <w:r w:rsidRPr="001A5D1B">
        <w:rPr>
          <w:i/>
          <w:iCs/>
        </w:rPr>
        <w:t>Human Error</w:t>
      </w:r>
      <w:r w:rsidRPr="00EA351E">
        <w:t>. Cambridge: Cambridge University Press.</w:t>
      </w:r>
    </w:p>
    <w:p w14:paraId="6DD09D40" w14:textId="77777777" w:rsidR="00EA351E" w:rsidRPr="00EA351E" w:rsidRDefault="00EA351E" w:rsidP="008223CC">
      <w:pPr>
        <w:pStyle w:val="ListParagraph"/>
        <w:numPr>
          <w:ilvl w:val="0"/>
          <w:numId w:val="5"/>
        </w:numPr>
        <w:spacing w:line="360" w:lineRule="auto"/>
      </w:pPr>
      <w:r w:rsidRPr="00EA351E">
        <w:t xml:space="preserve">Reason, J. (2000) 'Human error: Models and management', </w:t>
      </w:r>
      <w:r w:rsidRPr="001A5D1B">
        <w:rPr>
          <w:i/>
          <w:iCs/>
        </w:rPr>
        <w:t>BMJ</w:t>
      </w:r>
      <w:r w:rsidRPr="00EA351E">
        <w:t>, 320(7237), pp. 768–770.</w:t>
      </w:r>
    </w:p>
    <w:p w14:paraId="772D9416" w14:textId="77777777" w:rsidR="00EA351E" w:rsidRPr="00EA351E" w:rsidRDefault="00EA351E" w:rsidP="008223CC">
      <w:pPr>
        <w:pStyle w:val="ListParagraph"/>
        <w:numPr>
          <w:ilvl w:val="0"/>
          <w:numId w:val="5"/>
        </w:numPr>
        <w:spacing w:line="360" w:lineRule="auto"/>
      </w:pPr>
      <w:r w:rsidRPr="00EA351E">
        <w:t xml:space="preserve">Royal College of Surgeons of England (2023) </w:t>
      </w:r>
      <w:r w:rsidRPr="001A5D1B">
        <w:rPr>
          <w:i/>
          <w:iCs/>
        </w:rPr>
        <w:t>Standards for the Care of Children Requiring Cardiac Surgery</w:t>
      </w:r>
      <w:r w:rsidRPr="00EA351E">
        <w:t>. London: RCS England.</w:t>
      </w:r>
    </w:p>
    <w:p w14:paraId="2A97094D" w14:textId="77777777" w:rsidR="00EA351E" w:rsidRPr="00EA351E" w:rsidRDefault="00EA351E" w:rsidP="008223CC">
      <w:pPr>
        <w:pStyle w:val="ListParagraph"/>
        <w:numPr>
          <w:ilvl w:val="0"/>
          <w:numId w:val="5"/>
        </w:numPr>
        <w:spacing w:line="360" w:lineRule="auto"/>
      </w:pPr>
      <w:r w:rsidRPr="00EA351E">
        <w:t xml:space="preserve">Senge, P.M. (2006) </w:t>
      </w:r>
      <w:r w:rsidRPr="001A5D1B">
        <w:rPr>
          <w:i/>
          <w:iCs/>
        </w:rPr>
        <w:t>The Fifth Discipline: The Art and Practice of the Learning Organization</w:t>
      </w:r>
      <w:r w:rsidRPr="00EA351E">
        <w:t>. Revised edn. London: Random House.</w:t>
      </w:r>
    </w:p>
    <w:p w14:paraId="7F4CABCE" w14:textId="77777777" w:rsidR="00EA351E" w:rsidRPr="00EA351E" w:rsidRDefault="00EA351E" w:rsidP="008223CC">
      <w:pPr>
        <w:pStyle w:val="ListParagraph"/>
        <w:numPr>
          <w:ilvl w:val="0"/>
          <w:numId w:val="5"/>
        </w:numPr>
        <w:spacing w:line="360" w:lineRule="auto"/>
      </w:pPr>
      <w:r w:rsidRPr="00EA351E">
        <w:t xml:space="preserve">The Health Foundation (2013) </w:t>
      </w:r>
      <w:r w:rsidRPr="001A5D1B">
        <w:rPr>
          <w:i/>
          <w:iCs/>
        </w:rPr>
        <w:t>Quality Improvement Made Simple</w:t>
      </w:r>
      <w:r w:rsidRPr="00EA351E">
        <w:t>. London: The Health Foundation.</w:t>
      </w:r>
    </w:p>
    <w:p w14:paraId="3B680010" w14:textId="77777777" w:rsidR="00EA351E" w:rsidRPr="00EA351E" w:rsidRDefault="00EA351E" w:rsidP="008223CC">
      <w:pPr>
        <w:pStyle w:val="ListParagraph"/>
        <w:numPr>
          <w:ilvl w:val="0"/>
          <w:numId w:val="5"/>
        </w:numPr>
        <w:spacing w:line="360" w:lineRule="auto"/>
      </w:pPr>
      <w:r w:rsidRPr="00EA351E">
        <w:t xml:space="preserve">The Health Foundation (2021) </w:t>
      </w:r>
      <w:r w:rsidRPr="001A5D1B">
        <w:rPr>
          <w:i/>
          <w:iCs/>
        </w:rPr>
        <w:t>Quality Improvement in Practice</w:t>
      </w:r>
      <w:r w:rsidRPr="00EA351E">
        <w:t>. London: The Health Foundation.</w:t>
      </w:r>
    </w:p>
    <w:p w14:paraId="1FD733F7" w14:textId="77777777" w:rsidR="00EA351E" w:rsidRPr="00EA351E" w:rsidRDefault="00EA351E" w:rsidP="008223CC">
      <w:pPr>
        <w:pStyle w:val="ListParagraph"/>
        <w:numPr>
          <w:ilvl w:val="0"/>
          <w:numId w:val="5"/>
        </w:numPr>
        <w:spacing w:line="360" w:lineRule="auto"/>
      </w:pPr>
      <w:r w:rsidRPr="00EA351E">
        <w:t xml:space="preserve">Vincent, C. (2010) </w:t>
      </w:r>
      <w:r w:rsidRPr="001A5D1B">
        <w:rPr>
          <w:i/>
          <w:iCs/>
        </w:rPr>
        <w:t>Patient Safety</w:t>
      </w:r>
      <w:r w:rsidRPr="00EA351E">
        <w:t>. 2nd edn. Chichester: Wiley-Blackwell.</w:t>
      </w:r>
    </w:p>
    <w:p w14:paraId="1DF14F84" w14:textId="77777777" w:rsidR="00EA351E" w:rsidRPr="00EA351E" w:rsidRDefault="00EA351E" w:rsidP="008223CC">
      <w:pPr>
        <w:pStyle w:val="ListParagraph"/>
        <w:numPr>
          <w:ilvl w:val="0"/>
          <w:numId w:val="5"/>
        </w:numPr>
        <w:spacing w:line="360" w:lineRule="auto"/>
      </w:pPr>
      <w:r w:rsidRPr="00EA351E">
        <w:t xml:space="preserve">Vincent, C. and Amalberti, R. (2016) </w:t>
      </w:r>
      <w:r w:rsidRPr="001A5D1B">
        <w:rPr>
          <w:i/>
          <w:iCs/>
        </w:rPr>
        <w:t>Safer Healthcare: Strategies for the Real World</w:t>
      </w:r>
      <w:r w:rsidRPr="00EA351E">
        <w:t>. Cham: Springer.</w:t>
      </w:r>
    </w:p>
    <w:p w14:paraId="4D844B0D" w14:textId="77777777" w:rsidR="00EA351E" w:rsidRPr="00EA351E" w:rsidRDefault="00EA351E" w:rsidP="008223CC">
      <w:pPr>
        <w:pStyle w:val="ListParagraph"/>
        <w:numPr>
          <w:ilvl w:val="0"/>
          <w:numId w:val="5"/>
        </w:numPr>
        <w:spacing w:line="360" w:lineRule="auto"/>
      </w:pPr>
      <w:r w:rsidRPr="00EA351E">
        <w:lastRenderedPageBreak/>
        <w:t xml:space="preserve">West, M., Eckert, R., Steward, K. and Pasmore, B. (2015) </w:t>
      </w:r>
      <w:r w:rsidRPr="001A5D1B">
        <w:rPr>
          <w:i/>
          <w:iCs/>
        </w:rPr>
        <w:t>Developing Collective Leadership for Health Care</w:t>
      </w:r>
      <w:r w:rsidRPr="00EA351E">
        <w:t>. London: The King's Fund.</w:t>
      </w:r>
    </w:p>
    <w:p w14:paraId="6740123A" w14:textId="77777777" w:rsidR="00EA351E" w:rsidRPr="00EA351E" w:rsidRDefault="00EA351E" w:rsidP="008223CC">
      <w:pPr>
        <w:pStyle w:val="ListParagraph"/>
        <w:numPr>
          <w:ilvl w:val="0"/>
          <w:numId w:val="5"/>
        </w:numPr>
        <w:spacing w:line="360" w:lineRule="auto"/>
      </w:pPr>
      <w:r w:rsidRPr="00EA351E">
        <w:t xml:space="preserve">Womack, J.P. and Jones, D.T. (2003) </w:t>
      </w:r>
      <w:r w:rsidRPr="001A5D1B">
        <w:rPr>
          <w:i/>
          <w:iCs/>
        </w:rPr>
        <w:t>Lean Thinking: Banish Waste and Create Wealth in Your Corporation</w:t>
      </w:r>
      <w:r w:rsidRPr="00EA351E">
        <w:t>. Revised edn. London: Simon &amp; Schuster.</w:t>
      </w:r>
    </w:p>
    <w:p w14:paraId="2008397A" w14:textId="77777777" w:rsidR="00EA351E" w:rsidRPr="00EA351E" w:rsidRDefault="00EA351E" w:rsidP="008223CC">
      <w:pPr>
        <w:pStyle w:val="ListParagraph"/>
        <w:numPr>
          <w:ilvl w:val="0"/>
          <w:numId w:val="5"/>
        </w:numPr>
        <w:spacing w:line="360" w:lineRule="auto"/>
      </w:pPr>
      <w:r w:rsidRPr="00EA351E">
        <w:t xml:space="preserve">World Health Organization (2021) </w:t>
      </w:r>
      <w:r w:rsidRPr="001A5D1B">
        <w:rPr>
          <w:i/>
          <w:iCs/>
        </w:rPr>
        <w:t>Global Patient Safety Action Plan 2021–2030: Towards Eliminating Avoidable Harm in Health Care</w:t>
      </w:r>
      <w:r w:rsidRPr="00EA351E">
        <w:t>. Geneva: WHO.</w:t>
      </w:r>
    </w:p>
    <w:p w14:paraId="7691C134" w14:textId="77777777" w:rsidR="00EA351E" w:rsidRPr="00EA351E" w:rsidRDefault="00EA351E" w:rsidP="008223CC">
      <w:pPr>
        <w:pStyle w:val="ListParagraph"/>
        <w:numPr>
          <w:ilvl w:val="0"/>
          <w:numId w:val="5"/>
        </w:numPr>
        <w:spacing w:line="360" w:lineRule="auto"/>
      </w:pPr>
      <w:r w:rsidRPr="00EA351E">
        <w:t xml:space="preserve">World Health Organization (2024) </w:t>
      </w:r>
      <w:r w:rsidRPr="001A5D1B">
        <w:rPr>
          <w:i/>
          <w:iCs/>
        </w:rPr>
        <w:t>Quality Health Services: A Planning Guide</w:t>
      </w:r>
      <w:r w:rsidRPr="00EA351E">
        <w:t>. Geneva: WHO.</w:t>
      </w:r>
    </w:p>
    <w:p w14:paraId="50ADD775" w14:textId="77777777" w:rsidR="00EA351E" w:rsidRPr="00EA351E" w:rsidRDefault="00EA351E" w:rsidP="008223CC">
      <w:pPr>
        <w:pStyle w:val="ListParagraph"/>
        <w:numPr>
          <w:ilvl w:val="0"/>
          <w:numId w:val="5"/>
        </w:numPr>
        <w:spacing w:line="360" w:lineRule="auto"/>
      </w:pPr>
      <w:r w:rsidRPr="00EA351E">
        <w:t xml:space="preserve">Yin, R.K. (2018) </w:t>
      </w:r>
      <w:r w:rsidRPr="001A5D1B">
        <w:rPr>
          <w:i/>
          <w:iCs/>
        </w:rPr>
        <w:t>Case Study Research and Applications: Design and Methods</w:t>
      </w:r>
      <w:r w:rsidRPr="00EA351E">
        <w:t>. 6th edn. Thousand Oaks, CA: Sage Publications.</w:t>
      </w:r>
    </w:p>
    <w:p w14:paraId="00B6CF36" w14:textId="77777777" w:rsidR="00807180" w:rsidRPr="000F70DC" w:rsidRDefault="00807180" w:rsidP="008223CC">
      <w:pPr>
        <w:spacing w:line="360" w:lineRule="auto"/>
      </w:pPr>
    </w:p>
    <w:p w14:paraId="4329DF6D" w14:textId="77777777" w:rsidR="00F33192" w:rsidRDefault="00F33192" w:rsidP="008223CC">
      <w:pPr>
        <w:spacing w:line="360" w:lineRule="auto"/>
      </w:pPr>
    </w:p>
    <w:sectPr w:rsidR="00F33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454D7"/>
    <w:multiLevelType w:val="multilevel"/>
    <w:tmpl w:val="F9FE2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0D2336"/>
    <w:multiLevelType w:val="hybridMultilevel"/>
    <w:tmpl w:val="237A8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51BF0"/>
    <w:multiLevelType w:val="multilevel"/>
    <w:tmpl w:val="E1A2A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0D7E3A"/>
    <w:multiLevelType w:val="hybridMultilevel"/>
    <w:tmpl w:val="77905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E554BF"/>
    <w:multiLevelType w:val="multilevel"/>
    <w:tmpl w:val="29924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7011939">
    <w:abstractNumId w:val="4"/>
  </w:num>
  <w:num w:numId="2" w16cid:durableId="246353411">
    <w:abstractNumId w:val="0"/>
  </w:num>
  <w:num w:numId="3" w16cid:durableId="1486236833">
    <w:abstractNumId w:val="2"/>
  </w:num>
  <w:num w:numId="4" w16cid:durableId="1773434273">
    <w:abstractNumId w:val="3"/>
  </w:num>
  <w:num w:numId="5" w16cid:durableId="246303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42D"/>
    <w:rsid w:val="000048DE"/>
    <w:rsid w:val="00020E8B"/>
    <w:rsid w:val="00027DB5"/>
    <w:rsid w:val="0003446A"/>
    <w:rsid w:val="0004345F"/>
    <w:rsid w:val="00047BAD"/>
    <w:rsid w:val="00047BDC"/>
    <w:rsid w:val="00063E5A"/>
    <w:rsid w:val="000716A6"/>
    <w:rsid w:val="00075850"/>
    <w:rsid w:val="000875FC"/>
    <w:rsid w:val="000B53B0"/>
    <w:rsid w:val="000D2CBF"/>
    <w:rsid w:val="000D3180"/>
    <w:rsid w:val="000E78AD"/>
    <w:rsid w:val="000F70DC"/>
    <w:rsid w:val="00107D0B"/>
    <w:rsid w:val="0012035C"/>
    <w:rsid w:val="00125CAF"/>
    <w:rsid w:val="00127232"/>
    <w:rsid w:val="001349D4"/>
    <w:rsid w:val="00141D60"/>
    <w:rsid w:val="00172B1D"/>
    <w:rsid w:val="0018688B"/>
    <w:rsid w:val="001956B0"/>
    <w:rsid w:val="001A1942"/>
    <w:rsid w:val="001A5D1B"/>
    <w:rsid w:val="001A7F83"/>
    <w:rsid w:val="001B74E8"/>
    <w:rsid w:val="001C22B8"/>
    <w:rsid w:val="001C3F37"/>
    <w:rsid w:val="001E6133"/>
    <w:rsid w:val="001F2086"/>
    <w:rsid w:val="002034FF"/>
    <w:rsid w:val="0020710B"/>
    <w:rsid w:val="00215826"/>
    <w:rsid w:val="00230CC1"/>
    <w:rsid w:val="0023266F"/>
    <w:rsid w:val="002919E3"/>
    <w:rsid w:val="00292B2D"/>
    <w:rsid w:val="00293EDE"/>
    <w:rsid w:val="002B7BBE"/>
    <w:rsid w:val="002C34A3"/>
    <w:rsid w:val="002D797B"/>
    <w:rsid w:val="00321008"/>
    <w:rsid w:val="00325860"/>
    <w:rsid w:val="00332D50"/>
    <w:rsid w:val="00334EB0"/>
    <w:rsid w:val="0036600F"/>
    <w:rsid w:val="003A338B"/>
    <w:rsid w:val="003B549F"/>
    <w:rsid w:val="003C1E59"/>
    <w:rsid w:val="003C6C5B"/>
    <w:rsid w:val="00402AC2"/>
    <w:rsid w:val="004060B4"/>
    <w:rsid w:val="00406E28"/>
    <w:rsid w:val="0041709B"/>
    <w:rsid w:val="00464119"/>
    <w:rsid w:val="0047740A"/>
    <w:rsid w:val="004A4D38"/>
    <w:rsid w:val="004D33E1"/>
    <w:rsid w:val="004D4325"/>
    <w:rsid w:val="004D4E50"/>
    <w:rsid w:val="004D71EF"/>
    <w:rsid w:val="004E18DB"/>
    <w:rsid w:val="004F3AFE"/>
    <w:rsid w:val="00500A4C"/>
    <w:rsid w:val="005066E4"/>
    <w:rsid w:val="0051642E"/>
    <w:rsid w:val="005229EB"/>
    <w:rsid w:val="00540D18"/>
    <w:rsid w:val="00562288"/>
    <w:rsid w:val="00573865"/>
    <w:rsid w:val="005825F9"/>
    <w:rsid w:val="00594175"/>
    <w:rsid w:val="005A26E6"/>
    <w:rsid w:val="005A27F6"/>
    <w:rsid w:val="005B79F5"/>
    <w:rsid w:val="005D188A"/>
    <w:rsid w:val="005D2272"/>
    <w:rsid w:val="005E3892"/>
    <w:rsid w:val="005E47D9"/>
    <w:rsid w:val="005E5028"/>
    <w:rsid w:val="005F5B67"/>
    <w:rsid w:val="00623E82"/>
    <w:rsid w:val="00631462"/>
    <w:rsid w:val="00640337"/>
    <w:rsid w:val="0065521A"/>
    <w:rsid w:val="006652C7"/>
    <w:rsid w:val="00693146"/>
    <w:rsid w:val="006939D6"/>
    <w:rsid w:val="006D4C70"/>
    <w:rsid w:val="006D7EF7"/>
    <w:rsid w:val="00715396"/>
    <w:rsid w:val="007228D8"/>
    <w:rsid w:val="007242B7"/>
    <w:rsid w:val="00726354"/>
    <w:rsid w:val="00727A64"/>
    <w:rsid w:val="00744644"/>
    <w:rsid w:val="007464BF"/>
    <w:rsid w:val="00756B7D"/>
    <w:rsid w:val="00773AD6"/>
    <w:rsid w:val="007B31C9"/>
    <w:rsid w:val="007C3B9B"/>
    <w:rsid w:val="007D03F5"/>
    <w:rsid w:val="007E611C"/>
    <w:rsid w:val="007F5DE7"/>
    <w:rsid w:val="008004AE"/>
    <w:rsid w:val="00807180"/>
    <w:rsid w:val="00807C53"/>
    <w:rsid w:val="008223CC"/>
    <w:rsid w:val="0082575F"/>
    <w:rsid w:val="008265DB"/>
    <w:rsid w:val="00827E7C"/>
    <w:rsid w:val="00843AB4"/>
    <w:rsid w:val="00853131"/>
    <w:rsid w:val="0085644A"/>
    <w:rsid w:val="0085651A"/>
    <w:rsid w:val="00860760"/>
    <w:rsid w:val="0087026D"/>
    <w:rsid w:val="0087425A"/>
    <w:rsid w:val="00876676"/>
    <w:rsid w:val="008814F1"/>
    <w:rsid w:val="008A3EC4"/>
    <w:rsid w:val="008A4D18"/>
    <w:rsid w:val="008A6B09"/>
    <w:rsid w:val="008D527E"/>
    <w:rsid w:val="008E6864"/>
    <w:rsid w:val="008F3838"/>
    <w:rsid w:val="008F51D7"/>
    <w:rsid w:val="00905B13"/>
    <w:rsid w:val="0090651E"/>
    <w:rsid w:val="0090739F"/>
    <w:rsid w:val="0092042D"/>
    <w:rsid w:val="009646A8"/>
    <w:rsid w:val="009769A0"/>
    <w:rsid w:val="009812C6"/>
    <w:rsid w:val="00987EA8"/>
    <w:rsid w:val="009A7E7E"/>
    <w:rsid w:val="009A7F74"/>
    <w:rsid w:val="009D4B3C"/>
    <w:rsid w:val="009D7835"/>
    <w:rsid w:val="009E755D"/>
    <w:rsid w:val="009F10F9"/>
    <w:rsid w:val="009F5178"/>
    <w:rsid w:val="009F71FB"/>
    <w:rsid w:val="00A06381"/>
    <w:rsid w:val="00A10CC7"/>
    <w:rsid w:val="00A117D6"/>
    <w:rsid w:val="00A20D24"/>
    <w:rsid w:val="00A25CDE"/>
    <w:rsid w:val="00A36D4B"/>
    <w:rsid w:val="00A43FE2"/>
    <w:rsid w:val="00A44CAE"/>
    <w:rsid w:val="00A54A48"/>
    <w:rsid w:val="00A56A7E"/>
    <w:rsid w:val="00A60467"/>
    <w:rsid w:val="00A8700C"/>
    <w:rsid w:val="00A94CA6"/>
    <w:rsid w:val="00AA74F2"/>
    <w:rsid w:val="00AE19C9"/>
    <w:rsid w:val="00AF1EF2"/>
    <w:rsid w:val="00AF4E86"/>
    <w:rsid w:val="00B0014E"/>
    <w:rsid w:val="00B12054"/>
    <w:rsid w:val="00B14F0B"/>
    <w:rsid w:val="00B37251"/>
    <w:rsid w:val="00B51FC0"/>
    <w:rsid w:val="00B776BC"/>
    <w:rsid w:val="00B9745B"/>
    <w:rsid w:val="00BA5175"/>
    <w:rsid w:val="00BD7A97"/>
    <w:rsid w:val="00BE3CCB"/>
    <w:rsid w:val="00C12375"/>
    <w:rsid w:val="00C25FAA"/>
    <w:rsid w:val="00C32BA1"/>
    <w:rsid w:val="00C3332E"/>
    <w:rsid w:val="00C74CD1"/>
    <w:rsid w:val="00CA0184"/>
    <w:rsid w:val="00CA41FF"/>
    <w:rsid w:val="00CA5BD7"/>
    <w:rsid w:val="00CC24A7"/>
    <w:rsid w:val="00CC25A0"/>
    <w:rsid w:val="00CC678D"/>
    <w:rsid w:val="00CF00D2"/>
    <w:rsid w:val="00CF00FB"/>
    <w:rsid w:val="00CF0671"/>
    <w:rsid w:val="00D05FC6"/>
    <w:rsid w:val="00D17583"/>
    <w:rsid w:val="00D2079B"/>
    <w:rsid w:val="00D20F04"/>
    <w:rsid w:val="00D2545A"/>
    <w:rsid w:val="00D367E3"/>
    <w:rsid w:val="00D60442"/>
    <w:rsid w:val="00D6608D"/>
    <w:rsid w:val="00D71C96"/>
    <w:rsid w:val="00D91070"/>
    <w:rsid w:val="00DA098A"/>
    <w:rsid w:val="00DB0328"/>
    <w:rsid w:val="00DB3D7E"/>
    <w:rsid w:val="00DB3F4B"/>
    <w:rsid w:val="00DB59E9"/>
    <w:rsid w:val="00DC6AB4"/>
    <w:rsid w:val="00DD238D"/>
    <w:rsid w:val="00DE4AC7"/>
    <w:rsid w:val="00DE6730"/>
    <w:rsid w:val="00DF174D"/>
    <w:rsid w:val="00E12FEC"/>
    <w:rsid w:val="00E60558"/>
    <w:rsid w:val="00E62444"/>
    <w:rsid w:val="00E7300B"/>
    <w:rsid w:val="00E73DCE"/>
    <w:rsid w:val="00E8060B"/>
    <w:rsid w:val="00E909BF"/>
    <w:rsid w:val="00EA01B3"/>
    <w:rsid w:val="00EA0DE4"/>
    <w:rsid w:val="00EA351E"/>
    <w:rsid w:val="00EC3D6F"/>
    <w:rsid w:val="00ED30FA"/>
    <w:rsid w:val="00ED59EB"/>
    <w:rsid w:val="00ED5B1F"/>
    <w:rsid w:val="00ED6F9F"/>
    <w:rsid w:val="00EE7D81"/>
    <w:rsid w:val="00F03A17"/>
    <w:rsid w:val="00F05862"/>
    <w:rsid w:val="00F110CE"/>
    <w:rsid w:val="00F26638"/>
    <w:rsid w:val="00F33192"/>
    <w:rsid w:val="00F37A32"/>
    <w:rsid w:val="00F409A1"/>
    <w:rsid w:val="00F57E03"/>
    <w:rsid w:val="00F7048C"/>
    <w:rsid w:val="00FA6EE8"/>
    <w:rsid w:val="00FB2297"/>
    <w:rsid w:val="00FE4626"/>
    <w:rsid w:val="00FF0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74B2F"/>
  <w15:chartTrackingRefBased/>
  <w15:docId w15:val="{B2C05442-12E3-4EE9-B1BF-A455CF420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0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0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42D"/>
    <w:rPr>
      <w:rFonts w:eastAsiaTheme="majorEastAsia" w:cstheme="majorBidi"/>
      <w:color w:val="272727" w:themeColor="text1" w:themeTint="D8"/>
    </w:rPr>
  </w:style>
  <w:style w:type="paragraph" w:styleId="Title">
    <w:name w:val="Title"/>
    <w:basedOn w:val="Normal"/>
    <w:next w:val="Normal"/>
    <w:link w:val="TitleChar"/>
    <w:uiPriority w:val="10"/>
    <w:qFormat/>
    <w:rsid w:val="00920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42D"/>
    <w:pPr>
      <w:spacing w:before="160"/>
      <w:jc w:val="center"/>
    </w:pPr>
    <w:rPr>
      <w:i/>
      <w:iCs/>
      <w:color w:val="404040" w:themeColor="text1" w:themeTint="BF"/>
    </w:rPr>
  </w:style>
  <w:style w:type="character" w:customStyle="1" w:styleId="QuoteChar">
    <w:name w:val="Quote Char"/>
    <w:basedOn w:val="DefaultParagraphFont"/>
    <w:link w:val="Quote"/>
    <w:uiPriority w:val="29"/>
    <w:rsid w:val="0092042D"/>
    <w:rPr>
      <w:i/>
      <w:iCs/>
      <w:color w:val="404040" w:themeColor="text1" w:themeTint="BF"/>
    </w:rPr>
  </w:style>
  <w:style w:type="paragraph" w:styleId="ListParagraph">
    <w:name w:val="List Paragraph"/>
    <w:basedOn w:val="Normal"/>
    <w:uiPriority w:val="34"/>
    <w:qFormat/>
    <w:rsid w:val="0092042D"/>
    <w:pPr>
      <w:ind w:left="720"/>
      <w:contextualSpacing/>
    </w:pPr>
  </w:style>
  <w:style w:type="character" w:styleId="IntenseEmphasis">
    <w:name w:val="Intense Emphasis"/>
    <w:basedOn w:val="DefaultParagraphFont"/>
    <w:uiPriority w:val="21"/>
    <w:qFormat/>
    <w:rsid w:val="0092042D"/>
    <w:rPr>
      <w:i/>
      <w:iCs/>
      <w:color w:val="0F4761" w:themeColor="accent1" w:themeShade="BF"/>
    </w:rPr>
  </w:style>
  <w:style w:type="paragraph" w:styleId="IntenseQuote">
    <w:name w:val="Intense Quote"/>
    <w:basedOn w:val="Normal"/>
    <w:next w:val="Normal"/>
    <w:link w:val="IntenseQuoteChar"/>
    <w:uiPriority w:val="30"/>
    <w:qFormat/>
    <w:rsid w:val="00920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42D"/>
    <w:rPr>
      <w:i/>
      <w:iCs/>
      <w:color w:val="0F4761" w:themeColor="accent1" w:themeShade="BF"/>
    </w:rPr>
  </w:style>
  <w:style w:type="character" w:styleId="IntenseReference">
    <w:name w:val="Intense Reference"/>
    <w:basedOn w:val="DefaultParagraphFont"/>
    <w:uiPriority w:val="32"/>
    <w:qFormat/>
    <w:rsid w:val="0092042D"/>
    <w:rPr>
      <w:b/>
      <w:bCs/>
      <w:smallCaps/>
      <w:color w:val="0F4761" w:themeColor="accent1" w:themeShade="BF"/>
      <w:spacing w:val="5"/>
    </w:rPr>
  </w:style>
  <w:style w:type="table" w:styleId="TableGrid">
    <w:name w:val="Table Grid"/>
    <w:basedOn w:val="TableNormal"/>
    <w:uiPriority w:val="39"/>
    <w:rsid w:val="00623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E78A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72B1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72B1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72B1D"/>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0048D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16</Pages>
  <Words>4843</Words>
  <Characters>27609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224</cp:revision>
  <dcterms:created xsi:type="dcterms:W3CDTF">2026-06-21T18:13:00Z</dcterms:created>
  <dcterms:modified xsi:type="dcterms:W3CDTF">2026-07-21T09:46:00Z</dcterms:modified>
</cp:coreProperties>
</file>