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B816F4" w:rsidR="00B970B8" w:rsidP="00B970B8" w:rsidRDefault="00B970B8" w14:paraId="2D9782F1" w14:textId="77777777">
      <w:pPr>
        <w:spacing w:after="106" w:line="259" w:lineRule="auto"/>
        <w:ind w:left="-1" w:right="5451"/>
        <w:jc w:val="right"/>
        <w:rPr>
          <w:rFonts w:eastAsia="Calibri"/>
          <w:color w:val="000000"/>
          <w:kern w:val="2"/>
          <w14:ligatures w14:val="standardContextual"/>
        </w:rPr>
      </w:pPr>
      <w:r w:rsidRPr="00B816F4">
        <w:rPr>
          <w:rFonts w:eastAsia="Calibri"/>
          <w:noProof/>
          <w:color w:val="000000"/>
          <w:kern w:val="2"/>
          <w14:ligatures w14:val="standardContextual"/>
        </w:rPr>
        <w:drawing>
          <wp:inline distT="0" distB="0" distL="0" distR="0" wp14:anchorId="07224542" wp14:editId="48C79C3D">
            <wp:extent cx="2619248" cy="1165860"/>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8"/>
                    <a:stretch>
                      <a:fillRect/>
                    </a:stretch>
                  </pic:blipFill>
                  <pic:spPr>
                    <a:xfrm>
                      <a:off x="0" y="0"/>
                      <a:ext cx="2619248" cy="1165860"/>
                    </a:xfrm>
                    <a:prstGeom prst="rect">
                      <a:avLst/>
                    </a:prstGeom>
                  </pic:spPr>
                </pic:pic>
              </a:graphicData>
            </a:graphic>
          </wp:inline>
        </w:drawing>
      </w:r>
      <w:r w:rsidRPr="00B816F4">
        <w:rPr>
          <w:rFonts w:eastAsia="Segoe UI"/>
          <w:color w:val="000000"/>
          <w:kern w:val="2"/>
          <w14:ligatures w14:val="standardContextual"/>
        </w:rPr>
        <w:t xml:space="preserve"> </w:t>
      </w:r>
    </w:p>
    <w:p w:rsidRPr="00B816F4" w:rsidR="00B970B8" w:rsidP="00B970B8" w:rsidRDefault="00B970B8" w14:paraId="2887294D" w14:textId="77777777">
      <w:pPr>
        <w:spacing w:after="161" w:line="259" w:lineRule="auto"/>
        <w:rPr>
          <w:rFonts w:eastAsia="Calibri"/>
          <w:color w:val="000000"/>
          <w:kern w:val="2"/>
          <w14:ligatures w14:val="standardContextual"/>
        </w:rPr>
      </w:pPr>
      <w:r w:rsidRPr="00B816F4">
        <w:rPr>
          <w:rFonts w:eastAsia="Segoe UI"/>
          <w:color w:val="000000"/>
          <w:kern w:val="2"/>
          <w14:ligatures w14:val="standardContextual"/>
        </w:rPr>
        <w:t xml:space="preserve"> </w:t>
      </w:r>
    </w:p>
    <w:p w:rsidRPr="00B816F4" w:rsidR="00B970B8" w:rsidP="00B970B8" w:rsidRDefault="00B970B8" w14:paraId="644828F7" w14:textId="77777777">
      <w:pPr>
        <w:spacing w:after="157" w:line="259" w:lineRule="auto"/>
        <w:rPr>
          <w:rFonts w:eastAsia="Calibri"/>
          <w:color w:val="000000"/>
          <w:kern w:val="2"/>
          <w14:ligatures w14:val="standardContextual"/>
        </w:rPr>
      </w:pPr>
      <w:r w:rsidRPr="00B816F4">
        <w:rPr>
          <w:rFonts w:eastAsia="Segoe UI"/>
          <w:color w:val="000000"/>
          <w:kern w:val="2"/>
          <w14:ligatures w14:val="standardContextual"/>
        </w:rPr>
        <w:t xml:space="preserve"> </w:t>
      </w:r>
    </w:p>
    <w:p w:rsidR="00CF3BAD" w:rsidP="00CF3BAD" w:rsidRDefault="00CF3BAD" w14:paraId="2362DC5A" w14:textId="31CF8F92">
      <w:pPr>
        <w:spacing w:after="200"/>
        <w:jc w:val="center"/>
      </w:pPr>
      <w:bookmarkStart w:name="_Toc233240138" w:id="0"/>
      <w:r>
        <w:rPr>
          <w:b/>
          <w:bCs/>
          <w:sz w:val="26"/>
          <w:szCs w:val="26"/>
        </w:rPr>
        <w:t>Component 2 – Research Report</w:t>
      </w:r>
    </w:p>
    <w:p w:rsidRPr="00E4787D" w:rsidR="00B970B8" w:rsidP="00B970B8" w:rsidRDefault="00B970B8" w14:paraId="0E38017E" w14:textId="77777777">
      <w:pPr>
        <w:pStyle w:val="Heading1"/>
        <w:jc w:val="center"/>
        <w:rPr>
          <w:b/>
          <w:bCs/>
          <w:color w:val="auto"/>
          <w:sz w:val="16"/>
          <w:szCs w:val="16"/>
        </w:rPr>
      </w:pPr>
      <w:bookmarkStart w:name="_Toc233501455" w:id="1"/>
      <w:r w:rsidRPr="00E4787D">
        <w:rPr>
          <w:color w:val="auto"/>
          <w:sz w:val="22"/>
          <w:szCs w:val="22"/>
        </w:rPr>
        <w:t>Title</w:t>
      </w:r>
      <w:bookmarkEnd w:id="0"/>
      <w:bookmarkEnd w:id="1"/>
    </w:p>
    <w:p w:rsidR="00CF3BAD" w:rsidP="00CF3BAD" w:rsidRDefault="00CF3BAD" w14:paraId="770DB84F" w14:textId="3CBA2F31">
      <w:pPr>
        <w:spacing w:after="300"/>
        <w:jc w:val="center"/>
      </w:pPr>
      <w:r>
        <w:rPr>
          <w:b/>
          <w:bCs/>
        </w:rPr>
        <w:t>Research Literacy: Learning How to Read a Research Paper</w:t>
      </w:r>
    </w:p>
    <w:p w:rsidRPr="00B816F4" w:rsidR="00B970B8" w:rsidP="00B970B8" w:rsidRDefault="00B970B8" w14:paraId="655B0A54" w14:textId="46D416A6">
      <w:pPr>
        <w:spacing w:after="161" w:line="259" w:lineRule="auto"/>
        <w:jc w:val="center"/>
        <w:rPr>
          <w:rFonts w:eastAsia="Calibri"/>
          <w:color w:val="000000"/>
          <w:kern w:val="2"/>
          <w14:ligatures w14:val="standardContextual"/>
        </w:rPr>
      </w:pPr>
      <w:r>
        <w:rPr>
          <w:rFonts w:eastAsia="Calibri"/>
          <w:color w:val="000000"/>
          <w:kern w:val="2"/>
          <w14:ligatures w14:val="standardContextual"/>
        </w:rPr>
        <w:t xml:space="preserve">Word Count: </w:t>
      </w:r>
      <w:r w:rsidR="0039535F">
        <w:rPr>
          <w:rFonts w:eastAsia="Calibri"/>
          <w:color w:val="000000"/>
          <w:kern w:val="2"/>
          <w14:ligatures w14:val="standardContextual"/>
        </w:rPr>
        <w:t>1,</w:t>
      </w:r>
      <w:r w:rsidR="002B73EF">
        <w:rPr>
          <w:rFonts w:eastAsia="Calibri"/>
          <w:color w:val="000000"/>
          <w:kern w:val="2"/>
          <w14:ligatures w14:val="standardContextual"/>
        </w:rPr>
        <w:t>6</w:t>
      </w:r>
      <w:r w:rsidR="00EF1EAA">
        <w:rPr>
          <w:rFonts w:eastAsia="Calibri"/>
          <w:color w:val="000000"/>
          <w:kern w:val="2"/>
          <w14:ligatures w14:val="standardContextual"/>
        </w:rPr>
        <w:t>49</w:t>
      </w:r>
    </w:p>
    <w:p w:rsidRPr="00B816F4" w:rsidR="00B970B8" w:rsidP="00B970B8" w:rsidRDefault="00B970B8" w14:paraId="70A822E9" w14:textId="77777777">
      <w:pPr>
        <w:spacing w:after="157" w:line="259" w:lineRule="auto"/>
        <w:rPr>
          <w:rFonts w:eastAsia="Calibri"/>
          <w:color w:val="000000"/>
          <w:kern w:val="2"/>
          <w14:ligatures w14:val="standardContextual"/>
        </w:rPr>
      </w:pPr>
      <w:r w:rsidRPr="00B816F4">
        <w:rPr>
          <w:rFonts w:eastAsia="Segoe UI"/>
          <w:color w:val="000000"/>
          <w:kern w:val="2"/>
          <w14:ligatures w14:val="standardContextual"/>
        </w:rPr>
        <w:t xml:space="preserve"> </w:t>
      </w:r>
    </w:p>
    <w:p w:rsidRPr="00B816F4" w:rsidR="00B970B8" w:rsidP="00B970B8" w:rsidRDefault="00B970B8" w14:paraId="7D504225" w14:textId="77777777">
      <w:pPr>
        <w:spacing w:after="206" w:line="259" w:lineRule="auto"/>
        <w:rPr>
          <w:rFonts w:eastAsia="Calibri"/>
          <w:color w:val="000000"/>
          <w:kern w:val="2"/>
          <w14:ligatures w14:val="standardContextual"/>
        </w:rPr>
      </w:pPr>
      <w:r w:rsidRPr="00B816F4">
        <w:rPr>
          <w:rFonts w:eastAsia="Segoe UI"/>
          <w:color w:val="000000"/>
          <w:kern w:val="2"/>
          <w14:ligatures w14:val="standardContextual"/>
        </w:rPr>
        <w:t xml:space="preserve"> </w:t>
      </w:r>
    </w:p>
    <w:p w:rsidRPr="00B816F4" w:rsidR="00B970B8" w:rsidP="00B970B8" w:rsidRDefault="00B970B8" w14:paraId="0B068F3D" w14:textId="57C48FE2">
      <w:pPr>
        <w:spacing w:after="160" w:line="259" w:lineRule="auto"/>
        <w:ind w:left="-5" w:hanging="10"/>
        <w:rPr>
          <w:rFonts w:eastAsia="Calibri"/>
          <w:color w:val="000000"/>
          <w:kern w:val="2"/>
          <w14:ligatures w14:val="standardContextual"/>
        </w:rPr>
      </w:pPr>
      <w:r w:rsidRPr="00B816F4">
        <w:rPr>
          <w:color w:val="000000"/>
          <w:kern w:val="2"/>
          <w14:ligatures w14:val="standardContextual"/>
        </w:rPr>
        <w:t xml:space="preserve">Name:  </w:t>
      </w:r>
      <w:r w:rsidRPr="4DCFDD80" w:rsidR="401F3D9F">
        <w:rPr>
          <w:color w:val="000000" w:themeColor="text1"/>
        </w:rPr>
        <w:t>EVE</w:t>
      </w:r>
      <w:r w:rsidRPr="7C118813" w:rsidR="401F3D9F">
        <w:rPr>
          <w:color w:val="000000" w:themeColor="text1"/>
        </w:rPr>
        <w:t>LYN MONU</w:t>
      </w:r>
    </w:p>
    <w:p w:rsidRPr="00B816F4" w:rsidR="00B970B8" w:rsidP="00B970B8" w:rsidRDefault="00B970B8" w14:paraId="15B1CC23" w14:textId="2E00E105">
      <w:pPr>
        <w:spacing w:after="160" w:line="259" w:lineRule="auto"/>
        <w:ind w:left="-5" w:hanging="10"/>
        <w:rPr>
          <w:rFonts w:eastAsia="Calibri"/>
          <w:color w:val="000000"/>
          <w:kern w:val="2"/>
          <w14:ligatures w14:val="standardContextual"/>
        </w:rPr>
      </w:pPr>
      <w:r w:rsidRPr="00B816F4">
        <w:rPr>
          <w:color w:val="000000"/>
          <w:kern w:val="2"/>
          <w14:ligatures w14:val="standardContextual"/>
        </w:rPr>
        <w:t xml:space="preserve">Student ID:  </w:t>
      </w:r>
      <w:r w:rsidRPr="7C118813" w:rsidR="04DEF847">
        <w:rPr>
          <w:color w:val="000000" w:themeColor="text1"/>
        </w:rPr>
        <w:t>2537502</w:t>
      </w:r>
    </w:p>
    <w:p w:rsidRPr="00B816F4" w:rsidR="00B970B8" w:rsidP="00B970B8" w:rsidRDefault="00B970B8" w14:paraId="60F11E4C" w14:textId="583E6BCA">
      <w:pPr>
        <w:spacing w:after="160" w:line="259" w:lineRule="auto"/>
        <w:ind w:left="-5" w:hanging="10"/>
        <w:rPr>
          <w:rFonts w:eastAsia="Calibri"/>
          <w:color w:val="000000"/>
          <w:kern w:val="2"/>
          <w14:ligatures w14:val="standardContextual"/>
        </w:rPr>
      </w:pPr>
      <w:r w:rsidRPr="00B816F4">
        <w:rPr>
          <w:color w:val="000000"/>
          <w:kern w:val="2"/>
          <w14:ligatures w14:val="standardContextual"/>
        </w:rPr>
        <w:t xml:space="preserve">Module Code:  </w:t>
      </w:r>
      <w:r w:rsidRPr="7C118813" w:rsidR="546F4464">
        <w:rPr>
          <w:color w:val="000000" w:themeColor="text1"/>
        </w:rPr>
        <w:t>LCHS4007</w:t>
      </w:r>
    </w:p>
    <w:p w:rsidRPr="00B816F4" w:rsidR="00B970B8" w:rsidP="7C118813" w:rsidRDefault="00B970B8" w14:paraId="1D2443AC" w14:textId="4DADC6AD">
      <w:pPr>
        <w:spacing w:after="160" w:line="259" w:lineRule="auto"/>
        <w:ind w:left="-5" w:hanging="10"/>
        <w:rPr>
          <w:color w:val="000000"/>
          <w:kern w:val="2"/>
          <w14:ligatures w14:val="standardContextual"/>
        </w:rPr>
      </w:pPr>
      <w:r w:rsidRPr="00B816F4">
        <w:rPr>
          <w:color w:val="000000"/>
          <w:kern w:val="2"/>
          <w14:ligatures w14:val="standardContextual"/>
        </w:rPr>
        <w:t xml:space="preserve">Module:  </w:t>
      </w:r>
      <w:r w:rsidRPr="7C118813" w:rsidR="736ABE26">
        <w:rPr>
          <w:color w:val="000000" w:themeColor="text1"/>
        </w:rPr>
        <w:t>COMPONENT 2- RESEARCH REPORT</w:t>
      </w:r>
    </w:p>
    <w:p w:rsidRPr="00B816F4" w:rsidR="00B970B8" w:rsidP="00B970B8" w:rsidRDefault="00B970B8" w14:paraId="1344CCD8" w14:textId="5F083816">
      <w:pPr>
        <w:spacing w:after="160" w:line="259" w:lineRule="auto"/>
        <w:ind w:left="-5" w:hanging="10"/>
        <w:rPr>
          <w:rFonts w:eastAsia="Calibri"/>
          <w:color w:val="000000"/>
          <w:kern w:val="2"/>
          <w14:ligatures w14:val="standardContextual"/>
        </w:rPr>
      </w:pPr>
      <w:r w:rsidRPr="00B816F4">
        <w:rPr>
          <w:color w:val="000000"/>
          <w:kern w:val="2"/>
          <w14:ligatures w14:val="standardContextual"/>
        </w:rPr>
        <w:t xml:space="preserve">Lecturer:  </w:t>
      </w:r>
      <w:r w:rsidRPr="7C118813" w:rsidR="2220D426">
        <w:rPr>
          <w:color w:val="000000" w:themeColor="text1"/>
        </w:rPr>
        <w:t>JUSTIN OKOLI</w:t>
      </w:r>
    </w:p>
    <w:p w:rsidRPr="00B816F4" w:rsidR="00B970B8" w:rsidP="00B970B8" w:rsidRDefault="00B970B8" w14:paraId="51732627" w14:textId="77777777">
      <w:pPr>
        <w:spacing w:after="158" w:line="259" w:lineRule="auto"/>
        <w:rPr>
          <w:rFonts w:eastAsia="Calibri"/>
          <w:color w:val="000000"/>
          <w:kern w:val="2"/>
          <w14:ligatures w14:val="standardContextual"/>
        </w:rPr>
      </w:pPr>
      <w:r w:rsidRPr="00B816F4">
        <w:rPr>
          <w:color w:val="000000"/>
          <w:kern w:val="2"/>
          <w14:ligatures w14:val="standardContextual"/>
        </w:rPr>
        <w:t xml:space="preserve"> </w:t>
      </w:r>
    </w:p>
    <w:p w:rsidRPr="00B816F4" w:rsidR="00B970B8" w:rsidP="08FF3708" w:rsidRDefault="00B970B8" w14:paraId="498B7C09" w14:textId="41BC038C">
      <w:pPr>
        <w:spacing w:after="160" w:line="259" w:lineRule="auto"/>
        <w:ind w:left="-5" w:hanging="10"/>
        <w:rPr>
          <w:color w:val="000000"/>
          <w:kern w:val="2"/>
          <w14:ligatures w14:val="standardContextual"/>
        </w:rPr>
      </w:pPr>
      <w:r w:rsidRPr="00B816F4" w:rsidR="00B970B8">
        <w:rPr>
          <w:color w:val="000000"/>
          <w:kern w:val="2"/>
          <w14:ligatures w14:val="standardContextual"/>
        </w:rPr>
        <w:t xml:space="preserve">Submitted </w:t>
      </w:r>
      <w:r w:rsidRPr="08FF3708" w:rsidR="00B970B8">
        <w:rPr>
          <w:color w:val="000000" w:themeColor="text1" w:themeTint="FF" w:themeShade="FF"/>
        </w:rPr>
        <w:t>on:</w:t>
      </w:r>
      <w:r w:rsidRPr="08FF3708" w:rsidR="00B970B8">
        <w:rPr>
          <w:color w:val="000000" w:themeColor="text1" w:themeTint="FF" w:themeShade="FF"/>
        </w:rPr>
        <w:t xml:space="preserve">   </w:t>
      </w:r>
      <w:r w:rsidRPr="08FF3708" w:rsidR="78A59E98">
        <w:rPr>
          <w:color w:val="000000" w:themeColor="text1" w:themeTint="FF" w:themeShade="FF"/>
        </w:rPr>
        <w:t>09/07/2026</w:t>
      </w:r>
    </w:p>
    <w:p w:rsidR="00BD63C3" w:rsidRDefault="00BD63C3" w14:paraId="219F2BA0" w14:textId="77777777">
      <w:pPr>
        <w:spacing w:after="120" w:line="360" w:lineRule="auto"/>
      </w:pPr>
    </w:p>
    <w:p w:rsidR="00BD63C3" w:rsidRDefault="00BD63C3" w14:paraId="67D9763C" w14:textId="77777777">
      <w:pPr>
        <w:spacing w:after="120" w:line="360" w:lineRule="auto"/>
      </w:pPr>
    </w:p>
    <w:p w:rsidR="00BD63C3" w:rsidRDefault="00BD63C3" w14:paraId="52F35C31" w14:textId="77777777">
      <w:pPr>
        <w:spacing w:after="120" w:line="360" w:lineRule="auto"/>
      </w:pPr>
    </w:p>
    <w:p w:rsidR="00BD63C3" w:rsidRDefault="00BD63C3" w14:paraId="62B497BF" w14:textId="77777777">
      <w:pPr>
        <w:spacing w:after="120" w:line="360" w:lineRule="auto"/>
      </w:pPr>
    </w:p>
    <w:p w:rsidR="00BD63C3" w:rsidRDefault="00BD63C3" w14:paraId="1F16F316" w14:textId="77777777">
      <w:pPr>
        <w:spacing w:after="120" w:line="360" w:lineRule="auto"/>
      </w:pPr>
    </w:p>
    <w:p w:rsidR="00BD63C3" w:rsidRDefault="00BD63C3" w14:paraId="7AFFCF8D" w14:textId="77777777">
      <w:pPr>
        <w:spacing w:after="120" w:line="360" w:lineRule="auto"/>
      </w:pPr>
    </w:p>
    <w:p w:rsidR="00BD63C3" w:rsidRDefault="00BD63C3" w14:paraId="653E408D" w14:textId="77777777">
      <w:pPr>
        <w:spacing w:after="120" w:line="360" w:lineRule="auto"/>
      </w:pPr>
    </w:p>
    <w:p w:rsidR="00BD63C3" w:rsidRDefault="00BD63C3" w14:paraId="3950125E" w14:textId="77777777">
      <w:pPr>
        <w:spacing w:after="120" w:line="360" w:lineRule="auto"/>
      </w:pPr>
    </w:p>
    <w:p w:rsidR="00BD63C3" w:rsidRDefault="00BD63C3" w14:paraId="7CE024A0" w14:textId="77777777">
      <w:pPr>
        <w:spacing w:after="120" w:line="360" w:lineRule="auto"/>
      </w:pPr>
    </w:p>
    <w:p w:rsidR="00BD63C3" w:rsidRDefault="00BD63C3" w14:paraId="5520B643" w14:textId="77777777">
      <w:pPr>
        <w:spacing w:after="120" w:line="360" w:lineRule="auto"/>
      </w:pPr>
    </w:p>
    <w:p w:rsidR="00BD63C3" w:rsidRDefault="00BD63C3" w14:paraId="7E64CFD4" w14:textId="77777777">
      <w:pPr>
        <w:spacing w:after="120" w:line="360" w:lineRule="auto"/>
      </w:pPr>
    </w:p>
    <w:p w:rsidR="00BD63C3" w:rsidRDefault="00BD63C3" w14:paraId="39683B56" w14:textId="77777777">
      <w:pPr>
        <w:spacing w:after="120" w:line="360" w:lineRule="auto"/>
      </w:pPr>
    </w:p>
    <w:sdt>
      <w:sdtPr>
        <w:rPr>
          <w:rFonts w:ascii="Arial" w:hAnsi="Arial" w:eastAsia="Arial" w:cs="Arial"/>
          <w:color w:val="auto"/>
          <w:sz w:val="22"/>
          <w:szCs w:val="22"/>
          <w:lang w:val="en-GB" w:eastAsia="en-GB"/>
        </w:rPr>
        <w:id w:val="1342355460"/>
        <w:docPartObj>
          <w:docPartGallery w:val="Table of Contents"/>
          <w:docPartUnique/>
        </w:docPartObj>
      </w:sdtPr>
      <w:sdtEndPr>
        <w:rPr>
          <w:rFonts w:ascii="Arial" w:hAnsi="Arial" w:eastAsia="Arial" w:cs="Arial"/>
          <w:noProof/>
          <w:color w:val="auto"/>
          <w:sz w:val="22"/>
          <w:szCs w:val="22"/>
          <w:lang w:val="en-GB" w:eastAsia="en-GB"/>
        </w:rPr>
      </w:sdtEndPr>
      <w:sdtContent>
        <w:p w:rsidR="00BD63C3" w:rsidRDefault="00BD63C3" w14:paraId="060A4327" w14:textId="0600E988">
          <w:pPr>
            <w:pStyle w:val="TOCHeading"/>
          </w:pPr>
          <w:r>
            <w:t>Table of Contents</w:t>
          </w:r>
        </w:p>
        <w:p w:rsidRPr="00FA0E09" w:rsidR="00300939" w:rsidRDefault="00BD63C3" w14:paraId="1B210BD3" w14:textId="0B054C27">
          <w:pPr>
            <w:pStyle w:val="TOC1"/>
            <w:tabs>
              <w:tab w:val="right" w:leader="dot" w:pos="9016"/>
            </w:tabs>
            <w:rPr>
              <w:rFonts w:eastAsiaTheme="minorEastAsia"/>
              <w:noProof/>
              <w:kern w:val="2"/>
              <w:sz w:val="24"/>
              <w:szCs w:val="24"/>
              <w14:ligatures w14:val="standardContextual"/>
            </w:rPr>
          </w:pPr>
          <w:r w:rsidRPr="00FA0E09">
            <w:fldChar w:fldCharType="begin"/>
          </w:r>
          <w:r w:rsidRPr="00FA0E09">
            <w:instrText xml:space="preserve"> TOC \o "1-3" \h \z \u </w:instrText>
          </w:r>
          <w:r w:rsidRPr="00FA0E09">
            <w:fldChar w:fldCharType="separate"/>
          </w:r>
          <w:hyperlink w:history="1" w:anchor="_Toc233501455">
            <w:r w:rsidRPr="00FA0E09" w:rsidR="00300939">
              <w:rPr>
                <w:rStyle w:val="Hyperlink"/>
                <w:noProof/>
              </w:rPr>
              <w:t>Title</w:t>
            </w:r>
            <w:r w:rsidRPr="00FA0E09" w:rsidR="00300939">
              <w:rPr>
                <w:noProof/>
                <w:webHidden/>
              </w:rPr>
              <w:tab/>
            </w:r>
            <w:r w:rsidRPr="00FA0E09" w:rsidR="00300939">
              <w:rPr>
                <w:noProof/>
                <w:webHidden/>
              </w:rPr>
              <w:fldChar w:fldCharType="begin"/>
            </w:r>
            <w:r w:rsidRPr="00FA0E09" w:rsidR="00300939">
              <w:rPr>
                <w:noProof/>
                <w:webHidden/>
              </w:rPr>
              <w:instrText xml:space="preserve"> PAGEREF _Toc233501455 \h </w:instrText>
            </w:r>
            <w:r w:rsidRPr="00FA0E09" w:rsidR="00300939">
              <w:rPr>
                <w:noProof/>
                <w:webHidden/>
              </w:rPr>
            </w:r>
            <w:r w:rsidRPr="00FA0E09" w:rsidR="00300939">
              <w:rPr>
                <w:noProof/>
                <w:webHidden/>
              </w:rPr>
              <w:fldChar w:fldCharType="separate"/>
            </w:r>
            <w:r w:rsidRPr="00FA0E09" w:rsidR="00300939">
              <w:rPr>
                <w:noProof/>
                <w:webHidden/>
              </w:rPr>
              <w:t>1</w:t>
            </w:r>
            <w:r w:rsidRPr="00FA0E09" w:rsidR="00300939">
              <w:rPr>
                <w:noProof/>
                <w:webHidden/>
              </w:rPr>
              <w:fldChar w:fldCharType="end"/>
            </w:r>
          </w:hyperlink>
        </w:p>
        <w:p w:rsidRPr="00FA0E09" w:rsidR="00300939" w:rsidRDefault="00300939" w14:paraId="5DCF521A" w14:textId="769D6D0A">
          <w:pPr>
            <w:pStyle w:val="TOC1"/>
            <w:tabs>
              <w:tab w:val="right" w:leader="dot" w:pos="9016"/>
            </w:tabs>
            <w:rPr>
              <w:rFonts w:eastAsiaTheme="minorEastAsia"/>
              <w:noProof/>
              <w:kern w:val="2"/>
              <w:sz w:val="24"/>
              <w:szCs w:val="24"/>
              <w14:ligatures w14:val="standardContextual"/>
            </w:rPr>
          </w:pPr>
          <w:hyperlink w:history="1" w:anchor="_Toc233501456">
            <w:r w:rsidRPr="00FA0E09">
              <w:rPr>
                <w:rStyle w:val="Hyperlink"/>
                <w:noProof/>
              </w:rPr>
              <w:t>Introducing the Research Paper and Topic Development</w:t>
            </w:r>
            <w:r w:rsidRPr="00FA0E09">
              <w:rPr>
                <w:noProof/>
                <w:webHidden/>
              </w:rPr>
              <w:tab/>
            </w:r>
            <w:r w:rsidRPr="00FA0E09">
              <w:rPr>
                <w:noProof/>
                <w:webHidden/>
              </w:rPr>
              <w:fldChar w:fldCharType="begin"/>
            </w:r>
            <w:r w:rsidRPr="00FA0E09">
              <w:rPr>
                <w:noProof/>
                <w:webHidden/>
              </w:rPr>
              <w:instrText xml:space="preserve"> PAGEREF _Toc233501456 \h </w:instrText>
            </w:r>
            <w:r w:rsidRPr="00FA0E09">
              <w:rPr>
                <w:noProof/>
                <w:webHidden/>
              </w:rPr>
            </w:r>
            <w:r w:rsidRPr="00FA0E09">
              <w:rPr>
                <w:noProof/>
                <w:webHidden/>
              </w:rPr>
              <w:fldChar w:fldCharType="separate"/>
            </w:r>
            <w:r w:rsidRPr="00FA0E09">
              <w:rPr>
                <w:noProof/>
                <w:webHidden/>
              </w:rPr>
              <w:t>3</w:t>
            </w:r>
            <w:r w:rsidRPr="00FA0E09">
              <w:rPr>
                <w:noProof/>
                <w:webHidden/>
              </w:rPr>
              <w:fldChar w:fldCharType="end"/>
            </w:r>
          </w:hyperlink>
        </w:p>
        <w:p w:rsidRPr="00FA0E09" w:rsidR="00300939" w:rsidRDefault="00300939" w14:paraId="758D8EFA" w14:textId="449818E7">
          <w:pPr>
            <w:pStyle w:val="TOC1"/>
            <w:tabs>
              <w:tab w:val="right" w:leader="dot" w:pos="9016"/>
            </w:tabs>
            <w:rPr>
              <w:rFonts w:eastAsiaTheme="minorEastAsia"/>
              <w:noProof/>
              <w:kern w:val="2"/>
              <w:sz w:val="24"/>
              <w:szCs w:val="24"/>
              <w14:ligatures w14:val="standardContextual"/>
            </w:rPr>
          </w:pPr>
          <w:hyperlink w:history="1" w:anchor="_Toc233501457">
            <w:r w:rsidRPr="00FA0E09">
              <w:rPr>
                <w:rStyle w:val="Hyperlink"/>
                <w:noProof/>
              </w:rPr>
              <w:t>Understanding the Purpose and Research Question</w:t>
            </w:r>
            <w:r w:rsidRPr="00FA0E09">
              <w:rPr>
                <w:noProof/>
                <w:webHidden/>
              </w:rPr>
              <w:tab/>
            </w:r>
            <w:r w:rsidRPr="00FA0E09">
              <w:rPr>
                <w:noProof/>
                <w:webHidden/>
              </w:rPr>
              <w:fldChar w:fldCharType="begin"/>
            </w:r>
            <w:r w:rsidRPr="00FA0E09">
              <w:rPr>
                <w:noProof/>
                <w:webHidden/>
              </w:rPr>
              <w:instrText xml:space="preserve"> PAGEREF _Toc233501457 \h </w:instrText>
            </w:r>
            <w:r w:rsidRPr="00FA0E09">
              <w:rPr>
                <w:noProof/>
                <w:webHidden/>
              </w:rPr>
            </w:r>
            <w:r w:rsidRPr="00FA0E09">
              <w:rPr>
                <w:noProof/>
                <w:webHidden/>
              </w:rPr>
              <w:fldChar w:fldCharType="separate"/>
            </w:r>
            <w:r w:rsidRPr="00FA0E09">
              <w:rPr>
                <w:noProof/>
                <w:webHidden/>
              </w:rPr>
              <w:t>4</w:t>
            </w:r>
            <w:r w:rsidRPr="00FA0E09">
              <w:rPr>
                <w:noProof/>
                <w:webHidden/>
              </w:rPr>
              <w:fldChar w:fldCharType="end"/>
            </w:r>
          </w:hyperlink>
        </w:p>
        <w:p w:rsidRPr="00FA0E09" w:rsidR="00300939" w:rsidRDefault="00300939" w14:paraId="52B2FD5D" w14:textId="145495BB">
          <w:pPr>
            <w:pStyle w:val="TOC1"/>
            <w:tabs>
              <w:tab w:val="right" w:leader="dot" w:pos="9016"/>
            </w:tabs>
            <w:rPr>
              <w:rFonts w:eastAsiaTheme="minorEastAsia"/>
              <w:noProof/>
              <w:kern w:val="2"/>
              <w:sz w:val="24"/>
              <w:szCs w:val="24"/>
              <w14:ligatures w14:val="standardContextual"/>
            </w:rPr>
          </w:pPr>
          <w:hyperlink w:history="1" w:anchor="_Toc233501458">
            <w:r w:rsidRPr="00FA0E09">
              <w:rPr>
                <w:rStyle w:val="Hyperlink"/>
                <w:noProof/>
              </w:rPr>
              <w:t>Understanding the Research Methods</w:t>
            </w:r>
            <w:r w:rsidRPr="00FA0E09">
              <w:rPr>
                <w:noProof/>
                <w:webHidden/>
              </w:rPr>
              <w:tab/>
            </w:r>
            <w:r w:rsidRPr="00FA0E09">
              <w:rPr>
                <w:noProof/>
                <w:webHidden/>
              </w:rPr>
              <w:fldChar w:fldCharType="begin"/>
            </w:r>
            <w:r w:rsidRPr="00FA0E09">
              <w:rPr>
                <w:noProof/>
                <w:webHidden/>
              </w:rPr>
              <w:instrText xml:space="preserve"> PAGEREF _Toc233501458 \h </w:instrText>
            </w:r>
            <w:r w:rsidRPr="00FA0E09">
              <w:rPr>
                <w:noProof/>
                <w:webHidden/>
              </w:rPr>
            </w:r>
            <w:r w:rsidRPr="00FA0E09">
              <w:rPr>
                <w:noProof/>
                <w:webHidden/>
              </w:rPr>
              <w:fldChar w:fldCharType="separate"/>
            </w:r>
            <w:r w:rsidRPr="00FA0E09">
              <w:rPr>
                <w:noProof/>
                <w:webHidden/>
              </w:rPr>
              <w:t>4</w:t>
            </w:r>
            <w:r w:rsidRPr="00FA0E09">
              <w:rPr>
                <w:noProof/>
                <w:webHidden/>
              </w:rPr>
              <w:fldChar w:fldCharType="end"/>
            </w:r>
          </w:hyperlink>
        </w:p>
        <w:p w:rsidRPr="00FA0E09" w:rsidR="00300939" w:rsidRDefault="00300939" w14:paraId="37AEAC08" w14:textId="16AB2C9F">
          <w:pPr>
            <w:pStyle w:val="TOC1"/>
            <w:tabs>
              <w:tab w:val="right" w:leader="dot" w:pos="9016"/>
            </w:tabs>
            <w:rPr>
              <w:rFonts w:eastAsiaTheme="minorEastAsia"/>
              <w:noProof/>
              <w:kern w:val="2"/>
              <w:sz w:val="24"/>
              <w:szCs w:val="24"/>
              <w14:ligatures w14:val="standardContextual"/>
            </w:rPr>
          </w:pPr>
          <w:hyperlink w:history="1" w:anchor="_Toc233501459">
            <w:r w:rsidRPr="00FA0E09">
              <w:rPr>
                <w:rStyle w:val="Hyperlink"/>
                <w:noProof/>
              </w:rPr>
              <w:t>Conclusion</w:t>
            </w:r>
            <w:r w:rsidRPr="00FA0E09">
              <w:rPr>
                <w:noProof/>
                <w:webHidden/>
              </w:rPr>
              <w:tab/>
            </w:r>
            <w:r w:rsidRPr="00FA0E09">
              <w:rPr>
                <w:noProof/>
                <w:webHidden/>
              </w:rPr>
              <w:fldChar w:fldCharType="begin"/>
            </w:r>
            <w:r w:rsidRPr="00FA0E09">
              <w:rPr>
                <w:noProof/>
                <w:webHidden/>
              </w:rPr>
              <w:instrText xml:space="preserve"> PAGEREF _Toc233501459 \h </w:instrText>
            </w:r>
            <w:r w:rsidRPr="00FA0E09">
              <w:rPr>
                <w:noProof/>
                <w:webHidden/>
              </w:rPr>
            </w:r>
            <w:r w:rsidRPr="00FA0E09">
              <w:rPr>
                <w:noProof/>
                <w:webHidden/>
              </w:rPr>
              <w:fldChar w:fldCharType="separate"/>
            </w:r>
            <w:r w:rsidRPr="00FA0E09">
              <w:rPr>
                <w:noProof/>
                <w:webHidden/>
              </w:rPr>
              <w:t>6</w:t>
            </w:r>
            <w:r w:rsidRPr="00FA0E09">
              <w:rPr>
                <w:noProof/>
                <w:webHidden/>
              </w:rPr>
              <w:fldChar w:fldCharType="end"/>
            </w:r>
          </w:hyperlink>
        </w:p>
        <w:p w:rsidRPr="00FA0E09" w:rsidR="00300939" w:rsidRDefault="00300939" w14:paraId="430A812D" w14:textId="66DB8393">
          <w:pPr>
            <w:pStyle w:val="TOC1"/>
            <w:tabs>
              <w:tab w:val="right" w:leader="dot" w:pos="9016"/>
            </w:tabs>
            <w:rPr>
              <w:rFonts w:eastAsiaTheme="minorEastAsia"/>
              <w:noProof/>
              <w:kern w:val="2"/>
              <w:sz w:val="24"/>
              <w:szCs w:val="24"/>
              <w14:ligatures w14:val="standardContextual"/>
            </w:rPr>
          </w:pPr>
          <w:hyperlink w:history="1" w:anchor="_Toc233501460">
            <w:r w:rsidRPr="00FA0E09">
              <w:rPr>
                <w:rStyle w:val="Hyperlink"/>
                <w:noProof/>
              </w:rPr>
              <w:t>Reference List</w:t>
            </w:r>
            <w:r w:rsidRPr="00FA0E09">
              <w:rPr>
                <w:noProof/>
                <w:webHidden/>
              </w:rPr>
              <w:tab/>
            </w:r>
            <w:r w:rsidRPr="00FA0E09">
              <w:rPr>
                <w:noProof/>
                <w:webHidden/>
              </w:rPr>
              <w:fldChar w:fldCharType="begin"/>
            </w:r>
            <w:r w:rsidRPr="00FA0E09">
              <w:rPr>
                <w:noProof/>
                <w:webHidden/>
              </w:rPr>
              <w:instrText xml:space="preserve"> PAGEREF _Toc233501460 \h </w:instrText>
            </w:r>
            <w:r w:rsidRPr="00FA0E09">
              <w:rPr>
                <w:noProof/>
                <w:webHidden/>
              </w:rPr>
            </w:r>
            <w:r w:rsidRPr="00FA0E09">
              <w:rPr>
                <w:noProof/>
                <w:webHidden/>
              </w:rPr>
              <w:fldChar w:fldCharType="separate"/>
            </w:r>
            <w:r w:rsidRPr="00FA0E09">
              <w:rPr>
                <w:noProof/>
                <w:webHidden/>
              </w:rPr>
              <w:t>7</w:t>
            </w:r>
            <w:r w:rsidRPr="00FA0E09">
              <w:rPr>
                <w:noProof/>
                <w:webHidden/>
              </w:rPr>
              <w:fldChar w:fldCharType="end"/>
            </w:r>
          </w:hyperlink>
        </w:p>
        <w:p w:rsidRPr="00FA0E09" w:rsidR="00BD63C3" w:rsidRDefault="00BD63C3" w14:paraId="52BEED95" w14:textId="050A8620">
          <w:r w:rsidRPr="00FA0E09">
            <w:rPr>
              <w:noProof/>
            </w:rPr>
            <w:fldChar w:fldCharType="end"/>
          </w:r>
        </w:p>
      </w:sdtContent>
    </w:sdt>
    <w:p w:rsidR="00BD63C3" w:rsidRDefault="00BD63C3" w14:paraId="0E495CD6" w14:textId="77777777">
      <w:pPr>
        <w:spacing w:after="120" w:line="360" w:lineRule="auto"/>
      </w:pPr>
    </w:p>
    <w:p w:rsidR="00BD63C3" w:rsidRDefault="00BD63C3" w14:paraId="2494BD96" w14:textId="77777777">
      <w:pPr>
        <w:spacing w:after="120" w:line="360" w:lineRule="auto"/>
      </w:pPr>
    </w:p>
    <w:p w:rsidR="00BD63C3" w:rsidRDefault="00BD63C3" w14:paraId="3DB61A36" w14:textId="77777777">
      <w:pPr>
        <w:spacing w:after="120" w:line="360" w:lineRule="auto"/>
      </w:pPr>
    </w:p>
    <w:p w:rsidR="00BD63C3" w:rsidRDefault="00BD63C3" w14:paraId="576A5FA9" w14:textId="77777777">
      <w:pPr>
        <w:spacing w:after="120" w:line="360" w:lineRule="auto"/>
      </w:pPr>
    </w:p>
    <w:p w:rsidR="00BD63C3" w:rsidRDefault="00BD63C3" w14:paraId="2E667E2D" w14:textId="77777777">
      <w:pPr>
        <w:spacing w:after="120" w:line="360" w:lineRule="auto"/>
      </w:pPr>
    </w:p>
    <w:p w:rsidR="00BD63C3" w:rsidRDefault="00BD63C3" w14:paraId="74C2AECC" w14:textId="77777777">
      <w:pPr>
        <w:spacing w:after="120" w:line="360" w:lineRule="auto"/>
      </w:pPr>
    </w:p>
    <w:p w:rsidR="00BD63C3" w:rsidRDefault="00BD63C3" w14:paraId="2945C9B1" w14:textId="77777777">
      <w:pPr>
        <w:spacing w:after="120" w:line="360" w:lineRule="auto"/>
      </w:pPr>
    </w:p>
    <w:p w:rsidR="00BD63C3" w:rsidRDefault="00BD63C3" w14:paraId="33FB3152" w14:textId="77777777">
      <w:pPr>
        <w:spacing w:after="120" w:line="360" w:lineRule="auto"/>
      </w:pPr>
    </w:p>
    <w:p w:rsidR="00BD63C3" w:rsidRDefault="00BD63C3" w14:paraId="0083264E" w14:textId="77777777">
      <w:pPr>
        <w:spacing w:after="120" w:line="360" w:lineRule="auto"/>
      </w:pPr>
    </w:p>
    <w:p w:rsidR="00BD63C3" w:rsidRDefault="00BD63C3" w14:paraId="2273B042" w14:textId="77777777">
      <w:pPr>
        <w:spacing w:after="120" w:line="360" w:lineRule="auto"/>
      </w:pPr>
    </w:p>
    <w:p w:rsidR="00BD63C3" w:rsidRDefault="00BD63C3" w14:paraId="17816544" w14:textId="77777777">
      <w:pPr>
        <w:spacing w:after="120" w:line="360" w:lineRule="auto"/>
      </w:pPr>
    </w:p>
    <w:p w:rsidR="00BD63C3" w:rsidRDefault="00BD63C3" w14:paraId="3076EB19" w14:textId="77777777">
      <w:pPr>
        <w:spacing w:after="120" w:line="360" w:lineRule="auto"/>
      </w:pPr>
    </w:p>
    <w:p w:rsidR="00BD63C3" w:rsidRDefault="00BD63C3" w14:paraId="1365D8C4" w14:textId="77777777">
      <w:pPr>
        <w:spacing w:after="120" w:line="360" w:lineRule="auto"/>
      </w:pPr>
    </w:p>
    <w:p w:rsidR="00BD63C3" w:rsidRDefault="00BD63C3" w14:paraId="4B08ACB4" w14:textId="77777777">
      <w:pPr>
        <w:spacing w:after="120" w:line="360" w:lineRule="auto"/>
      </w:pPr>
    </w:p>
    <w:p w:rsidR="00BD63C3" w:rsidRDefault="00BD63C3" w14:paraId="05A4C7E1" w14:textId="77777777">
      <w:pPr>
        <w:spacing w:after="120" w:line="360" w:lineRule="auto"/>
      </w:pPr>
    </w:p>
    <w:p w:rsidR="00BD63C3" w:rsidRDefault="00BD63C3" w14:paraId="6BC35D4C" w14:textId="77777777">
      <w:pPr>
        <w:spacing w:after="120" w:line="360" w:lineRule="auto"/>
      </w:pPr>
    </w:p>
    <w:p w:rsidR="00BD63C3" w:rsidRDefault="00BD63C3" w14:paraId="4CB2DA24" w14:textId="77777777">
      <w:pPr>
        <w:spacing w:after="120" w:line="360" w:lineRule="auto"/>
      </w:pPr>
    </w:p>
    <w:p w:rsidR="00BD63C3" w:rsidRDefault="00BD63C3" w14:paraId="512D6FAE" w14:textId="77777777">
      <w:pPr>
        <w:spacing w:after="120" w:line="360" w:lineRule="auto"/>
      </w:pPr>
    </w:p>
    <w:p w:rsidR="00BD63C3" w:rsidRDefault="00BD63C3" w14:paraId="57E9056E" w14:textId="77777777">
      <w:pPr>
        <w:spacing w:after="120" w:line="360" w:lineRule="auto"/>
      </w:pPr>
    </w:p>
    <w:p w:rsidR="00BD63C3" w:rsidRDefault="00BD63C3" w14:paraId="3BA02A60" w14:textId="77777777">
      <w:pPr>
        <w:spacing w:after="120" w:line="360" w:lineRule="auto"/>
      </w:pPr>
    </w:p>
    <w:p w:rsidR="00A071B2" w:rsidRDefault="00A071B2" w14:paraId="60976EC5" w14:textId="77777777">
      <w:pPr>
        <w:spacing w:after="120" w:line="360" w:lineRule="auto"/>
      </w:pPr>
    </w:p>
    <w:p w:rsidRPr="00A45F0C" w:rsidR="003C7E3A" w:rsidP="00A45F0C" w:rsidRDefault="00A82CCD" w14:paraId="2DA15CB0" w14:textId="26E2AD04">
      <w:pPr>
        <w:pStyle w:val="Heading1"/>
        <w:rPr>
          <w:b/>
          <w:bCs/>
          <w:color w:val="auto"/>
          <w:sz w:val="24"/>
          <w:szCs w:val="24"/>
        </w:rPr>
      </w:pPr>
      <w:bookmarkStart w:name="_Toc233501456" w:id="2"/>
      <w:r w:rsidRPr="00BD63C3">
        <w:rPr>
          <w:b/>
          <w:bCs/>
          <w:color w:val="auto"/>
          <w:sz w:val="24"/>
          <w:szCs w:val="24"/>
        </w:rPr>
        <w:t>Introducing the Research Paper and Topic Development</w:t>
      </w:r>
      <w:bookmarkEnd w:id="2"/>
    </w:p>
    <w:p w:rsidRPr="00BD63C3" w:rsidR="001A0ABA" w:rsidP="00A45F0C" w:rsidRDefault="00A82CCD" w14:paraId="679F99BF" w14:textId="43A86116">
      <w:pPr>
        <w:spacing w:before="240" w:after="160" w:line="360" w:lineRule="auto"/>
        <w:jc w:val="both"/>
      </w:pPr>
      <w:r w:rsidRPr="00BD63C3">
        <w:t>Title: A Qualitative Study of Organisational Resilience in Care Homes in Scotland.</w:t>
      </w:r>
    </w:p>
    <w:p w:rsidRPr="00BD63C3" w:rsidR="001A0ABA" w:rsidRDefault="00A82CCD" w14:paraId="70DA1A70" w14:textId="77777777">
      <w:pPr>
        <w:spacing w:after="160" w:line="360" w:lineRule="auto"/>
        <w:jc w:val="both"/>
      </w:pPr>
      <w:r w:rsidRPr="00BD63C3">
        <w:t>Authors: Alastair Ross, Janet E. Anderson, Santhani Selveindran, Tamsin MacBride, Paul Bowie, Andrea Sherriff, Linda Young, Evie Fioratou, Edel Roddy, Heather Edwards, Belinda Dewar, and Lorna M. Macpherson.</w:t>
      </w:r>
    </w:p>
    <w:p w:rsidRPr="00BD63C3" w:rsidR="001A0ABA" w:rsidRDefault="00A82CCD" w14:paraId="7A3523A9" w14:textId="77777777">
      <w:pPr>
        <w:spacing w:after="160" w:line="360" w:lineRule="auto"/>
        <w:jc w:val="both"/>
      </w:pPr>
      <w:r w:rsidRPr="00BD63C3">
        <w:t>Year of Publication: 2022.</w:t>
      </w:r>
    </w:p>
    <w:p w:rsidRPr="00BD63C3" w:rsidR="001A0ABA" w:rsidRDefault="00A82CCD" w14:paraId="63A5F6AA" w14:textId="77777777">
      <w:pPr>
        <w:spacing w:after="160" w:line="360" w:lineRule="auto"/>
        <w:jc w:val="both"/>
      </w:pPr>
      <w:r w:rsidRPr="00BD63C3">
        <w:t>This research paper looks at the quality of care given to older people living in care homes in Scotland. The main topic it explores is organisational resilience, which simply means how well a care home can cope with challenges and still deliver good, safe care. The researchers wanted to understand how care home staff manage to keep things running properly when they face problems like staff shortages, complex resident needs, and heavy workloads. The study was part of a project called I-SCOPE, which stands for Improving Systems of Care for the Older Person.</w:t>
      </w:r>
    </w:p>
    <w:p w:rsidRPr="00BD63C3" w:rsidR="001A0ABA" w:rsidRDefault="00A82CCD" w14:paraId="70F4C3BA" w14:textId="77777777">
      <w:pPr>
        <w:spacing w:after="160" w:line="360" w:lineRule="auto"/>
        <w:jc w:val="both"/>
      </w:pPr>
      <w:r w:rsidRPr="00BD63C3">
        <w:t>The research is about care home staff, residents, and their family members. The settings were care homes across different parts of Scotland, including homes run privately, by local authorities, and by the third sector. The study also involved care inspectors and a range of other health professionals who work alongside care homes.</w:t>
      </w:r>
    </w:p>
    <w:p w:rsidR="00AE7E08" w:rsidRDefault="00A82CCD" w14:paraId="3EEE6E80" w14:textId="1752765C">
      <w:pPr>
        <w:spacing w:after="160" w:line="360" w:lineRule="auto"/>
        <w:jc w:val="both"/>
      </w:pPr>
      <w:r w:rsidRPr="00BD63C3">
        <w:t xml:space="preserve">This topic is very important in the UK health and social care system. There are serious and ongoing concerns about the quality of care that older people receive in residential care homes. Problems with nutrition, oral hygiene, falls risks, and medication safety have been reported repeatedly over many years (Morley et al., 2014; Barber et al., 2009). </w:t>
      </w:r>
      <w:r w:rsidRPr="00DC3241" w:rsidR="00DC3241">
        <w:t>Beyond these specific safety issues, research has highlighted that what matters most to care home residents is not just the absence of harm but whether care is genuinely tailored to their individual preferences and needs (Hodge et al., 2024)</w:t>
      </w:r>
      <w:r w:rsidR="00DC3241">
        <w:t xml:space="preserve">, </w:t>
      </w:r>
      <w:r w:rsidRPr="00BD63C3">
        <w:t>The COVID-19 pandemic made things significantly worse, with around a third of COVID-19 deaths in Scotland occurring in care homes (Scottish Government, 2021). At the same time, the number of people needing care home places is growing, as people live longer with more complex needs (Barker et al., 2021).</w:t>
      </w:r>
      <w:r w:rsidR="00F34A7D">
        <w:t xml:space="preserve"> </w:t>
      </w:r>
      <w:r w:rsidRPr="00F34A7D" w:rsidR="00F34A7D">
        <w:t>The pandemic not only increased mortality in care homes but placed extraordinary pressure on care home staff, whose wellbeing and resilience were severely tested by rapidly changing guidance, staff shortages, and reduced external support (Nolan, Bradley and Bufton, 2023)</w:t>
      </w:r>
      <w:r w:rsidR="00F34A7D">
        <w:t>.</w:t>
      </w:r>
      <w:r w:rsidRPr="00BD63C3">
        <w:t xml:space="preserve"> </w:t>
      </w:r>
    </w:p>
    <w:p w:rsidRPr="00BD63C3" w:rsidR="001A0ABA" w:rsidRDefault="00A82CCD" w14:paraId="7905ACF4" w14:textId="682F07CE">
      <w:pPr>
        <w:spacing w:after="160" w:line="360" w:lineRule="auto"/>
        <w:jc w:val="both"/>
      </w:pPr>
      <w:r w:rsidRPr="00BD63C3">
        <w:t>This puts increasing pressure on care home staff and organisations. Understanding how care homes manage to keep delivering good care under such difficult conditions is therefore very important for improving services and protecting some of the most vulnerable people in our society.</w:t>
      </w:r>
    </w:p>
    <w:p w:rsidRPr="00BD63C3" w:rsidR="001A0ABA" w:rsidRDefault="00A82CCD" w14:paraId="69C90C8A" w14:textId="77777777">
      <w:pPr>
        <w:spacing w:after="160" w:line="360" w:lineRule="auto"/>
        <w:jc w:val="both"/>
      </w:pPr>
      <w:r w:rsidRPr="00BD63C3">
        <w:t>The I-SCOPE project was developed because most existing research had focused on fixing specific problems identified through complaints or inspection reports, rather than looking at how care homes succeed despite difficult circumstances. The researchers felt there was a need to study care homes from a different angle, looking at what works well and why, in order to find more useful ways to improve care. This approach, known as Resilient Healthcare, focuses on the real world of everyday work rather than an ideal picture of how things should be done (Braithwaite et al., 2015).</w:t>
      </w:r>
    </w:p>
    <w:p w:rsidRPr="00BD63C3" w:rsidR="001A0ABA" w:rsidP="00BD63C3" w:rsidRDefault="00A82CCD" w14:paraId="60F30CBB" w14:textId="4D3416D0">
      <w:pPr>
        <w:pStyle w:val="Heading1"/>
        <w:rPr>
          <w:b/>
          <w:bCs/>
          <w:color w:val="auto"/>
          <w:sz w:val="24"/>
          <w:szCs w:val="24"/>
        </w:rPr>
      </w:pPr>
      <w:bookmarkStart w:name="_Toc233501457" w:id="3"/>
      <w:r w:rsidRPr="00BD63C3">
        <w:rPr>
          <w:b/>
          <w:bCs/>
          <w:color w:val="auto"/>
          <w:sz w:val="24"/>
          <w:szCs w:val="24"/>
        </w:rPr>
        <w:t>Understanding the Purpose and Research Question</w:t>
      </w:r>
      <w:bookmarkEnd w:id="3"/>
    </w:p>
    <w:p w:rsidRPr="00BD63C3" w:rsidR="001A0ABA" w:rsidP="00A45F0C" w:rsidRDefault="00A82CCD" w14:paraId="673C52C6" w14:textId="77777777">
      <w:pPr>
        <w:spacing w:before="240" w:after="160" w:line="360" w:lineRule="auto"/>
        <w:jc w:val="both"/>
      </w:pPr>
      <w:r w:rsidRPr="00BD63C3">
        <w:t>The main aim of this study was twofold. First, the researchers wanted to carefully describe how everyday care is delivered in care homes and how staff adapt and adjust when they face challenges. Second, they wanted to identify ways to help care homes become more resilient, meaning better at coping with unexpected problems and still achieving good outcomes for residents (Ross et al., 2022).</w:t>
      </w:r>
    </w:p>
    <w:p w:rsidRPr="00BD63C3" w:rsidR="001A0ABA" w:rsidRDefault="00A82CCD" w14:paraId="104064E7" w14:textId="13035245">
      <w:pPr>
        <w:spacing w:after="160" w:line="360" w:lineRule="auto"/>
        <w:jc w:val="both"/>
      </w:pPr>
      <w:r w:rsidRPr="00BD63C3">
        <w:t>Two key research questions guided the study. The first asked how care home staff manage to carry out their day-to-day work and achieve good results under constant pressure and changing conditions. The second asked what improvements could be made to support care homes in becoming more resilient organisations. These questions show the researchers were interested in understanding success, not just failure.</w:t>
      </w:r>
    </w:p>
    <w:p w:rsidRPr="00BD63C3" w:rsidR="001A0ABA" w:rsidP="00BD63C3" w:rsidRDefault="00A82CCD" w14:paraId="116BA5C6" w14:textId="2D27AAE9">
      <w:pPr>
        <w:pStyle w:val="Heading1"/>
        <w:rPr>
          <w:b/>
          <w:bCs/>
          <w:color w:val="auto"/>
          <w:sz w:val="24"/>
          <w:szCs w:val="24"/>
        </w:rPr>
      </w:pPr>
      <w:bookmarkStart w:name="_Toc233501458" w:id="4"/>
      <w:r w:rsidRPr="00BD63C3">
        <w:rPr>
          <w:b/>
          <w:bCs/>
          <w:color w:val="auto"/>
          <w:sz w:val="24"/>
          <w:szCs w:val="24"/>
        </w:rPr>
        <w:t>Understanding the Research Methods</w:t>
      </w:r>
      <w:bookmarkEnd w:id="4"/>
    </w:p>
    <w:p w:rsidRPr="003C7E3A" w:rsidR="001A0ABA" w:rsidRDefault="00A82CCD" w14:paraId="69C344B7" w14:textId="77777777">
      <w:pPr>
        <w:spacing w:before="160" w:after="100" w:line="360" w:lineRule="auto"/>
        <w:rPr>
          <w:b/>
          <w:bCs/>
        </w:rPr>
      </w:pPr>
      <w:r w:rsidRPr="003C7E3A">
        <w:rPr>
          <w:b/>
          <w:bCs/>
          <w:u w:val="single"/>
        </w:rPr>
        <w:t>Defining Research Approaches</w:t>
      </w:r>
    </w:p>
    <w:p w:rsidRPr="00BD63C3" w:rsidR="001A0ABA" w:rsidRDefault="00A82CCD" w14:paraId="03300BA2" w14:textId="77777777">
      <w:pPr>
        <w:spacing w:after="160" w:line="360" w:lineRule="auto"/>
        <w:jc w:val="both"/>
      </w:pPr>
      <w:r w:rsidRPr="00BD63C3">
        <w:t>Quantitative research is a method that uses numbers and statistics to find answers. For example, a researcher might count how many patients fell in a hospital, or measure how many nurses passed a test. Results are usually presented as figures, graphs, or percentages.</w:t>
      </w:r>
    </w:p>
    <w:p w:rsidRPr="00BD63C3" w:rsidR="001A0ABA" w:rsidRDefault="00A82CCD" w14:paraId="653AEF96" w14:textId="77777777">
      <w:pPr>
        <w:spacing w:after="160" w:line="360" w:lineRule="auto"/>
        <w:jc w:val="both"/>
      </w:pPr>
      <w:r w:rsidRPr="00BD63C3">
        <w:t>Qualitative research is different. Instead of numbers, it collects information in the form of words, stories, and descriptions. It focuses on people's experiences, opinions, and feelings. For instance, a researcher might interview nurses about what a typical working day feels like. This type of research is good for exploring complex topics in depth.</w:t>
      </w:r>
    </w:p>
    <w:p w:rsidR="001A0ABA" w:rsidRDefault="00A82CCD" w14:paraId="21062E01" w14:textId="11C243F8">
      <w:pPr>
        <w:spacing w:after="160" w:line="360" w:lineRule="auto"/>
        <w:jc w:val="both"/>
      </w:pPr>
      <w:r w:rsidRPr="00BD63C3">
        <w:t>Mixed-methods research combines both approaches</w:t>
      </w:r>
      <w:r w:rsidR="00413DFF">
        <w:t>s</w:t>
      </w:r>
      <w:r w:rsidRPr="00BD63C3">
        <w:t xml:space="preserve">. A researcher might collect numbers to measure something </w:t>
      </w:r>
      <w:r w:rsidRPr="00BD63C3" w:rsidR="00BA7565">
        <w:t>and</w:t>
      </w:r>
      <w:r w:rsidRPr="00BD63C3">
        <w:t xml:space="preserve"> carry out interviews to understand the reasons behind those numbers. Using both methods </w:t>
      </w:r>
      <w:r w:rsidR="00705CC9">
        <w:t>together</w:t>
      </w:r>
      <w:r w:rsidRPr="00BD63C3">
        <w:t>r can give a more complete picture of the topic being studied.</w:t>
      </w:r>
    </w:p>
    <w:p w:rsidR="00B34D2B" w:rsidRDefault="00B34D2B" w14:paraId="52FE7CBC" w14:textId="77777777">
      <w:pPr>
        <w:spacing w:after="160" w:line="360" w:lineRule="auto"/>
        <w:jc w:val="both"/>
      </w:pPr>
    </w:p>
    <w:p w:rsidRPr="00BD63C3" w:rsidR="00B34D2B" w:rsidRDefault="00B34D2B" w14:paraId="21076591" w14:textId="77777777">
      <w:pPr>
        <w:spacing w:after="160" w:line="360" w:lineRule="auto"/>
        <w:jc w:val="both"/>
      </w:pPr>
    </w:p>
    <w:p w:rsidRPr="003C7E3A" w:rsidR="001A0ABA" w:rsidRDefault="00A82CCD" w14:paraId="051FA50C" w14:textId="77777777">
      <w:pPr>
        <w:spacing w:before="160" w:after="100" w:line="360" w:lineRule="auto"/>
        <w:rPr>
          <w:b/>
          <w:bCs/>
        </w:rPr>
      </w:pPr>
      <w:r w:rsidRPr="003C7E3A">
        <w:rPr>
          <w:b/>
          <w:bCs/>
          <w:u w:val="single"/>
        </w:rPr>
        <w:t>The Method Used in This Study</w:t>
      </w:r>
    </w:p>
    <w:p w:rsidRPr="00BD63C3" w:rsidR="001A0ABA" w:rsidRDefault="00A82CCD" w14:paraId="2A0B782E" w14:textId="1BA0F0FE">
      <w:pPr>
        <w:spacing w:after="160" w:line="360" w:lineRule="auto"/>
        <w:jc w:val="both"/>
      </w:pPr>
      <w:r w:rsidRPr="00BD63C3">
        <w:t xml:space="preserve">This study used a </w:t>
      </w:r>
      <w:r w:rsidR="00AF2263">
        <w:t>qualitative</w:t>
      </w:r>
      <w:r w:rsidRPr="00BD63C3">
        <w:t xml:space="preserve">e methodology. The researchers chose this approach because they wanted to understand the lived experience of care </w:t>
      </w:r>
      <w:r w:rsidRPr="00BD63C3" w:rsidR="00BA7565">
        <w:t>homework</w:t>
      </w:r>
      <w:r w:rsidRPr="00BD63C3">
        <w:t>, including how staff manage their day, what decisions they make, and how they cope with difficulties. Qualitative methods are well suited to this kind of research because they allow people to describe things in their own words, giving richer and more detailed information than numbers alone could provide. As Ross explain, this approach was most appropriate for describing how everyday work is carried out and how staff, teams, and organisations adapt to complex conditions.</w:t>
      </w:r>
      <w:r w:rsidR="00B60BB5">
        <w:t xml:space="preserve"> </w:t>
      </w:r>
      <w:r w:rsidRPr="00B60BB5" w:rsidR="00B60BB5">
        <w:t>This is particularly relevant in care home settings, where the experiences of staff, residents, and families are complex and cannot be fully captured through statistics alone (Marshall et al., 2021)</w:t>
      </w:r>
    </w:p>
    <w:p w:rsidRPr="003C7E3A" w:rsidR="001A0ABA" w:rsidRDefault="00A82CCD" w14:paraId="150E46BE" w14:textId="77777777">
      <w:pPr>
        <w:spacing w:before="160" w:after="100" w:line="360" w:lineRule="auto"/>
        <w:rPr>
          <w:b/>
          <w:bCs/>
        </w:rPr>
      </w:pPr>
      <w:r w:rsidRPr="003C7E3A">
        <w:rPr>
          <w:b/>
          <w:bCs/>
          <w:u w:val="single"/>
        </w:rPr>
        <w:t>Primary and Secondary Data Collection</w:t>
      </w:r>
    </w:p>
    <w:p w:rsidRPr="00BD63C3" w:rsidR="001A0ABA" w:rsidRDefault="00A82CCD" w14:paraId="5FBCAC2E" w14:textId="77777777">
      <w:pPr>
        <w:spacing w:after="160" w:line="360" w:lineRule="auto"/>
        <w:jc w:val="both"/>
      </w:pPr>
      <w:r w:rsidRPr="00BD63C3">
        <w:t>It is important to understand the difference between primary data and secondary data. Primary data is information that a researcher collects themselves, directly from people or settings, specifically for the purpose of their study. Secondary data is information that already exists, such as government statistics or findings from earlier research. This study collected primary data because all information was gathered directly by the research team through their own observations and interviews.</w:t>
      </w:r>
    </w:p>
    <w:p w:rsidRPr="003C7E3A" w:rsidR="001A0ABA" w:rsidRDefault="00A82CCD" w14:paraId="642653A6" w14:textId="77777777">
      <w:pPr>
        <w:spacing w:before="160" w:after="100" w:line="360" w:lineRule="auto"/>
        <w:rPr>
          <w:b/>
          <w:bCs/>
        </w:rPr>
      </w:pPr>
      <w:r w:rsidRPr="003C7E3A">
        <w:rPr>
          <w:b/>
          <w:bCs/>
          <w:u w:val="single"/>
        </w:rPr>
        <w:t>How the Data Was Collected</w:t>
      </w:r>
    </w:p>
    <w:p w:rsidRPr="00BD63C3" w:rsidR="001A0ABA" w:rsidRDefault="00A82CCD" w14:paraId="2D63F992" w14:textId="77777777">
      <w:pPr>
        <w:spacing w:after="160" w:line="360" w:lineRule="auto"/>
        <w:jc w:val="both"/>
      </w:pPr>
      <w:r w:rsidRPr="00BD63C3">
        <w:t>The researchers used several different methods to collect data over 24 months across multiple care home sites in Scotland. This is known as an ethnographic approach, meaning the team spent extended time in the settings to understand everyday life in depth.</w:t>
      </w:r>
    </w:p>
    <w:p w:rsidRPr="00BD63C3" w:rsidR="001A0ABA" w:rsidRDefault="00A82CCD" w14:paraId="6F6A2FF3" w14:textId="05E0832A">
      <w:pPr>
        <w:spacing w:after="160" w:line="360" w:lineRule="auto"/>
        <w:jc w:val="both"/>
      </w:pPr>
      <w:r w:rsidRPr="00BD63C3">
        <w:t>First, the team carried out non-participant observation, watching care staff at work without getting involved. They spent 68 hours observing across six care homes, including watching medication rounds, mealtimes, personal care, and social activities, while taking detailed field notes throughout.</w:t>
      </w:r>
    </w:p>
    <w:p w:rsidRPr="00BD63C3" w:rsidR="001A0ABA" w:rsidRDefault="00A82CCD" w14:paraId="57BE7C48" w14:textId="5EBBEC84">
      <w:pPr>
        <w:spacing w:after="160" w:line="360" w:lineRule="auto"/>
        <w:jc w:val="both"/>
      </w:pPr>
      <w:r w:rsidRPr="00BD63C3">
        <w:t>Second, one-to-one interview</w:t>
      </w:r>
      <w:r w:rsidR="00582818">
        <w:t>s</w:t>
      </w:r>
      <w:r w:rsidRPr="00BD63C3">
        <w:t xml:space="preserve"> were conducted with 33 care home staff members, including managers, senior carers, nursing assistants, and dieticians. All sessions were recorded and transcribed word for word. Interviews began with broad questions and then explored specific areas such as medication management, mobility, oral care, and nutrition.</w:t>
      </w:r>
    </w:p>
    <w:p w:rsidRPr="00BD63C3" w:rsidR="001A0ABA" w:rsidRDefault="00A82CCD" w14:paraId="41B2AB80" w14:textId="77777777">
      <w:pPr>
        <w:spacing w:after="160" w:line="360" w:lineRule="auto"/>
        <w:jc w:val="both"/>
      </w:pPr>
      <w:r w:rsidRPr="00BD63C3">
        <w:t>Third, three focus groups were held with 17 participants in total. Two groups were with care inspectors and their managers, and one brought together a multi-disciplinary group including a pharmacist, physiotherapist, dentist, and dietician. Focus groups are useful because they allow people to discuss topics together, which can bring out ideas that might not arise in individual interviews (Onwuegbuzie et al., 2010).</w:t>
      </w:r>
    </w:p>
    <w:p w:rsidRPr="00BD63C3" w:rsidR="001A0ABA" w:rsidRDefault="00A82CCD" w14:paraId="7E6A2311" w14:textId="77777777">
      <w:pPr>
        <w:spacing w:after="160" w:line="360" w:lineRule="auto"/>
        <w:jc w:val="both"/>
      </w:pPr>
      <w:r w:rsidRPr="00BD63C3">
        <w:t>The team also conducted eight short interviews with residents and family members using a method called emotional touchpoints, which helps people describe their feelings about care in a comfortable and structured way (Brown and Groat, 2012). This approach was especially helpful for including residents living with dementia.</w:t>
      </w:r>
    </w:p>
    <w:p w:rsidRPr="00BD63C3" w:rsidR="001A0ABA" w:rsidRDefault="00A82CCD" w14:paraId="48D02DA6" w14:textId="77777777">
      <w:pPr>
        <w:spacing w:after="160" w:line="360" w:lineRule="auto"/>
        <w:jc w:val="both"/>
      </w:pPr>
      <w:r w:rsidRPr="00BD63C3">
        <w:t>Finally, a project workshop was held with 31 participants, where five round table discussions focused on key care themes including medication, nutrition, oral health, social activity, and mobility.</w:t>
      </w:r>
    </w:p>
    <w:p w:rsidRPr="003C7E3A" w:rsidR="001A0ABA" w:rsidRDefault="00A82CCD" w14:paraId="7574177D" w14:textId="77777777">
      <w:pPr>
        <w:spacing w:before="160" w:after="100" w:line="360" w:lineRule="auto"/>
        <w:rPr>
          <w:b/>
          <w:bCs/>
        </w:rPr>
      </w:pPr>
      <w:r w:rsidRPr="003C7E3A">
        <w:rPr>
          <w:b/>
          <w:bCs/>
          <w:u w:val="single"/>
        </w:rPr>
        <w:t>How the Data Was Analysed</w:t>
      </w:r>
    </w:p>
    <w:p w:rsidRPr="00BD63C3" w:rsidR="001A0ABA" w:rsidRDefault="00A82CCD" w14:paraId="01B5FC9E" w14:textId="77777777">
      <w:pPr>
        <w:spacing w:after="160" w:line="360" w:lineRule="auto"/>
        <w:jc w:val="both"/>
      </w:pPr>
      <w:r w:rsidRPr="00BD63C3">
        <w:t>All data were recorded, transcribed, and managed using QSR NVivo 12.0 software. The analysis was carried out in two stages following the CARE model. In the first stage, the researchers looked for real examples of work-as-done, meaning what actually happened in practice rather than what policies said should happen. For example, staff regularly adjusted the order of medication rounds depending on when residents woke up, and used flexible and creative approaches to support oral care for residents with dementia. These examples showed how staff balanced competing priorities and used their experience and judgement to get things done.</w:t>
      </w:r>
    </w:p>
    <w:p w:rsidR="001A0ABA" w:rsidRDefault="00A82CCD" w14:paraId="3DA8E395" w14:textId="77777777">
      <w:pPr>
        <w:spacing w:after="160" w:line="360" w:lineRule="auto"/>
        <w:jc w:val="both"/>
      </w:pPr>
      <w:r w:rsidRPr="00BD63C3">
        <w:t>In the second stage, three main themes were identified that ran across all the data: care planning and the use of information; coordination of everyday care activity; and providing person-centred care. These themes were presented at the project workshop, where participants confirmed they matched their own experience in care settings. This process of checking themes with participants is known as member validation, and it helps to strengthen the trustworthiness of qualitative findings.</w:t>
      </w:r>
    </w:p>
    <w:p w:rsidR="00EA7064" w:rsidRDefault="00EA7064" w14:paraId="4123F132" w14:textId="77777777">
      <w:pPr>
        <w:spacing w:after="160" w:line="360" w:lineRule="auto"/>
        <w:jc w:val="both"/>
      </w:pPr>
    </w:p>
    <w:p w:rsidR="00EA7064" w:rsidRDefault="00EA7064" w14:paraId="7DB9B01A" w14:textId="77777777">
      <w:pPr>
        <w:spacing w:after="160" w:line="360" w:lineRule="auto"/>
        <w:jc w:val="both"/>
      </w:pPr>
    </w:p>
    <w:p w:rsidR="00EA7064" w:rsidRDefault="00EA7064" w14:paraId="183EB23C" w14:textId="77777777">
      <w:pPr>
        <w:spacing w:after="160" w:line="360" w:lineRule="auto"/>
        <w:jc w:val="both"/>
      </w:pPr>
    </w:p>
    <w:p w:rsidR="00EA7064" w:rsidRDefault="00EA7064" w14:paraId="6ED1666D" w14:textId="77777777">
      <w:pPr>
        <w:spacing w:after="160" w:line="360" w:lineRule="auto"/>
        <w:jc w:val="both"/>
      </w:pPr>
    </w:p>
    <w:p w:rsidR="00EA7064" w:rsidRDefault="00EA7064" w14:paraId="605469AC" w14:textId="77777777">
      <w:pPr>
        <w:spacing w:after="160" w:line="360" w:lineRule="auto"/>
        <w:jc w:val="both"/>
      </w:pPr>
    </w:p>
    <w:p w:rsidR="00EA7064" w:rsidRDefault="00EA7064" w14:paraId="44110A2B" w14:textId="77777777">
      <w:pPr>
        <w:spacing w:after="160" w:line="360" w:lineRule="auto"/>
        <w:jc w:val="both"/>
      </w:pPr>
    </w:p>
    <w:p w:rsidR="00582818" w:rsidRDefault="00582818" w14:paraId="054311EA" w14:textId="77777777">
      <w:pPr>
        <w:spacing w:after="160" w:line="360" w:lineRule="auto"/>
        <w:jc w:val="both"/>
      </w:pPr>
    </w:p>
    <w:p w:rsidR="00582818" w:rsidRDefault="00582818" w14:paraId="68EEDAE3" w14:textId="77777777">
      <w:pPr>
        <w:spacing w:after="160" w:line="360" w:lineRule="auto"/>
        <w:jc w:val="both"/>
      </w:pPr>
    </w:p>
    <w:p w:rsidRPr="00BD63C3" w:rsidR="00EA7064" w:rsidRDefault="00EA7064" w14:paraId="788F0A71" w14:textId="77777777">
      <w:pPr>
        <w:spacing w:after="160" w:line="360" w:lineRule="auto"/>
        <w:jc w:val="both"/>
      </w:pPr>
    </w:p>
    <w:p w:rsidRPr="00B375CC" w:rsidR="00AB67DE" w:rsidP="00B375CC" w:rsidRDefault="00A82CCD" w14:paraId="2D5D823F" w14:textId="3A5EF3F9">
      <w:pPr>
        <w:pStyle w:val="Heading1"/>
        <w:rPr>
          <w:b/>
          <w:bCs/>
          <w:color w:val="auto"/>
          <w:sz w:val="24"/>
          <w:szCs w:val="24"/>
        </w:rPr>
      </w:pPr>
      <w:bookmarkStart w:name="_Toc233501459" w:id="5"/>
      <w:r w:rsidRPr="00BD63C3">
        <w:rPr>
          <w:b/>
          <w:bCs/>
          <w:color w:val="auto"/>
          <w:sz w:val="24"/>
          <w:szCs w:val="24"/>
        </w:rPr>
        <w:t>Conclusion</w:t>
      </w:r>
      <w:bookmarkEnd w:id="5"/>
    </w:p>
    <w:p w:rsidRPr="00AB67DE" w:rsidR="00AB67DE" w:rsidP="00B375CC" w:rsidRDefault="00AB67DE" w14:paraId="69E57320" w14:textId="77777777">
      <w:pPr>
        <w:spacing w:before="240" w:after="160" w:line="360" w:lineRule="auto"/>
        <w:jc w:val="both"/>
      </w:pPr>
      <w:r w:rsidRPr="00AB67DE">
        <w:t>This report has broken down the research paper by Ross et al. (2022), which explored how care homes in Scotland maintain quality care despite significant organisational pressures. The study employed a qualitative approach across multiple sites, drawing on observations, interviews, focus groups, and workshops to produce three key themes: flexible care planning and information use; effective coordination of everyday care activity; and person-centred approaches to resident wellbeing.</w:t>
      </w:r>
    </w:p>
    <w:p w:rsidRPr="00AB67DE" w:rsidR="00AB67DE" w:rsidP="00AB67DE" w:rsidRDefault="00C21E2F" w14:paraId="227E8AF6" w14:textId="3F34ED01">
      <w:pPr>
        <w:spacing w:after="160" w:line="360" w:lineRule="auto"/>
        <w:jc w:val="both"/>
      </w:pPr>
      <w:r>
        <w:t>T</w:t>
      </w:r>
      <w:r w:rsidRPr="00AB67DE" w:rsidR="00AB67DE">
        <w:t>his paper has sharpened my understanding of how research is designed and why methodological choices matter. Learning that qualitative methods were selected specifically because numbers alone could not capture the complexity of everyday care work has taught me to question not just what research finds, but how and why it was conducted that way. I also recognise that this study's small, self-selecting sample and pre-COVID context limit how broadly its findings can be applied, which is an important consideration when using research to inform real practice.</w:t>
      </w:r>
    </w:p>
    <w:p w:rsidR="00BD63C3" w:rsidRDefault="00AB67DE" w14:paraId="66F25414" w14:textId="4ABE26BB">
      <w:pPr>
        <w:spacing w:after="160" w:line="360" w:lineRule="auto"/>
        <w:jc w:val="both"/>
      </w:pPr>
      <w:r w:rsidRPr="00AB67DE">
        <w:t>These critical reading skills will be directly relevant to my future work in health and social care. Being able to assess whether a study's methods are appropriate, and whether its findings are trustworthy enough to guide decisions about vulnerable people, is a core professional competence. This assignment has given me a practical foundation for developing that ability throughout my studies and career.</w:t>
      </w:r>
    </w:p>
    <w:p w:rsidR="00B01075" w:rsidRDefault="00B01075" w14:paraId="29BDCCBB" w14:textId="77777777">
      <w:pPr>
        <w:spacing w:after="160" w:line="360" w:lineRule="auto"/>
        <w:jc w:val="both"/>
      </w:pPr>
    </w:p>
    <w:p w:rsidR="00B01075" w:rsidRDefault="00B01075" w14:paraId="21156B41" w14:textId="77777777">
      <w:pPr>
        <w:spacing w:after="160" w:line="360" w:lineRule="auto"/>
        <w:jc w:val="both"/>
      </w:pPr>
    </w:p>
    <w:p w:rsidR="00B01075" w:rsidRDefault="00B01075" w14:paraId="2D49CD41" w14:textId="77777777">
      <w:pPr>
        <w:spacing w:after="160" w:line="360" w:lineRule="auto"/>
        <w:jc w:val="both"/>
      </w:pPr>
    </w:p>
    <w:p w:rsidR="00B01075" w:rsidRDefault="00B01075" w14:paraId="4DC3034F" w14:textId="77777777">
      <w:pPr>
        <w:spacing w:after="160" w:line="360" w:lineRule="auto"/>
        <w:jc w:val="both"/>
      </w:pPr>
    </w:p>
    <w:p w:rsidR="00B01075" w:rsidRDefault="00B01075" w14:paraId="59A19257" w14:textId="77777777">
      <w:pPr>
        <w:spacing w:after="160" w:line="360" w:lineRule="auto"/>
        <w:jc w:val="both"/>
      </w:pPr>
    </w:p>
    <w:p w:rsidR="00B01075" w:rsidRDefault="00B01075" w14:paraId="1454C510" w14:textId="77777777">
      <w:pPr>
        <w:spacing w:after="160" w:line="360" w:lineRule="auto"/>
        <w:jc w:val="both"/>
      </w:pPr>
    </w:p>
    <w:p w:rsidR="00B01075" w:rsidRDefault="00B01075" w14:paraId="39D86ACE" w14:textId="77777777">
      <w:pPr>
        <w:spacing w:after="160" w:line="360" w:lineRule="auto"/>
        <w:jc w:val="both"/>
      </w:pPr>
    </w:p>
    <w:p w:rsidR="00B01075" w:rsidRDefault="00B01075" w14:paraId="6D9CFA17" w14:textId="77777777">
      <w:pPr>
        <w:spacing w:after="160" w:line="360" w:lineRule="auto"/>
        <w:jc w:val="both"/>
      </w:pPr>
    </w:p>
    <w:p w:rsidR="00B01075" w:rsidRDefault="00B01075" w14:paraId="23528D89" w14:textId="77777777">
      <w:pPr>
        <w:spacing w:after="160" w:line="360" w:lineRule="auto"/>
        <w:jc w:val="both"/>
      </w:pPr>
    </w:p>
    <w:p w:rsidR="00B01075" w:rsidRDefault="00B01075" w14:paraId="624A131C" w14:textId="77777777">
      <w:pPr>
        <w:spacing w:after="160" w:line="360" w:lineRule="auto"/>
        <w:jc w:val="both"/>
      </w:pPr>
    </w:p>
    <w:p w:rsidRPr="00BD63C3" w:rsidR="00CB78DB" w:rsidRDefault="00CB78DB" w14:paraId="5ADA16F6" w14:textId="77777777">
      <w:pPr>
        <w:spacing w:after="160" w:line="360" w:lineRule="auto"/>
        <w:jc w:val="both"/>
      </w:pPr>
    </w:p>
    <w:p w:rsidRPr="00BD63C3" w:rsidR="001A0ABA" w:rsidP="00BD63C3" w:rsidRDefault="00A82CCD" w14:paraId="03147C41" w14:textId="77777777">
      <w:pPr>
        <w:pStyle w:val="Heading1"/>
        <w:rPr>
          <w:b/>
          <w:bCs/>
          <w:color w:val="auto"/>
          <w:sz w:val="24"/>
          <w:szCs w:val="24"/>
        </w:rPr>
      </w:pPr>
      <w:bookmarkStart w:name="_Toc233501460" w:id="6"/>
      <w:r w:rsidRPr="00BD63C3">
        <w:rPr>
          <w:b/>
          <w:bCs/>
          <w:color w:val="auto"/>
          <w:sz w:val="24"/>
          <w:szCs w:val="24"/>
        </w:rPr>
        <w:t>Reference List</w:t>
      </w:r>
      <w:bookmarkEnd w:id="6"/>
    </w:p>
    <w:p w:rsidR="001A0ABA" w:rsidP="00797DFC" w:rsidRDefault="00A82CCD" w14:paraId="43EF863B" w14:textId="77777777">
      <w:pPr>
        <w:spacing w:before="240" w:after="160" w:line="276" w:lineRule="auto"/>
        <w:ind w:left="720" w:hanging="720"/>
        <w:jc w:val="both"/>
      </w:pPr>
      <w:r>
        <w:t>Barber, N.D., Alldred, D.P., Raynor, D.K., Sherwood, R., Parsons, S., Garfield, S., Westbrook, J., Jesson, J., Messer, D., Hinchcliffe, A., Avery, A.J., Cockburn, J., Jonson, I., Franklin, B.D., Dhillon, S. and Burnett, S. (2009) Care homes' use of medicines study: prevalence, causes and potential harm of medication errors in care homes for older people. Quality and Safety in Health Care, 18(5), pp.341–346.</w:t>
      </w:r>
    </w:p>
    <w:p w:rsidR="001A0ABA" w:rsidP="00797DFC" w:rsidRDefault="00A82CCD" w14:paraId="56FD5D40" w14:textId="6552215C">
      <w:pPr>
        <w:spacing w:after="160" w:line="276" w:lineRule="auto"/>
        <w:ind w:left="720" w:hanging="720"/>
        <w:jc w:val="both"/>
      </w:pPr>
      <w:r>
        <w:t>Barker, R.O., Craig, L., Spiers, G., Corner, L., Hanratty, B. and Livingston, G. (2021) Changes in health and functioning of care home residents over two decades: what can we learn from population-based studies? Age and Ageing, 50(3), pp.921–927.</w:t>
      </w:r>
    </w:p>
    <w:p w:rsidR="001A0ABA" w:rsidP="00797DFC" w:rsidRDefault="00A82CCD" w14:paraId="50EF4C98" w14:textId="77777777">
      <w:pPr>
        <w:spacing w:after="160" w:line="276" w:lineRule="auto"/>
        <w:ind w:left="720" w:hanging="720"/>
        <w:jc w:val="both"/>
      </w:pPr>
      <w:r>
        <w:t>Braithwaite, J., Wears, R.L. and Hollnagel, E. (2015) Resilient health care: turning patient safety on its head. International Journal for Quality in Health Care, 27(5), pp.418–420.</w:t>
      </w:r>
    </w:p>
    <w:p w:rsidR="001A0ABA" w:rsidP="00797DFC" w:rsidRDefault="00A82CCD" w14:paraId="075A5616" w14:textId="77777777">
      <w:pPr>
        <w:spacing w:after="160" w:line="276" w:lineRule="auto"/>
        <w:ind w:left="720" w:hanging="720"/>
        <w:jc w:val="both"/>
      </w:pPr>
      <w:r>
        <w:t>Brown, S.I. and Groat, A. (2012) Use of emotional touchpoints with people affected by dementia. British Journal of Occupational Therapy, 75(3), pp.150–151.</w:t>
      </w:r>
    </w:p>
    <w:p w:rsidR="004D44EE" w:rsidP="00797DFC" w:rsidRDefault="004D44EE" w14:paraId="0E649DB2" w14:textId="6DEF12D9">
      <w:pPr>
        <w:spacing w:after="160" w:line="276" w:lineRule="auto"/>
        <w:ind w:left="720" w:hanging="720"/>
        <w:jc w:val="both"/>
      </w:pPr>
      <w:r w:rsidRPr="004D44EE">
        <w:t xml:space="preserve">Hodge, G., Lang, I., Byng, R. and Pearce, S. (2024) Older peoples' lived experiences of personalised care in care homes: a meta-ethnography. </w:t>
      </w:r>
      <w:r w:rsidRPr="004D44EE">
        <w:rPr>
          <w:i/>
          <w:iCs/>
        </w:rPr>
        <w:t>International Journal of Older People Nursing</w:t>
      </w:r>
      <w:r w:rsidRPr="004D44EE">
        <w:t xml:space="preserve">, 19(1), e12585. Available at: </w:t>
      </w:r>
      <w:hyperlink w:history="1" r:id="rId9">
        <w:r w:rsidRPr="004D44EE">
          <w:rPr>
            <w:rStyle w:val="Hyperlink"/>
          </w:rPr>
          <w:t>https://doi.org/10.1111/opn.12585</w:t>
        </w:r>
      </w:hyperlink>
      <w:r w:rsidRPr="004D44EE">
        <w:t xml:space="preserve"> [Accessed </w:t>
      </w:r>
      <w:r w:rsidR="007003E6">
        <w:t>30</w:t>
      </w:r>
      <w:r w:rsidRPr="004D44EE">
        <w:t xml:space="preserve"> June 2026].</w:t>
      </w:r>
    </w:p>
    <w:p w:rsidR="00011AD8" w:rsidP="00797DFC" w:rsidRDefault="00011AD8" w14:paraId="0A148BB5" w14:textId="153F1518">
      <w:pPr>
        <w:spacing w:after="160" w:line="276" w:lineRule="auto"/>
        <w:ind w:left="720" w:hanging="720"/>
        <w:jc w:val="both"/>
      </w:pPr>
      <w:r w:rsidRPr="00011AD8">
        <w:t xml:space="preserve">Marshall, F., Gordon, A., Gladman, J.R.F. and Bishop, S. (2021) Care homes, their communities, and resilience in the face of the COVID-19 pandemic: interim findings from a qualitative study. </w:t>
      </w:r>
      <w:r w:rsidRPr="00011AD8">
        <w:rPr>
          <w:i/>
          <w:iCs/>
        </w:rPr>
        <w:t>BMC Geriatrics</w:t>
      </w:r>
      <w:r w:rsidRPr="00011AD8">
        <w:t xml:space="preserve">, 21(1), p.102. Available at: </w:t>
      </w:r>
      <w:hyperlink w:history="1" r:id="rId10">
        <w:r w:rsidRPr="00011AD8">
          <w:rPr>
            <w:rStyle w:val="Hyperlink"/>
          </w:rPr>
          <w:t>https://doi.org/10.1186/s12877-021-02053-9</w:t>
        </w:r>
      </w:hyperlink>
      <w:r w:rsidRPr="00011AD8">
        <w:t xml:space="preserve"> [Accessed </w:t>
      </w:r>
      <w:r w:rsidR="007003E6">
        <w:t>25</w:t>
      </w:r>
      <w:r w:rsidRPr="00011AD8">
        <w:t xml:space="preserve"> June 2026].</w:t>
      </w:r>
    </w:p>
    <w:p w:rsidR="001A0ABA" w:rsidP="00797DFC" w:rsidRDefault="00A82CCD" w14:paraId="2FA54EED" w14:textId="77777777">
      <w:pPr>
        <w:spacing w:after="160" w:line="276" w:lineRule="auto"/>
        <w:ind w:left="720" w:hanging="720"/>
        <w:jc w:val="both"/>
      </w:pPr>
      <w:r>
        <w:t>Morley, J.E., Caplan, G., Cesari, M., Dong, B., Flaherty, J.H., Grossberg, G.T., Holmerova, I., Katz, P.R., Koopmans, R., Little, M.O., Martin, F., Mitchell, S.L., Molloy, W., Panagiotoglou, D., Peisah, C., Peng, L.N., Rolland, Y., Sanford, A., Tolson, D. and Vellas, B. (2014) International survey of nursing home research priorities. Journal of the American Medical Directors Association, 15(5), pp.309–312.</w:t>
      </w:r>
    </w:p>
    <w:p w:rsidR="00B01075" w:rsidP="00797DFC" w:rsidRDefault="00B01075" w14:paraId="59FB6928" w14:textId="6459B185">
      <w:pPr>
        <w:spacing w:after="160" w:line="276" w:lineRule="auto"/>
        <w:ind w:left="720" w:hanging="720"/>
        <w:jc w:val="both"/>
      </w:pPr>
      <w:r w:rsidRPr="00B01075">
        <w:t xml:space="preserve">Nolan, F., Bradley, E. and Bufton, S. (2023) The impact of a public health crisis on the well-being of UK senior care home staff: a qualitative interview study. </w:t>
      </w:r>
      <w:r w:rsidRPr="00B01075">
        <w:rPr>
          <w:i/>
          <w:iCs/>
        </w:rPr>
        <w:t>Journal of Long-Term Care</w:t>
      </w:r>
      <w:r w:rsidRPr="00B01075">
        <w:t xml:space="preserve">, pp.312–322. Available at: </w:t>
      </w:r>
      <w:hyperlink w:history="1" r:id="rId11">
        <w:r w:rsidRPr="00B01075">
          <w:rPr>
            <w:rStyle w:val="Hyperlink"/>
          </w:rPr>
          <w:t>https://doi.org/10.31389/jltc.154</w:t>
        </w:r>
      </w:hyperlink>
      <w:r w:rsidRPr="00B01075">
        <w:t xml:space="preserve"> [Accessed </w:t>
      </w:r>
      <w:r w:rsidR="00B860A1">
        <w:t>02</w:t>
      </w:r>
      <w:r w:rsidRPr="00B01075">
        <w:t xml:space="preserve"> </w:t>
      </w:r>
      <w:r w:rsidR="00BA68B5">
        <w:t>J</w:t>
      </w:r>
      <w:r w:rsidR="00B860A1">
        <w:t>uly</w:t>
      </w:r>
      <w:r w:rsidRPr="00B01075">
        <w:t xml:space="preserve"> 2026].</w:t>
      </w:r>
    </w:p>
    <w:p w:rsidR="001A0ABA" w:rsidP="00797DFC" w:rsidRDefault="00A82CCD" w14:paraId="73D1B821" w14:textId="77777777">
      <w:pPr>
        <w:spacing w:after="160" w:line="276" w:lineRule="auto"/>
        <w:ind w:left="720" w:hanging="720"/>
        <w:jc w:val="both"/>
      </w:pPr>
      <w:r>
        <w:t>Onwuegbuzie, A.J., Dickinson, W.B., Leech, N.L. and Zoran, A.G. (2010) Toward more rigor in focus group research in stress and coping and beyond: a new mixed research framework for collecting and analyzing focus group data. In: Terry D.L. and Weaver, A.J. (eds.) Toward a Broader Understanding of Stress and Coping: Mixed Methods Approaches. Charlotte, NC: Information Age Publishing, pp.243–285.</w:t>
      </w:r>
    </w:p>
    <w:p w:rsidR="001A0ABA" w:rsidP="00797DFC" w:rsidRDefault="00A82CCD" w14:paraId="4F91C89E" w14:textId="77777777">
      <w:pPr>
        <w:spacing w:after="160" w:line="276" w:lineRule="auto"/>
        <w:ind w:left="720" w:hanging="720"/>
        <w:jc w:val="both"/>
      </w:pPr>
      <w:r>
        <w:t>Ross, A., Anderson, J.E., Selveindran, S., MacBride, T., Bowie, P., Sherriff, A., Young, L., Fioratou, E., Roddy, E., Edwards, H., Dewar, B. and Macpherson, L.M. (2022) A qualitative study of organisational resilience in care homes in Scotland. PLOS ONE, 17(12), e0279376. Available at: https://doi.org/10.1371/journal.pone.0279376 [Accessed 27 June 2026].</w:t>
      </w:r>
    </w:p>
    <w:p w:rsidR="001A0ABA" w:rsidP="00797DFC" w:rsidRDefault="00A82CCD" w14:paraId="26CA2E57" w14:textId="77777777">
      <w:pPr>
        <w:spacing w:after="160" w:line="276" w:lineRule="auto"/>
        <w:ind w:left="720" w:hanging="720"/>
        <w:jc w:val="both"/>
      </w:pPr>
      <w:r>
        <w:t>Scottish Government (2021) Coronavirus (COVID-19): daily data for Scotland. Available at: https://www.gov.scot/publications/coronavirus-covid-19-data-for-scotland/ [Accessed 27 June 2026].</w:t>
      </w:r>
    </w:p>
    <w:p w:rsidR="001A0ABA" w:rsidP="00797DFC" w:rsidRDefault="00A82CCD" w14:paraId="35608A63" w14:textId="77777777">
      <w:pPr>
        <w:spacing w:after="160" w:line="276" w:lineRule="auto"/>
        <w:ind w:left="720" w:hanging="720"/>
        <w:jc w:val="both"/>
      </w:pPr>
      <w:r>
        <w:t>Wiig, S., Robert, G., Anderson, J.E., Aase, K., Bal, R., Gruber, S., Myers, K. and Sutcliffe, K.M. (2020) Defining the boundaries and operational concepts of resilience in the resilience in healthcare research programme. BMC Health Services Research, 20(1), p.330.</w:t>
      </w:r>
    </w:p>
    <w:sectPr w:rsidR="001A0ABA">
      <w:footerReference w:type="default" r:id="rId12"/>
      <w:pgSz w:w="11906" w:h="16838"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A4A16" w:rsidRDefault="00EA4A16" w14:paraId="0A37AAA9" w14:textId="77777777">
      <w:r>
        <w:separator/>
      </w:r>
    </w:p>
  </w:endnote>
  <w:endnote w:type="continuationSeparator" w:id="0">
    <w:p w:rsidR="00EA4A16" w:rsidRDefault="00EA4A16" w14:paraId="1271D52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 w:name="Apto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0ABA" w:rsidRDefault="00A82CCD" w14:paraId="4BE965E1" w14:textId="77777777">
    <w:pPr>
      <w:jc w:val="center"/>
    </w:pPr>
    <w:r>
      <w:fldChar w:fldCharType="begin"/>
    </w:r>
    <w:r>
      <w:instrText>PAGE</w:instrText>
    </w:r>
    <w:r>
      <w:fldChar w:fldCharType="separate"/>
    </w:r>
    <w:r w:rsidR="00BD63C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A4A16" w:rsidRDefault="00EA4A16" w14:paraId="72EC262A" w14:textId="77777777">
      <w:r>
        <w:separator/>
      </w:r>
    </w:p>
  </w:footnote>
  <w:footnote w:type="continuationSeparator" w:id="0">
    <w:p w:rsidR="00EA4A16" w:rsidRDefault="00EA4A16" w14:paraId="3B2ADC1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A2470"/>
    <w:multiLevelType w:val="hybridMultilevel"/>
    <w:tmpl w:val="E54E8080"/>
    <w:lvl w:ilvl="0" w:tplc="300247B6">
      <w:start w:val="1"/>
      <w:numFmt w:val="bullet"/>
      <w:lvlText w:val="●"/>
      <w:lvlJc w:val="left"/>
      <w:pPr>
        <w:ind w:left="720" w:hanging="360"/>
      </w:pPr>
    </w:lvl>
    <w:lvl w:ilvl="1" w:tplc="8BFE2564">
      <w:start w:val="1"/>
      <w:numFmt w:val="bullet"/>
      <w:lvlText w:val="○"/>
      <w:lvlJc w:val="left"/>
      <w:pPr>
        <w:ind w:left="1440" w:hanging="360"/>
      </w:pPr>
    </w:lvl>
    <w:lvl w:ilvl="2" w:tplc="DE32DB66">
      <w:start w:val="1"/>
      <w:numFmt w:val="bullet"/>
      <w:lvlText w:val="■"/>
      <w:lvlJc w:val="left"/>
      <w:pPr>
        <w:ind w:left="2160" w:hanging="360"/>
      </w:pPr>
    </w:lvl>
    <w:lvl w:ilvl="3" w:tplc="9606F6C0">
      <w:start w:val="1"/>
      <w:numFmt w:val="bullet"/>
      <w:lvlText w:val="●"/>
      <w:lvlJc w:val="left"/>
      <w:pPr>
        <w:ind w:left="2880" w:hanging="360"/>
      </w:pPr>
    </w:lvl>
    <w:lvl w:ilvl="4" w:tplc="B99E918C">
      <w:start w:val="1"/>
      <w:numFmt w:val="bullet"/>
      <w:lvlText w:val="○"/>
      <w:lvlJc w:val="left"/>
      <w:pPr>
        <w:ind w:left="3600" w:hanging="360"/>
      </w:pPr>
    </w:lvl>
    <w:lvl w:ilvl="5" w:tplc="3EFEE7E2">
      <w:start w:val="1"/>
      <w:numFmt w:val="bullet"/>
      <w:lvlText w:val="■"/>
      <w:lvlJc w:val="left"/>
      <w:pPr>
        <w:ind w:left="4320" w:hanging="360"/>
      </w:pPr>
    </w:lvl>
    <w:lvl w:ilvl="6" w:tplc="5FA6BCFA">
      <w:start w:val="1"/>
      <w:numFmt w:val="bullet"/>
      <w:lvlText w:val="●"/>
      <w:lvlJc w:val="left"/>
      <w:pPr>
        <w:ind w:left="5040" w:hanging="360"/>
      </w:pPr>
    </w:lvl>
    <w:lvl w:ilvl="7" w:tplc="5AC49092">
      <w:start w:val="1"/>
      <w:numFmt w:val="bullet"/>
      <w:lvlText w:val="●"/>
      <w:lvlJc w:val="left"/>
      <w:pPr>
        <w:ind w:left="5760" w:hanging="360"/>
      </w:pPr>
    </w:lvl>
    <w:lvl w:ilvl="8" w:tplc="C5106F58">
      <w:start w:val="1"/>
      <w:numFmt w:val="bullet"/>
      <w:lvlText w:val="●"/>
      <w:lvlJc w:val="left"/>
      <w:pPr>
        <w:ind w:left="6480" w:hanging="360"/>
      </w:pPr>
    </w:lvl>
  </w:abstractNum>
  <w:num w:numId="1" w16cid:durableId="10762598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isplayBackgroundShap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ABA"/>
    <w:rsid w:val="00010F01"/>
    <w:rsid w:val="00011AD8"/>
    <w:rsid w:val="00070565"/>
    <w:rsid w:val="000D7190"/>
    <w:rsid w:val="000F3BB3"/>
    <w:rsid w:val="00103171"/>
    <w:rsid w:val="00103FD2"/>
    <w:rsid w:val="00106F5A"/>
    <w:rsid w:val="00126C0F"/>
    <w:rsid w:val="001A0ABA"/>
    <w:rsid w:val="001E7B7E"/>
    <w:rsid w:val="00206310"/>
    <w:rsid w:val="0028614B"/>
    <w:rsid w:val="002B67A4"/>
    <w:rsid w:val="002B73EF"/>
    <w:rsid w:val="002E288E"/>
    <w:rsid w:val="002E5458"/>
    <w:rsid w:val="00300939"/>
    <w:rsid w:val="003503E2"/>
    <w:rsid w:val="0038528B"/>
    <w:rsid w:val="0039535F"/>
    <w:rsid w:val="003B3258"/>
    <w:rsid w:val="003C7E3A"/>
    <w:rsid w:val="00407F63"/>
    <w:rsid w:val="00413DFF"/>
    <w:rsid w:val="004710BF"/>
    <w:rsid w:val="004A36A1"/>
    <w:rsid w:val="004B2304"/>
    <w:rsid w:val="004D365B"/>
    <w:rsid w:val="004D44EE"/>
    <w:rsid w:val="004E7C4E"/>
    <w:rsid w:val="00535E82"/>
    <w:rsid w:val="00582818"/>
    <w:rsid w:val="00616BA3"/>
    <w:rsid w:val="006F21FE"/>
    <w:rsid w:val="007003E6"/>
    <w:rsid w:val="00705CC9"/>
    <w:rsid w:val="00797DFC"/>
    <w:rsid w:val="0087656B"/>
    <w:rsid w:val="00886246"/>
    <w:rsid w:val="008D3325"/>
    <w:rsid w:val="00914EA2"/>
    <w:rsid w:val="00977BDD"/>
    <w:rsid w:val="00A071B2"/>
    <w:rsid w:val="00A45F0C"/>
    <w:rsid w:val="00A74B19"/>
    <w:rsid w:val="00A82CCD"/>
    <w:rsid w:val="00AA2D14"/>
    <w:rsid w:val="00AA5D8D"/>
    <w:rsid w:val="00AB67DE"/>
    <w:rsid w:val="00AD5FBA"/>
    <w:rsid w:val="00AE0E73"/>
    <w:rsid w:val="00AE7E08"/>
    <w:rsid w:val="00AF2263"/>
    <w:rsid w:val="00B01075"/>
    <w:rsid w:val="00B03E15"/>
    <w:rsid w:val="00B34D2B"/>
    <w:rsid w:val="00B36369"/>
    <w:rsid w:val="00B375CC"/>
    <w:rsid w:val="00B46669"/>
    <w:rsid w:val="00B60BB5"/>
    <w:rsid w:val="00B860A1"/>
    <w:rsid w:val="00B86553"/>
    <w:rsid w:val="00B87960"/>
    <w:rsid w:val="00B94F48"/>
    <w:rsid w:val="00B970B8"/>
    <w:rsid w:val="00BA68B5"/>
    <w:rsid w:val="00BA7565"/>
    <w:rsid w:val="00BD63C3"/>
    <w:rsid w:val="00C21E2F"/>
    <w:rsid w:val="00C42806"/>
    <w:rsid w:val="00C51172"/>
    <w:rsid w:val="00C71167"/>
    <w:rsid w:val="00C82EA7"/>
    <w:rsid w:val="00C90332"/>
    <w:rsid w:val="00CB0604"/>
    <w:rsid w:val="00CB78DB"/>
    <w:rsid w:val="00CF3BAD"/>
    <w:rsid w:val="00D06108"/>
    <w:rsid w:val="00D625E5"/>
    <w:rsid w:val="00D95813"/>
    <w:rsid w:val="00DC3241"/>
    <w:rsid w:val="00DE76EA"/>
    <w:rsid w:val="00E36B1E"/>
    <w:rsid w:val="00E4787D"/>
    <w:rsid w:val="00EA4A16"/>
    <w:rsid w:val="00EA7064"/>
    <w:rsid w:val="00EB1F16"/>
    <w:rsid w:val="00EB3F54"/>
    <w:rsid w:val="00EB71A0"/>
    <w:rsid w:val="00EC65E1"/>
    <w:rsid w:val="00EF1EAA"/>
    <w:rsid w:val="00F34A7D"/>
    <w:rsid w:val="00F60C6C"/>
    <w:rsid w:val="00F807D3"/>
    <w:rsid w:val="00FA0E09"/>
    <w:rsid w:val="00FF212D"/>
    <w:rsid w:val="04DEF847"/>
    <w:rsid w:val="08FF3708"/>
    <w:rsid w:val="2220D426"/>
    <w:rsid w:val="401F3D9F"/>
    <w:rsid w:val="4DCFDD80"/>
    <w:rsid w:val="4E91A2C0"/>
    <w:rsid w:val="546F4464"/>
    <w:rsid w:val="736ABE26"/>
    <w:rsid w:val="78A59E98"/>
    <w:rsid w:val="7C1188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8536C"/>
  <w15:docId w15:val="{0BBFCB1D-2CC5-4DC1-A926-E40E10A61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BD63C3"/>
    <w:pPr>
      <w:keepNext/>
      <w:keepLines/>
      <w:spacing w:before="240" w:line="259" w:lineRule="auto"/>
      <w:outlineLvl w:val="9"/>
    </w:pPr>
    <w:rPr>
      <w:rFonts w:asciiTheme="majorHAnsi" w:hAnsiTheme="majorHAnsi" w:eastAsiaTheme="majorEastAsia" w:cstheme="majorBidi"/>
      <w:color w:val="0F4761" w:themeColor="accent1" w:themeShade="BF"/>
      <w:lang w:val="en-US" w:eastAsia="en-US"/>
    </w:rPr>
  </w:style>
  <w:style w:type="paragraph" w:styleId="TOC1">
    <w:name w:val="toc 1"/>
    <w:basedOn w:val="Normal"/>
    <w:next w:val="Normal"/>
    <w:autoRedefine/>
    <w:uiPriority w:val="39"/>
    <w:unhideWhenUsed/>
    <w:rsid w:val="00BD63C3"/>
    <w:pPr>
      <w:spacing w:after="100"/>
    </w:pPr>
  </w:style>
  <w:style w:type="character" w:styleId="UnresolvedMention">
    <w:name w:val="Unresolved Mention"/>
    <w:basedOn w:val="DefaultParagraphFont"/>
    <w:uiPriority w:val="99"/>
    <w:semiHidden/>
    <w:unhideWhenUsed/>
    <w:rsid w:val="004D44EE"/>
    <w:rPr>
      <w:color w:val="605E5C"/>
      <w:shd w:val="clear" w:color="auto" w:fill="E1DFDD"/>
    </w:rPr>
  </w:style>
  <w:style w:type="paragraph" w:styleId="Header">
    <w:name w:val="header"/>
    <w:basedOn w:val="Normal"/>
    <w:link w:val="HeaderChar"/>
    <w:uiPriority w:val="99"/>
    <w:semiHidden/>
    <w:unhideWhenUsed/>
    <w:rsid w:val="00F807D3"/>
    <w:pPr>
      <w:tabs>
        <w:tab w:val="center" w:pos="4680"/>
        <w:tab w:val="right" w:pos="9360"/>
      </w:tabs>
    </w:pPr>
  </w:style>
  <w:style w:type="character" w:styleId="HeaderChar" w:customStyle="1">
    <w:name w:val="Header Char"/>
    <w:basedOn w:val="DefaultParagraphFont"/>
    <w:link w:val="Header"/>
    <w:uiPriority w:val="99"/>
    <w:semiHidden/>
    <w:rsid w:val="00F807D3"/>
  </w:style>
  <w:style w:type="paragraph" w:styleId="Footer">
    <w:name w:val="footer"/>
    <w:basedOn w:val="Normal"/>
    <w:link w:val="FooterChar"/>
    <w:uiPriority w:val="99"/>
    <w:semiHidden/>
    <w:unhideWhenUsed/>
    <w:rsid w:val="00F807D3"/>
    <w:pPr>
      <w:tabs>
        <w:tab w:val="center" w:pos="4680"/>
        <w:tab w:val="right" w:pos="9360"/>
      </w:tabs>
    </w:pPr>
  </w:style>
  <w:style w:type="character" w:styleId="FooterChar" w:customStyle="1">
    <w:name w:val="Footer Char"/>
    <w:basedOn w:val="DefaultParagraphFont"/>
    <w:link w:val="Footer"/>
    <w:uiPriority w:val="99"/>
    <w:semiHidden/>
    <w:rsid w:val="00F807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31389/jltc.154" TargetMode="External" Id="rId11" /><Relationship Type="http://schemas.openxmlformats.org/officeDocument/2006/relationships/webSettings" Target="webSettings.xml" Id="rId5" /><Relationship Type="http://schemas.openxmlformats.org/officeDocument/2006/relationships/hyperlink" Target="https://doi.org/10.1186/s12877-021-02053-9" TargetMode="External" Id="rId10" /><Relationship Type="http://schemas.openxmlformats.org/officeDocument/2006/relationships/settings" Target="settings.xml" Id="rId4" /><Relationship Type="http://schemas.openxmlformats.org/officeDocument/2006/relationships/hyperlink" Target="https://doi.org/10.1111/opn.12585" TargetMode="Externa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CB29D-F2A3-4B68-8FCB-69F7B70F285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Evelyn</dc:creator>
  <keywords/>
  <lastModifiedBy>Evelyn Monu (2537502)</lastModifiedBy>
  <revision>5</revision>
  <dcterms:created xsi:type="dcterms:W3CDTF">2026-07-02T08:32:00.0000000Z</dcterms:created>
  <dcterms:modified xsi:type="dcterms:W3CDTF">2026-07-09T08:09:31.7032241Z</dcterms:modified>
</coreProperties>
</file>