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C646E8" w14:textId="0E05561E" w:rsidR="009A2198" w:rsidRDefault="009A2198">
      <w:bookmarkStart w:id="0" w:name="Xf5760e9bf50d8ff3f38fc76da3090cd6dd9455c"/>
    </w:p>
    <w:p w14:paraId="1DB0BF4E" w14:textId="77777777" w:rsidR="000B0300" w:rsidRDefault="000B0300"/>
    <w:p w14:paraId="2D23890F" w14:textId="77777777" w:rsidR="00587EB7" w:rsidRPr="00587EB7" w:rsidRDefault="00587EB7" w:rsidP="00587EB7">
      <w:pPr>
        <w:pStyle w:val="Heading1"/>
        <w:jc w:val="center"/>
        <w:rPr>
          <w:rFonts w:ascii="Arial" w:hAnsi="Arial" w:cs="Arial"/>
          <w:color w:val="auto"/>
          <w:sz w:val="23"/>
          <w:szCs w:val="23"/>
        </w:rPr>
      </w:pPr>
      <w:r w:rsidRPr="00587EB7">
        <w:rPr>
          <w:rFonts w:ascii="Arial" w:hAnsi="Arial" w:cs="Arial"/>
          <w:color w:val="auto"/>
          <w:sz w:val="23"/>
          <w:szCs w:val="23"/>
        </w:rPr>
        <w:t>Name: Mick Lowe</w:t>
      </w:r>
    </w:p>
    <w:p w14:paraId="474DE136" w14:textId="77777777" w:rsidR="00587EB7" w:rsidRPr="00587EB7" w:rsidRDefault="00587EB7" w:rsidP="00587EB7">
      <w:pPr>
        <w:pStyle w:val="Heading1"/>
        <w:jc w:val="center"/>
        <w:rPr>
          <w:rFonts w:ascii="Arial" w:hAnsi="Arial" w:cs="Arial"/>
          <w:color w:val="auto"/>
          <w:sz w:val="23"/>
          <w:szCs w:val="23"/>
        </w:rPr>
      </w:pPr>
      <w:r w:rsidRPr="00587EB7">
        <w:rPr>
          <w:rFonts w:ascii="Arial" w:hAnsi="Arial" w:cs="Arial"/>
          <w:color w:val="auto"/>
          <w:sz w:val="23"/>
          <w:szCs w:val="23"/>
        </w:rPr>
        <w:t>Student Number: 2434734</w:t>
      </w:r>
    </w:p>
    <w:p w14:paraId="11C5A984" w14:textId="77777777" w:rsidR="00587EB7" w:rsidRPr="00587EB7" w:rsidRDefault="00587EB7" w:rsidP="00587EB7">
      <w:pPr>
        <w:pStyle w:val="Heading1"/>
        <w:jc w:val="center"/>
        <w:rPr>
          <w:rFonts w:ascii="Arial" w:hAnsi="Arial" w:cs="Arial"/>
          <w:color w:val="auto"/>
          <w:sz w:val="23"/>
          <w:szCs w:val="23"/>
        </w:rPr>
      </w:pPr>
      <w:r w:rsidRPr="00587EB7">
        <w:rPr>
          <w:rFonts w:ascii="Arial" w:hAnsi="Arial" w:cs="Arial"/>
          <w:color w:val="auto"/>
          <w:sz w:val="23"/>
          <w:szCs w:val="23"/>
        </w:rPr>
        <w:t>Module Code: LCLM5001</w:t>
      </w:r>
    </w:p>
    <w:p w14:paraId="6704D8B6" w14:textId="77777777" w:rsidR="00587EB7" w:rsidRPr="00587EB7" w:rsidRDefault="00587EB7" w:rsidP="00587EB7">
      <w:pPr>
        <w:pStyle w:val="Heading1"/>
        <w:jc w:val="center"/>
        <w:rPr>
          <w:rFonts w:ascii="Arial" w:hAnsi="Arial" w:cs="Arial"/>
          <w:color w:val="auto"/>
          <w:sz w:val="23"/>
          <w:szCs w:val="23"/>
        </w:rPr>
      </w:pPr>
      <w:r w:rsidRPr="00587EB7">
        <w:rPr>
          <w:rFonts w:ascii="Arial" w:hAnsi="Arial" w:cs="Arial"/>
          <w:color w:val="auto"/>
          <w:sz w:val="23"/>
          <w:szCs w:val="23"/>
        </w:rPr>
        <w:t>Module: Understanding and Engaging Stakeholders</w:t>
      </w:r>
    </w:p>
    <w:p w14:paraId="3FFA9AF4" w14:textId="77777777" w:rsidR="00587EB7" w:rsidRPr="00587EB7" w:rsidRDefault="00587EB7" w:rsidP="00587EB7">
      <w:pPr>
        <w:pStyle w:val="Heading1"/>
        <w:jc w:val="center"/>
        <w:rPr>
          <w:rFonts w:ascii="Arial" w:hAnsi="Arial" w:cs="Arial"/>
          <w:color w:val="auto"/>
          <w:sz w:val="23"/>
          <w:szCs w:val="23"/>
        </w:rPr>
      </w:pPr>
      <w:r w:rsidRPr="00587EB7">
        <w:rPr>
          <w:rFonts w:ascii="Arial" w:hAnsi="Arial" w:cs="Arial"/>
          <w:color w:val="auto"/>
          <w:sz w:val="23"/>
          <w:szCs w:val="23"/>
        </w:rPr>
        <w:t>Assignment title: Understanding the importance of Stakeholder Engagement in successful commencement and completion of project.</w:t>
      </w:r>
    </w:p>
    <w:p w14:paraId="0C175E82" w14:textId="77777777" w:rsidR="00587EB7" w:rsidRPr="00587EB7" w:rsidRDefault="00587EB7" w:rsidP="00587EB7">
      <w:pPr>
        <w:pStyle w:val="Heading1"/>
        <w:jc w:val="center"/>
        <w:rPr>
          <w:rFonts w:ascii="Arial" w:hAnsi="Arial" w:cs="Arial"/>
          <w:color w:val="auto"/>
          <w:sz w:val="23"/>
          <w:szCs w:val="23"/>
        </w:rPr>
      </w:pPr>
      <w:r w:rsidRPr="00587EB7">
        <w:rPr>
          <w:rFonts w:ascii="Arial" w:hAnsi="Arial" w:cs="Arial"/>
          <w:color w:val="auto"/>
          <w:sz w:val="23"/>
          <w:szCs w:val="23"/>
        </w:rPr>
        <w:t>Lecturer: Aso Abdullah</w:t>
      </w:r>
    </w:p>
    <w:p w14:paraId="779148DC" w14:textId="77777777" w:rsidR="00587EB7" w:rsidRDefault="00587EB7" w:rsidP="00587EB7">
      <w:r>
        <w:br w:type="page"/>
      </w:r>
    </w:p>
    <w:p w14:paraId="2110458D" w14:textId="462DED85" w:rsidR="000B0300" w:rsidRDefault="00DB5718" w:rsidP="00DB5718">
      <w:pPr>
        <w:jc w:val="center"/>
        <w:rPr>
          <w:rFonts w:ascii="Arial" w:hAnsi="Arial" w:cs="Arial"/>
          <w:b/>
          <w:bCs/>
          <w:sz w:val="23"/>
          <w:szCs w:val="23"/>
        </w:rPr>
      </w:pPr>
      <w:r w:rsidRPr="00DB5718">
        <w:rPr>
          <w:rFonts w:ascii="Arial" w:hAnsi="Arial" w:cs="Arial"/>
          <w:b/>
          <w:bCs/>
          <w:sz w:val="23"/>
          <w:szCs w:val="23"/>
        </w:rPr>
        <w:lastRenderedPageBreak/>
        <w:t>Table of Contents</w:t>
      </w:r>
    </w:p>
    <w:p w14:paraId="53B92C4A" w14:textId="77777777" w:rsidR="00DB5718" w:rsidRDefault="00DB5718" w:rsidP="00DB5718">
      <w:pPr>
        <w:jc w:val="center"/>
        <w:rPr>
          <w:rFonts w:ascii="Arial" w:hAnsi="Arial" w:cs="Arial"/>
          <w:b/>
          <w:bCs/>
          <w:sz w:val="23"/>
          <w:szCs w:val="23"/>
        </w:rPr>
      </w:pPr>
    </w:p>
    <w:p w14:paraId="4D62DF66" w14:textId="77777777" w:rsidR="008E10FF" w:rsidRPr="008E10FF" w:rsidRDefault="008E10FF" w:rsidP="008E10FF">
      <w:pPr>
        <w:rPr>
          <w:rFonts w:ascii="Arial" w:hAnsi="Arial" w:cs="Arial"/>
          <w:b/>
          <w:bCs/>
          <w:sz w:val="23"/>
          <w:szCs w:val="23"/>
        </w:rPr>
      </w:pPr>
      <w:bookmarkStart w:id="1" w:name="executive-summary"/>
      <w:r w:rsidRPr="008E10FF">
        <w:rPr>
          <w:rFonts w:ascii="Arial" w:hAnsi="Arial" w:cs="Arial"/>
          <w:b/>
          <w:bCs/>
          <w:sz w:val="23"/>
          <w:szCs w:val="23"/>
        </w:rPr>
        <w:t>Pages:</w:t>
      </w:r>
    </w:p>
    <w:p w14:paraId="652119FA" w14:textId="77777777" w:rsidR="008E10FF" w:rsidRPr="008E10FF" w:rsidRDefault="008E10FF" w:rsidP="008E10FF">
      <w:pPr>
        <w:pStyle w:val="BodyText"/>
        <w:rPr>
          <w:rFonts w:ascii="Arial" w:hAnsi="Arial" w:cs="Arial"/>
          <w:sz w:val="23"/>
          <w:szCs w:val="23"/>
        </w:rPr>
      </w:pPr>
      <w:r w:rsidRPr="008E10FF">
        <w:rPr>
          <w:rFonts w:ascii="Arial" w:hAnsi="Arial" w:cs="Arial"/>
          <w:sz w:val="23"/>
          <w:szCs w:val="23"/>
        </w:rPr>
        <w:t>3: Executive Summary</w:t>
      </w:r>
    </w:p>
    <w:p w14:paraId="41EE886D" w14:textId="77777777" w:rsidR="008E10FF" w:rsidRPr="008E10FF" w:rsidRDefault="008E10FF" w:rsidP="008E10FF">
      <w:pPr>
        <w:pStyle w:val="BodyText"/>
        <w:rPr>
          <w:rFonts w:ascii="Arial" w:hAnsi="Arial" w:cs="Arial"/>
          <w:sz w:val="23"/>
          <w:szCs w:val="23"/>
        </w:rPr>
      </w:pPr>
      <w:r w:rsidRPr="008E10FF">
        <w:rPr>
          <w:rFonts w:ascii="Arial" w:hAnsi="Arial" w:cs="Arial"/>
          <w:sz w:val="23"/>
          <w:szCs w:val="23"/>
        </w:rPr>
        <w:t>4: Introduction</w:t>
      </w:r>
    </w:p>
    <w:p w14:paraId="76F49A0E" w14:textId="77777777" w:rsidR="008E10FF" w:rsidRPr="008E10FF" w:rsidRDefault="008E10FF" w:rsidP="008E10FF">
      <w:pPr>
        <w:pStyle w:val="FirstParagraph"/>
        <w:rPr>
          <w:rFonts w:ascii="Arial" w:hAnsi="Arial" w:cs="Arial"/>
          <w:sz w:val="23"/>
          <w:szCs w:val="23"/>
        </w:rPr>
      </w:pPr>
      <w:r w:rsidRPr="008E10FF">
        <w:rPr>
          <w:rFonts w:ascii="Arial" w:hAnsi="Arial" w:cs="Arial"/>
          <w:sz w:val="23"/>
          <w:szCs w:val="23"/>
        </w:rPr>
        <w:t>5: Smart Objectives</w:t>
      </w:r>
    </w:p>
    <w:p w14:paraId="20C710D6" w14:textId="77777777" w:rsidR="008E10FF" w:rsidRPr="008E10FF" w:rsidRDefault="008E10FF" w:rsidP="008E10FF">
      <w:pPr>
        <w:pStyle w:val="FirstParagraph"/>
        <w:rPr>
          <w:rFonts w:ascii="Arial" w:hAnsi="Arial" w:cs="Arial"/>
          <w:sz w:val="23"/>
          <w:szCs w:val="23"/>
        </w:rPr>
      </w:pPr>
      <w:r w:rsidRPr="008E10FF">
        <w:rPr>
          <w:rFonts w:ascii="Arial" w:hAnsi="Arial" w:cs="Arial"/>
          <w:sz w:val="23"/>
          <w:szCs w:val="23"/>
        </w:rPr>
        <w:t xml:space="preserve">6: SWOT Analysis of the </w:t>
      </w:r>
      <w:proofErr w:type="spellStart"/>
      <w:r w:rsidRPr="008E10FF">
        <w:rPr>
          <w:rFonts w:ascii="Arial" w:hAnsi="Arial" w:cs="Arial"/>
          <w:sz w:val="23"/>
          <w:szCs w:val="23"/>
        </w:rPr>
        <w:t>ConnectPlus</w:t>
      </w:r>
      <w:proofErr w:type="spellEnd"/>
      <w:r w:rsidRPr="008E10FF">
        <w:rPr>
          <w:rFonts w:ascii="Arial" w:hAnsi="Arial" w:cs="Arial"/>
          <w:sz w:val="23"/>
          <w:szCs w:val="23"/>
        </w:rPr>
        <w:t xml:space="preserve"> Launch Project</w:t>
      </w:r>
    </w:p>
    <w:p w14:paraId="0FDD9E10" w14:textId="77777777" w:rsidR="008E10FF" w:rsidRPr="008E10FF" w:rsidRDefault="008E10FF" w:rsidP="008E10FF">
      <w:pPr>
        <w:pStyle w:val="BodyText"/>
        <w:rPr>
          <w:rFonts w:ascii="Arial" w:hAnsi="Arial" w:cs="Arial"/>
          <w:sz w:val="23"/>
          <w:szCs w:val="23"/>
        </w:rPr>
      </w:pPr>
      <w:r w:rsidRPr="008E10FF">
        <w:rPr>
          <w:rFonts w:ascii="Arial" w:hAnsi="Arial" w:cs="Arial"/>
          <w:sz w:val="23"/>
          <w:szCs w:val="23"/>
        </w:rPr>
        <w:t xml:space="preserve">7: Identification and </w:t>
      </w:r>
      <w:proofErr w:type="spellStart"/>
      <w:r w:rsidRPr="008E10FF">
        <w:rPr>
          <w:rFonts w:ascii="Arial" w:hAnsi="Arial" w:cs="Arial"/>
          <w:sz w:val="23"/>
          <w:szCs w:val="23"/>
        </w:rPr>
        <w:t>Categorisation</w:t>
      </w:r>
      <w:proofErr w:type="spellEnd"/>
      <w:r w:rsidRPr="008E10FF">
        <w:rPr>
          <w:rFonts w:ascii="Arial" w:hAnsi="Arial" w:cs="Arial"/>
          <w:sz w:val="23"/>
          <w:szCs w:val="23"/>
        </w:rPr>
        <w:t xml:space="preserve"> of Key Stakeholders</w:t>
      </w:r>
    </w:p>
    <w:p w14:paraId="440587C1" w14:textId="77777777" w:rsidR="008E10FF" w:rsidRPr="008E10FF" w:rsidRDefault="008E10FF" w:rsidP="008E10FF">
      <w:pPr>
        <w:pStyle w:val="BodyText"/>
        <w:rPr>
          <w:rFonts w:ascii="Arial" w:hAnsi="Arial" w:cs="Arial"/>
          <w:sz w:val="23"/>
          <w:szCs w:val="23"/>
        </w:rPr>
      </w:pPr>
      <w:r w:rsidRPr="008E10FF">
        <w:rPr>
          <w:rFonts w:ascii="Arial" w:hAnsi="Arial" w:cs="Arial"/>
          <w:sz w:val="23"/>
          <w:szCs w:val="23"/>
        </w:rPr>
        <w:t>8:  Internal and External stakeholders with influence categories</w:t>
      </w:r>
    </w:p>
    <w:p w14:paraId="2335DCF1" w14:textId="77777777" w:rsidR="008E10FF" w:rsidRPr="008E10FF" w:rsidRDefault="008E10FF" w:rsidP="008E10FF">
      <w:pPr>
        <w:pStyle w:val="FirstParagraph"/>
        <w:rPr>
          <w:rFonts w:ascii="Arial" w:hAnsi="Arial" w:cs="Arial"/>
          <w:sz w:val="23"/>
          <w:szCs w:val="23"/>
        </w:rPr>
      </w:pPr>
      <w:r w:rsidRPr="008E10FF">
        <w:rPr>
          <w:rFonts w:ascii="Arial" w:hAnsi="Arial" w:cs="Arial"/>
          <w:sz w:val="23"/>
          <w:szCs w:val="23"/>
        </w:rPr>
        <w:t>11: Application of Mendelow’s power/interest Matrix</w:t>
      </w:r>
    </w:p>
    <w:p w14:paraId="6469DD9E" w14:textId="77777777" w:rsidR="008E10FF" w:rsidRPr="008E10FF" w:rsidRDefault="008E10FF" w:rsidP="008E10FF">
      <w:pPr>
        <w:pStyle w:val="BodyText"/>
        <w:rPr>
          <w:rFonts w:ascii="Arial" w:hAnsi="Arial" w:cs="Arial"/>
          <w:sz w:val="23"/>
          <w:szCs w:val="23"/>
        </w:rPr>
      </w:pPr>
      <w:r w:rsidRPr="008E10FF">
        <w:rPr>
          <w:rFonts w:ascii="Arial" w:hAnsi="Arial" w:cs="Arial"/>
          <w:sz w:val="23"/>
          <w:szCs w:val="23"/>
        </w:rPr>
        <w:t>12: Role, Responsibilities, Benefits and Challenges for Key Stakeholders</w:t>
      </w:r>
    </w:p>
    <w:p w14:paraId="4C67EEF5" w14:textId="77777777" w:rsidR="008E10FF" w:rsidRPr="008E10FF" w:rsidRDefault="008E10FF" w:rsidP="008E10FF">
      <w:pPr>
        <w:pStyle w:val="BodyText"/>
        <w:rPr>
          <w:rFonts w:ascii="Arial" w:hAnsi="Arial" w:cs="Arial"/>
          <w:sz w:val="23"/>
          <w:szCs w:val="23"/>
        </w:rPr>
      </w:pPr>
      <w:r w:rsidRPr="008E10FF">
        <w:rPr>
          <w:rFonts w:ascii="Arial" w:hAnsi="Arial" w:cs="Arial"/>
          <w:sz w:val="23"/>
          <w:szCs w:val="23"/>
        </w:rPr>
        <w:t>13: Stakeholder engagement process, frameworks and conflict management</w:t>
      </w:r>
    </w:p>
    <w:p w14:paraId="4A4710CF" w14:textId="77777777" w:rsidR="008E10FF" w:rsidRPr="008E10FF" w:rsidRDefault="008E10FF" w:rsidP="008E10FF">
      <w:pPr>
        <w:pStyle w:val="BodyText"/>
        <w:rPr>
          <w:rFonts w:ascii="Arial" w:hAnsi="Arial" w:cs="Arial"/>
          <w:sz w:val="23"/>
          <w:szCs w:val="23"/>
        </w:rPr>
      </w:pPr>
      <w:r w:rsidRPr="008E10FF">
        <w:rPr>
          <w:rFonts w:ascii="Arial" w:hAnsi="Arial" w:cs="Arial"/>
          <w:sz w:val="23"/>
          <w:szCs w:val="23"/>
        </w:rPr>
        <w:t>Overall engagement process</w:t>
      </w:r>
    </w:p>
    <w:p w14:paraId="235CACF1" w14:textId="77777777" w:rsidR="008E10FF" w:rsidRPr="008E10FF" w:rsidRDefault="008E10FF" w:rsidP="008E10FF">
      <w:pPr>
        <w:pStyle w:val="FirstParagraph"/>
        <w:rPr>
          <w:rFonts w:ascii="Arial" w:hAnsi="Arial" w:cs="Arial"/>
          <w:sz w:val="23"/>
          <w:szCs w:val="23"/>
        </w:rPr>
      </w:pPr>
      <w:r w:rsidRPr="008E10FF">
        <w:rPr>
          <w:rFonts w:ascii="Arial" w:hAnsi="Arial" w:cs="Arial"/>
          <w:sz w:val="23"/>
          <w:szCs w:val="23"/>
        </w:rPr>
        <w:t>15: Tailored Engagement using SWANS/OWANS and the 4C’s Model</w:t>
      </w:r>
    </w:p>
    <w:p w14:paraId="356367ED" w14:textId="77777777" w:rsidR="008E10FF" w:rsidRPr="008E10FF" w:rsidRDefault="008E10FF" w:rsidP="008E10FF">
      <w:pPr>
        <w:pStyle w:val="BodyText"/>
        <w:rPr>
          <w:rFonts w:ascii="Arial" w:hAnsi="Arial" w:cs="Arial"/>
          <w:sz w:val="23"/>
          <w:szCs w:val="23"/>
        </w:rPr>
      </w:pPr>
      <w:r w:rsidRPr="008E10FF">
        <w:rPr>
          <w:rFonts w:ascii="Arial" w:hAnsi="Arial" w:cs="Arial"/>
          <w:sz w:val="23"/>
          <w:szCs w:val="23"/>
        </w:rPr>
        <w:t>16: Communication plan</w:t>
      </w:r>
    </w:p>
    <w:p w14:paraId="4196C8C9" w14:textId="77777777" w:rsidR="008E10FF" w:rsidRPr="008E10FF" w:rsidRDefault="008E10FF" w:rsidP="008E10FF">
      <w:pPr>
        <w:pStyle w:val="BodyText"/>
        <w:rPr>
          <w:rFonts w:ascii="Arial" w:hAnsi="Arial" w:cs="Arial"/>
          <w:sz w:val="23"/>
          <w:szCs w:val="23"/>
        </w:rPr>
      </w:pPr>
      <w:r w:rsidRPr="008E10FF">
        <w:rPr>
          <w:rFonts w:ascii="Arial" w:hAnsi="Arial" w:cs="Arial"/>
          <w:sz w:val="23"/>
          <w:szCs w:val="23"/>
        </w:rPr>
        <w:t>17: RACI Matrix for Key activities</w:t>
      </w:r>
    </w:p>
    <w:p w14:paraId="50A1B11E" w14:textId="77777777" w:rsidR="008E10FF" w:rsidRPr="008E10FF" w:rsidRDefault="008E10FF" w:rsidP="008E10FF">
      <w:pPr>
        <w:pStyle w:val="BodyText"/>
        <w:rPr>
          <w:rFonts w:ascii="Arial" w:hAnsi="Arial" w:cs="Arial"/>
          <w:sz w:val="23"/>
          <w:szCs w:val="23"/>
        </w:rPr>
      </w:pPr>
      <w:r w:rsidRPr="008E10FF">
        <w:rPr>
          <w:rFonts w:ascii="Arial" w:hAnsi="Arial" w:cs="Arial"/>
          <w:sz w:val="23"/>
          <w:szCs w:val="23"/>
        </w:rPr>
        <w:t>19: Conflict Management</w:t>
      </w:r>
    </w:p>
    <w:p w14:paraId="6614AD87" w14:textId="77777777" w:rsidR="008E10FF" w:rsidRPr="008E10FF" w:rsidRDefault="008E10FF" w:rsidP="008E10FF">
      <w:pPr>
        <w:pStyle w:val="BodyText"/>
        <w:rPr>
          <w:rFonts w:ascii="Arial" w:hAnsi="Arial" w:cs="Arial"/>
          <w:sz w:val="23"/>
          <w:szCs w:val="23"/>
        </w:rPr>
      </w:pPr>
      <w:r w:rsidRPr="008E10FF">
        <w:rPr>
          <w:rFonts w:ascii="Arial" w:hAnsi="Arial" w:cs="Arial"/>
          <w:sz w:val="23"/>
          <w:szCs w:val="23"/>
        </w:rPr>
        <w:t>20: Impact of sustainable stakeholder engagement on business performance</w:t>
      </w:r>
    </w:p>
    <w:p w14:paraId="425207E2" w14:textId="77777777" w:rsidR="008E10FF" w:rsidRPr="008E10FF" w:rsidRDefault="008E10FF" w:rsidP="008E10FF">
      <w:pPr>
        <w:pStyle w:val="BodyText"/>
        <w:rPr>
          <w:rFonts w:ascii="Arial" w:hAnsi="Arial" w:cs="Arial"/>
          <w:sz w:val="23"/>
          <w:szCs w:val="23"/>
        </w:rPr>
      </w:pPr>
      <w:r w:rsidRPr="008E10FF">
        <w:rPr>
          <w:rFonts w:ascii="Arial" w:hAnsi="Arial" w:cs="Arial"/>
          <w:sz w:val="23"/>
          <w:szCs w:val="23"/>
        </w:rPr>
        <w:t xml:space="preserve">      Mechanisms of positive impact</w:t>
      </w:r>
    </w:p>
    <w:p w14:paraId="60053BE5" w14:textId="77777777" w:rsidR="008E10FF" w:rsidRPr="008E10FF" w:rsidRDefault="008E10FF" w:rsidP="008E10FF">
      <w:pPr>
        <w:pStyle w:val="BodyText"/>
        <w:rPr>
          <w:rFonts w:ascii="Arial" w:hAnsi="Arial" w:cs="Arial"/>
          <w:sz w:val="23"/>
          <w:szCs w:val="23"/>
        </w:rPr>
      </w:pPr>
      <w:r w:rsidRPr="008E10FF">
        <w:rPr>
          <w:rFonts w:ascii="Arial" w:hAnsi="Arial" w:cs="Arial"/>
          <w:sz w:val="23"/>
          <w:szCs w:val="23"/>
        </w:rPr>
        <w:t>21: Critical evaluation and potential limitations</w:t>
      </w:r>
    </w:p>
    <w:p w14:paraId="43D7B561" w14:textId="77777777" w:rsidR="008E10FF" w:rsidRPr="008E10FF" w:rsidRDefault="008E10FF" w:rsidP="008E10FF">
      <w:pPr>
        <w:pStyle w:val="BodyText"/>
        <w:rPr>
          <w:rFonts w:ascii="Arial" w:hAnsi="Arial" w:cs="Arial"/>
          <w:sz w:val="23"/>
          <w:szCs w:val="23"/>
        </w:rPr>
      </w:pPr>
      <w:r w:rsidRPr="008E10FF">
        <w:rPr>
          <w:rFonts w:ascii="Arial" w:hAnsi="Arial" w:cs="Arial"/>
          <w:sz w:val="23"/>
          <w:szCs w:val="23"/>
        </w:rPr>
        <w:t>22: Recommendations and Conclusion</w:t>
      </w:r>
    </w:p>
    <w:p w14:paraId="45562760" w14:textId="77777777" w:rsidR="008E10FF" w:rsidRPr="008E10FF" w:rsidRDefault="008E10FF" w:rsidP="008E10FF">
      <w:pPr>
        <w:pStyle w:val="BodyText"/>
        <w:rPr>
          <w:rFonts w:ascii="Arial" w:hAnsi="Arial" w:cs="Arial"/>
          <w:sz w:val="23"/>
          <w:szCs w:val="23"/>
        </w:rPr>
      </w:pPr>
      <w:r w:rsidRPr="008E10FF">
        <w:rPr>
          <w:rFonts w:ascii="Arial" w:hAnsi="Arial" w:cs="Arial"/>
          <w:sz w:val="23"/>
          <w:szCs w:val="23"/>
        </w:rPr>
        <w:t xml:space="preserve">      Recommendation</w:t>
      </w:r>
    </w:p>
    <w:p w14:paraId="15315F40" w14:textId="77777777" w:rsidR="008E10FF" w:rsidRPr="008E10FF" w:rsidRDefault="008E10FF" w:rsidP="008E10FF">
      <w:pPr>
        <w:pStyle w:val="BodyText"/>
        <w:rPr>
          <w:rFonts w:ascii="Arial" w:hAnsi="Arial" w:cs="Arial"/>
          <w:sz w:val="23"/>
          <w:szCs w:val="23"/>
        </w:rPr>
      </w:pPr>
      <w:r w:rsidRPr="008E10FF">
        <w:rPr>
          <w:rFonts w:ascii="Arial" w:hAnsi="Arial" w:cs="Arial"/>
          <w:sz w:val="23"/>
          <w:szCs w:val="23"/>
        </w:rPr>
        <w:t xml:space="preserve">23: Conclusion      </w:t>
      </w:r>
    </w:p>
    <w:p w14:paraId="221FD7C5" w14:textId="77777777" w:rsidR="008E10FF" w:rsidRPr="008E10FF" w:rsidRDefault="008E10FF" w:rsidP="008E10FF">
      <w:pPr>
        <w:pStyle w:val="BodyText"/>
        <w:rPr>
          <w:rFonts w:ascii="Arial" w:hAnsi="Arial" w:cs="Arial"/>
          <w:sz w:val="23"/>
          <w:szCs w:val="23"/>
        </w:rPr>
      </w:pPr>
      <w:r w:rsidRPr="008E10FF">
        <w:rPr>
          <w:rFonts w:ascii="Arial" w:hAnsi="Arial" w:cs="Arial"/>
          <w:sz w:val="23"/>
          <w:szCs w:val="23"/>
        </w:rPr>
        <w:t>24: References</w:t>
      </w:r>
    </w:p>
    <w:p w14:paraId="22259565" w14:textId="77777777" w:rsidR="00830D4B" w:rsidRDefault="00830D4B" w:rsidP="00830D4B">
      <w:pPr>
        <w:pStyle w:val="BodyText"/>
        <w:rPr>
          <w:rFonts w:ascii="Arial" w:hAnsi="Arial" w:cs="Arial"/>
          <w:b/>
          <w:bCs/>
          <w:sz w:val="23"/>
          <w:szCs w:val="23"/>
        </w:rPr>
      </w:pPr>
    </w:p>
    <w:p w14:paraId="59B03F22" w14:textId="77777777" w:rsidR="00830D4B" w:rsidRDefault="00830D4B" w:rsidP="00830D4B">
      <w:pPr>
        <w:pStyle w:val="BodyText"/>
        <w:rPr>
          <w:rFonts w:ascii="Arial" w:hAnsi="Arial" w:cs="Arial"/>
          <w:b/>
          <w:bCs/>
          <w:sz w:val="23"/>
          <w:szCs w:val="23"/>
        </w:rPr>
      </w:pPr>
    </w:p>
    <w:p w14:paraId="2618E296" w14:textId="77777777" w:rsidR="00830D4B" w:rsidRDefault="00830D4B" w:rsidP="00830D4B">
      <w:pPr>
        <w:pStyle w:val="BodyText"/>
        <w:rPr>
          <w:rFonts w:ascii="Arial" w:hAnsi="Arial" w:cs="Arial"/>
          <w:b/>
          <w:bCs/>
          <w:sz w:val="23"/>
          <w:szCs w:val="23"/>
        </w:rPr>
      </w:pPr>
    </w:p>
    <w:p w14:paraId="188BC9EE" w14:textId="77777777" w:rsidR="00830D4B" w:rsidRDefault="00830D4B" w:rsidP="00830D4B">
      <w:pPr>
        <w:pStyle w:val="BodyText"/>
        <w:rPr>
          <w:rFonts w:ascii="Arial" w:hAnsi="Arial" w:cs="Arial"/>
          <w:b/>
          <w:bCs/>
          <w:sz w:val="23"/>
          <w:szCs w:val="23"/>
        </w:rPr>
      </w:pPr>
    </w:p>
    <w:p w14:paraId="76845E58" w14:textId="77777777" w:rsidR="008E10FF" w:rsidRDefault="008E10FF" w:rsidP="00341E0C">
      <w:pPr>
        <w:pStyle w:val="BodyText"/>
        <w:spacing w:line="360" w:lineRule="auto"/>
        <w:rPr>
          <w:rFonts w:ascii="Arial" w:hAnsi="Arial" w:cs="Arial"/>
          <w:b/>
          <w:bCs/>
          <w:sz w:val="23"/>
          <w:szCs w:val="23"/>
        </w:rPr>
      </w:pPr>
    </w:p>
    <w:p w14:paraId="4D2163DC" w14:textId="491645E6" w:rsidR="00DB5718" w:rsidRDefault="00DB5718" w:rsidP="00341E0C">
      <w:pPr>
        <w:pStyle w:val="BodyText"/>
        <w:spacing w:line="360" w:lineRule="auto"/>
        <w:rPr>
          <w:rFonts w:ascii="Arial" w:hAnsi="Arial" w:cs="Arial"/>
          <w:b/>
          <w:bCs/>
          <w:sz w:val="23"/>
          <w:szCs w:val="23"/>
        </w:rPr>
      </w:pPr>
      <w:r w:rsidRPr="00DB5718">
        <w:rPr>
          <w:rFonts w:ascii="Arial" w:hAnsi="Arial" w:cs="Arial"/>
          <w:b/>
          <w:bCs/>
          <w:sz w:val="23"/>
          <w:szCs w:val="23"/>
        </w:rPr>
        <w:lastRenderedPageBreak/>
        <w:t>Executive Summary</w:t>
      </w:r>
    </w:p>
    <w:p w14:paraId="75EAF881" w14:textId="77777777" w:rsidR="00DB5718" w:rsidRPr="00DB5718" w:rsidRDefault="00DB5718" w:rsidP="00341E0C">
      <w:pPr>
        <w:pStyle w:val="BodyText"/>
        <w:spacing w:line="360" w:lineRule="auto"/>
        <w:jc w:val="center"/>
        <w:rPr>
          <w:rFonts w:ascii="Arial" w:hAnsi="Arial" w:cs="Arial"/>
          <w:b/>
          <w:bCs/>
          <w:sz w:val="23"/>
          <w:szCs w:val="23"/>
        </w:rPr>
      </w:pPr>
    </w:p>
    <w:p w14:paraId="705D2E34" w14:textId="77777777"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Tesco plc, a leading UK-based international retail and e-commerce organisation, is preparing to launch ConnectPlus, an AI-driven customer loyalty and engagement platform, across its UK, European, North American, and Asia-Pacific markets within six months. This report, prepared from the perspective of the Project Manager, identifies and categorises key internal and external stakeholders essential for the platform’s successful design, launch, and adoption. Using established frameworks such as Mendelow’s Power/Interest Matrix and Mitchell, Agle and Wood’s (1997) Salience Model, the analysis prioritises stakeholders based on power, legitimacy, and urgency.</w:t>
      </w:r>
    </w:p>
    <w:p w14:paraId="41C26D2A"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Suitable engagement mechanisms, including a tailored Communication Plan, RACI Matrix, and the 4Cs model (Communication, Collaboration, Consultation, and Commitment), are proposed to foster collaboration, trust, and commitment across diverse cultural and regulatory contexts. The report critically evaluates the benefits, such as enhanced customer retention and risk mitigation, alongside challenges including data privacy concerns, cultural resistance, and potential conflicts arising from competing stakeholder interests. Ethical considerations, particularly around AI transparency and informed consent, are examined.</w:t>
      </w:r>
    </w:p>
    <w:p w14:paraId="5AE2A9DD"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Drawing on stakeholder theory (Freeman, 1984; 2010) and insights from case studies such as LG Electronics (Jun and Kim, 2021), the analysis demonstrates that sustainable stakeholder engagement positively impacts organisational performance by building long-term relationships, driving innovation, and securing competitive advantage in the global retail sector. Recommendations include establishing a cross-functional steering group, investing in cultural competence training, and embedding ethical AI governance. Overall, proactive and inclusive stakeholder engagement is deemed critical to transforming potential risks into opportunities for Tesco’s digital transformation strategy.</w:t>
      </w:r>
    </w:p>
    <w:p w14:paraId="313FFC04" w14:textId="77777777" w:rsidR="00830D4B" w:rsidRDefault="00830D4B" w:rsidP="00341E0C">
      <w:pPr>
        <w:pStyle w:val="BodyText"/>
        <w:spacing w:line="360" w:lineRule="auto"/>
        <w:jc w:val="center"/>
        <w:rPr>
          <w:rFonts w:ascii="Arial" w:hAnsi="Arial" w:cs="Arial"/>
          <w:b/>
          <w:bCs/>
          <w:sz w:val="23"/>
          <w:szCs w:val="23"/>
        </w:rPr>
      </w:pPr>
      <w:bookmarkStart w:id="2" w:name="introduction"/>
      <w:bookmarkEnd w:id="1"/>
    </w:p>
    <w:p w14:paraId="2873B6A9" w14:textId="77777777" w:rsidR="00830D4B" w:rsidRDefault="00830D4B" w:rsidP="00341E0C">
      <w:pPr>
        <w:pStyle w:val="BodyText"/>
        <w:spacing w:line="360" w:lineRule="auto"/>
        <w:rPr>
          <w:rFonts w:ascii="Arial" w:hAnsi="Arial" w:cs="Arial"/>
          <w:b/>
          <w:bCs/>
          <w:sz w:val="23"/>
          <w:szCs w:val="23"/>
        </w:rPr>
      </w:pPr>
    </w:p>
    <w:p w14:paraId="17D813A7" w14:textId="77777777" w:rsidR="00830D4B" w:rsidRDefault="00830D4B" w:rsidP="00341E0C">
      <w:pPr>
        <w:pStyle w:val="BodyText"/>
        <w:spacing w:line="360" w:lineRule="auto"/>
        <w:rPr>
          <w:rFonts w:ascii="Arial" w:hAnsi="Arial" w:cs="Arial"/>
          <w:b/>
          <w:bCs/>
          <w:sz w:val="23"/>
          <w:szCs w:val="23"/>
        </w:rPr>
      </w:pPr>
    </w:p>
    <w:p w14:paraId="41C5DBF3" w14:textId="77777777" w:rsidR="00341E0C" w:rsidRDefault="00341E0C" w:rsidP="00341E0C">
      <w:pPr>
        <w:pStyle w:val="BodyText"/>
        <w:spacing w:line="360" w:lineRule="auto"/>
        <w:rPr>
          <w:rFonts w:ascii="Arial" w:hAnsi="Arial" w:cs="Arial"/>
          <w:b/>
          <w:bCs/>
          <w:sz w:val="23"/>
          <w:szCs w:val="23"/>
        </w:rPr>
      </w:pPr>
    </w:p>
    <w:p w14:paraId="44D11A90" w14:textId="2D58C68D" w:rsidR="00DB5718" w:rsidRPr="00DB5718" w:rsidRDefault="00DB5718" w:rsidP="00341E0C">
      <w:pPr>
        <w:pStyle w:val="BodyText"/>
        <w:spacing w:line="360" w:lineRule="auto"/>
        <w:rPr>
          <w:rFonts w:ascii="Arial" w:hAnsi="Arial" w:cs="Arial"/>
          <w:b/>
          <w:bCs/>
          <w:sz w:val="23"/>
          <w:szCs w:val="23"/>
        </w:rPr>
      </w:pPr>
      <w:r w:rsidRPr="00DB5718">
        <w:rPr>
          <w:rFonts w:ascii="Arial" w:hAnsi="Arial" w:cs="Arial"/>
          <w:b/>
          <w:bCs/>
          <w:sz w:val="23"/>
          <w:szCs w:val="23"/>
        </w:rPr>
        <w:lastRenderedPageBreak/>
        <w:t>Introduction</w:t>
      </w:r>
    </w:p>
    <w:p w14:paraId="764B46AF" w14:textId="1F250C4F" w:rsidR="009864DF" w:rsidRPr="009864DF" w:rsidRDefault="009864DF" w:rsidP="00341E0C">
      <w:pPr>
        <w:spacing w:line="360" w:lineRule="auto"/>
        <w:jc w:val="both"/>
        <w:rPr>
          <w:rFonts w:ascii="Arial" w:hAnsi="Arial" w:cs="Arial"/>
          <w:sz w:val="23"/>
          <w:szCs w:val="23"/>
          <w:lang w:val="en-GB"/>
        </w:rPr>
      </w:pPr>
      <w:r w:rsidRPr="009864DF">
        <w:rPr>
          <w:rFonts w:ascii="Arial" w:hAnsi="Arial" w:cs="Arial"/>
          <w:sz w:val="23"/>
          <w:szCs w:val="23"/>
          <w:lang w:val="en-GB"/>
        </w:rPr>
        <w:t xml:space="preserve">Tesco plc is a UK-headquartered international retailer specialising in fashion, homeware and consumer electronics. Founded in 2005 as an online fashion retailer, it has grown into an omnichannel operator with physical stores and digital platforms across the UK, EU, North America and Asia-Pacific. With over </w:t>
      </w:r>
      <w:r w:rsidR="003E49F2">
        <w:rPr>
          <w:rFonts w:ascii="Arial" w:hAnsi="Arial" w:cs="Arial"/>
          <w:sz w:val="23"/>
          <w:szCs w:val="23"/>
          <w:lang w:val="en-GB"/>
        </w:rPr>
        <w:t>300,000</w:t>
      </w:r>
      <w:r w:rsidRPr="009864DF">
        <w:rPr>
          <w:rFonts w:ascii="Arial" w:hAnsi="Arial" w:cs="Arial"/>
          <w:sz w:val="23"/>
          <w:szCs w:val="23"/>
          <w:lang w:val="en-GB"/>
        </w:rPr>
        <w:t xml:space="preserve"> employees and annual revenues exceeding £4.5 billion, the company pursues its mission “to inspire and enable stylish living through innovative and sustainable retail experiences.”</w:t>
      </w:r>
    </w:p>
    <w:p w14:paraId="40E395DE" w14:textId="77777777" w:rsidR="009864DF" w:rsidRPr="009864DF" w:rsidRDefault="009864DF" w:rsidP="00341E0C">
      <w:pPr>
        <w:spacing w:line="360" w:lineRule="auto"/>
        <w:jc w:val="both"/>
        <w:rPr>
          <w:rFonts w:ascii="Arial" w:hAnsi="Arial" w:cs="Arial"/>
          <w:sz w:val="23"/>
          <w:szCs w:val="23"/>
          <w:lang w:val="en-GB"/>
        </w:rPr>
      </w:pPr>
      <w:r w:rsidRPr="009864DF">
        <w:rPr>
          <w:rFonts w:ascii="Arial" w:hAnsi="Arial" w:cs="Arial"/>
          <w:sz w:val="23"/>
          <w:szCs w:val="23"/>
          <w:lang w:val="en-GB"/>
        </w:rPr>
        <w:t xml:space="preserve">In a competitive environment dominated by Amazon, Shein and </w:t>
      </w:r>
      <w:proofErr w:type="spellStart"/>
      <w:r w:rsidRPr="009864DF">
        <w:rPr>
          <w:rFonts w:ascii="Arial" w:hAnsi="Arial" w:cs="Arial"/>
          <w:sz w:val="23"/>
          <w:szCs w:val="23"/>
          <w:lang w:val="en-GB"/>
        </w:rPr>
        <w:t>Temu</w:t>
      </w:r>
      <w:proofErr w:type="spellEnd"/>
      <w:r w:rsidRPr="009864DF">
        <w:rPr>
          <w:rFonts w:ascii="Arial" w:hAnsi="Arial" w:cs="Arial"/>
          <w:sz w:val="23"/>
          <w:szCs w:val="23"/>
          <w:lang w:val="en-GB"/>
        </w:rPr>
        <w:t xml:space="preserve">, Tesco is undertaking a major digital transformation centred on </w:t>
      </w:r>
      <w:proofErr w:type="spellStart"/>
      <w:r w:rsidRPr="009864DF">
        <w:rPr>
          <w:rFonts w:ascii="Arial" w:hAnsi="Arial" w:cs="Arial"/>
          <w:sz w:val="23"/>
          <w:szCs w:val="23"/>
          <w:lang w:val="en-GB"/>
        </w:rPr>
        <w:t>ConnectPlus</w:t>
      </w:r>
      <w:proofErr w:type="spellEnd"/>
      <w:r w:rsidRPr="009864DF">
        <w:rPr>
          <w:rFonts w:ascii="Arial" w:hAnsi="Arial" w:cs="Arial"/>
          <w:sz w:val="23"/>
          <w:szCs w:val="23"/>
          <w:lang w:val="en-GB"/>
        </w:rPr>
        <w:t>, an AI-enhanced loyalty and engagement platform evolving from its Clubcard programme. The six-month global rollout will deliver hyper-personalised recommendations, a mobile-first rewards ecosystem and advanced data analytics to improve customer retention, lifetime value and brand differentiation.</w:t>
      </w:r>
    </w:p>
    <w:p w14:paraId="75F94DDF" w14:textId="127EABA2" w:rsidR="009864DF" w:rsidRPr="009864DF" w:rsidRDefault="009864DF" w:rsidP="00341E0C">
      <w:pPr>
        <w:spacing w:line="360" w:lineRule="auto"/>
        <w:jc w:val="both"/>
        <w:rPr>
          <w:rFonts w:ascii="Arial" w:hAnsi="Arial" w:cs="Arial"/>
          <w:sz w:val="23"/>
          <w:szCs w:val="23"/>
          <w:lang w:val="en-GB"/>
        </w:rPr>
      </w:pPr>
      <w:r w:rsidRPr="009864DF">
        <w:rPr>
          <w:rFonts w:ascii="Arial" w:hAnsi="Arial" w:cs="Arial"/>
          <w:sz w:val="23"/>
          <w:szCs w:val="23"/>
          <w:lang w:val="en-GB"/>
        </w:rPr>
        <w:t>Success depends on effective stakeholder engagement, understood as a relational rather than transactional process (Bourne, 2016). This requires understanding mutuality and navigating power dynamics, legitimacy and urgency (Mitchell, Agle and Wood, 1997). Drawing on Freeman’s (1984) definition of stakeholders and contemporary frameworks from the LCLM 5001 curriculum, including lessons from LG Electronics’ approach to sustainable stakeholder engagement (Jun and Kim, 2021), this report proposes strategies to foster collaboration, ensure regulatory compliance (e.g. GDPR) and maximise long-term organisational performance and reputation.</w:t>
      </w:r>
    </w:p>
    <w:p w14:paraId="174B877D" w14:textId="77777777" w:rsidR="00D230C8" w:rsidRDefault="00D230C8" w:rsidP="00341E0C">
      <w:pPr>
        <w:pStyle w:val="FirstParagraph"/>
        <w:spacing w:line="360" w:lineRule="auto"/>
        <w:jc w:val="center"/>
        <w:rPr>
          <w:rFonts w:ascii="Arial" w:hAnsi="Arial" w:cs="Arial"/>
          <w:b/>
          <w:bCs/>
          <w:sz w:val="23"/>
          <w:szCs w:val="23"/>
        </w:rPr>
      </w:pPr>
      <w:bookmarkStart w:id="3" w:name="smart-objectives"/>
      <w:bookmarkEnd w:id="2"/>
    </w:p>
    <w:p w14:paraId="59391EB8" w14:textId="77777777" w:rsidR="00830D4B" w:rsidRDefault="00830D4B" w:rsidP="00341E0C">
      <w:pPr>
        <w:pStyle w:val="BodyText"/>
        <w:spacing w:line="360" w:lineRule="auto"/>
      </w:pPr>
    </w:p>
    <w:p w14:paraId="1774ABDD" w14:textId="77777777" w:rsidR="00830D4B" w:rsidRDefault="00830D4B" w:rsidP="00341E0C">
      <w:pPr>
        <w:pStyle w:val="BodyText"/>
        <w:spacing w:line="360" w:lineRule="auto"/>
      </w:pPr>
    </w:p>
    <w:p w14:paraId="6D3A91A4" w14:textId="77777777" w:rsidR="00830D4B" w:rsidRDefault="00830D4B" w:rsidP="00341E0C">
      <w:pPr>
        <w:pStyle w:val="BodyText"/>
        <w:spacing w:line="360" w:lineRule="auto"/>
      </w:pPr>
    </w:p>
    <w:p w14:paraId="6816F791" w14:textId="77777777" w:rsidR="00341E0C" w:rsidRDefault="00341E0C" w:rsidP="00341E0C">
      <w:pPr>
        <w:pStyle w:val="FirstParagraph"/>
        <w:spacing w:line="360" w:lineRule="auto"/>
        <w:rPr>
          <w:rFonts w:ascii="Arial" w:hAnsi="Arial" w:cs="Arial"/>
          <w:b/>
          <w:bCs/>
          <w:sz w:val="23"/>
          <w:szCs w:val="23"/>
        </w:rPr>
      </w:pPr>
    </w:p>
    <w:p w14:paraId="15B9CB30" w14:textId="77777777" w:rsidR="00341E0C" w:rsidRDefault="00341E0C" w:rsidP="00341E0C">
      <w:pPr>
        <w:pStyle w:val="FirstParagraph"/>
        <w:spacing w:line="360" w:lineRule="auto"/>
        <w:rPr>
          <w:rFonts w:ascii="Arial" w:hAnsi="Arial" w:cs="Arial"/>
          <w:b/>
          <w:bCs/>
          <w:sz w:val="23"/>
          <w:szCs w:val="23"/>
        </w:rPr>
      </w:pPr>
    </w:p>
    <w:p w14:paraId="3FEB0914" w14:textId="77777777" w:rsidR="008E10FF" w:rsidRDefault="008E10FF" w:rsidP="00341E0C">
      <w:pPr>
        <w:pStyle w:val="FirstParagraph"/>
        <w:spacing w:line="360" w:lineRule="auto"/>
        <w:rPr>
          <w:rFonts w:ascii="Arial" w:hAnsi="Arial" w:cs="Arial"/>
          <w:b/>
          <w:bCs/>
          <w:sz w:val="23"/>
          <w:szCs w:val="23"/>
        </w:rPr>
      </w:pPr>
    </w:p>
    <w:p w14:paraId="08BDE4A2" w14:textId="4F245559" w:rsidR="009864DF" w:rsidRDefault="009864DF" w:rsidP="00341E0C">
      <w:pPr>
        <w:pStyle w:val="FirstParagraph"/>
        <w:spacing w:line="360" w:lineRule="auto"/>
        <w:rPr>
          <w:rFonts w:ascii="Arial" w:hAnsi="Arial" w:cs="Arial"/>
          <w:b/>
          <w:bCs/>
          <w:sz w:val="23"/>
          <w:szCs w:val="23"/>
        </w:rPr>
      </w:pPr>
      <w:r w:rsidRPr="009864DF">
        <w:rPr>
          <w:rFonts w:ascii="Arial" w:hAnsi="Arial" w:cs="Arial"/>
          <w:b/>
          <w:bCs/>
          <w:sz w:val="23"/>
          <w:szCs w:val="23"/>
        </w:rPr>
        <w:lastRenderedPageBreak/>
        <w:t>Smart Objectives</w:t>
      </w:r>
    </w:p>
    <w:p w14:paraId="1844FC32" w14:textId="77777777" w:rsidR="009864DF" w:rsidRPr="009864DF" w:rsidRDefault="009864DF" w:rsidP="00341E0C">
      <w:pPr>
        <w:pStyle w:val="BodyText"/>
        <w:spacing w:line="360" w:lineRule="auto"/>
      </w:pPr>
    </w:p>
    <w:p w14:paraId="2CB55686" w14:textId="22E00F76"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 xml:space="preserve">The SMART objectives for the </w:t>
      </w:r>
      <w:proofErr w:type="spellStart"/>
      <w:r w:rsidRPr="000B0300">
        <w:rPr>
          <w:rFonts w:ascii="Arial" w:hAnsi="Arial" w:cs="Arial"/>
          <w:sz w:val="23"/>
          <w:szCs w:val="23"/>
        </w:rPr>
        <w:t>ConnectPlus</w:t>
      </w:r>
      <w:proofErr w:type="spellEnd"/>
      <w:r w:rsidRPr="000B0300">
        <w:rPr>
          <w:rFonts w:ascii="Arial" w:hAnsi="Arial" w:cs="Arial"/>
          <w:sz w:val="23"/>
          <w:szCs w:val="23"/>
        </w:rPr>
        <w:t xml:space="preserve"> launch </w:t>
      </w:r>
      <w:r w:rsidR="00587EB7" w:rsidRPr="000B0300">
        <w:rPr>
          <w:rFonts w:ascii="Arial" w:hAnsi="Arial" w:cs="Arial"/>
          <w:sz w:val="23"/>
          <w:szCs w:val="23"/>
        </w:rPr>
        <w:t>are</w:t>
      </w:r>
      <w:r w:rsidRPr="000B0300">
        <w:rPr>
          <w:rFonts w:ascii="Arial" w:hAnsi="Arial" w:cs="Arial"/>
          <w:sz w:val="23"/>
          <w:szCs w:val="23"/>
        </w:rPr>
        <w:t xml:space="preserve"> to provide clear direction, measurable outcomes, and alignment with Tesco’s strategic goals of digital innovation and sustainable growth.</w:t>
      </w:r>
    </w:p>
    <w:p w14:paraId="43C51E6F" w14:textId="77777777" w:rsidR="009A2198" w:rsidRPr="000B0300" w:rsidRDefault="00000000" w:rsidP="00341E0C">
      <w:pPr>
        <w:pStyle w:val="Compact"/>
        <w:numPr>
          <w:ilvl w:val="0"/>
          <w:numId w:val="2"/>
        </w:numPr>
        <w:spacing w:line="360" w:lineRule="auto"/>
        <w:jc w:val="both"/>
        <w:rPr>
          <w:rFonts w:ascii="Arial" w:hAnsi="Arial" w:cs="Arial"/>
          <w:sz w:val="23"/>
          <w:szCs w:val="23"/>
        </w:rPr>
      </w:pPr>
      <w:r w:rsidRPr="000B0300">
        <w:rPr>
          <w:rFonts w:ascii="Arial" w:hAnsi="Arial" w:cs="Arial"/>
          <w:b/>
          <w:bCs/>
          <w:sz w:val="23"/>
          <w:szCs w:val="23"/>
        </w:rPr>
        <w:t>Specific</w:t>
      </w:r>
      <w:r w:rsidRPr="000B0300">
        <w:rPr>
          <w:rFonts w:ascii="Arial" w:hAnsi="Arial" w:cs="Arial"/>
          <w:sz w:val="23"/>
          <w:szCs w:val="23"/>
        </w:rPr>
        <w:t>: Successfully design, test, and launch the ConnectPlus platform in the UK, Germany, the United States, and Japan, achieving full operational capability across selected markets.</w:t>
      </w:r>
    </w:p>
    <w:p w14:paraId="7C2D544C" w14:textId="77777777" w:rsidR="009A2198" w:rsidRPr="000B0300" w:rsidRDefault="00000000" w:rsidP="00341E0C">
      <w:pPr>
        <w:pStyle w:val="Compact"/>
        <w:numPr>
          <w:ilvl w:val="0"/>
          <w:numId w:val="2"/>
        </w:numPr>
        <w:spacing w:line="360" w:lineRule="auto"/>
        <w:jc w:val="both"/>
        <w:rPr>
          <w:rFonts w:ascii="Arial" w:hAnsi="Arial" w:cs="Arial"/>
          <w:sz w:val="23"/>
          <w:szCs w:val="23"/>
        </w:rPr>
      </w:pPr>
      <w:r w:rsidRPr="000B0300">
        <w:rPr>
          <w:rFonts w:ascii="Arial" w:hAnsi="Arial" w:cs="Arial"/>
          <w:b/>
          <w:bCs/>
          <w:sz w:val="23"/>
          <w:szCs w:val="23"/>
        </w:rPr>
        <w:t>Measurable</w:t>
      </w:r>
      <w:r w:rsidRPr="000B0300">
        <w:rPr>
          <w:rFonts w:ascii="Arial" w:hAnsi="Arial" w:cs="Arial"/>
          <w:sz w:val="23"/>
          <w:szCs w:val="23"/>
        </w:rPr>
        <w:t>: Attain a minimum 40% active adoption rate among existing loyalty members within three months post-launch and improve Net Promoter Score (NPS) by at least 15 points in target markets.</w:t>
      </w:r>
    </w:p>
    <w:p w14:paraId="7207EEDA" w14:textId="77777777" w:rsidR="009A2198" w:rsidRPr="000B0300" w:rsidRDefault="00000000" w:rsidP="00341E0C">
      <w:pPr>
        <w:pStyle w:val="Compact"/>
        <w:numPr>
          <w:ilvl w:val="0"/>
          <w:numId w:val="2"/>
        </w:numPr>
        <w:spacing w:line="360" w:lineRule="auto"/>
        <w:jc w:val="both"/>
        <w:rPr>
          <w:rFonts w:ascii="Arial" w:hAnsi="Arial" w:cs="Arial"/>
          <w:sz w:val="23"/>
          <w:szCs w:val="23"/>
        </w:rPr>
      </w:pPr>
      <w:r w:rsidRPr="000B0300">
        <w:rPr>
          <w:rFonts w:ascii="Arial" w:hAnsi="Arial" w:cs="Arial"/>
          <w:b/>
          <w:bCs/>
          <w:sz w:val="23"/>
          <w:szCs w:val="23"/>
        </w:rPr>
        <w:t>Achievable</w:t>
      </w:r>
      <w:r w:rsidRPr="000B0300">
        <w:rPr>
          <w:rFonts w:ascii="Arial" w:hAnsi="Arial" w:cs="Arial"/>
          <w:sz w:val="23"/>
          <w:szCs w:val="23"/>
        </w:rPr>
        <w:t>: Leverage Tesco’s existing technology infrastructure and the powerful Clubcard data ecosystem, experienced cross-functional teams, and established partnerships with AI and cloud providers, supported by a dedicated £12 million budget and phased implementation approach.</w:t>
      </w:r>
    </w:p>
    <w:p w14:paraId="35631C27" w14:textId="77777777" w:rsidR="009A2198" w:rsidRPr="000B0300" w:rsidRDefault="00000000" w:rsidP="00341E0C">
      <w:pPr>
        <w:pStyle w:val="Compact"/>
        <w:numPr>
          <w:ilvl w:val="0"/>
          <w:numId w:val="2"/>
        </w:numPr>
        <w:spacing w:line="360" w:lineRule="auto"/>
        <w:jc w:val="both"/>
        <w:rPr>
          <w:rFonts w:ascii="Arial" w:hAnsi="Arial" w:cs="Arial"/>
          <w:sz w:val="23"/>
          <w:szCs w:val="23"/>
        </w:rPr>
      </w:pPr>
      <w:r w:rsidRPr="000B0300">
        <w:rPr>
          <w:rFonts w:ascii="Arial" w:hAnsi="Arial" w:cs="Arial"/>
          <w:b/>
          <w:bCs/>
          <w:sz w:val="23"/>
          <w:szCs w:val="23"/>
        </w:rPr>
        <w:t>Relevant</w:t>
      </w:r>
      <w:r w:rsidRPr="000B0300">
        <w:rPr>
          <w:rFonts w:ascii="Arial" w:hAnsi="Arial" w:cs="Arial"/>
          <w:sz w:val="23"/>
          <w:szCs w:val="23"/>
        </w:rPr>
        <w:t>: Directly supports Tesco’s 2026–2030 digital transformation strategy, contributes to a targeted 20% increase in customer lifetime value through enhanced personalisation and retention, and reinforces the organisation’s commitment to ethical data use and customer-centric innovation.</w:t>
      </w:r>
    </w:p>
    <w:p w14:paraId="363BE0DB" w14:textId="77777777" w:rsidR="009A2198" w:rsidRPr="000B0300" w:rsidRDefault="00000000" w:rsidP="00341E0C">
      <w:pPr>
        <w:pStyle w:val="Compact"/>
        <w:numPr>
          <w:ilvl w:val="0"/>
          <w:numId w:val="2"/>
        </w:numPr>
        <w:spacing w:line="360" w:lineRule="auto"/>
        <w:jc w:val="both"/>
        <w:rPr>
          <w:rFonts w:ascii="Arial" w:hAnsi="Arial" w:cs="Arial"/>
          <w:sz w:val="23"/>
          <w:szCs w:val="23"/>
        </w:rPr>
      </w:pPr>
      <w:r w:rsidRPr="000B0300">
        <w:rPr>
          <w:rFonts w:ascii="Arial" w:hAnsi="Arial" w:cs="Arial"/>
          <w:b/>
          <w:bCs/>
          <w:sz w:val="23"/>
          <w:szCs w:val="23"/>
        </w:rPr>
        <w:t>Time-bound</w:t>
      </w:r>
      <w:r w:rsidRPr="000B0300">
        <w:rPr>
          <w:rFonts w:ascii="Arial" w:hAnsi="Arial" w:cs="Arial"/>
          <w:sz w:val="23"/>
          <w:szCs w:val="23"/>
        </w:rPr>
        <w:t>: Complete full deployment and initial performance evaluation by the end of Q4 2026, with milestone reviews at months 2, 4, and 6.</w:t>
      </w:r>
    </w:p>
    <w:p w14:paraId="322DFF7C" w14:textId="77777777"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These objectives ensure accountability while remaining flexible enough to accommodate stakeholder feedback and emerging market dynamics.</w:t>
      </w:r>
    </w:p>
    <w:p w14:paraId="6F61D619" w14:textId="77777777" w:rsidR="00830D4B" w:rsidRDefault="00830D4B" w:rsidP="00341E0C">
      <w:pPr>
        <w:pStyle w:val="FirstParagraph"/>
        <w:spacing w:line="360" w:lineRule="auto"/>
        <w:jc w:val="center"/>
        <w:rPr>
          <w:rFonts w:ascii="Arial" w:hAnsi="Arial" w:cs="Arial"/>
          <w:b/>
          <w:bCs/>
          <w:sz w:val="23"/>
          <w:szCs w:val="23"/>
        </w:rPr>
      </w:pPr>
      <w:bookmarkStart w:id="4" w:name="Xebb435ffd16eae09352473caabee8be40719aa5"/>
      <w:bookmarkEnd w:id="3"/>
    </w:p>
    <w:p w14:paraId="40DB3ECB" w14:textId="77777777" w:rsidR="00830D4B" w:rsidRDefault="00830D4B" w:rsidP="00341E0C">
      <w:pPr>
        <w:pStyle w:val="FirstParagraph"/>
        <w:spacing w:line="360" w:lineRule="auto"/>
        <w:jc w:val="center"/>
        <w:rPr>
          <w:rFonts w:ascii="Arial" w:hAnsi="Arial" w:cs="Arial"/>
          <w:b/>
          <w:bCs/>
          <w:sz w:val="23"/>
          <w:szCs w:val="23"/>
        </w:rPr>
      </w:pPr>
    </w:p>
    <w:p w14:paraId="7025B51F" w14:textId="77777777" w:rsidR="00830D4B" w:rsidRDefault="00830D4B" w:rsidP="00341E0C">
      <w:pPr>
        <w:pStyle w:val="FirstParagraph"/>
        <w:spacing w:line="360" w:lineRule="auto"/>
        <w:jc w:val="center"/>
        <w:rPr>
          <w:rFonts w:ascii="Arial" w:hAnsi="Arial" w:cs="Arial"/>
          <w:b/>
          <w:bCs/>
          <w:sz w:val="23"/>
          <w:szCs w:val="23"/>
        </w:rPr>
      </w:pPr>
    </w:p>
    <w:p w14:paraId="7A0045EA" w14:textId="77777777" w:rsidR="00830D4B" w:rsidRDefault="00830D4B" w:rsidP="00341E0C">
      <w:pPr>
        <w:pStyle w:val="FirstParagraph"/>
        <w:spacing w:line="360" w:lineRule="auto"/>
        <w:jc w:val="center"/>
        <w:rPr>
          <w:rFonts w:ascii="Arial" w:hAnsi="Arial" w:cs="Arial"/>
          <w:b/>
          <w:bCs/>
          <w:sz w:val="23"/>
          <w:szCs w:val="23"/>
        </w:rPr>
      </w:pPr>
    </w:p>
    <w:p w14:paraId="17A46FC8" w14:textId="77777777" w:rsidR="00341E0C" w:rsidRDefault="00341E0C" w:rsidP="00341E0C">
      <w:pPr>
        <w:pStyle w:val="FirstParagraph"/>
        <w:spacing w:line="360" w:lineRule="auto"/>
        <w:rPr>
          <w:rFonts w:ascii="Arial" w:hAnsi="Arial" w:cs="Arial"/>
          <w:b/>
          <w:bCs/>
          <w:sz w:val="23"/>
          <w:szCs w:val="23"/>
        </w:rPr>
      </w:pPr>
    </w:p>
    <w:p w14:paraId="5D9ECCCE" w14:textId="13B4BC31" w:rsidR="00587EB7" w:rsidRDefault="00587EB7" w:rsidP="00341E0C">
      <w:pPr>
        <w:pStyle w:val="FirstParagraph"/>
        <w:spacing w:line="360" w:lineRule="auto"/>
        <w:rPr>
          <w:rFonts w:ascii="Arial" w:hAnsi="Arial" w:cs="Arial"/>
          <w:b/>
          <w:bCs/>
          <w:sz w:val="23"/>
          <w:szCs w:val="23"/>
        </w:rPr>
      </w:pPr>
      <w:r w:rsidRPr="00587EB7">
        <w:rPr>
          <w:rFonts w:ascii="Arial" w:hAnsi="Arial" w:cs="Arial"/>
          <w:b/>
          <w:bCs/>
          <w:sz w:val="23"/>
          <w:szCs w:val="23"/>
        </w:rPr>
        <w:lastRenderedPageBreak/>
        <w:t xml:space="preserve">SWOT Analysis of the </w:t>
      </w:r>
      <w:proofErr w:type="spellStart"/>
      <w:r w:rsidRPr="00587EB7">
        <w:rPr>
          <w:rFonts w:ascii="Arial" w:hAnsi="Arial" w:cs="Arial"/>
          <w:b/>
          <w:bCs/>
          <w:sz w:val="23"/>
          <w:szCs w:val="23"/>
        </w:rPr>
        <w:t>ConnectPlus</w:t>
      </w:r>
      <w:proofErr w:type="spellEnd"/>
      <w:r w:rsidRPr="00587EB7">
        <w:rPr>
          <w:rFonts w:ascii="Arial" w:hAnsi="Arial" w:cs="Arial"/>
          <w:b/>
          <w:bCs/>
          <w:sz w:val="23"/>
          <w:szCs w:val="23"/>
        </w:rPr>
        <w:t xml:space="preserve"> Launch Project</w:t>
      </w:r>
    </w:p>
    <w:p w14:paraId="22B5445C" w14:textId="77777777" w:rsidR="00587EB7" w:rsidRPr="00587EB7" w:rsidRDefault="00587EB7" w:rsidP="00341E0C">
      <w:pPr>
        <w:pStyle w:val="BodyText"/>
        <w:spacing w:line="360" w:lineRule="auto"/>
      </w:pPr>
    </w:p>
    <w:p w14:paraId="6AA7545A" w14:textId="323B338A"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 xml:space="preserve">A SWOT analysis provides a structured assessment of the internal and external environment surrounding Tesco’s ConnectPlus launch, informing stakeholder </w:t>
      </w:r>
      <w:r w:rsidR="00587EB7" w:rsidRPr="000B0300">
        <w:rPr>
          <w:rFonts w:ascii="Arial" w:hAnsi="Arial" w:cs="Arial"/>
          <w:sz w:val="23"/>
          <w:szCs w:val="23"/>
        </w:rPr>
        <w:t>prioritization</w:t>
      </w:r>
      <w:r w:rsidRPr="000B0300">
        <w:rPr>
          <w:rFonts w:ascii="Arial" w:hAnsi="Arial" w:cs="Arial"/>
          <w:sz w:val="23"/>
          <w:szCs w:val="23"/>
        </w:rPr>
        <w:t xml:space="preserve"> and engagement strategies.</w:t>
      </w:r>
    </w:p>
    <w:p w14:paraId="305BE34D" w14:textId="5D31F291"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b/>
          <w:bCs/>
          <w:sz w:val="23"/>
          <w:szCs w:val="23"/>
        </w:rPr>
        <w:t>Strengths</w:t>
      </w:r>
      <w:r w:rsidRPr="000B0300">
        <w:rPr>
          <w:rFonts w:ascii="Arial" w:hAnsi="Arial" w:cs="Arial"/>
          <w:sz w:val="23"/>
          <w:szCs w:val="23"/>
        </w:rPr>
        <w:br/>
        <w:t xml:space="preserve">Tesco possesses formidable internal strengths. It operates the UK’s largest grocery retail network with unparalleled physical and digital reach (over 4,000 stores and a highly successful Tesco.com/e-commerce platform). Its iconic Clubcard loyalty programme, with over 20 million active UK members, provides an exceptionally rich, long-established </w:t>
      </w:r>
      <w:r w:rsidR="00587EB7" w:rsidRPr="000B0300">
        <w:rPr>
          <w:rFonts w:ascii="Arial" w:hAnsi="Arial" w:cs="Arial"/>
          <w:sz w:val="23"/>
          <w:szCs w:val="23"/>
        </w:rPr>
        <w:t>data set</w:t>
      </w:r>
      <w:r w:rsidRPr="000B0300">
        <w:rPr>
          <w:rFonts w:ascii="Arial" w:hAnsi="Arial" w:cs="Arial"/>
          <w:sz w:val="23"/>
          <w:szCs w:val="23"/>
        </w:rPr>
        <w:t xml:space="preserve"> for AI-driven </w:t>
      </w:r>
      <w:r w:rsidR="00587EB7">
        <w:rPr>
          <w:rFonts w:ascii="Arial" w:hAnsi="Arial" w:cs="Arial"/>
          <w:sz w:val="23"/>
          <w:szCs w:val="23"/>
        </w:rPr>
        <w:t xml:space="preserve">personalization </w:t>
      </w:r>
      <w:r w:rsidRPr="000B0300">
        <w:rPr>
          <w:rFonts w:ascii="Arial" w:hAnsi="Arial" w:cs="Arial"/>
          <w:sz w:val="23"/>
          <w:szCs w:val="23"/>
        </w:rPr>
        <w:t>far exceeding most competitors. Tesco also benefits from deep supplier relationships, established data infrastructure, and proven capability in large-scale digital rollouts. These strengths position Tesco favourably to engage definitive stakeholders (Mitchell, Agle and Wood, 1997), such as the Board and major investors, with high confidence in delivery.</w:t>
      </w:r>
    </w:p>
    <w:p w14:paraId="502BDC4F" w14:textId="195899AC"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b/>
          <w:bCs/>
          <w:sz w:val="23"/>
          <w:szCs w:val="23"/>
        </w:rPr>
        <w:t>Weaknesses</w:t>
      </w:r>
      <w:r w:rsidRPr="000B0300">
        <w:rPr>
          <w:rFonts w:ascii="Arial" w:hAnsi="Arial" w:cs="Arial"/>
          <w:sz w:val="23"/>
          <w:szCs w:val="23"/>
        </w:rPr>
        <w:br/>
        <w:t xml:space="preserve">The aggressive </w:t>
      </w:r>
      <w:proofErr w:type="gramStart"/>
      <w:r w:rsidRPr="000B0300">
        <w:rPr>
          <w:rFonts w:ascii="Arial" w:hAnsi="Arial" w:cs="Arial"/>
          <w:sz w:val="23"/>
          <w:szCs w:val="23"/>
        </w:rPr>
        <w:t>six</w:t>
      </w:r>
      <w:r w:rsidR="003E49F2">
        <w:rPr>
          <w:rFonts w:ascii="Arial" w:hAnsi="Arial" w:cs="Arial"/>
          <w:sz w:val="23"/>
          <w:szCs w:val="23"/>
        </w:rPr>
        <w:t xml:space="preserve"> </w:t>
      </w:r>
      <w:r w:rsidRPr="000B0300">
        <w:rPr>
          <w:rFonts w:ascii="Arial" w:hAnsi="Arial" w:cs="Arial"/>
          <w:sz w:val="23"/>
          <w:szCs w:val="23"/>
        </w:rPr>
        <w:t>month</w:t>
      </w:r>
      <w:proofErr w:type="gramEnd"/>
      <w:r w:rsidRPr="000B0300">
        <w:rPr>
          <w:rFonts w:ascii="Arial" w:hAnsi="Arial" w:cs="Arial"/>
          <w:sz w:val="23"/>
          <w:szCs w:val="23"/>
        </w:rPr>
        <w:t xml:space="preserve"> timeline for a platform of this scale creates significant pressure on integration with legacy systems, rigorous testing across complex product categories, and seamless </w:t>
      </w:r>
      <w:proofErr w:type="spellStart"/>
      <w:r w:rsidR="00852B20" w:rsidRPr="000B0300">
        <w:rPr>
          <w:rFonts w:ascii="Arial" w:hAnsi="Arial" w:cs="Arial"/>
          <w:sz w:val="23"/>
          <w:szCs w:val="23"/>
        </w:rPr>
        <w:t>locali</w:t>
      </w:r>
      <w:r w:rsidR="00852B20">
        <w:rPr>
          <w:rFonts w:ascii="Arial" w:hAnsi="Arial" w:cs="Arial"/>
          <w:sz w:val="23"/>
          <w:szCs w:val="23"/>
        </w:rPr>
        <w:t>s</w:t>
      </w:r>
      <w:r w:rsidR="00852B20" w:rsidRPr="000B0300">
        <w:rPr>
          <w:rFonts w:ascii="Arial" w:hAnsi="Arial" w:cs="Arial"/>
          <w:sz w:val="23"/>
          <w:szCs w:val="23"/>
        </w:rPr>
        <w:t>ation</w:t>
      </w:r>
      <w:proofErr w:type="spellEnd"/>
      <w:r w:rsidRPr="000B0300">
        <w:rPr>
          <w:rFonts w:ascii="Arial" w:hAnsi="Arial" w:cs="Arial"/>
          <w:sz w:val="23"/>
          <w:szCs w:val="23"/>
        </w:rPr>
        <w:t xml:space="preserve"> for international markets. While Clubcard provides strong foundations, migrating and enhancing it into a fully AI-governed ecosystem carries technical debt and change management risks. Additionally, recent years of cost pressures, reputational challenges around pricing and supplier relations, and varying digital maturity across international operations may complicate consistent global adoption.</w:t>
      </w:r>
    </w:p>
    <w:p w14:paraId="3DAFACA6" w14:textId="5647907B"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b/>
          <w:bCs/>
          <w:sz w:val="23"/>
          <w:szCs w:val="23"/>
        </w:rPr>
        <w:t>Opportunities</w:t>
      </w:r>
      <w:r w:rsidRPr="000B0300">
        <w:rPr>
          <w:rFonts w:ascii="Arial" w:hAnsi="Arial" w:cs="Arial"/>
          <w:sz w:val="23"/>
          <w:szCs w:val="23"/>
        </w:rPr>
        <w:br/>
        <w:t xml:space="preserve">Substantial external opportunities exist. UK and global consumers increasingly expect hyper-personalised, convenient, and value-driven shopping experiences, particularly in groceries where AI can optimise meal planning, waste reduction, and targeted offers. Advances in generative AI and machine learning enable Tesco to leapfrog competitors in relevance and convenience. The platform’s data insights could unlock powerful new revenue streams through supplier collaboration, media/advertising (Tesco Media and </w:t>
      </w:r>
      <w:r w:rsidRPr="000B0300">
        <w:rPr>
          <w:rFonts w:ascii="Arial" w:hAnsi="Arial" w:cs="Arial"/>
          <w:sz w:val="23"/>
          <w:szCs w:val="23"/>
        </w:rPr>
        <w:lastRenderedPageBreak/>
        <w:t>Insight), and financial services. Growing regulatory and consumer focus on ethical AI and data transparency offers Tesco the chance to lead in UK retail, strengthening trust</w:t>
      </w:r>
      <w:r w:rsidR="00693C84">
        <w:rPr>
          <w:rFonts w:ascii="Arial" w:hAnsi="Arial" w:cs="Arial"/>
          <w:sz w:val="23"/>
          <w:szCs w:val="23"/>
        </w:rPr>
        <w:t xml:space="preserve"> </w:t>
      </w:r>
      <w:r w:rsidRPr="000B0300">
        <w:rPr>
          <w:rFonts w:ascii="Arial" w:hAnsi="Arial" w:cs="Arial"/>
          <w:sz w:val="23"/>
          <w:szCs w:val="23"/>
        </w:rPr>
        <w:t>especially valuable given recent public scrutiny of large supermarkets. Strategic partnerships with technology providers and local market influencers can accelerate cultural relevance and adoption in international territories.</w:t>
      </w:r>
    </w:p>
    <w:p w14:paraId="177F3001" w14:textId="3AA22935"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b/>
          <w:bCs/>
          <w:sz w:val="23"/>
          <w:szCs w:val="23"/>
        </w:rPr>
        <w:t>Threats</w:t>
      </w:r>
      <w:r w:rsidRPr="000B0300">
        <w:rPr>
          <w:rFonts w:ascii="Arial" w:hAnsi="Arial" w:cs="Arial"/>
          <w:sz w:val="23"/>
          <w:szCs w:val="23"/>
        </w:rPr>
        <w:br/>
        <w:t xml:space="preserve">Intense competitive pressure from </w:t>
      </w:r>
      <w:r w:rsidR="003C409A">
        <w:rPr>
          <w:rFonts w:ascii="Arial" w:hAnsi="Arial" w:cs="Arial"/>
          <w:sz w:val="23"/>
          <w:szCs w:val="23"/>
        </w:rPr>
        <w:t>other brands</w:t>
      </w:r>
      <w:r w:rsidRPr="000B0300">
        <w:rPr>
          <w:rFonts w:ascii="Arial" w:hAnsi="Arial" w:cs="Arial"/>
          <w:sz w:val="23"/>
          <w:szCs w:val="23"/>
        </w:rPr>
        <w:t xml:space="preserve"> (Aldi, Lidl</w:t>
      </w:r>
      <w:r w:rsidR="003C409A">
        <w:rPr>
          <w:rFonts w:ascii="Arial" w:hAnsi="Arial" w:cs="Arial"/>
          <w:sz w:val="23"/>
          <w:szCs w:val="23"/>
        </w:rPr>
        <w:t xml:space="preserve"> </w:t>
      </w:r>
      <w:proofErr w:type="spellStart"/>
      <w:r w:rsidR="003C409A">
        <w:rPr>
          <w:rFonts w:ascii="Arial" w:hAnsi="Arial" w:cs="Arial"/>
          <w:sz w:val="23"/>
          <w:szCs w:val="23"/>
        </w:rPr>
        <w:t>etc</w:t>
      </w:r>
      <w:proofErr w:type="spellEnd"/>
      <w:r w:rsidRPr="000B0300">
        <w:rPr>
          <w:rFonts w:ascii="Arial" w:hAnsi="Arial" w:cs="Arial"/>
          <w:sz w:val="23"/>
          <w:szCs w:val="23"/>
        </w:rPr>
        <w:t>) and pure-play online players threatens market share if ConnectPlus does not deliver clear, rapid value to price-sensitive UK shoppers. UK Competition and Markets Authority (CMA) on pricing practices, data protection (ICO), and emerging AI governance—poses compliance risks that could delay launch or generate negative publicity. Cybersecurity threats and any perception of intrusive data use could severely damage the hard-won trust in Clubcard. Economic pressures (inflation, cost-of-living crisis) may suppress discretionary spending and make customers wary of data-sharing for personalisation. Finally, competing internal stakeholder priorities—such as commercial teams pushing aggressive personalisation for sales versus supply chain and compliance teams emphasising caution—could generate dysfunctional conflict if not carefully managed through structured engagement processes.</w:t>
      </w:r>
    </w:p>
    <w:p w14:paraId="056145B9"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This SWOT analysis highlights the critical importance of proactive, transparent stakeholder engagement to leverage Tesco’s unique scale and data assets while mitigating execution, regulatory, and reputational risks—particularly through early, meaningful involvement of customers, suppliers, regulators, and internal teams.</w:t>
      </w:r>
    </w:p>
    <w:p w14:paraId="15D12578" w14:textId="77777777" w:rsidR="00830D4B" w:rsidRDefault="00830D4B" w:rsidP="00341E0C">
      <w:pPr>
        <w:pStyle w:val="BodyText"/>
        <w:spacing w:line="360" w:lineRule="auto"/>
        <w:jc w:val="center"/>
        <w:rPr>
          <w:rFonts w:ascii="Arial" w:hAnsi="Arial" w:cs="Arial"/>
          <w:b/>
          <w:bCs/>
          <w:sz w:val="23"/>
          <w:szCs w:val="23"/>
        </w:rPr>
      </w:pPr>
      <w:bookmarkStart w:id="5" w:name="Xe831dafed002205c9bb09d140f4fff15aba7f05"/>
      <w:bookmarkEnd w:id="4"/>
    </w:p>
    <w:p w14:paraId="286E1BF0" w14:textId="77777777" w:rsidR="00830D4B" w:rsidRDefault="00830D4B" w:rsidP="00341E0C">
      <w:pPr>
        <w:pStyle w:val="BodyText"/>
        <w:spacing w:line="360" w:lineRule="auto"/>
        <w:jc w:val="center"/>
        <w:rPr>
          <w:rFonts w:ascii="Arial" w:hAnsi="Arial" w:cs="Arial"/>
          <w:b/>
          <w:bCs/>
          <w:sz w:val="23"/>
          <w:szCs w:val="23"/>
        </w:rPr>
      </w:pPr>
    </w:p>
    <w:p w14:paraId="7D153882" w14:textId="139724DE" w:rsidR="00072A59" w:rsidRPr="00072A59" w:rsidRDefault="00072A59" w:rsidP="00341E0C">
      <w:pPr>
        <w:pStyle w:val="BodyText"/>
        <w:spacing w:line="360" w:lineRule="auto"/>
        <w:rPr>
          <w:rFonts w:ascii="Arial" w:hAnsi="Arial" w:cs="Arial"/>
          <w:b/>
          <w:bCs/>
          <w:sz w:val="23"/>
          <w:szCs w:val="23"/>
        </w:rPr>
      </w:pPr>
      <w:r w:rsidRPr="00072A59">
        <w:rPr>
          <w:rFonts w:ascii="Arial" w:hAnsi="Arial" w:cs="Arial"/>
          <w:b/>
          <w:bCs/>
          <w:sz w:val="23"/>
          <w:szCs w:val="23"/>
        </w:rPr>
        <w:t xml:space="preserve">Identification and </w:t>
      </w:r>
      <w:proofErr w:type="spellStart"/>
      <w:r w:rsidRPr="00072A59">
        <w:rPr>
          <w:rFonts w:ascii="Arial" w:hAnsi="Arial" w:cs="Arial"/>
          <w:b/>
          <w:bCs/>
          <w:sz w:val="23"/>
          <w:szCs w:val="23"/>
        </w:rPr>
        <w:t>Categorisation</w:t>
      </w:r>
      <w:proofErr w:type="spellEnd"/>
      <w:r w:rsidRPr="00072A59">
        <w:rPr>
          <w:rFonts w:ascii="Arial" w:hAnsi="Arial" w:cs="Arial"/>
          <w:b/>
          <w:bCs/>
          <w:sz w:val="23"/>
          <w:szCs w:val="23"/>
        </w:rPr>
        <w:t xml:space="preserve"> of Key Stakeholders</w:t>
      </w:r>
    </w:p>
    <w:p w14:paraId="2D9369CC" w14:textId="27B4A9D5"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Identifying and categorising stakeholders is fundamental to effective engagement. This section applies two complementary frameworks: internal/external classification with influence categories (Bourne, 2016) and Mendelow’s (1991) Power/Interest Matrix, supplemented by Mitchell, Agle and Wood’s (1997) Salience Model. These approaches enable prioritisation based on potential impact and the degree of attention required.</w:t>
      </w:r>
    </w:p>
    <w:p w14:paraId="6318F8ED" w14:textId="77777777" w:rsidR="00830D4B" w:rsidRDefault="00830D4B" w:rsidP="00341E0C">
      <w:pPr>
        <w:pStyle w:val="BodyText"/>
        <w:spacing w:line="360" w:lineRule="auto"/>
        <w:rPr>
          <w:rFonts w:ascii="Arial" w:hAnsi="Arial" w:cs="Arial"/>
          <w:b/>
          <w:bCs/>
        </w:rPr>
      </w:pPr>
      <w:bookmarkStart w:id="6" w:name="X66453f7f37d87ef81af321941ee278c3ba133be"/>
    </w:p>
    <w:p w14:paraId="145495A6" w14:textId="23327E03" w:rsidR="00072A59" w:rsidRPr="00072A59" w:rsidRDefault="00072A59" w:rsidP="00341E0C">
      <w:pPr>
        <w:pStyle w:val="BodyText"/>
        <w:spacing w:line="360" w:lineRule="auto"/>
        <w:rPr>
          <w:rFonts w:ascii="Arial" w:hAnsi="Arial" w:cs="Arial"/>
          <w:b/>
          <w:bCs/>
        </w:rPr>
      </w:pPr>
      <w:r w:rsidRPr="00072A59">
        <w:rPr>
          <w:rFonts w:ascii="Arial" w:hAnsi="Arial" w:cs="Arial"/>
          <w:b/>
          <w:bCs/>
        </w:rPr>
        <w:t>Internal and External stakeholders with influence categories</w:t>
      </w:r>
    </w:p>
    <w:p w14:paraId="606088D8" w14:textId="423A8EC7"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 xml:space="preserve">Stakeholders are first classified as internal (within Tesco’s </w:t>
      </w:r>
      <w:proofErr w:type="spellStart"/>
      <w:r w:rsidRPr="000B0300">
        <w:rPr>
          <w:rFonts w:ascii="Arial" w:hAnsi="Arial" w:cs="Arial"/>
          <w:sz w:val="23"/>
          <w:szCs w:val="23"/>
        </w:rPr>
        <w:t>organisational</w:t>
      </w:r>
      <w:proofErr w:type="spellEnd"/>
      <w:r w:rsidRPr="000B0300">
        <w:rPr>
          <w:rFonts w:ascii="Arial" w:hAnsi="Arial" w:cs="Arial"/>
          <w:sz w:val="23"/>
          <w:szCs w:val="23"/>
        </w:rPr>
        <w:t xml:space="preserve"> boundary) or </w:t>
      </w:r>
      <w:r w:rsidR="003C409A" w:rsidRPr="000B0300">
        <w:rPr>
          <w:rFonts w:ascii="Arial" w:hAnsi="Arial" w:cs="Arial"/>
          <w:sz w:val="23"/>
          <w:szCs w:val="23"/>
        </w:rPr>
        <w:t>external and</w:t>
      </w:r>
      <w:r w:rsidRPr="000B0300">
        <w:rPr>
          <w:rFonts w:ascii="Arial" w:hAnsi="Arial" w:cs="Arial"/>
          <w:sz w:val="23"/>
          <w:szCs w:val="23"/>
        </w:rPr>
        <w:t xml:space="preserve"> further </w:t>
      </w:r>
      <w:proofErr w:type="spellStart"/>
      <w:r w:rsidRPr="000B0300">
        <w:rPr>
          <w:rFonts w:ascii="Arial" w:hAnsi="Arial" w:cs="Arial"/>
          <w:sz w:val="23"/>
          <w:szCs w:val="23"/>
        </w:rPr>
        <w:t>categorised</w:t>
      </w:r>
      <w:proofErr w:type="spellEnd"/>
      <w:r w:rsidRPr="000B0300">
        <w:rPr>
          <w:rFonts w:ascii="Arial" w:hAnsi="Arial" w:cs="Arial"/>
          <w:sz w:val="23"/>
          <w:szCs w:val="23"/>
        </w:rPr>
        <w:t xml:space="preserve"> by influence direction: upwards (senior decision-makers), downwards (team members and implementers), outwards (customers, regulators, media), and sidewards (peers and partners) (Bourne, 2016).</w:t>
      </w:r>
    </w:p>
    <w:p w14:paraId="326A50A8" w14:textId="3D4BB889" w:rsidR="00F1775E" w:rsidRDefault="00000000" w:rsidP="00341E0C">
      <w:pPr>
        <w:pStyle w:val="BodyText"/>
        <w:spacing w:line="360" w:lineRule="auto"/>
        <w:jc w:val="both"/>
        <w:rPr>
          <w:rFonts w:ascii="Arial" w:hAnsi="Arial" w:cs="Arial"/>
          <w:b/>
          <w:bCs/>
          <w:sz w:val="23"/>
          <w:szCs w:val="23"/>
        </w:rPr>
      </w:pPr>
      <w:r w:rsidRPr="000B0300">
        <w:rPr>
          <w:rFonts w:ascii="Arial" w:hAnsi="Arial" w:cs="Arial"/>
          <w:b/>
          <w:bCs/>
          <w:sz w:val="23"/>
          <w:szCs w:val="23"/>
        </w:rPr>
        <w:t>Interna</w:t>
      </w:r>
      <w:r w:rsidR="00F1775E">
        <w:rPr>
          <w:rFonts w:ascii="Arial" w:hAnsi="Arial" w:cs="Arial"/>
          <w:b/>
          <w:bCs/>
          <w:sz w:val="23"/>
          <w:szCs w:val="23"/>
        </w:rPr>
        <w:t xml:space="preserve">l </w:t>
      </w:r>
      <w:r w:rsidRPr="000B0300">
        <w:rPr>
          <w:rFonts w:ascii="Arial" w:hAnsi="Arial" w:cs="Arial"/>
          <w:b/>
          <w:bCs/>
          <w:sz w:val="23"/>
          <w:szCs w:val="23"/>
        </w:rPr>
        <w:t>Stakeholders</w:t>
      </w:r>
    </w:p>
    <w:p w14:paraId="56650AC2" w14:textId="1A61062E" w:rsidR="00F1775E"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 xml:space="preserve">- </w:t>
      </w:r>
      <w:r w:rsidRPr="000B0300">
        <w:rPr>
          <w:rFonts w:ascii="Arial" w:hAnsi="Arial" w:cs="Arial"/>
          <w:b/>
          <w:bCs/>
          <w:sz w:val="23"/>
          <w:szCs w:val="23"/>
        </w:rPr>
        <w:t>Upwards</w:t>
      </w:r>
      <w:r w:rsidRPr="000B0300">
        <w:rPr>
          <w:rFonts w:ascii="Arial" w:hAnsi="Arial" w:cs="Arial"/>
          <w:sz w:val="23"/>
          <w:szCs w:val="23"/>
        </w:rPr>
        <w:t>: Board of Directors, Chief Executive Officer (CEO), Chief Technology Officer (CTO), Chief Marketing Officer (CMO), and Chief Financial Officer (CFO). These provide strategic authorisation, funding, and alignment with corporate objectives.</w:t>
      </w:r>
    </w:p>
    <w:p w14:paraId="1623CA53" w14:textId="1736C0DF" w:rsidR="00F1775E"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 xml:space="preserve">- </w:t>
      </w:r>
      <w:r w:rsidRPr="000B0300">
        <w:rPr>
          <w:rFonts w:ascii="Arial" w:hAnsi="Arial" w:cs="Arial"/>
          <w:b/>
          <w:bCs/>
          <w:sz w:val="23"/>
          <w:szCs w:val="23"/>
        </w:rPr>
        <w:t>Downwards</w:t>
      </w:r>
      <w:r w:rsidRPr="000B0300">
        <w:rPr>
          <w:rFonts w:ascii="Arial" w:hAnsi="Arial" w:cs="Arial"/>
          <w:sz w:val="23"/>
          <w:szCs w:val="23"/>
        </w:rPr>
        <w:t>: Project delivery team (including Project Manager, data scientists, software developers, and QA testers), Marketing, E-commerce Operations, Customer Service representatives, IT, and HR specialists. These groups execute the work and experience direc</w:t>
      </w:r>
      <w:r w:rsidR="00F1775E">
        <w:rPr>
          <w:rFonts w:ascii="Arial" w:hAnsi="Arial" w:cs="Arial"/>
          <w:sz w:val="23"/>
          <w:szCs w:val="23"/>
        </w:rPr>
        <w:t>t operational impact.</w:t>
      </w:r>
    </w:p>
    <w:p w14:paraId="439FAC2C" w14:textId="2A91DA4B" w:rsidR="00587EB7"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 xml:space="preserve">- </w:t>
      </w:r>
      <w:r w:rsidRPr="000B0300">
        <w:rPr>
          <w:rFonts w:ascii="Arial" w:hAnsi="Arial" w:cs="Arial"/>
          <w:b/>
          <w:bCs/>
          <w:sz w:val="23"/>
          <w:szCs w:val="23"/>
        </w:rPr>
        <w:t>Sidewards</w:t>
      </w:r>
      <w:r w:rsidRPr="000B0300">
        <w:rPr>
          <w:rFonts w:ascii="Arial" w:hAnsi="Arial" w:cs="Arial"/>
          <w:sz w:val="23"/>
          <w:szCs w:val="23"/>
        </w:rPr>
        <w:t>: Cross-functional department heads and regional market leads (UK, EU, US, APAC) who coordinate resources and local implementation.</w:t>
      </w:r>
    </w:p>
    <w:p w14:paraId="2FA8A3E0" w14:textId="50129302" w:rsidR="00F1775E" w:rsidRPr="00587EB7" w:rsidRDefault="00000000" w:rsidP="00341E0C">
      <w:pPr>
        <w:pStyle w:val="BodyText"/>
        <w:spacing w:line="360" w:lineRule="auto"/>
        <w:jc w:val="both"/>
        <w:rPr>
          <w:rFonts w:ascii="Arial" w:hAnsi="Arial" w:cs="Arial"/>
          <w:sz w:val="23"/>
          <w:szCs w:val="23"/>
        </w:rPr>
      </w:pPr>
      <w:r w:rsidRPr="000B0300">
        <w:rPr>
          <w:rFonts w:ascii="Arial" w:hAnsi="Arial" w:cs="Arial"/>
          <w:b/>
          <w:bCs/>
          <w:sz w:val="23"/>
          <w:szCs w:val="23"/>
        </w:rPr>
        <w:t>External Stakeholders</w:t>
      </w:r>
    </w:p>
    <w:p w14:paraId="64B5EAA1" w14:textId="426833EA" w:rsidR="00F1775E"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br/>
        <w:t xml:space="preserve">- </w:t>
      </w:r>
      <w:r w:rsidRPr="000B0300">
        <w:rPr>
          <w:rFonts w:ascii="Arial" w:hAnsi="Arial" w:cs="Arial"/>
          <w:b/>
          <w:bCs/>
          <w:sz w:val="23"/>
          <w:szCs w:val="23"/>
        </w:rPr>
        <w:t>Outwards</w:t>
      </w:r>
      <w:r w:rsidRPr="000B0300">
        <w:rPr>
          <w:rFonts w:ascii="Arial" w:hAnsi="Arial" w:cs="Arial"/>
          <w:sz w:val="23"/>
          <w:szCs w:val="23"/>
        </w:rPr>
        <w:t>: Customers (segmented into high-value loyal members, occasional shoppers, and new users), Investors and Shareholders, Technology Partners, Regulators (Information Commissioner’s Office (ICO), Media and Industry Analysts, Local Communities and NGOs focused on digital rights and consumer protection, and International Market Partners/Distributors.</w:t>
      </w:r>
    </w:p>
    <w:p w14:paraId="1B646D37" w14:textId="38703A53"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 xml:space="preserve">- </w:t>
      </w:r>
      <w:r w:rsidRPr="000B0300">
        <w:rPr>
          <w:rFonts w:ascii="Arial" w:hAnsi="Arial" w:cs="Arial"/>
          <w:b/>
          <w:bCs/>
          <w:sz w:val="23"/>
          <w:szCs w:val="23"/>
        </w:rPr>
        <w:t>Sidewards</w:t>
      </w:r>
      <w:r w:rsidRPr="000B0300">
        <w:rPr>
          <w:rFonts w:ascii="Arial" w:hAnsi="Arial" w:cs="Arial"/>
          <w:sz w:val="23"/>
          <w:szCs w:val="23"/>
        </w:rPr>
        <w:t>: Competitors (indirect influence through market dynamics) and Industry Bodies (e.g., British Retail Consortium).</w:t>
      </w:r>
    </w:p>
    <w:p w14:paraId="76BE9AF0" w14:textId="5A574A68" w:rsidR="009A2198"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 xml:space="preserve">A comprehensive list is presented in Table 1 below, incorporating Salience Model attributes (Power, Legitimacy, Urgency) for </w:t>
      </w:r>
      <w:r w:rsidR="00C73985" w:rsidRPr="000B0300">
        <w:rPr>
          <w:rFonts w:ascii="Arial" w:hAnsi="Arial" w:cs="Arial"/>
          <w:sz w:val="23"/>
          <w:szCs w:val="23"/>
        </w:rPr>
        <w:t>prioritization</w:t>
      </w:r>
      <w:r w:rsidRPr="000B0300">
        <w:rPr>
          <w:rFonts w:ascii="Arial" w:hAnsi="Arial" w:cs="Arial"/>
          <w:sz w:val="23"/>
          <w:szCs w:val="23"/>
        </w:rPr>
        <w:t>.</w:t>
      </w:r>
    </w:p>
    <w:p w14:paraId="21BB9092" w14:textId="77777777" w:rsidR="00587EB7" w:rsidRDefault="00587EB7" w:rsidP="00341E0C">
      <w:pPr>
        <w:pStyle w:val="BodyText"/>
        <w:spacing w:line="360" w:lineRule="auto"/>
        <w:jc w:val="both"/>
        <w:rPr>
          <w:rFonts w:ascii="Arial" w:hAnsi="Arial" w:cs="Arial"/>
          <w:sz w:val="23"/>
          <w:szCs w:val="23"/>
        </w:rPr>
      </w:pPr>
    </w:p>
    <w:p w14:paraId="094ADFBA" w14:textId="5F9CE9A0" w:rsidR="009A2198" w:rsidRPr="000B0300" w:rsidRDefault="00000000" w:rsidP="00341E0C">
      <w:pPr>
        <w:pStyle w:val="BodyText"/>
        <w:spacing w:line="360" w:lineRule="auto"/>
        <w:jc w:val="center"/>
        <w:rPr>
          <w:rFonts w:ascii="Arial" w:hAnsi="Arial" w:cs="Arial"/>
          <w:sz w:val="23"/>
          <w:szCs w:val="23"/>
        </w:rPr>
      </w:pPr>
      <w:r w:rsidRPr="000B0300">
        <w:rPr>
          <w:rFonts w:ascii="Arial" w:hAnsi="Arial" w:cs="Arial"/>
          <w:b/>
          <w:bCs/>
          <w:sz w:val="23"/>
          <w:szCs w:val="23"/>
        </w:rPr>
        <w:t>Table 1: Key Stakeholders – Categorisation, Influence, and Salience</w:t>
      </w:r>
    </w:p>
    <w:tbl>
      <w:tblPr>
        <w:tblStyle w:val="TableGrid"/>
        <w:tblW w:w="5000" w:type="pct"/>
        <w:tblLook w:val="0020" w:firstRow="1" w:lastRow="0" w:firstColumn="0" w:lastColumn="0" w:noHBand="0" w:noVBand="0"/>
      </w:tblPr>
      <w:tblGrid>
        <w:gridCol w:w="980"/>
        <w:gridCol w:w="1035"/>
        <w:gridCol w:w="1851"/>
        <w:gridCol w:w="788"/>
        <w:gridCol w:w="788"/>
        <w:gridCol w:w="788"/>
        <w:gridCol w:w="1261"/>
        <w:gridCol w:w="788"/>
        <w:gridCol w:w="1297"/>
      </w:tblGrid>
      <w:tr w:rsidR="009A2198" w:rsidRPr="000B0300" w14:paraId="5933702A" w14:textId="77777777" w:rsidTr="00DE39CF">
        <w:trPr>
          <w:trHeight w:val="57"/>
        </w:trPr>
        <w:tc>
          <w:tcPr>
            <w:tcW w:w="512" w:type="pct"/>
            <w:shd w:val="clear" w:color="auto" w:fill="FFFF00"/>
            <w:vAlign w:val="center"/>
          </w:tcPr>
          <w:p w14:paraId="1875A3D6" w14:textId="77777777" w:rsidR="009A2198" w:rsidRPr="00587EB7" w:rsidRDefault="00000000" w:rsidP="00341E0C">
            <w:pPr>
              <w:pStyle w:val="Compact"/>
              <w:spacing w:line="360" w:lineRule="auto"/>
              <w:jc w:val="center"/>
              <w:rPr>
                <w:rFonts w:ascii="Arial" w:hAnsi="Arial" w:cs="Arial"/>
                <w:color w:val="000000" w:themeColor="text1"/>
                <w:sz w:val="14"/>
                <w:szCs w:val="14"/>
              </w:rPr>
            </w:pPr>
            <w:r w:rsidRPr="00587EB7">
              <w:rPr>
                <w:rFonts w:ascii="Arial" w:hAnsi="Arial" w:cs="Arial"/>
                <w:color w:val="000000" w:themeColor="text1"/>
                <w:sz w:val="14"/>
                <w:szCs w:val="14"/>
              </w:rPr>
              <w:t>Stakeholder Group</w:t>
            </w:r>
          </w:p>
        </w:tc>
        <w:tc>
          <w:tcPr>
            <w:tcW w:w="540" w:type="pct"/>
            <w:shd w:val="clear" w:color="auto" w:fill="FFFF00"/>
            <w:vAlign w:val="center"/>
          </w:tcPr>
          <w:p w14:paraId="741B043B" w14:textId="77777777" w:rsidR="009A2198" w:rsidRPr="00587EB7" w:rsidRDefault="00000000" w:rsidP="00341E0C">
            <w:pPr>
              <w:pStyle w:val="Compact"/>
              <w:spacing w:line="360" w:lineRule="auto"/>
              <w:jc w:val="center"/>
              <w:rPr>
                <w:rFonts w:ascii="Arial" w:hAnsi="Arial" w:cs="Arial"/>
                <w:color w:val="000000" w:themeColor="text1"/>
                <w:sz w:val="14"/>
                <w:szCs w:val="14"/>
              </w:rPr>
            </w:pPr>
            <w:r w:rsidRPr="00587EB7">
              <w:rPr>
                <w:rFonts w:ascii="Arial" w:hAnsi="Arial" w:cs="Arial"/>
                <w:color w:val="000000" w:themeColor="text1"/>
                <w:sz w:val="14"/>
                <w:szCs w:val="14"/>
              </w:rPr>
              <w:t>Internal/External</w:t>
            </w:r>
          </w:p>
        </w:tc>
        <w:tc>
          <w:tcPr>
            <w:tcW w:w="966" w:type="pct"/>
            <w:shd w:val="clear" w:color="auto" w:fill="FFFF00"/>
            <w:vAlign w:val="center"/>
          </w:tcPr>
          <w:p w14:paraId="4B7E542D" w14:textId="77777777" w:rsidR="009A2198" w:rsidRPr="00587EB7" w:rsidRDefault="00000000" w:rsidP="00341E0C">
            <w:pPr>
              <w:pStyle w:val="Compact"/>
              <w:spacing w:line="360" w:lineRule="auto"/>
              <w:jc w:val="center"/>
              <w:rPr>
                <w:rFonts w:ascii="Arial" w:hAnsi="Arial" w:cs="Arial"/>
                <w:color w:val="000000" w:themeColor="text1"/>
                <w:sz w:val="14"/>
                <w:szCs w:val="14"/>
              </w:rPr>
            </w:pPr>
            <w:r w:rsidRPr="00587EB7">
              <w:rPr>
                <w:rFonts w:ascii="Arial" w:hAnsi="Arial" w:cs="Arial"/>
                <w:color w:val="000000" w:themeColor="text1"/>
                <w:sz w:val="14"/>
                <w:szCs w:val="14"/>
              </w:rPr>
              <w:t>Influence Category</w:t>
            </w:r>
          </w:p>
        </w:tc>
        <w:tc>
          <w:tcPr>
            <w:tcW w:w="411" w:type="pct"/>
            <w:shd w:val="clear" w:color="auto" w:fill="FFFF00"/>
            <w:vAlign w:val="center"/>
          </w:tcPr>
          <w:p w14:paraId="48702F38" w14:textId="77777777" w:rsidR="009A2198" w:rsidRPr="00587EB7" w:rsidRDefault="00000000" w:rsidP="00341E0C">
            <w:pPr>
              <w:pStyle w:val="Compact"/>
              <w:spacing w:line="360" w:lineRule="auto"/>
              <w:jc w:val="center"/>
              <w:rPr>
                <w:rFonts w:ascii="Arial" w:hAnsi="Arial" w:cs="Arial"/>
                <w:color w:val="000000" w:themeColor="text1"/>
                <w:sz w:val="14"/>
                <w:szCs w:val="14"/>
              </w:rPr>
            </w:pPr>
            <w:r w:rsidRPr="00587EB7">
              <w:rPr>
                <w:rFonts w:ascii="Arial" w:hAnsi="Arial" w:cs="Arial"/>
                <w:color w:val="000000" w:themeColor="text1"/>
                <w:sz w:val="14"/>
                <w:szCs w:val="14"/>
              </w:rPr>
              <w:t>Power</w:t>
            </w:r>
          </w:p>
        </w:tc>
        <w:tc>
          <w:tcPr>
            <w:tcW w:w="411" w:type="pct"/>
            <w:shd w:val="clear" w:color="auto" w:fill="FFFF00"/>
            <w:vAlign w:val="center"/>
          </w:tcPr>
          <w:p w14:paraId="12D04E43" w14:textId="77777777" w:rsidR="009A2198" w:rsidRPr="00587EB7" w:rsidRDefault="00000000" w:rsidP="00341E0C">
            <w:pPr>
              <w:pStyle w:val="Compact"/>
              <w:spacing w:line="360" w:lineRule="auto"/>
              <w:jc w:val="center"/>
              <w:rPr>
                <w:rFonts w:ascii="Arial" w:hAnsi="Arial" w:cs="Arial"/>
                <w:color w:val="000000" w:themeColor="text1"/>
                <w:sz w:val="14"/>
                <w:szCs w:val="14"/>
              </w:rPr>
            </w:pPr>
            <w:r w:rsidRPr="00587EB7">
              <w:rPr>
                <w:rFonts w:ascii="Arial" w:hAnsi="Arial" w:cs="Arial"/>
                <w:color w:val="000000" w:themeColor="text1"/>
                <w:sz w:val="14"/>
                <w:szCs w:val="14"/>
              </w:rPr>
              <w:t>Legitimacy</w:t>
            </w:r>
          </w:p>
        </w:tc>
        <w:tc>
          <w:tcPr>
            <w:tcW w:w="411" w:type="pct"/>
            <w:shd w:val="clear" w:color="auto" w:fill="FFFF00"/>
            <w:vAlign w:val="center"/>
          </w:tcPr>
          <w:p w14:paraId="5C572ECA" w14:textId="77777777" w:rsidR="009A2198" w:rsidRPr="00587EB7" w:rsidRDefault="00000000" w:rsidP="00341E0C">
            <w:pPr>
              <w:pStyle w:val="Compact"/>
              <w:spacing w:line="360" w:lineRule="auto"/>
              <w:jc w:val="center"/>
              <w:rPr>
                <w:rFonts w:ascii="Arial" w:hAnsi="Arial" w:cs="Arial"/>
                <w:color w:val="000000" w:themeColor="text1"/>
                <w:sz w:val="14"/>
                <w:szCs w:val="14"/>
              </w:rPr>
            </w:pPr>
            <w:r w:rsidRPr="00587EB7">
              <w:rPr>
                <w:rFonts w:ascii="Arial" w:hAnsi="Arial" w:cs="Arial"/>
                <w:color w:val="000000" w:themeColor="text1"/>
                <w:sz w:val="14"/>
                <w:szCs w:val="14"/>
              </w:rPr>
              <w:t>Urgency</w:t>
            </w:r>
          </w:p>
        </w:tc>
        <w:tc>
          <w:tcPr>
            <w:tcW w:w="658" w:type="pct"/>
            <w:shd w:val="clear" w:color="auto" w:fill="FFFF00"/>
            <w:vAlign w:val="center"/>
          </w:tcPr>
          <w:p w14:paraId="17AADC0B" w14:textId="77777777" w:rsidR="009A2198" w:rsidRPr="00587EB7" w:rsidRDefault="00000000" w:rsidP="00341E0C">
            <w:pPr>
              <w:pStyle w:val="Compact"/>
              <w:spacing w:line="360" w:lineRule="auto"/>
              <w:jc w:val="center"/>
              <w:rPr>
                <w:rFonts w:ascii="Arial" w:hAnsi="Arial" w:cs="Arial"/>
                <w:color w:val="000000" w:themeColor="text1"/>
                <w:sz w:val="14"/>
                <w:szCs w:val="14"/>
              </w:rPr>
            </w:pPr>
            <w:r w:rsidRPr="00587EB7">
              <w:rPr>
                <w:rFonts w:ascii="Arial" w:hAnsi="Arial" w:cs="Arial"/>
                <w:color w:val="000000" w:themeColor="text1"/>
                <w:sz w:val="14"/>
                <w:szCs w:val="14"/>
              </w:rPr>
              <w:t>Salience Category</w:t>
            </w:r>
          </w:p>
        </w:tc>
        <w:tc>
          <w:tcPr>
            <w:tcW w:w="411" w:type="pct"/>
            <w:shd w:val="clear" w:color="auto" w:fill="FFFF00"/>
            <w:vAlign w:val="center"/>
          </w:tcPr>
          <w:p w14:paraId="10C8519D" w14:textId="77777777" w:rsidR="009A2198" w:rsidRPr="00587EB7" w:rsidRDefault="00000000" w:rsidP="00341E0C">
            <w:pPr>
              <w:pStyle w:val="Compact"/>
              <w:spacing w:line="360" w:lineRule="auto"/>
              <w:jc w:val="center"/>
              <w:rPr>
                <w:rFonts w:ascii="Arial" w:hAnsi="Arial" w:cs="Arial"/>
                <w:color w:val="000000" w:themeColor="text1"/>
                <w:sz w:val="14"/>
                <w:szCs w:val="14"/>
              </w:rPr>
            </w:pPr>
            <w:r w:rsidRPr="00587EB7">
              <w:rPr>
                <w:rFonts w:ascii="Arial" w:hAnsi="Arial" w:cs="Arial"/>
                <w:color w:val="000000" w:themeColor="text1"/>
                <w:sz w:val="14"/>
                <w:szCs w:val="14"/>
              </w:rPr>
              <w:t>Priority Level</w:t>
            </w:r>
          </w:p>
        </w:tc>
        <w:tc>
          <w:tcPr>
            <w:tcW w:w="677" w:type="pct"/>
            <w:shd w:val="clear" w:color="auto" w:fill="FFFF00"/>
            <w:vAlign w:val="center"/>
          </w:tcPr>
          <w:p w14:paraId="6FEFAFAD" w14:textId="77777777" w:rsidR="009A2198" w:rsidRPr="00587EB7" w:rsidRDefault="00000000" w:rsidP="00341E0C">
            <w:pPr>
              <w:pStyle w:val="Compact"/>
              <w:spacing w:line="360" w:lineRule="auto"/>
              <w:jc w:val="center"/>
              <w:rPr>
                <w:rFonts w:ascii="Arial" w:hAnsi="Arial" w:cs="Arial"/>
                <w:color w:val="000000" w:themeColor="text1"/>
                <w:sz w:val="14"/>
                <w:szCs w:val="14"/>
              </w:rPr>
            </w:pPr>
            <w:r w:rsidRPr="00587EB7">
              <w:rPr>
                <w:rFonts w:ascii="Arial" w:hAnsi="Arial" w:cs="Arial"/>
                <w:color w:val="000000" w:themeColor="text1"/>
                <w:sz w:val="14"/>
                <w:szCs w:val="14"/>
              </w:rPr>
              <w:t>Rationale for Priority</w:t>
            </w:r>
          </w:p>
        </w:tc>
      </w:tr>
      <w:tr w:rsidR="009A2198" w:rsidRPr="000B0300" w14:paraId="388DC95D" w14:textId="77777777" w:rsidTr="00DE39CF">
        <w:trPr>
          <w:trHeight w:val="57"/>
        </w:trPr>
        <w:tc>
          <w:tcPr>
            <w:tcW w:w="512" w:type="pct"/>
            <w:shd w:val="clear" w:color="auto" w:fill="FFC000"/>
            <w:vAlign w:val="center"/>
          </w:tcPr>
          <w:p w14:paraId="2562DFE3" w14:textId="77777777" w:rsidR="009A2198" w:rsidRPr="00F1775E" w:rsidRDefault="00000000" w:rsidP="00341E0C">
            <w:pPr>
              <w:pStyle w:val="Compact"/>
              <w:spacing w:line="360" w:lineRule="auto"/>
              <w:jc w:val="center"/>
              <w:rPr>
                <w:rFonts w:ascii="Arial" w:hAnsi="Arial" w:cs="Arial"/>
                <w:sz w:val="16"/>
                <w:szCs w:val="16"/>
              </w:rPr>
            </w:pPr>
            <w:r w:rsidRPr="00F1775E">
              <w:rPr>
                <w:rFonts w:ascii="Arial" w:hAnsi="Arial" w:cs="Arial"/>
                <w:sz w:val="16"/>
                <w:szCs w:val="16"/>
              </w:rPr>
              <w:t>Board of Directors &amp; CEO</w:t>
            </w:r>
          </w:p>
        </w:tc>
        <w:tc>
          <w:tcPr>
            <w:tcW w:w="540" w:type="pct"/>
            <w:vAlign w:val="center"/>
          </w:tcPr>
          <w:p w14:paraId="5D33DF21"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Internal</w:t>
            </w:r>
          </w:p>
        </w:tc>
        <w:tc>
          <w:tcPr>
            <w:tcW w:w="966" w:type="pct"/>
            <w:vAlign w:val="center"/>
          </w:tcPr>
          <w:p w14:paraId="2A03E2C3"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Upwards</w:t>
            </w:r>
          </w:p>
        </w:tc>
        <w:tc>
          <w:tcPr>
            <w:tcW w:w="411" w:type="pct"/>
            <w:vAlign w:val="center"/>
          </w:tcPr>
          <w:p w14:paraId="721F0A49"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411" w:type="pct"/>
            <w:vAlign w:val="center"/>
          </w:tcPr>
          <w:p w14:paraId="2BDA7C3F"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411" w:type="pct"/>
            <w:vAlign w:val="center"/>
          </w:tcPr>
          <w:p w14:paraId="77DD3BC0"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658" w:type="pct"/>
            <w:vAlign w:val="center"/>
          </w:tcPr>
          <w:p w14:paraId="7D4A1DCC"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Definitive</w:t>
            </w:r>
          </w:p>
        </w:tc>
        <w:tc>
          <w:tcPr>
            <w:tcW w:w="411" w:type="pct"/>
            <w:vAlign w:val="center"/>
          </w:tcPr>
          <w:p w14:paraId="1F660E6D"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Critical</w:t>
            </w:r>
          </w:p>
        </w:tc>
        <w:tc>
          <w:tcPr>
            <w:tcW w:w="677" w:type="pct"/>
            <w:vAlign w:val="center"/>
          </w:tcPr>
          <w:p w14:paraId="2944340E"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Strategic oversight, resource approval, ultimate accountability</w:t>
            </w:r>
          </w:p>
        </w:tc>
      </w:tr>
      <w:tr w:rsidR="009A2198" w:rsidRPr="000B0300" w14:paraId="009E8B4B" w14:textId="77777777" w:rsidTr="00DE39CF">
        <w:trPr>
          <w:trHeight w:val="57"/>
        </w:trPr>
        <w:tc>
          <w:tcPr>
            <w:tcW w:w="512" w:type="pct"/>
            <w:shd w:val="clear" w:color="auto" w:fill="FFC000"/>
            <w:vAlign w:val="center"/>
          </w:tcPr>
          <w:p w14:paraId="3272CB2E" w14:textId="77777777" w:rsidR="009A2198" w:rsidRPr="00F1775E" w:rsidRDefault="00000000" w:rsidP="00341E0C">
            <w:pPr>
              <w:pStyle w:val="Compact"/>
              <w:spacing w:line="360" w:lineRule="auto"/>
              <w:jc w:val="center"/>
              <w:rPr>
                <w:rFonts w:ascii="Arial" w:hAnsi="Arial" w:cs="Arial"/>
                <w:sz w:val="16"/>
                <w:szCs w:val="16"/>
              </w:rPr>
            </w:pPr>
            <w:r w:rsidRPr="00F1775E">
              <w:rPr>
                <w:rFonts w:ascii="Arial" w:hAnsi="Arial" w:cs="Arial"/>
                <w:sz w:val="16"/>
                <w:szCs w:val="16"/>
              </w:rPr>
              <w:t>Project Delivery Team</w:t>
            </w:r>
          </w:p>
        </w:tc>
        <w:tc>
          <w:tcPr>
            <w:tcW w:w="540" w:type="pct"/>
            <w:vAlign w:val="center"/>
          </w:tcPr>
          <w:p w14:paraId="78E967BE"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Internal</w:t>
            </w:r>
          </w:p>
        </w:tc>
        <w:tc>
          <w:tcPr>
            <w:tcW w:w="966" w:type="pct"/>
            <w:vAlign w:val="center"/>
          </w:tcPr>
          <w:p w14:paraId="2D3DE188"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Downwards</w:t>
            </w:r>
          </w:p>
        </w:tc>
        <w:tc>
          <w:tcPr>
            <w:tcW w:w="411" w:type="pct"/>
            <w:vAlign w:val="center"/>
          </w:tcPr>
          <w:p w14:paraId="3A01DB79"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Medium</w:t>
            </w:r>
          </w:p>
        </w:tc>
        <w:tc>
          <w:tcPr>
            <w:tcW w:w="411" w:type="pct"/>
            <w:vAlign w:val="center"/>
          </w:tcPr>
          <w:p w14:paraId="744D8C38"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411" w:type="pct"/>
            <w:vAlign w:val="center"/>
          </w:tcPr>
          <w:p w14:paraId="5E092353"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658" w:type="pct"/>
            <w:vAlign w:val="center"/>
          </w:tcPr>
          <w:p w14:paraId="1F9CFF0C"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Expectant (Dominant)</w:t>
            </w:r>
          </w:p>
        </w:tc>
        <w:tc>
          <w:tcPr>
            <w:tcW w:w="411" w:type="pct"/>
            <w:vAlign w:val="center"/>
          </w:tcPr>
          <w:p w14:paraId="64F1254E"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677" w:type="pct"/>
            <w:vAlign w:val="center"/>
          </w:tcPr>
          <w:p w14:paraId="12311926"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Core execution capability; directly affected by decisions</w:t>
            </w:r>
          </w:p>
        </w:tc>
      </w:tr>
      <w:tr w:rsidR="009A2198" w:rsidRPr="000B0300" w14:paraId="4E10371B" w14:textId="77777777" w:rsidTr="00DE39CF">
        <w:trPr>
          <w:trHeight w:val="57"/>
        </w:trPr>
        <w:tc>
          <w:tcPr>
            <w:tcW w:w="512" w:type="pct"/>
            <w:shd w:val="clear" w:color="auto" w:fill="FFC000"/>
            <w:vAlign w:val="center"/>
          </w:tcPr>
          <w:p w14:paraId="5D527078" w14:textId="77777777" w:rsidR="009A2198" w:rsidRPr="00F1775E" w:rsidRDefault="00000000" w:rsidP="00341E0C">
            <w:pPr>
              <w:pStyle w:val="Compact"/>
              <w:spacing w:line="360" w:lineRule="auto"/>
              <w:jc w:val="center"/>
              <w:rPr>
                <w:rFonts w:ascii="Arial" w:hAnsi="Arial" w:cs="Arial"/>
                <w:sz w:val="16"/>
                <w:szCs w:val="16"/>
              </w:rPr>
            </w:pPr>
            <w:r w:rsidRPr="00F1775E">
              <w:rPr>
                <w:rFonts w:ascii="Arial" w:hAnsi="Arial" w:cs="Arial"/>
                <w:sz w:val="16"/>
                <w:szCs w:val="16"/>
              </w:rPr>
              <w:t>Marketing &amp; CRM Teams</w:t>
            </w:r>
          </w:p>
        </w:tc>
        <w:tc>
          <w:tcPr>
            <w:tcW w:w="540" w:type="pct"/>
            <w:vAlign w:val="center"/>
          </w:tcPr>
          <w:p w14:paraId="3EB19C96"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Internal</w:t>
            </w:r>
          </w:p>
        </w:tc>
        <w:tc>
          <w:tcPr>
            <w:tcW w:w="966" w:type="pct"/>
            <w:vAlign w:val="center"/>
          </w:tcPr>
          <w:p w14:paraId="3ED10880"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Downwards/Sidewards</w:t>
            </w:r>
          </w:p>
        </w:tc>
        <w:tc>
          <w:tcPr>
            <w:tcW w:w="411" w:type="pct"/>
            <w:vAlign w:val="center"/>
          </w:tcPr>
          <w:p w14:paraId="743FE074"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Medium</w:t>
            </w:r>
          </w:p>
        </w:tc>
        <w:tc>
          <w:tcPr>
            <w:tcW w:w="411" w:type="pct"/>
            <w:vAlign w:val="center"/>
          </w:tcPr>
          <w:p w14:paraId="5192A6B2"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411" w:type="pct"/>
            <w:vAlign w:val="center"/>
          </w:tcPr>
          <w:p w14:paraId="0211CB84"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Medium</w:t>
            </w:r>
          </w:p>
        </w:tc>
        <w:tc>
          <w:tcPr>
            <w:tcW w:w="658" w:type="pct"/>
            <w:vAlign w:val="center"/>
          </w:tcPr>
          <w:p w14:paraId="7FB93A0D"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Expectant (Dominant)</w:t>
            </w:r>
          </w:p>
        </w:tc>
        <w:tc>
          <w:tcPr>
            <w:tcW w:w="411" w:type="pct"/>
            <w:vAlign w:val="center"/>
          </w:tcPr>
          <w:p w14:paraId="7FF50047"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677" w:type="pct"/>
            <w:vAlign w:val="center"/>
          </w:tcPr>
          <w:p w14:paraId="7518A8CA" w14:textId="0F03ED4F"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Drive campaigns and customer communication</w:t>
            </w:r>
          </w:p>
        </w:tc>
      </w:tr>
      <w:tr w:rsidR="009A2198" w:rsidRPr="000B0300" w14:paraId="47FE67E2" w14:textId="77777777" w:rsidTr="00DE39CF">
        <w:trPr>
          <w:trHeight w:val="57"/>
        </w:trPr>
        <w:tc>
          <w:tcPr>
            <w:tcW w:w="512" w:type="pct"/>
            <w:shd w:val="clear" w:color="auto" w:fill="FFC000"/>
            <w:vAlign w:val="center"/>
          </w:tcPr>
          <w:p w14:paraId="5F1EEC09" w14:textId="77777777" w:rsidR="009A2198" w:rsidRPr="00F1775E" w:rsidRDefault="00000000" w:rsidP="00341E0C">
            <w:pPr>
              <w:pStyle w:val="Compact"/>
              <w:spacing w:line="360" w:lineRule="auto"/>
              <w:jc w:val="center"/>
              <w:rPr>
                <w:rFonts w:ascii="Arial" w:hAnsi="Arial" w:cs="Arial"/>
                <w:sz w:val="16"/>
                <w:szCs w:val="16"/>
              </w:rPr>
            </w:pPr>
            <w:r w:rsidRPr="00F1775E">
              <w:rPr>
                <w:rFonts w:ascii="Arial" w:hAnsi="Arial" w:cs="Arial"/>
                <w:sz w:val="16"/>
                <w:szCs w:val="16"/>
              </w:rPr>
              <w:t>Legal &amp; Compliance (incl. DPO)</w:t>
            </w:r>
          </w:p>
        </w:tc>
        <w:tc>
          <w:tcPr>
            <w:tcW w:w="540" w:type="pct"/>
            <w:vAlign w:val="center"/>
          </w:tcPr>
          <w:p w14:paraId="4051FE52"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Internal</w:t>
            </w:r>
          </w:p>
        </w:tc>
        <w:tc>
          <w:tcPr>
            <w:tcW w:w="966" w:type="pct"/>
            <w:vAlign w:val="center"/>
          </w:tcPr>
          <w:p w14:paraId="24965C98"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Upwards/Downwards</w:t>
            </w:r>
          </w:p>
        </w:tc>
        <w:tc>
          <w:tcPr>
            <w:tcW w:w="411" w:type="pct"/>
            <w:vAlign w:val="center"/>
          </w:tcPr>
          <w:p w14:paraId="376AEDAA"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411" w:type="pct"/>
            <w:vAlign w:val="center"/>
          </w:tcPr>
          <w:p w14:paraId="1C2C6050"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411" w:type="pct"/>
            <w:vAlign w:val="center"/>
          </w:tcPr>
          <w:p w14:paraId="6D779076"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658" w:type="pct"/>
            <w:vAlign w:val="center"/>
          </w:tcPr>
          <w:p w14:paraId="1EEDEFF0"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Definitive</w:t>
            </w:r>
          </w:p>
        </w:tc>
        <w:tc>
          <w:tcPr>
            <w:tcW w:w="411" w:type="pct"/>
            <w:vAlign w:val="center"/>
          </w:tcPr>
          <w:p w14:paraId="291A8169"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Critical</w:t>
            </w:r>
          </w:p>
        </w:tc>
        <w:tc>
          <w:tcPr>
            <w:tcW w:w="677" w:type="pct"/>
            <w:vAlign w:val="center"/>
          </w:tcPr>
          <w:p w14:paraId="78E36DF6" w14:textId="0B3C834E"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GDPR/ high regulatory risk</w:t>
            </w:r>
          </w:p>
        </w:tc>
      </w:tr>
      <w:tr w:rsidR="009A2198" w:rsidRPr="000B0300" w14:paraId="421373D4" w14:textId="77777777" w:rsidTr="00A879FA">
        <w:trPr>
          <w:trHeight w:val="1930"/>
        </w:trPr>
        <w:tc>
          <w:tcPr>
            <w:tcW w:w="512" w:type="pct"/>
            <w:shd w:val="clear" w:color="auto" w:fill="FFC000"/>
            <w:vAlign w:val="center"/>
          </w:tcPr>
          <w:p w14:paraId="05E42A23" w14:textId="77777777" w:rsidR="009A2198" w:rsidRPr="00F1775E" w:rsidRDefault="00000000" w:rsidP="00341E0C">
            <w:pPr>
              <w:pStyle w:val="Compact"/>
              <w:spacing w:line="360" w:lineRule="auto"/>
              <w:jc w:val="center"/>
              <w:rPr>
                <w:rFonts w:ascii="Arial" w:hAnsi="Arial" w:cs="Arial"/>
                <w:sz w:val="16"/>
                <w:szCs w:val="16"/>
              </w:rPr>
            </w:pPr>
            <w:r w:rsidRPr="00F1775E">
              <w:rPr>
                <w:rFonts w:ascii="Arial" w:hAnsi="Arial" w:cs="Arial"/>
                <w:sz w:val="16"/>
                <w:szCs w:val="16"/>
              </w:rPr>
              <w:t>Customers (High-Value Segment)</w:t>
            </w:r>
          </w:p>
        </w:tc>
        <w:tc>
          <w:tcPr>
            <w:tcW w:w="540" w:type="pct"/>
            <w:vAlign w:val="center"/>
          </w:tcPr>
          <w:p w14:paraId="7D9BAC28" w14:textId="77777777" w:rsidR="009A2198" w:rsidRDefault="00000000" w:rsidP="00341E0C">
            <w:pPr>
              <w:pStyle w:val="Compact"/>
              <w:spacing w:line="360" w:lineRule="auto"/>
              <w:rPr>
                <w:rFonts w:ascii="Arial" w:hAnsi="Arial" w:cs="Arial"/>
                <w:sz w:val="20"/>
                <w:szCs w:val="20"/>
              </w:rPr>
            </w:pPr>
            <w:r w:rsidRPr="00F1775E">
              <w:rPr>
                <w:rFonts w:ascii="Arial" w:hAnsi="Arial" w:cs="Arial"/>
                <w:sz w:val="20"/>
                <w:szCs w:val="20"/>
              </w:rPr>
              <w:t>External</w:t>
            </w:r>
          </w:p>
          <w:p w14:paraId="23472EFE" w14:textId="77777777" w:rsidR="00DE39CF" w:rsidRDefault="00DE39CF" w:rsidP="00341E0C">
            <w:pPr>
              <w:pStyle w:val="Compact"/>
              <w:spacing w:line="360" w:lineRule="auto"/>
              <w:jc w:val="center"/>
              <w:rPr>
                <w:rFonts w:ascii="Arial" w:hAnsi="Arial" w:cs="Arial"/>
                <w:sz w:val="20"/>
                <w:szCs w:val="20"/>
              </w:rPr>
            </w:pPr>
          </w:p>
          <w:p w14:paraId="19C41123" w14:textId="77777777" w:rsidR="00DE39CF" w:rsidRDefault="00DE39CF" w:rsidP="00341E0C">
            <w:pPr>
              <w:pStyle w:val="Compact"/>
              <w:spacing w:line="360" w:lineRule="auto"/>
              <w:jc w:val="center"/>
              <w:rPr>
                <w:rFonts w:ascii="Arial" w:hAnsi="Arial" w:cs="Arial"/>
                <w:sz w:val="20"/>
                <w:szCs w:val="20"/>
              </w:rPr>
            </w:pPr>
          </w:p>
          <w:p w14:paraId="46E09701" w14:textId="77777777" w:rsidR="00DE39CF" w:rsidRDefault="00DE39CF" w:rsidP="00341E0C">
            <w:pPr>
              <w:pStyle w:val="Compact"/>
              <w:spacing w:line="360" w:lineRule="auto"/>
              <w:jc w:val="center"/>
              <w:rPr>
                <w:rFonts w:ascii="Arial" w:hAnsi="Arial" w:cs="Arial"/>
                <w:sz w:val="20"/>
                <w:szCs w:val="20"/>
              </w:rPr>
            </w:pPr>
          </w:p>
          <w:p w14:paraId="7C852137" w14:textId="77777777" w:rsidR="00DE39CF" w:rsidRDefault="00DE39CF" w:rsidP="00341E0C">
            <w:pPr>
              <w:pStyle w:val="Compact"/>
              <w:spacing w:line="360" w:lineRule="auto"/>
              <w:jc w:val="center"/>
              <w:rPr>
                <w:rFonts w:ascii="Arial" w:hAnsi="Arial" w:cs="Arial"/>
                <w:sz w:val="20"/>
                <w:szCs w:val="20"/>
              </w:rPr>
            </w:pPr>
          </w:p>
          <w:p w14:paraId="1D313CCF" w14:textId="77777777" w:rsidR="00DE39CF" w:rsidRPr="00F1775E" w:rsidRDefault="00DE39CF" w:rsidP="00341E0C">
            <w:pPr>
              <w:pStyle w:val="Compact"/>
              <w:spacing w:line="360" w:lineRule="auto"/>
              <w:jc w:val="center"/>
              <w:rPr>
                <w:rFonts w:ascii="Arial" w:hAnsi="Arial" w:cs="Arial"/>
                <w:sz w:val="20"/>
                <w:szCs w:val="20"/>
              </w:rPr>
            </w:pPr>
          </w:p>
        </w:tc>
        <w:tc>
          <w:tcPr>
            <w:tcW w:w="966" w:type="pct"/>
            <w:vAlign w:val="center"/>
          </w:tcPr>
          <w:p w14:paraId="04F69E9B"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Outwards</w:t>
            </w:r>
          </w:p>
        </w:tc>
        <w:tc>
          <w:tcPr>
            <w:tcW w:w="411" w:type="pct"/>
            <w:vAlign w:val="center"/>
          </w:tcPr>
          <w:p w14:paraId="042F45C7"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Low</w:t>
            </w:r>
          </w:p>
        </w:tc>
        <w:tc>
          <w:tcPr>
            <w:tcW w:w="411" w:type="pct"/>
            <w:vAlign w:val="center"/>
          </w:tcPr>
          <w:p w14:paraId="24948FE1"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411" w:type="pct"/>
            <w:vAlign w:val="center"/>
          </w:tcPr>
          <w:p w14:paraId="72606122"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658" w:type="pct"/>
            <w:vAlign w:val="center"/>
          </w:tcPr>
          <w:p w14:paraId="767B509B"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Expectant (Dependent)</w:t>
            </w:r>
          </w:p>
        </w:tc>
        <w:tc>
          <w:tcPr>
            <w:tcW w:w="411" w:type="pct"/>
            <w:vAlign w:val="center"/>
          </w:tcPr>
          <w:p w14:paraId="73D042DE"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677" w:type="pct"/>
            <w:vAlign w:val="center"/>
          </w:tcPr>
          <w:p w14:paraId="17A22288" w14:textId="77777777" w:rsidR="009A2198" w:rsidRPr="00F1775E" w:rsidRDefault="00000000" w:rsidP="00341E0C">
            <w:pPr>
              <w:pStyle w:val="Compact"/>
              <w:spacing w:line="360" w:lineRule="auto"/>
              <w:jc w:val="center"/>
              <w:rPr>
                <w:rFonts w:ascii="Arial" w:hAnsi="Arial" w:cs="Arial"/>
                <w:sz w:val="20"/>
                <w:szCs w:val="20"/>
              </w:rPr>
            </w:pPr>
            <w:r w:rsidRPr="00C73985">
              <w:rPr>
                <w:rFonts w:ascii="Arial" w:hAnsi="Arial" w:cs="Arial"/>
                <w:sz w:val="18"/>
                <w:szCs w:val="18"/>
              </w:rPr>
              <w:t>Ultimate beneficiaries; feedback essential for iteration</w:t>
            </w:r>
          </w:p>
        </w:tc>
      </w:tr>
      <w:tr w:rsidR="009A2198" w:rsidRPr="000B0300" w14:paraId="3358EADD" w14:textId="77777777" w:rsidTr="00DE39CF">
        <w:trPr>
          <w:trHeight w:val="57"/>
        </w:trPr>
        <w:tc>
          <w:tcPr>
            <w:tcW w:w="512" w:type="pct"/>
            <w:shd w:val="clear" w:color="auto" w:fill="FFC000"/>
            <w:vAlign w:val="center"/>
          </w:tcPr>
          <w:p w14:paraId="7F4F5D3C" w14:textId="77777777" w:rsidR="009A2198" w:rsidRPr="00F1775E" w:rsidRDefault="00000000" w:rsidP="00341E0C">
            <w:pPr>
              <w:pStyle w:val="Compact"/>
              <w:spacing w:line="360" w:lineRule="auto"/>
              <w:jc w:val="center"/>
              <w:rPr>
                <w:rFonts w:ascii="Arial" w:hAnsi="Arial" w:cs="Arial"/>
                <w:sz w:val="16"/>
                <w:szCs w:val="16"/>
              </w:rPr>
            </w:pPr>
            <w:r w:rsidRPr="00F1775E">
              <w:rPr>
                <w:rFonts w:ascii="Arial" w:hAnsi="Arial" w:cs="Arial"/>
                <w:sz w:val="16"/>
                <w:szCs w:val="16"/>
              </w:rPr>
              <w:t xml:space="preserve">Investors &amp; </w:t>
            </w:r>
            <w:r w:rsidRPr="00F1775E">
              <w:rPr>
                <w:rFonts w:ascii="Arial" w:hAnsi="Arial" w:cs="Arial"/>
                <w:sz w:val="16"/>
                <w:szCs w:val="16"/>
              </w:rPr>
              <w:lastRenderedPageBreak/>
              <w:t>Shareholders</w:t>
            </w:r>
          </w:p>
        </w:tc>
        <w:tc>
          <w:tcPr>
            <w:tcW w:w="540" w:type="pct"/>
            <w:vAlign w:val="center"/>
          </w:tcPr>
          <w:p w14:paraId="22B8C31B"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lastRenderedPageBreak/>
              <w:t>External</w:t>
            </w:r>
          </w:p>
        </w:tc>
        <w:tc>
          <w:tcPr>
            <w:tcW w:w="966" w:type="pct"/>
            <w:vAlign w:val="center"/>
          </w:tcPr>
          <w:p w14:paraId="2521A379"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Outwards</w:t>
            </w:r>
          </w:p>
        </w:tc>
        <w:tc>
          <w:tcPr>
            <w:tcW w:w="411" w:type="pct"/>
            <w:vAlign w:val="center"/>
          </w:tcPr>
          <w:p w14:paraId="1689296F"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411" w:type="pct"/>
            <w:vAlign w:val="center"/>
          </w:tcPr>
          <w:p w14:paraId="27073DF3"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411" w:type="pct"/>
            <w:vAlign w:val="center"/>
          </w:tcPr>
          <w:p w14:paraId="5BE056B6"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Mediu</w:t>
            </w:r>
            <w:r w:rsidRPr="00F1775E">
              <w:rPr>
                <w:rFonts w:ascii="Arial" w:hAnsi="Arial" w:cs="Arial"/>
                <w:sz w:val="20"/>
                <w:szCs w:val="20"/>
              </w:rPr>
              <w:lastRenderedPageBreak/>
              <w:t>m</w:t>
            </w:r>
          </w:p>
        </w:tc>
        <w:tc>
          <w:tcPr>
            <w:tcW w:w="658" w:type="pct"/>
            <w:vAlign w:val="center"/>
          </w:tcPr>
          <w:p w14:paraId="486B703D"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lastRenderedPageBreak/>
              <w:t xml:space="preserve">Expectant </w:t>
            </w:r>
            <w:r w:rsidRPr="00F1775E">
              <w:rPr>
                <w:rFonts w:ascii="Arial" w:hAnsi="Arial" w:cs="Arial"/>
                <w:sz w:val="20"/>
                <w:szCs w:val="20"/>
              </w:rPr>
              <w:lastRenderedPageBreak/>
              <w:t>(Dominant)</w:t>
            </w:r>
          </w:p>
        </w:tc>
        <w:tc>
          <w:tcPr>
            <w:tcW w:w="411" w:type="pct"/>
            <w:vAlign w:val="center"/>
          </w:tcPr>
          <w:p w14:paraId="5CBDB21E"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lastRenderedPageBreak/>
              <w:t>High</w:t>
            </w:r>
          </w:p>
        </w:tc>
        <w:tc>
          <w:tcPr>
            <w:tcW w:w="677" w:type="pct"/>
            <w:vAlign w:val="center"/>
          </w:tcPr>
          <w:p w14:paraId="7467208E"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 xml:space="preserve">Funding </w:t>
            </w:r>
            <w:r w:rsidRPr="00F1775E">
              <w:rPr>
                <w:rFonts w:ascii="Arial" w:hAnsi="Arial" w:cs="Arial"/>
                <w:sz w:val="20"/>
                <w:szCs w:val="20"/>
              </w:rPr>
              <w:lastRenderedPageBreak/>
              <w:t>and performance expectations</w:t>
            </w:r>
          </w:p>
        </w:tc>
      </w:tr>
      <w:tr w:rsidR="009A2198" w:rsidRPr="000B0300" w14:paraId="136629F1" w14:textId="77777777" w:rsidTr="00DE39CF">
        <w:trPr>
          <w:trHeight w:val="57"/>
        </w:trPr>
        <w:tc>
          <w:tcPr>
            <w:tcW w:w="512" w:type="pct"/>
            <w:shd w:val="clear" w:color="auto" w:fill="FFC000"/>
            <w:vAlign w:val="center"/>
          </w:tcPr>
          <w:p w14:paraId="2CB5C327" w14:textId="067BE4E0" w:rsidR="009A2198" w:rsidRPr="00F1775E" w:rsidRDefault="00F1775E" w:rsidP="00341E0C">
            <w:pPr>
              <w:pStyle w:val="Compact"/>
              <w:spacing w:line="360" w:lineRule="auto"/>
              <w:jc w:val="center"/>
              <w:rPr>
                <w:rFonts w:ascii="Arial" w:hAnsi="Arial" w:cs="Arial"/>
                <w:sz w:val="16"/>
                <w:szCs w:val="16"/>
              </w:rPr>
            </w:pPr>
            <w:r w:rsidRPr="00F1775E">
              <w:rPr>
                <w:rFonts w:ascii="Arial" w:hAnsi="Arial" w:cs="Arial"/>
                <w:sz w:val="16"/>
                <w:szCs w:val="16"/>
              </w:rPr>
              <w:lastRenderedPageBreak/>
              <w:t>Regulators (</w:t>
            </w:r>
            <w:r w:rsidR="00000000" w:rsidRPr="00F1775E">
              <w:rPr>
                <w:rFonts w:ascii="Arial" w:hAnsi="Arial" w:cs="Arial"/>
                <w:sz w:val="16"/>
                <w:szCs w:val="16"/>
              </w:rPr>
              <w:t>ICO, EU DPAs, etc.)</w:t>
            </w:r>
          </w:p>
        </w:tc>
        <w:tc>
          <w:tcPr>
            <w:tcW w:w="540" w:type="pct"/>
            <w:vAlign w:val="center"/>
          </w:tcPr>
          <w:p w14:paraId="540C6E8E"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External</w:t>
            </w:r>
          </w:p>
        </w:tc>
        <w:tc>
          <w:tcPr>
            <w:tcW w:w="966" w:type="pct"/>
            <w:vAlign w:val="center"/>
          </w:tcPr>
          <w:p w14:paraId="7BFA310C"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Outwards</w:t>
            </w:r>
          </w:p>
        </w:tc>
        <w:tc>
          <w:tcPr>
            <w:tcW w:w="411" w:type="pct"/>
            <w:vAlign w:val="center"/>
          </w:tcPr>
          <w:p w14:paraId="4838960A"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411" w:type="pct"/>
            <w:vAlign w:val="center"/>
          </w:tcPr>
          <w:p w14:paraId="3DE0E110"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411" w:type="pct"/>
            <w:vAlign w:val="center"/>
          </w:tcPr>
          <w:p w14:paraId="7726FE12"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658" w:type="pct"/>
            <w:vAlign w:val="center"/>
          </w:tcPr>
          <w:p w14:paraId="2DEE01E2"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Definitive</w:t>
            </w:r>
          </w:p>
        </w:tc>
        <w:tc>
          <w:tcPr>
            <w:tcW w:w="411" w:type="pct"/>
            <w:vAlign w:val="center"/>
          </w:tcPr>
          <w:p w14:paraId="1ECB12FF"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Critical</w:t>
            </w:r>
          </w:p>
        </w:tc>
        <w:tc>
          <w:tcPr>
            <w:tcW w:w="677" w:type="pct"/>
            <w:vAlign w:val="center"/>
          </w:tcPr>
          <w:p w14:paraId="6FA47695"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Legal authority; potential to halt or condition launch</w:t>
            </w:r>
          </w:p>
        </w:tc>
      </w:tr>
      <w:tr w:rsidR="009A2198" w:rsidRPr="000B0300" w14:paraId="71463AA4" w14:textId="77777777" w:rsidTr="00DE39CF">
        <w:trPr>
          <w:trHeight w:val="57"/>
        </w:trPr>
        <w:tc>
          <w:tcPr>
            <w:tcW w:w="512" w:type="pct"/>
            <w:shd w:val="clear" w:color="auto" w:fill="FFC000"/>
            <w:vAlign w:val="center"/>
          </w:tcPr>
          <w:p w14:paraId="5163C71C" w14:textId="77777777" w:rsidR="009A2198" w:rsidRPr="00F1775E" w:rsidRDefault="00000000" w:rsidP="00341E0C">
            <w:pPr>
              <w:pStyle w:val="Compact"/>
              <w:spacing w:line="360" w:lineRule="auto"/>
              <w:jc w:val="center"/>
              <w:rPr>
                <w:rFonts w:ascii="Arial" w:hAnsi="Arial" w:cs="Arial"/>
                <w:sz w:val="16"/>
                <w:szCs w:val="16"/>
              </w:rPr>
            </w:pPr>
            <w:r w:rsidRPr="00F1775E">
              <w:rPr>
                <w:rFonts w:ascii="Arial" w:hAnsi="Arial" w:cs="Arial"/>
                <w:sz w:val="16"/>
                <w:szCs w:val="16"/>
              </w:rPr>
              <w:t>Media &amp; Industry Analysts</w:t>
            </w:r>
          </w:p>
        </w:tc>
        <w:tc>
          <w:tcPr>
            <w:tcW w:w="540" w:type="pct"/>
            <w:vAlign w:val="center"/>
          </w:tcPr>
          <w:p w14:paraId="7BDA5EBA"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External</w:t>
            </w:r>
          </w:p>
        </w:tc>
        <w:tc>
          <w:tcPr>
            <w:tcW w:w="966" w:type="pct"/>
            <w:vAlign w:val="center"/>
          </w:tcPr>
          <w:p w14:paraId="0370F272"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Outwards</w:t>
            </w:r>
          </w:p>
        </w:tc>
        <w:tc>
          <w:tcPr>
            <w:tcW w:w="411" w:type="pct"/>
            <w:vAlign w:val="center"/>
          </w:tcPr>
          <w:p w14:paraId="1F11B00B"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Medium</w:t>
            </w:r>
          </w:p>
        </w:tc>
        <w:tc>
          <w:tcPr>
            <w:tcW w:w="411" w:type="pct"/>
            <w:vAlign w:val="center"/>
          </w:tcPr>
          <w:p w14:paraId="049B6B6B"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Medium</w:t>
            </w:r>
          </w:p>
        </w:tc>
        <w:tc>
          <w:tcPr>
            <w:tcW w:w="411" w:type="pct"/>
            <w:vAlign w:val="center"/>
          </w:tcPr>
          <w:p w14:paraId="59749E0B"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Low</w:t>
            </w:r>
          </w:p>
        </w:tc>
        <w:tc>
          <w:tcPr>
            <w:tcW w:w="658" w:type="pct"/>
            <w:vAlign w:val="center"/>
          </w:tcPr>
          <w:p w14:paraId="69DFF259"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Latent (Discretionary)</w:t>
            </w:r>
          </w:p>
        </w:tc>
        <w:tc>
          <w:tcPr>
            <w:tcW w:w="411" w:type="pct"/>
            <w:vAlign w:val="center"/>
          </w:tcPr>
          <w:p w14:paraId="4F611ED1"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Medium</w:t>
            </w:r>
          </w:p>
        </w:tc>
        <w:tc>
          <w:tcPr>
            <w:tcW w:w="677" w:type="pct"/>
            <w:vAlign w:val="center"/>
          </w:tcPr>
          <w:p w14:paraId="5BE813A3"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Shape public perception and brand reputation</w:t>
            </w:r>
          </w:p>
        </w:tc>
      </w:tr>
      <w:tr w:rsidR="009A2198" w:rsidRPr="000B0300" w14:paraId="34DFAD35" w14:textId="77777777" w:rsidTr="00DE39CF">
        <w:trPr>
          <w:trHeight w:val="57"/>
        </w:trPr>
        <w:tc>
          <w:tcPr>
            <w:tcW w:w="512" w:type="pct"/>
            <w:shd w:val="clear" w:color="auto" w:fill="FFC000"/>
            <w:vAlign w:val="center"/>
          </w:tcPr>
          <w:p w14:paraId="2E448B08" w14:textId="77777777" w:rsidR="009A2198" w:rsidRPr="00F1775E" w:rsidRDefault="00000000" w:rsidP="00341E0C">
            <w:pPr>
              <w:pStyle w:val="Compact"/>
              <w:spacing w:line="360" w:lineRule="auto"/>
              <w:jc w:val="center"/>
              <w:rPr>
                <w:rFonts w:ascii="Arial" w:hAnsi="Arial" w:cs="Arial"/>
                <w:sz w:val="16"/>
                <w:szCs w:val="16"/>
              </w:rPr>
            </w:pPr>
            <w:r w:rsidRPr="00F1775E">
              <w:rPr>
                <w:rFonts w:ascii="Arial" w:hAnsi="Arial" w:cs="Arial"/>
                <w:sz w:val="16"/>
                <w:szCs w:val="16"/>
              </w:rPr>
              <w:t>Privacy &amp; Consumer NGOs</w:t>
            </w:r>
          </w:p>
        </w:tc>
        <w:tc>
          <w:tcPr>
            <w:tcW w:w="540" w:type="pct"/>
            <w:vAlign w:val="center"/>
          </w:tcPr>
          <w:p w14:paraId="169689A6"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External</w:t>
            </w:r>
          </w:p>
        </w:tc>
        <w:tc>
          <w:tcPr>
            <w:tcW w:w="966" w:type="pct"/>
            <w:vAlign w:val="center"/>
          </w:tcPr>
          <w:p w14:paraId="282B73AE"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Outwards</w:t>
            </w:r>
          </w:p>
        </w:tc>
        <w:tc>
          <w:tcPr>
            <w:tcW w:w="411" w:type="pct"/>
            <w:vAlign w:val="center"/>
          </w:tcPr>
          <w:p w14:paraId="2601B3E7"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Low</w:t>
            </w:r>
          </w:p>
        </w:tc>
        <w:tc>
          <w:tcPr>
            <w:tcW w:w="411" w:type="pct"/>
            <w:vAlign w:val="center"/>
          </w:tcPr>
          <w:p w14:paraId="2A5F68A8"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411" w:type="pct"/>
            <w:vAlign w:val="center"/>
          </w:tcPr>
          <w:p w14:paraId="293EB04D"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Medium</w:t>
            </w:r>
          </w:p>
        </w:tc>
        <w:tc>
          <w:tcPr>
            <w:tcW w:w="658" w:type="pct"/>
            <w:vAlign w:val="center"/>
          </w:tcPr>
          <w:p w14:paraId="64FE4772"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Expectant (Dependent)</w:t>
            </w:r>
          </w:p>
        </w:tc>
        <w:tc>
          <w:tcPr>
            <w:tcW w:w="411" w:type="pct"/>
            <w:vAlign w:val="center"/>
          </w:tcPr>
          <w:p w14:paraId="0A07D994"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Medium</w:t>
            </w:r>
          </w:p>
        </w:tc>
        <w:tc>
          <w:tcPr>
            <w:tcW w:w="677" w:type="pct"/>
            <w:vAlign w:val="center"/>
          </w:tcPr>
          <w:p w14:paraId="6A32AB3A"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Legitimate claims on ethics; can mobilise public opinion</w:t>
            </w:r>
          </w:p>
        </w:tc>
      </w:tr>
      <w:tr w:rsidR="009A2198" w:rsidRPr="000B0300" w14:paraId="1615216A" w14:textId="77777777" w:rsidTr="00DE39CF">
        <w:trPr>
          <w:trHeight w:val="57"/>
        </w:trPr>
        <w:tc>
          <w:tcPr>
            <w:tcW w:w="512" w:type="pct"/>
            <w:shd w:val="clear" w:color="auto" w:fill="FFC000"/>
            <w:vAlign w:val="center"/>
          </w:tcPr>
          <w:p w14:paraId="04049BA1" w14:textId="77777777" w:rsidR="009A2198" w:rsidRPr="00F1775E" w:rsidRDefault="00000000" w:rsidP="00341E0C">
            <w:pPr>
              <w:pStyle w:val="Compact"/>
              <w:spacing w:line="360" w:lineRule="auto"/>
              <w:jc w:val="center"/>
              <w:rPr>
                <w:rFonts w:ascii="Arial" w:hAnsi="Arial" w:cs="Arial"/>
                <w:sz w:val="16"/>
                <w:szCs w:val="16"/>
              </w:rPr>
            </w:pPr>
            <w:r w:rsidRPr="00F1775E">
              <w:rPr>
                <w:rFonts w:ascii="Arial" w:hAnsi="Arial" w:cs="Arial"/>
                <w:sz w:val="16"/>
                <w:szCs w:val="16"/>
              </w:rPr>
              <w:t>Frontline Customer Service</w:t>
            </w:r>
          </w:p>
        </w:tc>
        <w:tc>
          <w:tcPr>
            <w:tcW w:w="540" w:type="pct"/>
            <w:vAlign w:val="center"/>
          </w:tcPr>
          <w:p w14:paraId="3FD32D01"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Internal</w:t>
            </w:r>
          </w:p>
        </w:tc>
        <w:tc>
          <w:tcPr>
            <w:tcW w:w="966" w:type="pct"/>
            <w:vAlign w:val="center"/>
          </w:tcPr>
          <w:p w14:paraId="23725E13"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Downwards</w:t>
            </w:r>
          </w:p>
        </w:tc>
        <w:tc>
          <w:tcPr>
            <w:tcW w:w="411" w:type="pct"/>
            <w:vAlign w:val="center"/>
          </w:tcPr>
          <w:p w14:paraId="758FC927"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Low</w:t>
            </w:r>
          </w:p>
        </w:tc>
        <w:tc>
          <w:tcPr>
            <w:tcW w:w="411" w:type="pct"/>
            <w:vAlign w:val="center"/>
          </w:tcPr>
          <w:p w14:paraId="2824DD99"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High</w:t>
            </w:r>
          </w:p>
        </w:tc>
        <w:tc>
          <w:tcPr>
            <w:tcW w:w="411" w:type="pct"/>
            <w:vAlign w:val="center"/>
          </w:tcPr>
          <w:p w14:paraId="2955F6F2"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Medium</w:t>
            </w:r>
          </w:p>
        </w:tc>
        <w:tc>
          <w:tcPr>
            <w:tcW w:w="658" w:type="pct"/>
            <w:vAlign w:val="center"/>
          </w:tcPr>
          <w:p w14:paraId="61EF7CE0"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Latent (Discretionary)</w:t>
            </w:r>
          </w:p>
        </w:tc>
        <w:tc>
          <w:tcPr>
            <w:tcW w:w="411" w:type="pct"/>
            <w:vAlign w:val="center"/>
          </w:tcPr>
          <w:p w14:paraId="3B968AD9"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Low-Medium</w:t>
            </w:r>
          </w:p>
        </w:tc>
        <w:tc>
          <w:tcPr>
            <w:tcW w:w="677" w:type="pct"/>
            <w:vAlign w:val="center"/>
          </w:tcPr>
          <w:p w14:paraId="195968C6" w14:textId="77777777" w:rsidR="009A2198" w:rsidRPr="00F1775E" w:rsidRDefault="00000000" w:rsidP="00341E0C">
            <w:pPr>
              <w:pStyle w:val="Compact"/>
              <w:spacing w:line="360" w:lineRule="auto"/>
              <w:jc w:val="center"/>
              <w:rPr>
                <w:rFonts w:ascii="Arial" w:hAnsi="Arial" w:cs="Arial"/>
                <w:sz w:val="20"/>
                <w:szCs w:val="20"/>
              </w:rPr>
            </w:pPr>
            <w:r w:rsidRPr="00F1775E">
              <w:rPr>
                <w:rFonts w:ascii="Arial" w:hAnsi="Arial" w:cs="Arial"/>
                <w:sz w:val="20"/>
                <w:szCs w:val="20"/>
              </w:rPr>
              <w:t>Implement support processes; valuable insights</w:t>
            </w:r>
          </w:p>
        </w:tc>
      </w:tr>
    </w:tbl>
    <w:p w14:paraId="51DED9D0"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i/>
          <w:iCs/>
          <w:sz w:val="23"/>
          <w:szCs w:val="23"/>
        </w:rPr>
        <w:t>Note: Power, Legitimacy, and Urgency rated High/Medium/Low based on project context. Salience categories follow Mitchell, Agle and Wood (1997).</w:t>
      </w:r>
    </w:p>
    <w:p w14:paraId="1E14D1D4" w14:textId="77777777" w:rsidR="00072A59" w:rsidRDefault="00072A59" w:rsidP="00341E0C">
      <w:pPr>
        <w:pStyle w:val="Heading3"/>
        <w:spacing w:line="360" w:lineRule="auto"/>
        <w:jc w:val="center"/>
        <w:rPr>
          <w:rFonts w:ascii="Arial" w:hAnsi="Arial" w:cs="Arial"/>
          <w:color w:val="000000" w:themeColor="text1"/>
          <w:sz w:val="23"/>
          <w:szCs w:val="23"/>
        </w:rPr>
      </w:pPr>
      <w:bookmarkStart w:id="7" w:name="X6b6e77fd576b6ed88c3682e3261a983babdf564"/>
      <w:bookmarkEnd w:id="6"/>
    </w:p>
    <w:p w14:paraId="020C89CF" w14:textId="77777777" w:rsidR="00072A59" w:rsidRDefault="00072A59" w:rsidP="00341E0C">
      <w:pPr>
        <w:pStyle w:val="Heading3"/>
        <w:spacing w:line="360" w:lineRule="auto"/>
        <w:jc w:val="center"/>
        <w:rPr>
          <w:rFonts w:ascii="Arial" w:hAnsi="Arial" w:cs="Arial"/>
          <w:color w:val="000000" w:themeColor="text1"/>
          <w:sz w:val="23"/>
          <w:szCs w:val="23"/>
        </w:rPr>
      </w:pPr>
    </w:p>
    <w:p w14:paraId="0A8630D6" w14:textId="77777777" w:rsidR="00072A59" w:rsidRDefault="00072A59" w:rsidP="00341E0C">
      <w:pPr>
        <w:pStyle w:val="Heading3"/>
        <w:spacing w:line="360" w:lineRule="auto"/>
        <w:jc w:val="center"/>
        <w:rPr>
          <w:rFonts w:ascii="Arial" w:hAnsi="Arial" w:cs="Arial"/>
          <w:color w:val="000000" w:themeColor="text1"/>
          <w:sz w:val="23"/>
          <w:szCs w:val="23"/>
        </w:rPr>
      </w:pPr>
    </w:p>
    <w:p w14:paraId="7FF6759F" w14:textId="77777777" w:rsidR="008E10FF" w:rsidRDefault="008E10FF" w:rsidP="00341E0C">
      <w:pPr>
        <w:pStyle w:val="FirstParagraph"/>
        <w:spacing w:line="360" w:lineRule="auto"/>
        <w:rPr>
          <w:rFonts w:ascii="Arial" w:hAnsi="Arial" w:cs="Arial"/>
          <w:b/>
          <w:bCs/>
          <w:sz w:val="23"/>
          <w:szCs w:val="23"/>
        </w:rPr>
      </w:pPr>
    </w:p>
    <w:p w14:paraId="6240A740" w14:textId="638BA99A" w:rsidR="00072A59" w:rsidRDefault="00072A59" w:rsidP="00341E0C">
      <w:pPr>
        <w:pStyle w:val="FirstParagraph"/>
        <w:spacing w:line="360" w:lineRule="auto"/>
        <w:rPr>
          <w:rFonts w:ascii="Arial" w:hAnsi="Arial" w:cs="Arial"/>
          <w:b/>
          <w:bCs/>
          <w:sz w:val="23"/>
          <w:szCs w:val="23"/>
        </w:rPr>
      </w:pPr>
      <w:r w:rsidRPr="00072A59">
        <w:rPr>
          <w:rFonts w:ascii="Arial" w:hAnsi="Arial" w:cs="Arial"/>
          <w:b/>
          <w:bCs/>
          <w:sz w:val="23"/>
          <w:szCs w:val="23"/>
        </w:rPr>
        <w:lastRenderedPageBreak/>
        <w:t>Application of Mendelow’s power/interest Matrix</w:t>
      </w:r>
    </w:p>
    <w:p w14:paraId="3941A4DD" w14:textId="124623F5"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Mendelow’s (1991) matrix further refines prioritisation by plotting stakeholders according to their power to influence the project and their level of interest in its outcomes. This supports differentiated engagement strategies</w:t>
      </w:r>
      <w:r w:rsidR="00693C84">
        <w:rPr>
          <w:rFonts w:ascii="Arial" w:hAnsi="Arial" w:cs="Arial"/>
          <w:sz w:val="23"/>
          <w:szCs w:val="23"/>
        </w:rPr>
        <w:t>.</w:t>
      </w:r>
    </w:p>
    <w:p w14:paraId="265E92B8" w14:textId="77777777" w:rsidR="009A2198" w:rsidRPr="000B0300" w:rsidRDefault="00000000" w:rsidP="00341E0C">
      <w:pPr>
        <w:pStyle w:val="Compact"/>
        <w:numPr>
          <w:ilvl w:val="0"/>
          <w:numId w:val="3"/>
        </w:numPr>
        <w:spacing w:line="360" w:lineRule="auto"/>
        <w:jc w:val="both"/>
        <w:rPr>
          <w:rFonts w:ascii="Arial" w:hAnsi="Arial" w:cs="Arial"/>
          <w:sz w:val="23"/>
          <w:szCs w:val="23"/>
        </w:rPr>
      </w:pPr>
      <w:r w:rsidRPr="000B0300">
        <w:rPr>
          <w:rFonts w:ascii="Arial" w:hAnsi="Arial" w:cs="Arial"/>
          <w:b/>
          <w:bCs/>
          <w:sz w:val="23"/>
          <w:szCs w:val="23"/>
        </w:rPr>
        <w:t>Key Players (High Power, High Interest)</w:t>
      </w:r>
      <w:r w:rsidRPr="000B0300">
        <w:rPr>
          <w:rFonts w:ascii="Arial" w:hAnsi="Arial" w:cs="Arial"/>
          <w:sz w:val="23"/>
          <w:szCs w:val="23"/>
        </w:rPr>
        <w:t>: Board/CEO, Legal &amp; Compliance/DPO, Project Delivery Team leads, and Regulators. These require active management, regular reporting, and involvement in key decisions. Their support is non-negotiable for project viability.</w:t>
      </w:r>
    </w:p>
    <w:p w14:paraId="152F6DEB" w14:textId="77777777" w:rsidR="009A2198" w:rsidRPr="000B0300" w:rsidRDefault="00000000" w:rsidP="00341E0C">
      <w:pPr>
        <w:pStyle w:val="Compact"/>
        <w:numPr>
          <w:ilvl w:val="0"/>
          <w:numId w:val="3"/>
        </w:numPr>
        <w:spacing w:line="360" w:lineRule="auto"/>
        <w:jc w:val="both"/>
        <w:rPr>
          <w:rFonts w:ascii="Arial" w:hAnsi="Arial" w:cs="Arial"/>
          <w:sz w:val="23"/>
          <w:szCs w:val="23"/>
        </w:rPr>
      </w:pPr>
      <w:r w:rsidRPr="000B0300">
        <w:rPr>
          <w:rFonts w:ascii="Arial" w:hAnsi="Arial" w:cs="Arial"/>
          <w:b/>
          <w:bCs/>
          <w:sz w:val="23"/>
          <w:szCs w:val="23"/>
        </w:rPr>
        <w:t>Keep Satisfied (High Power, Low Interest)</w:t>
      </w:r>
      <w:r w:rsidRPr="000B0300">
        <w:rPr>
          <w:rFonts w:ascii="Arial" w:hAnsi="Arial" w:cs="Arial"/>
          <w:sz w:val="23"/>
          <w:szCs w:val="23"/>
        </w:rPr>
        <w:t>: CFO (budget oversight), Technology Partners (contractual delivery), and certain Investors. These stakeholders must receive sufficient information to maintain confidence without overwhelming them with operational detail.</w:t>
      </w:r>
    </w:p>
    <w:p w14:paraId="57989860" w14:textId="77777777" w:rsidR="009A2198" w:rsidRPr="000B0300" w:rsidRDefault="00000000" w:rsidP="00341E0C">
      <w:pPr>
        <w:pStyle w:val="Compact"/>
        <w:numPr>
          <w:ilvl w:val="0"/>
          <w:numId w:val="3"/>
        </w:numPr>
        <w:spacing w:line="360" w:lineRule="auto"/>
        <w:jc w:val="both"/>
        <w:rPr>
          <w:rFonts w:ascii="Arial" w:hAnsi="Arial" w:cs="Arial"/>
          <w:sz w:val="23"/>
          <w:szCs w:val="23"/>
        </w:rPr>
      </w:pPr>
      <w:r w:rsidRPr="000B0300">
        <w:rPr>
          <w:rFonts w:ascii="Arial" w:hAnsi="Arial" w:cs="Arial"/>
          <w:b/>
          <w:bCs/>
          <w:sz w:val="23"/>
          <w:szCs w:val="23"/>
        </w:rPr>
        <w:t>Keep Informed (Low Power, High Interest)</w:t>
      </w:r>
      <w:r w:rsidRPr="000B0300">
        <w:rPr>
          <w:rFonts w:ascii="Arial" w:hAnsi="Arial" w:cs="Arial"/>
          <w:sz w:val="23"/>
          <w:szCs w:val="23"/>
        </w:rPr>
        <w:t>: High-value Customers, Marketing teams, Frontline staff, Media, and Privacy NGOs. While lacking formal power, their influence can shift through mobilisation or public voice; transparent communication builds goodwill and reduces resistance.</w:t>
      </w:r>
    </w:p>
    <w:p w14:paraId="141A8A12" w14:textId="77777777" w:rsidR="009A2198" w:rsidRPr="000B0300" w:rsidRDefault="00000000" w:rsidP="00341E0C">
      <w:pPr>
        <w:pStyle w:val="Compact"/>
        <w:numPr>
          <w:ilvl w:val="0"/>
          <w:numId w:val="3"/>
        </w:numPr>
        <w:spacing w:line="360" w:lineRule="auto"/>
        <w:jc w:val="both"/>
        <w:rPr>
          <w:rFonts w:ascii="Arial" w:hAnsi="Arial" w:cs="Arial"/>
          <w:sz w:val="23"/>
          <w:szCs w:val="23"/>
        </w:rPr>
      </w:pPr>
      <w:r w:rsidRPr="000B0300">
        <w:rPr>
          <w:rFonts w:ascii="Arial" w:hAnsi="Arial" w:cs="Arial"/>
          <w:b/>
          <w:bCs/>
          <w:sz w:val="23"/>
          <w:szCs w:val="23"/>
        </w:rPr>
        <w:t>Minimal Effort (Low Power, Low Interest)</w:t>
      </w:r>
      <w:r w:rsidRPr="000B0300">
        <w:rPr>
          <w:rFonts w:ascii="Arial" w:hAnsi="Arial" w:cs="Arial"/>
          <w:sz w:val="23"/>
          <w:szCs w:val="23"/>
        </w:rPr>
        <w:t>: General suppliers and peripheral stakeholders. Monitoring is sufficient unless their position changes.</w:t>
      </w:r>
    </w:p>
    <w:p w14:paraId="12B22E66" w14:textId="74198ABD"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 xml:space="preserve">The visual mapping of these relationships underscores the complexity of Tesco’s stakeholder environment. Effective </w:t>
      </w:r>
      <w:r w:rsidR="003A2F7E" w:rsidRPr="000B0300">
        <w:rPr>
          <w:rFonts w:ascii="Arial" w:hAnsi="Arial" w:cs="Arial"/>
          <w:sz w:val="23"/>
          <w:szCs w:val="23"/>
        </w:rPr>
        <w:t>visualization</w:t>
      </w:r>
      <w:r w:rsidR="003A2F7E">
        <w:rPr>
          <w:rFonts w:ascii="Arial" w:hAnsi="Arial" w:cs="Arial"/>
          <w:sz w:val="23"/>
          <w:szCs w:val="23"/>
        </w:rPr>
        <w:t xml:space="preserve"> </w:t>
      </w:r>
      <w:r w:rsidR="003A2F7E" w:rsidRPr="000B0300">
        <w:rPr>
          <w:rFonts w:ascii="Arial" w:hAnsi="Arial" w:cs="Arial"/>
          <w:sz w:val="23"/>
          <w:szCs w:val="23"/>
        </w:rPr>
        <w:t>enables</w:t>
      </w:r>
      <w:r w:rsidRPr="000B0300">
        <w:rPr>
          <w:rFonts w:ascii="Arial" w:hAnsi="Arial" w:cs="Arial"/>
          <w:sz w:val="23"/>
          <w:szCs w:val="23"/>
        </w:rPr>
        <w:t xml:space="preserve"> the project team to anticipate influence patterns and develop targeted strategies, avoiding “stakeholder myopia” where only obvious high-power actors are considered</w:t>
      </w:r>
      <w:r w:rsidR="003E49F2">
        <w:rPr>
          <w:rFonts w:ascii="Arial" w:hAnsi="Arial" w:cs="Arial"/>
          <w:sz w:val="23"/>
          <w:szCs w:val="23"/>
        </w:rPr>
        <w:t>.</w:t>
      </w:r>
    </w:p>
    <w:p w14:paraId="58AAC4F6" w14:textId="5B5A2B63" w:rsidR="009A2198" w:rsidRDefault="009A2198" w:rsidP="00341E0C">
      <w:pPr>
        <w:spacing w:line="360" w:lineRule="auto"/>
        <w:jc w:val="both"/>
        <w:rPr>
          <w:rFonts w:ascii="Arial" w:hAnsi="Arial" w:cs="Arial"/>
          <w:sz w:val="23"/>
          <w:szCs w:val="23"/>
        </w:rPr>
      </w:pPr>
    </w:p>
    <w:p w14:paraId="752E736C" w14:textId="77777777" w:rsidR="003C409A" w:rsidRDefault="003C409A" w:rsidP="00341E0C">
      <w:pPr>
        <w:spacing w:line="360" w:lineRule="auto"/>
        <w:jc w:val="both"/>
        <w:rPr>
          <w:rFonts w:ascii="Arial" w:hAnsi="Arial" w:cs="Arial"/>
          <w:sz w:val="23"/>
          <w:szCs w:val="23"/>
        </w:rPr>
      </w:pPr>
    </w:p>
    <w:p w14:paraId="70A8D971" w14:textId="77777777" w:rsidR="003C409A" w:rsidRPr="000B0300" w:rsidRDefault="003C409A" w:rsidP="00341E0C">
      <w:pPr>
        <w:spacing w:line="360" w:lineRule="auto"/>
        <w:jc w:val="both"/>
        <w:rPr>
          <w:rFonts w:ascii="Arial" w:hAnsi="Arial" w:cs="Arial"/>
          <w:sz w:val="23"/>
          <w:szCs w:val="23"/>
        </w:rPr>
      </w:pPr>
    </w:p>
    <w:p w14:paraId="69F9F8E4" w14:textId="77777777" w:rsidR="00A879FA" w:rsidRDefault="00A879FA" w:rsidP="00341E0C">
      <w:pPr>
        <w:pStyle w:val="Heading2"/>
        <w:spacing w:line="360" w:lineRule="auto"/>
        <w:jc w:val="center"/>
        <w:rPr>
          <w:rFonts w:ascii="Arial" w:hAnsi="Arial" w:cs="Arial"/>
          <w:color w:val="000000" w:themeColor="text1"/>
          <w:sz w:val="23"/>
          <w:szCs w:val="23"/>
        </w:rPr>
      </w:pPr>
      <w:bookmarkStart w:id="8" w:name="X207389f89d2726f6f5896aa1c1026303ea73f18"/>
      <w:bookmarkEnd w:id="5"/>
      <w:bookmarkEnd w:id="7"/>
    </w:p>
    <w:p w14:paraId="7846D9B0" w14:textId="77777777" w:rsidR="00A879FA" w:rsidRDefault="00A879FA" w:rsidP="00341E0C">
      <w:pPr>
        <w:pStyle w:val="BodyText"/>
        <w:spacing w:line="360" w:lineRule="auto"/>
        <w:jc w:val="center"/>
        <w:rPr>
          <w:b/>
          <w:bCs/>
        </w:rPr>
      </w:pPr>
    </w:p>
    <w:p w14:paraId="14711FFF" w14:textId="77777777" w:rsidR="008E10FF" w:rsidRDefault="008E10FF" w:rsidP="00341E0C">
      <w:pPr>
        <w:pStyle w:val="BodyText"/>
        <w:spacing w:line="360" w:lineRule="auto"/>
        <w:rPr>
          <w:b/>
          <w:bCs/>
        </w:rPr>
      </w:pPr>
    </w:p>
    <w:p w14:paraId="3899C1A3" w14:textId="61DA72C0" w:rsidR="00A879FA" w:rsidRPr="00830D4B" w:rsidRDefault="00A879FA" w:rsidP="00341E0C">
      <w:pPr>
        <w:pStyle w:val="BodyText"/>
        <w:spacing w:line="360" w:lineRule="auto"/>
        <w:rPr>
          <w:rFonts w:ascii="Arial" w:hAnsi="Arial" w:cs="Arial"/>
          <w:b/>
          <w:bCs/>
        </w:rPr>
      </w:pPr>
      <w:r w:rsidRPr="00830D4B">
        <w:rPr>
          <w:rFonts w:ascii="Arial" w:hAnsi="Arial" w:cs="Arial"/>
          <w:b/>
          <w:bCs/>
        </w:rPr>
        <w:lastRenderedPageBreak/>
        <w:t>Role, Responsibilities, Benefits and Challenges for Key Stakeholders</w:t>
      </w:r>
    </w:p>
    <w:p w14:paraId="4CCAE2C2" w14:textId="35C9D07C" w:rsidR="009A2198" w:rsidRPr="00830D4B" w:rsidRDefault="00000000" w:rsidP="00341E0C">
      <w:pPr>
        <w:pStyle w:val="FirstParagraph"/>
        <w:spacing w:line="360" w:lineRule="auto"/>
        <w:jc w:val="both"/>
        <w:rPr>
          <w:rFonts w:ascii="Arial" w:hAnsi="Arial" w:cs="Arial"/>
          <w:sz w:val="23"/>
          <w:szCs w:val="23"/>
        </w:rPr>
      </w:pPr>
      <w:r w:rsidRPr="00830D4B">
        <w:rPr>
          <w:rFonts w:ascii="Arial" w:hAnsi="Arial" w:cs="Arial"/>
          <w:sz w:val="23"/>
          <w:szCs w:val="23"/>
        </w:rPr>
        <w:t xml:space="preserve">Understanding the specific roles, the value each stakeholder brings, and the challenges they may encounter </w:t>
      </w:r>
      <w:r w:rsidR="00587EB7" w:rsidRPr="00830D4B">
        <w:rPr>
          <w:rFonts w:ascii="Arial" w:hAnsi="Arial" w:cs="Arial"/>
          <w:sz w:val="23"/>
          <w:szCs w:val="23"/>
        </w:rPr>
        <w:t>are</w:t>
      </w:r>
      <w:r w:rsidRPr="00830D4B">
        <w:rPr>
          <w:rFonts w:ascii="Arial" w:hAnsi="Arial" w:cs="Arial"/>
          <w:sz w:val="23"/>
          <w:szCs w:val="23"/>
        </w:rPr>
        <w:t xml:space="preserve"> essential for designing empathetic and effective engagement approaches. Table 2 summarises key stakeholders; the following narrative expands on the most critical groups.</w:t>
      </w:r>
    </w:p>
    <w:p w14:paraId="6E776EE5" w14:textId="77777777" w:rsidR="00D230C8" w:rsidRDefault="00D230C8" w:rsidP="00341E0C">
      <w:pPr>
        <w:pStyle w:val="BodyText"/>
        <w:spacing w:line="360" w:lineRule="auto"/>
        <w:jc w:val="both"/>
        <w:rPr>
          <w:rFonts w:ascii="Arial" w:hAnsi="Arial" w:cs="Arial"/>
          <w:b/>
          <w:bCs/>
          <w:sz w:val="23"/>
          <w:szCs w:val="23"/>
        </w:rPr>
      </w:pPr>
    </w:p>
    <w:p w14:paraId="1E6A0A24" w14:textId="1F006D8D"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b/>
          <w:bCs/>
          <w:sz w:val="23"/>
          <w:szCs w:val="23"/>
        </w:rPr>
        <w:t>Table 2: Summary of Key Stakeholder Roles, Benefits, and Challenges</w:t>
      </w:r>
    </w:p>
    <w:tbl>
      <w:tblPr>
        <w:tblStyle w:val="TableGrid"/>
        <w:tblW w:w="4944" w:type="pct"/>
        <w:tblInd w:w="108" w:type="dxa"/>
        <w:tblLook w:val="0020" w:firstRow="1" w:lastRow="0" w:firstColumn="0" w:lastColumn="0" w:noHBand="0" w:noVBand="0"/>
      </w:tblPr>
      <w:tblGrid>
        <w:gridCol w:w="1466"/>
        <w:gridCol w:w="2649"/>
        <w:gridCol w:w="2522"/>
        <w:gridCol w:w="2832"/>
      </w:tblGrid>
      <w:tr w:rsidR="009A2198" w:rsidRPr="000B0300" w14:paraId="2A949E5F" w14:textId="77777777" w:rsidTr="009864DF">
        <w:tc>
          <w:tcPr>
            <w:tcW w:w="774" w:type="pct"/>
            <w:shd w:val="clear" w:color="auto" w:fill="FFFF00"/>
          </w:tcPr>
          <w:p w14:paraId="6513BC80" w14:textId="77777777" w:rsidR="009A2198" w:rsidRPr="009864DF" w:rsidRDefault="00000000" w:rsidP="00341E0C">
            <w:pPr>
              <w:pStyle w:val="Compact"/>
              <w:spacing w:line="360" w:lineRule="auto"/>
              <w:jc w:val="both"/>
              <w:rPr>
                <w:rFonts w:ascii="Arial" w:hAnsi="Arial" w:cs="Arial"/>
                <w:sz w:val="20"/>
                <w:szCs w:val="20"/>
              </w:rPr>
            </w:pPr>
            <w:r w:rsidRPr="009864DF">
              <w:rPr>
                <w:rFonts w:ascii="Arial" w:hAnsi="Arial" w:cs="Arial"/>
                <w:sz w:val="20"/>
                <w:szCs w:val="20"/>
              </w:rPr>
              <w:t>Stakeholder</w:t>
            </w:r>
          </w:p>
        </w:tc>
        <w:tc>
          <w:tcPr>
            <w:tcW w:w="0" w:type="auto"/>
            <w:shd w:val="clear" w:color="auto" w:fill="DBE5F1" w:themeFill="accent1" w:themeFillTint="33"/>
          </w:tcPr>
          <w:p w14:paraId="413367E5" w14:textId="77777777" w:rsidR="009A2198" w:rsidRPr="009864DF" w:rsidRDefault="00000000" w:rsidP="00341E0C">
            <w:pPr>
              <w:pStyle w:val="Compact"/>
              <w:spacing w:line="360" w:lineRule="auto"/>
              <w:jc w:val="center"/>
              <w:rPr>
                <w:rFonts w:ascii="Arial" w:hAnsi="Arial" w:cs="Arial"/>
                <w:sz w:val="20"/>
                <w:szCs w:val="20"/>
              </w:rPr>
            </w:pPr>
            <w:r w:rsidRPr="009864DF">
              <w:rPr>
                <w:rFonts w:ascii="Arial" w:hAnsi="Arial" w:cs="Arial"/>
                <w:sz w:val="20"/>
                <w:szCs w:val="20"/>
              </w:rPr>
              <w:t>Primary Roles &amp; Responsibilities</w:t>
            </w:r>
          </w:p>
        </w:tc>
        <w:tc>
          <w:tcPr>
            <w:tcW w:w="0" w:type="auto"/>
            <w:shd w:val="clear" w:color="auto" w:fill="DBE5F1" w:themeFill="accent1" w:themeFillTint="33"/>
          </w:tcPr>
          <w:p w14:paraId="6C259D85" w14:textId="77777777" w:rsidR="009A2198" w:rsidRPr="009864DF" w:rsidRDefault="00000000" w:rsidP="00341E0C">
            <w:pPr>
              <w:pStyle w:val="Compact"/>
              <w:spacing w:line="360" w:lineRule="auto"/>
              <w:jc w:val="center"/>
              <w:rPr>
                <w:rFonts w:ascii="Arial" w:hAnsi="Arial" w:cs="Arial"/>
                <w:sz w:val="20"/>
                <w:szCs w:val="20"/>
              </w:rPr>
            </w:pPr>
            <w:r w:rsidRPr="009864DF">
              <w:rPr>
                <w:rFonts w:ascii="Arial" w:hAnsi="Arial" w:cs="Arial"/>
                <w:sz w:val="20"/>
                <w:szCs w:val="20"/>
              </w:rPr>
              <w:t>Benefits Brought to Project</w:t>
            </w:r>
          </w:p>
        </w:tc>
        <w:tc>
          <w:tcPr>
            <w:tcW w:w="0" w:type="auto"/>
            <w:shd w:val="clear" w:color="auto" w:fill="DBE5F1" w:themeFill="accent1" w:themeFillTint="33"/>
          </w:tcPr>
          <w:p w14:paraId="7A18F5A4" w14:textId="77777777" w:rsidR="009A2198" w:rsidRPr="009864DF" w:rsidRDefault="00000000" w:rsidP="00341E0C">
            <w:pPr>
              <w:pStyle w:val="Compact"/>
              <w:spacing w:line="360" w:lineRule="auto"/>
              <w:jc w:val="center"/>
              <w:rPr>
                <w:rFonts w:ascii="Arial" w:hAnsi="Arial" w:cs="Arial"/>
                <w:sz w:val="20"/>
                <w:szCs w:val="20"/>
              </w:rPr>
            </w:pPr>
            <w:r w:rsidRPr="009864DF">
              <w:rPr>
                <w:rFonts w:ascii="Arial" w:hAnsi="Arial" w:cs="Arial"/>
                <w:sz w:val="20"/>
                <w:szCs w:val="20"/>
              </w:rPr>
              <w:t>Potential Challenges Faced</w:t>
            </w:r>
          </w:p>
        </w:tc>
      </w:tr>
      <w:tr w:rsidR="009A2198" w:rsidRPr="000B0300" w14:paraId="07DEF490" w14:textId="77777777" w:rsidTr="009864DF">
        <w:tc>
          <w:tcPr>
            <w:tcW w:w="774" w:type="pct"/>
            <w:shd w:val="clear" w:color="auto" w:fill="FFFF00"/>
          </w:tcPr>
          <w:p w14:paraId="228C7DDA" w14:textId="7BACAD02" w:rsidR="009A2198" w:rsidRPr="009864DF" w:rsidRDefault="00587EB7" w:rsidP="00341E0C">
            <w:pPr>
              <w:pStyle w:val="Compact"/>
              <w:spacing w:line="360" w:lineRule="auto"/>
              <w:jc w:val="center"/>
              <w:rPr>
                <w:rFonts w:ascii="Arial" w:hAnsi="Arial" w:cs="Arial"/>
                <w:sz w:val="20"/>
                <w:szCs w:val="20"/>
              </w:rPr>
            </w:pPr>
            <w:r w:rsidRPr="009864DF">
              <w:rPr>
                <w:rFonts w:ascii="Arial" w:hAnsi="Arial" w:cs="Arial"/>
                <w:sz w:val="20"/>
                <w:szCs w:val="20"/>
              </w:rPr>
              <w:t>Board of Directors and CEO</w:t>
            </w:r>
          </w:p>
        </w:tc>
        <w:tc>
          <w:tcPr>
            <w:tcW w:w="0" w:type="auto"/>
          </w:tcPr>
          <w:p w14:paraId="02C4D7C9" w14:textId="77777777" w:rsidR="009A2198" w:rsidRPr="009864DF" w:rsidRDefault="00000000" w:rsidP="00341E0C">
            <w:pPr>
              <w:pStyle w:val="Compact"/>
              <w:spacing w:line="360" w:lineRule="auto"/>
              <w:jc w:val="center"/>
              <w:rPr>
                <w:rFonts w:ascii="Arial" w:hAnsi="Arial" w:cs="Arial"/>
                <w:sz w:val="20"/>
                <w:szCs w:val="20"/>
              </w:rPr>
            </w:pPr>
            <w:r w:rsidRPr="009864DF">
              <w:rPr>
                <w:rFonts w:ascii="Arial" w:hAnsi="Arial" w:cs="Arial"/>
                <w:sz w:val="20"/>
                <w:szCs w:val="20"/>
              </w:rPr>
              <w:t xml:space="preserve">Strategic governance, final investment approval, risk appetite setting, </w:t>
            </w:r>
            <w:proofErr w:type="spellStart"/>
            <w:r w:rsidRPr="009864DF">
              <w:rPr>
                <w:rFonts w:ascii="Arial" w:hAnsi="Arial" w:cs="Arial"/>
                <w:sz w:val="20"/>
                <w:szCs w:val="20"/>
              </w:rPr>
              <w:t>organisational</w:t>
            </w:r>
            <w:proofErr w:type="spellEnd"/>
            <w:r w:rsidRPr="009864DF">
              <w:rPr>
                <w:rFonts w:ascii="Arial" w:hAnsi="Arial" w:cs="Arial"/>
                <w:sz w:val="20"/>
                <w:szCs w:val="20"/>
              </w:rPr>
              <w:t xml:space="preserve"> alignment</w:t>
            </w:r>
          </w:p>
        </w:tc>
        <w:tc>
          <w:tcPr>
            <w:tcW w:w="0" w:type="auto"/>
          </w:tcPr>
          <w:p w14:paraId="5496E75A" w14:textId="77777777" w:rsidR="009A2198" w:rsidRPr="009864DF" w:rsidRDefault="00000000" w:rsidP="00341E0C">
            <w:pPr>
              <w:pStyle w:val="Compact"/>
              <w:spacing w:line="360" w:lineRule="auto"/>
              <w:jc w:val="center"/>
              <w:rPr>
                <w:rFonts w:ascii="Arial" w:hAnsi="Arial" w:cs="Arial"/>
                <w:sz w:val="20"/>
                <w:szCs w:val="20"/>
              </w:rPr>
            </w:pPr>
            <w:r w:rsidRPr="009864DF">
              <w:rPr>
                <w:rFonts w:ascii="Arial" w:hAnsi="Arial" w:cs="Arial"/>
                <w:sz w:val="20"/>
                <w:szCs w:val="20"/>
              </w:rPr>
              <w:t>Provides legitimacy, resources, and clear strategic direction</w:t>
            </w:r>
          </w:p>
        </w:tc>
        <w:tc>
          <w:tcPr>
            <w:tcW w:w="0" w:type="auto"/>
          </w:tcPr>
          <w:p w14:paraId="3C363D6B" w14:textId="77777777" w:rsidR="009A2198" w:rsidRPr="009864DF" w:rsidRDefault="00000000" w:rsidP="00341E0C">
            <w:pPr>
              <w:pStyle w:val="Compact"/>
              <w:spacing w:line="360" w:lineRule="auto"/>
              <w:jc w:val="center"/>
              <w:rPr>
                <w:rFonts w:ascii="Arial" w:hAnsi="Arial" w:cs="Arial"/>
                <w:sz w:val="20"/>
                <w:szCs w:val="20"/>
              </w:rPr>
            </w:pPr>
            <w:r w:rsidRPr="009864DF">
              <w:rPr>
                <w:rFonts w:ascii="Arial" w:hAnsi="Arial" w:cs="Arial"/>
                <w:sz w:val="20"/>
                <w:szCs w:val="20"/>
              </w:rPr>
              <w:t>Balancing short-term financial pressures with long-term digital investment; competing portfolio priorities</w:t>
            </w:r>
          </w:p>
        </w:tc>
      </w:tr>
      <w:tr w:rsidR="009A2198" w:rsidRPr="000B0300" w14:paraId="3BB8B28F" w14:textId="77777777" w:rsidTr="009864DF">
        <w:tc>
          <w:tcPr>
            <w:tcW w:w="774" w:type="pct"/>
            <w:shd w:val="clear" w:color="auto" w:fill="FFFF00"/>
          </w:tcPr>
          <w:p w14:paraId="0F58DEC1" w14:textId="77777777" w:rsidR="009A2198" w:rsidRPr="009864DF" w:rsidRDefault="00000000" w:rsidP="00341E0C">
            <w:pPr>
              <w:pStyle w:val="Compact"/>
              <w:spacing w:line="360" w:lineRule="auto"/>
              <w:jc w:val="center"/>
              <w:rPr>
                <w:rFonts w:ascii="Arial" w:hAnsi="Arial" w:cs="Arial"/>
                <w:sz w:val="20"/>
                <w:szCs w:val="20"/>
              </w:rPr>
            </w:pPr>
            <w:r w:rsidRPr="009864DF">
              <w:rPr>
                <w:rFonts w:ascii="Arial" w:hAnsi="Arial" w:cs="Arial"/>
                <w:sz w:val="20"/>
                <w:szCs w:val="20"/>
              </w:rPr>
              <w:t>Project Delivery Team</w:t>
            </w:r>
          </w:p>
        </w:tc>
        <w:tc>
          <w:tcPr>
            <w:tcW w:w="0" w:type="auto"/>
          </w:tcPr>
          <w:p w14:paraId="5F664C8E" w14:textId="77777777" w:rsidR="009A2198" w:rsidRPr="009864DF" w:rsidRDefault="00000000" w:rsidP="00341E0C">
            <w:pPr>
              <w:pStyle w:val="Compact"/>
              <w:spacing w:line="360" w:lineRule="auto"/>
              <w:jc w:val="center"/>
              <w:rPr>
                <w:rFonts w:ascii="Arial" w:hAnsi="Arial" w:cs="Arial"/>
                <w:sz w:val="20"/>
                <w:szCs w:val="20"/>
              </w:rPr>
            </w:pPr>
            <w:r w:rsidRPr="009864DF">
              <w:rPr>
                <w:rFonts w:ascii="Arial" w:hAnsi="Arial" w:cs="Arial"/>
                <w:sz w:val="20"/>
                <w:szCs w:val="20"/>
              </w:rPr>
              <w:t>Requirements definition, platform design/build/test, technical integration, user acceptance testing</w:t>
            </w:r>
          </w:p>
        </w:tc>
        <w:tc>
          <w:tcPr>
            <w:tcW w:w="0" w:type="auto"/>
          </w:tcPr>
          <w:p w14:paraId="7293D77F" w14:textId="1247922D" w:rsidR="009A2198" w:rsidRPr="009864DF" w:rsidRDefault="00587EB7" w:rsidP="00341E0C">
            <w:pPr>
              <w:pStyle w:val="Compact"/>
              <w:spacing w:line="360" w:lineRule="auto"/>
              <w:jc w:val="center"/>
              <w:rPr>
                <w:rFonts w:ascii="Arial" w:hAnsi="Arial" w:cs="Arial"/>
                <w:sz w:val="20"/>
                <w:szCs w:val="20"/>
              </w:rPr>
            </w:pPr>
            <w:r w:rsidRPr="009864DF">
              <w:rPr>
                <w:rFonts w:ascii="Arial" w:hAnsi="Arial" w:cs="Arial"/>
                <w:sz w:val="20"/>
                <w:szCs w:val="20"/>
              </w:rPr>
              <w:t>Delivers to a</w:t>
            </w:r>
            <w:r w:rsidR="00000000" w:rsidRPr="009864DF">
              <w:rPr>
                <w:rFonts w:ascii="Arial" w:hAnsi="Arial" w:cs="Arial"/>
                <w:sz w:val="20"/>
                <w:szCs w:val="20"/>
              </w:rPr>
              <w:t xml:space="preserve"> functional, high-quality platform on time and budget</w:t>
            </w:r>
          </w:p>
        </w:tc>
        <w:tc>
          <w:tcPr>
            <w:tcW w:w="0" w:type="auto"/>
          </w:tcPr>
          <w:p w14:paraId="2CBF2344" w14:textId="77777777" w:rsidR="009A2198" w:rsidRPr="009864DF" w:rsidRDefault="00000000" w:rsidP="00341E0C">
            <w:pPr>
              <w:pStyle w:val="Compact"/>
              <w:spacing w:line="360" w:lineRule="auto"/>
              <w:jc w:val="center"/>
              <w:rPr>
                <w:rFonts w:ascii="Arial" w:hAnsi="Arial" w:cs="Arial"/>
                <w:sz w:val="20"/>
                <w:szCs w:val="20"/>
              </w:rPr>
            </w:pPr>
            <w:r w:rsidRPr="009864DF">
              <w:rPr>
                <w:rFonts w:ascii="Arial" w:hAnsi="Arial" w:cs="Arial"/>
                <w:sz w:val="20"/>
                <w:szCs w:val="20"/>
              </w:rPr>
              <w:t xml:space="preserve">Resource constraints under tight timeline; technical complexity of AI </w:t>
            </w:r>
            <w:proofErr w:type="spellStart"/>
            <w:r w:rsidRPr="009864DF">
              <w:rPr>
                <w:rFonts w:ascii="Arial" w:hAnsi="Arial" w:cs="Arial"/>
                <w:sz w:val="20"/>
                <w:szCs w:val="20"/>
              </w:rPr>
              <w:t>personalisation</w:t>
            </w:r>
            <w:proofErr w:type="spellEnd"/>
            <w:r w:rsidRPr="009864DF">
              <w:rPr>
                <w:rFonts w:ascii="Arial" w:hAnsi="Arial" w:cs="Arial"/>
                <w:sz w:val="20"/>
                <w:szCs w:val="20"/>
              </w:rPr>
              <w:t xml:space="preserve"> across markets; burnout risk</w:t>
            </w:r>
          </w:p>
        </w:tc>
      </w:tr>
      <w:tr w:rsidR="009A2198" w:rsidRPr="000B0300" w14:paraId="1D1EF167" w14:textId="77777777" w:rsidTr="009864DF">
        <w:tc>
          <w:tcPr>
            <w:tcW w:w="774" w:type="pct"/>
            <w:shd w:val="clear" w:color="auto" w:fill="FFFF00"/>
          </w:tcPr>
          <w:p w14:paraId="37A6DD09" w14:textId="77777777" w:rsidR="009A2198" w:rsidRPr="009864DF" w:rsidRDefault="00000000" w:rsidP="00341E0C">
            <w:pPr>
              <w:pStyle w:val="Compact"/>
              <w:spacing w:line="360" w:lineRule="auto"/>
              <w:jc w:val="center"/>
              <w:rPr>
                <w:rFonts w:ascii="Arial" w:hAnsi="Arial" w:cs="Arial"/>
                <w:sz w:val="20"/>
                <w:szCs w:val="20"/>
              </w:rPr>
            </w:pPr>
            <w:r w:rsidRPr="009864DF">
              <w:rPr>
                <w:rFonts w:ascii="Arial" w:hAnsi="Arial" w:cs="Arial"/>
                <w:sz w:val="20"/>
                <w:szCs w:val="20"/>
              </w:rPr>
              <w:t>Legal &amp; Compliance / DPO</w:t>
            </w:r>
          </w:p>
        </w:tc>
        <w:tc>
          <w:tcPr>
            <w:tcW w:w="0" w:type="auto"/>
          </w:tcPr>
          <w:p w14:paraId="177A67E1" w14:textId="77777777" w:rsidR="009A2198" w:rsidRPr="009864DF" w:rsidRDefault="00000000" w:rsidP="00341E0C">
            <w:pPr>
              <w:pStyle w:val="Compact"/>
              <w:spacing w:line="360" w:lineRule="auto"/>
              <w:jc w:val="center"/>
              <w:rPr>
                <w:rFonts w:ascii="Arial" w:hAnsi="Arial" w:cs="Arial"/>
                <w:sz w:val="20"/>
                <w:szCs w:val="20"/>
              </w:rPr>
            </w:pPr>
            <w:r w:rsidRPr="009864DF">
              <w:rPr>
                <w:rFonts w:ascii="Arial" w:hAnsi="Arial" w:cs="Arial"/>
                <w:sz w:val="20"/>
                <w:szCs w:val="20"/>
              </w:rPr>
              <w:t>Data protection impact assessments, consent mechanism design, regulatory submissions, AI ethics review</w:t>
            </w:r>
          </w:p>
        </w:tc>
        <w:tc>
          <w:tcPr>
            <w:tcW w:w="0" w:type="auto"/>
          </w:tcPr>
          <w:p w14:paraId="4DEFF2C3" w14:textId="77777777" w:rsidR="009A2198" w:rsidRPr="009864DF" w:rsidRDefault="00000000" w:rsidP="00341E0C">
            <w:pPr>
              <w:pStyle w:val="Compact"/>
              <w:spacing w:line="360" w:lineRule="auto"/>
              <w:jc w:val="center"/>
              <w:rPr>
                <w:rFonts w:ascii="Arial" w:hAnsi="Arial" w:cs="Arial"/>
                <w:sz w:val="20"/>
                <w:szCs w:val="20"/>
              </w:rPr>
            </w:pPr>
            <w:r w:rsidRPr="009864DF">
              <w:rPr>
                <w:rFonts w:ascii="Arial" w:hAnsi="Arial" w:cs="Arial"/>
                <w:sz w:val="20"/>
                <w:szCs w:val="20"/>
              </w:rPr>
              <w:t>Ensures legal compliance and ethical foundation; protects against fines/reputational damage</w:t>
            </w:r>
          </w:p>
        </w:tc>
        <w:tc>
          <w:tcPr>
            <w:tcW w:w="0" w:type="auto"/>
          </w:tcPr>
          <w:p w14:paraId="0940FC62" w14:textId="77777777" w:rsidR="009A2198" w:rsidRPr="009864DF" w:rsidRDefault="00000000" w:rsidP="00341E0C">
            <w:pPr>
              <w:pStyle w:val="Compact"/>
              <w:spacing w:line="360" w:lineRule="auto"/>
              <w:jc w:val="center"/>
              <w:rPr>
                <w:rFonts w:ascii="Arial" w:hAnsi="Arial" w:cs="Arial"/>
                <w:sz w:val="20"/>
                <w:szCs w:val="20"/>
              </w:rPr>
            </w:pPr>
            <w:r w:rsidRPr="009864DF">
              <w:rPr>
                <w:rFonts w:ascii="Arial" w:hAnsi="Arial" w:cs="Arial"/>
                <w:sz w:val="20"/>
                <w:szCs w:val="20"/>
              </w:rPr>
              <w:t>Navigating divergent international regulations (GDPR vs. PIPL vs. CCPA); interpreting emerging AI Act requirements under time pressure</w:t>
            </w:r>
          </w:p>
        </w:tc>
      </w:tr>
      <w:tr w:rsidR="009A2198" w:rsidRPr="000B0300" w14:paraId="628C14C5" w14:textId="77777777" w:rsidTr="009864DF">
        <w:tc>
          <w:tcPr>
            <w:tcW w:w="774" w:type="pct"/>
            <w:shd w:val="clear" w:color="auto" w:fill="FFFF00"/>
          </w:tcPr>
          <w:p w14:paraId="471FBFEE" w14:textId="77777777" w:rsidR="009A2198" w:rsidRPr="009864DF" w:rsidRDefault="00000000" w:rsidP="00341E0C">
            <w:pPr>
              <w:pStyle w:val="Compact"/>
              <w:spacing w:line="360" w:lineRule="auto"/>
              <w:jc w:val="center"/>
              <w:rPr>
                <w:rFonts w:ascii="Arial" w:hAnsi="Arial" w:cs="Arial"/>
                <w:sz w:val="20"/>
                <w:szCs w:val="20"/>
              </w:rPr>
            </w:pPr>
            <w:r w:rsidRPr="009864DF">
              <w:rPr>
                <w:rFonts w:ascii="Arial" w:hAnsi="Arial" w:cs="Arial"/>
                <w:sz w:val="20"/>
                <w:szCs w:val="20"/>
              </w:rPr>
              <w:t>Marketing &amp; CRM Teams</w:t>
            </w:r>
          </w:p>
        </w:tc>
        <w:tc>
          <w:tcPr>
            <w:tcW w:w="0" w:type="auto"/>
          </w:tcPr>
          <w:p w14:paraId="2812DA30" w14:textId="77777777" w:rsidR="009A2198" w:rsidRPr="009864DF" w:rsidRDefault="00000000" w:rsidP="00341E0C">
            <w:pPr>
              <w:pStyle w:val="Compact"/>
              <w:spacing w:line="360" w:lineRule="auto"/>
              <w:jc w:val="center"/>
              <w:rPr>
                <w:rFonts w:ascii="Arial" w:hAnsi="Arial" w:cs="Arial"/>
                <w:sz w:val="20"/>
                <w:szCs w:val="20"/>
              </w:rPr>
            </w:pPr>
            <w:r w:rsidRPr="009864DF">
              <w:rPr>
                <w:rFonts w:ascii="Arial" w:hAnsi="Arial" w:cs="Arial"/>
                <w:sz w:val="20"/>
                <w:szCs w:val="20"/>
              </w:rPr>
              <w:t>Campaign strategy, content localisation, loyalty programme integration, adoption metrics tracking</w:t>
            </w:r>
          </w:p>
        </w:tc>
        <w:tc>
          <w:tcPr>
            <w:tcW w:w="0" w:type="auto"/>
          </w:tcPr>
          <w:p w14:paraId="76493D46" w14:textId="77777777" w:rsidR="009A2198" w:rsidRPr="009864DF" w:rsidRDefault="00000000" w:rsidP="00341E0C">
            <w:pPr>
              <w:pStyle w:val="Compact"/>
              <w:spacing w:line="360" w:lineRule="auto"/>
              <w:jc w:val="center"/>
              <w:rPr>
                <w:rFonts w:ascii="Arial" w:hAnsi="Arial" w:cs="Arial"/>
                <w:sz w:val="20"/>
                <w:szCs w:val="20"/>
              </w:rPr>
            </w:pPr>
            <w:r w:rsidRPr="009864DF">
              <w:rPr>
                <w:rFonts w:ascii="Arial" w:hAnsi="Arial" w:cs="Arial"/>
                <w:sz w:val="20"/>
                <w:szCs w:val="20"/>
              </w:rPr>
              <w:t>Drives customer awareness, engagement, and measurable ROI</w:t>
            </w:r>
          </w:p>
        </w:tc>
        <w:tc>
          <w:tcPr>
            <w:tcW w:w="0" w:type="auto"/>
          </w:tcPr>
          <w:p w14:paraId="72C09E76" w14:textId="77777777" w:rsidR="009A2198" w:rsidRPr="009864DF" w:rsidRDefault="00000000" w:rsidP="00341E0C">
            <w:pPr>
              <w:pStyle w:val="Compact"/>
              <w:spacing w:line="360" w:lineRule="auto"/>
              <w:jc w:val="center"/>
              <w:rPr>
                <w:rFonts w:ascii="Arial" w:hAnsi="Arial" w:cs="Arial"/>
                <w:sz w:val="20"/>
                <w:szCs w:val="20"/>
              </w:rPr>
            </w:pPr>
            <w:r w:rsidRPr="009864DF">
              <w:rPr>
                <w:rFonts w:ascii="Arial" w:hAnsi="Arial" w:cs="Arial"/>
                <w:sz w:val="20"/>
                <w:szCs w:val="20"/>
              </w:rPr>
              <w:t>Achieving consistent brand voice and cultural relevance across markets; demonstrating clear attribution of platform impact</w:t>
            </w:r>
          </w:p>
        </w:tc>
      </w:tr>
    </w:tbl>
    <w:p w14:paraId="67C9C410" w14:textId="77777777" w:rsidR="003E49F2" w:rsidRDefault="003E49F2" w:rsidP="00341E0C">
      <w:pPr>
        <w:spacing w:line="360" w:lineRule="auto"/>
        <w:jc w:val="both"/>
        <w:rPr>
          <w:rFonts w:ascii="Arial" w:hAnsi="Arial" w:cs="Arial"/>
          <w:sz w:val="23"/>
          <w:szCs w:val="23"/>
          <w:lang w:val="en-GB"/>
        </w:rPr>
      </w:pPr>
    </w:p>
    <w:p w14:paraId="70C2DA32" w14:textId="039AE181" w:rsidR="009864DF" w:rsidRPr="009864DF" w:rsidRDefault="009864DF" w:rsidP="00341E0C">
      <w:pPr>
        <w:spacing w:line="360" w:lineRule="auto"/>
        <w:jc w:val="both"/>
        <w:rPr>
          <w:rFonts w:ascii="Arial" w:hAnsi="Arial" w:cs="Arial"/>
          <w:sz w:val="23"/>
          <w:szCs w:val="23"/>
          <w:lang w:val="en-GB"/>
        </w:rPr>
      </w:pPr>
      <w:r w:rsidRPr="009864DF">
        <w:rPr>
          <w:rFonts w:ascii="Arial" w:hAnsi="Arial" w:cs="Arial"/>
          <w:sz w:val="23"/>
          <w:szCs w:val="23"/>
          <w:lang w:val="en-GB"/>
        </w:rPr>
        <w:t xml:space="preserve">The benefits of stakeholder engagement are reciprocal. Early co-creation with high-value customers improves platform relevance while fostering ownership and advocacy, directly </w:t>
      </w:r>
      <w:r w:rsidRPr="009864DF">
        <w:rPr>
          <w:rFonts w:ascii="Arial" w:hAnsi="Arial" w:cs="Arial"/>
          <w:sz w:val="23"/>
          <w:szCs w:val="23"/>
          <w:lang w:val="en-GB"/>
        </w:rPr>
        <w:lastRenderedPageBreak/>
        <w:t>supporting adoption targets. Likewise, proactive regulator engagement can turn potential launch delays into an opportunity to demonstrate responsible AI leadership, aligning with Tesco’s sustainability commitments.</w:t>
      </w:r>
    </w:p>
    <w:p w14:paraId="7E39A1FA" w14:textId="058B8D55" w:rsidR="009864DF" w:rsidRPr="009864DF" w:rsidRDefault="009864DF" w:rsidP="00341E0C">
      <w:pPr>
        <w:spacing w:line="360" w:lineRule="auto"/>
        <w:jc w:val="both"/>
        <w:rPr>
          <w:rFonts w:ascii="Arial" w:hAnsi="Arial" w:cs="Arial"/>
          <w:sz w:val="23"/>
          <w:szCs w:val="23"/>
          <w:lang w:val="en-GB"/>
        </w:rPr>
      </w:pPr>
      <w:r w:rsidRPr="009864DF">
        <w:rPr>
          <w:rFonts w:ascii="Arial" w:hAnsi="Arial" w:cs="Arial"/>
          <w:sz w:val="23"/>
          <w:szCs w:val="23"/>
          <w:lang w:val="en-GB"/>
        </w:rPr>
        <w:t xml:space="preserve">Challenges are nonetheless substantial. The tight timeline intensifies tensions between commercial stakeholders’ preference for speed and Legal/Compliance demands for thoroughness. Cultural differences across markets may lead to divergent views of personalisation as intrusion, requiring nuanced engagement. Power imbalances—where the project team holds operational </w:t>
      </w:r>
      <w:r w:rsidRPr="009864DF">
        <w:rPr>
          <w:rFonts w:ascii="Arial" w:hAnsi="Arial" w:cs="Arial"/>
          <w:sz w:val="23"/>
          <w:szCs w:val="23"/>
          <w:lang w:val="en-GB"/>
        </w:rPr>
        <w:t>knowledge,</w:t>
      </w:r>
      <w:r w:rsidRPr="009864DF">
        <w:rPr>
          <w:rFonts w:ascii="Arial" w:hAnsi="Arial" w:cs="Arial"/>
          <w:sz w:val="23"/>
          <w:szCs w:val="23"/>
          <w:lang w:val="en-GB"/>
        </w:rPr>
        <w:t xml:space="preserve"> but regulators wield statutory authority—demand skilled facilitation to avoid dysfunctional conflic</w:t>
      </w:r>
      <w:r>
        <w:rPr>
          <w:rFonts w:ascii="Arial" w:hAnsi="Arial" w:cs="Arial"/>
          <w:sz w:val="23"/>
          <w:szCs w:val="23"/>
          <w:lang w:val="en-GB"/>
        </w:rPr>
        <w:t>t</w:t>
      </w:r>
      <w:r w:rsidRPr="009864DF">
        <w:rPr>
          <w:rFonts w:ascii="Arial" w:hAnsi="Arial" w:cs="Arial"/>
          <w:sz w:val="23"/>
          <w:szCs w:val="23"/>
          <w:lang w:val="en-GB"/>
        </w:rPr>
        <w:t>. These dynamics highlight the need for structured processes, clear communication protocols, and effective conflict resolution mechanisms, addressed in the following section.</w:t>
      </w:r>
    </w:p>
    <w:p w14:paraId="1AA96E6C" w14:textId="77777777" w:rsidR="00830D4B" w:rsidRDefault="00830D4B" w:rsidP="00341E0C">
      <w:pPr>
        <w:pStyle w:val="BodyText"/>
        <w:spacing w:line="360" w:lineRule="auto"/>
      </w:pPr>
      <w:bookmarkStart w:id="9" w:name="Xd91792767dcbbb5ce7248896207c244b56e4335"/>
      <w:bookmarkEnd w:id="8"/>
    </w:p>
    <w:p w14:paraId="798A73D0" w14:textId="780CB5DA" w:rsidR="00D230C8" w:rsidRPr="00693C84" w:rsidRDefault="00D230C8" w:rsidP="00341E0C">
      <w:pPr>
        <w:pStyle w:val="BodyText"/>
        <w:spacing w:line="360" w:lineRule="auto"/>
        <w:rPr>
          <w:rFonts w:ascii="Arial" w:hAnsi="Arial" w:cs="Arial"/>
          <w:b/>
          <w:bCs/>
          <w:sz w:val="23"/>
          <w:szCs w:val="23"/>
        </w:rPr>
      </w:pPr>
      <w:r w:rsidRPr="00693C84">
        <w:rPr>
          <w:rFonts w:ascii="Arial" w:hAnsi="Arial" w:cs="Arial"/>
          <w:b/>
          <w:bCs/>
          <w:sz w:val="23"/>
          <w:szCs w:val="23"/>
        </w:rPr>
        <w:t>Stakeholder engagement process, frameworks and conflict management</w:t>
      </w:r>
    </w:p>
    <w:p w14:paraId="75592584" w14:textId="76FDEC5A"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As Project Manager, I will lead a structured, evidence-based engagement process drawing on Bourne’s (2016) five-step Stakeholder Circle methodology, the SWANS/OWANS framework (Neely</w:t>
      </w:r>
      <w:r w:rsidR="009864DF">
        <w:rPr>
          <w:rFonts w:ascii="Arial" w:hAnsi="Arial" w:cs="Arial"/>
          <w:sz w:val="23"/>
          <w:szCs w:val="23"/>
        </w:rPr>
        <w:t>, A 2009)</w:t>
      </w:r>
      <w:r w:rsidRPr="000B0300">
        <w:rPr>
          <w:rFonts w:ascii="Arial" w:hAnsi="Arial" w:cs="Arial"/>
          <w:sz w:val="23"/>
          <w:szCs w:val="23"/>
        </w:rPr>
        <w:t>, the 4Cs model, and supporting tools including a Communication Plan and RACI Matrix. This section critically explains the process, evaluates methods, and addresses conflict management.</w:t>
      </w:r>
    </w:p>
    <w:p w14:paraId="77E0A4F9" w14:textId="7381D06D" w:rsidR="003E49F2" w:rsidRPr="003E49F2" w:rsidRDefault="003E49F2" w:rsidP="00341E0C">
      <w:pPr>
        <w:pStyle w:val="BodyText"/>
        <w:spacing w:line="360" w:lineRule="auto"/>
        <w:rPr>
          <w:rFonts w:ascii="Arial" w:hAnsi="Arial" w:cs="Arial"/>
          <w:b/>
          <w:bCs/>
          <w:sz w:val="23"/>
          <w:szCs w:val="23"/>
        </w:rPr>
      </w:pPr>
      <w:bookmarkStart w:id="10" w:name="overall-engagement-process"/>
      <w:r w:rsidRPr="003E49F2">
        <w:rPr>
          <w:rFonts w:ascii="Arial" w:hAnsi="Arial" w:cs="Arial"/>
          <w:b/>
          <w:bCs/>
          <w:sz w:val="23"/>
          <w:szCs w:val="23"/>
        </w:rPr>
        <w:t>Overall Engagement process</w:t>
      </w:r>
    </w:p>
    <w:p w14:paraId="623122E5" w14:textId="123757C2"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 xml:space="preserve">The process follows five iterative stages, adapted </w:t>
      </w:r>
      <w:r w:rsidR="00DE39CF" w:rsidRPr="000B0300">
        <w:rPr>
          <w:rFonts w:ascii="Arial" w:hAnsi="Arial" w:cs="Arial"/>
          <w:sz w:val="23"/>
          <w:szCs w:val="23"/>
        </w:rPr>
        <w:t>to</w:t>
      </w:r>
      <w:r w:rsidRPr="000B0300">
        <w:rPr>
          <w:rFonts w:ascii="Arial" w:hAnsi="Arial" w:cs="Arial"/>
          <w:sz w:val="23"/>
          <w:szCs w:val="23"/>
        </w:rPr>
        <w:t xml:space="preserve"> the global, time-bound nature of ConnectPlus:</w:t>
      </w:r>
    </w:p>
    <w:p w14:paraId="12149106" w14:textId="7EB0F341" w:rsidR="009A2198" w:rsidRPr="000B0300" w:rsidRDefault="00000000" w:rsidP="00341E0C">
      <w:pPr>
        <w:pStyle w:val="Compact"/>
        <w:numPr>
          <w:ilvl w:val="0"/>
          <w:numId w:val="4"/>
        </w:numPr>
        <w:spacing w:line="360" w:lineRule="auto"/>
        <w:jc w:val="both"/>
        <w:rPr>
          <w:rFonts w:ascii="Arial" w:hAnsi="Arial" w:cs="Arial"/>
          <w:sz w:val="23"/>
          <w:szCs w:val="23"/>
        </w:rPr>
      </w:pPr>
      <w:r w:rsidRPr="000B0300">
        <w:rPr>
          <w:rFonts w:ascii="Arial" w:hAnsi="Arial" w:cs="Arial"/>
          <w:b/>
          <w:bCs/>
          <w:sz w:val="23"/>
          <w:szCs w:val="23"/>
        </w:rPr>
        <w:t>Identify</w:t>
      </w:r>
      <w:r w:rsidRPr="000B0300">
        <w:rPr>
          <w:rFonts w:ascii="Arial" w:hAnsi="Arial" w:cs="Arial"/>
          <w:sz w:val="23"/>
          <w:szCs w:val="23"/>
        </w:rPr>
        <w:t xml:space="preserve"> – Comprehensive stakeholder mapping, including mutuality analysis: “How is this stakeholder important to the project?” and “What does this stakeholder require from success or failure?”</w:t>
      </w:r>
    </w:p>
    <w:p w14:paraId="3A0C40E3" w14:textId="77777777" w:rsidR="009A2198" w:rsidRPr="000B0300" w:rsidRDefault="00000000" w:rsidP="00341E0C">
      <w:pPr>
        <w:pStyle w:val="Compact"/>
        <w:numPr>
          <w:ilvl w:val="0"/>
          <w:numId w:val="4"/>
        </w:numPr>
        <w:spacing w:line="360" w:lineRule="auto"/>
        <w:jc w:val="both"/>
        <w:rPr>
          <w:rFonts w:ascii="Arial" w:hAnsi="Arial" w:cs="Arial"/>
          <w:sz w:val="23"/>
          <w:szCs w:val="23"/>
        </w:rPr>
      </w:pPr>
      <w:r w:rsidRPr="000B0300">
        <w:rPr>
          <w:rFonts w:ascii="Arial" w:hAnsi="Arial" w:cs="Arial"/>
          <w:b/>
          <w:bCs/>
          <w:sz w:val="23"/>
          <w:szCs w:val="23"/>
        </w:rPr>
        <w:t>Prioritise</w:t>
      </w:r>
      <w:r w:rsidRPr="000B0300">
        <w:rPr>
          <w:rFonts w:ascii="Arial" w:hAnsi="Arial" w:cs="Arial"/>
          <w:sz w:val="23"/>
          <w:szCs w:val="23"/>
        </w:rPr>
        <w:t xml:space="preserve"> – Application of Power/Interest and Salience models to focus resources on critical and high-priority stakeholders.</w:t>
      </w:r>
    </w:p>
    <w:p w14:paraId="032216AA" w14:textId="77777777" w:rsidR="009A2198" w:rsidRPr="000B0300" w:rsidRDefault="00000000" w:rsidP="00341E0C">
      <w:pPr>
        <w:pStyle w:val="Compact"/>
        <w:numPr>
          <w:ilvl w:val="0"/>
          <w:numId w:val="4"/>
        </w:numPr>
        <w:spacing w:line="360" w:lineRule="auto"/>
        <w:jc w:val="both"/>
        <w:rPr>
          <w:rFonts w:ascii="Arial" w:hAnsi="Arial" w:cs="Arial"/>
          <w:sz w:val="23"/>
          <w:szCs w:val="23"/>
        </w:rPr>
      </w:pPr>
      <w:r w:rsidRPr="000B0300">
        <w:rPr>
          <w:rFonts w:ascii="Arial" w:hAnsi="Arial" w:cs="Arial"/>
          <w:b/>
          <w:bCs/>
          <w:sz w:val="23"/>
          <w:szCs w:val="23"/>
        </w:rPr>
        <w:t>Visualise</w:t>
      </w:r>
      <w:r w:rsidRPr="000B0300">
        <w:rPr>
          <w:rFonts w:ascii="Arial" w:hAnsi="Arial" w:cs="Arial"/>
          <w:sz w:val="23"/>
          <w:szCs w:val="23"/>
        </w:rPr>
        <w:t xml:space="preserve"> – Creation of stakeholder maps and engagement profiles (supporting transparency and team alignment).</w:t>
      </w:r>
    </w:p>
    <w:p w14:paraId="4DCC3533" w14:textId="77777777" w:rsidR="009A2198" w:rsidRPr="000B0300" w:rsidRDefault="00000000" w:rsidP="00341E0C">
      <w:pPr>
        <w:pStyle w:val="Compact"/>
        <w:numPr>
          <w:ilvl w:val="0"/>
          <w:numId w:val="4"/>
        </w:numPr>
        <w:spacing w:line="360" w:lineRule="auto"/>
        <w:jc w:val="both"/>
        <w:rPr>
          <w:rFonts w:ascii="Arial" w:hAnsi="Arial" w:cs="Arial"/>
          <w:sz w:val="23"/>
          <w:szCs w:val="23"/>
        </w:rPr>
      </w:pPr>
      <w:r w:rsidRPr="000B0300">
        <w:rPr>
          <w:rFonts w:ascii="Arial" w:hAnsi="Arial" w:cs="Arial"/>
          <w:b/>
          <w:bCs/>
          <w:sz w:val="23"/>
          <w:szCs w:val="23"/>
        </w:rPr>
        <w:lastRenderedPageBreak/>
        <w:t>Engage</w:t>
      </w:r>
      <w:r w:rsidRPr="000B0300">
        <w:rPr>
          <w:rFonts w:ascii="Arial" w:hAnsi="Arial" w:cs="Arial"/>
          <w:sz w:val="23"/>
          <w:szCs w:val="23"/>
        </w:rPr>
        <w:t xml:space="preserve"> – Implementation of tailored strategies via communication, consultation, collaboration, and commitment-building activities.</w:t>
      </w:r>
    </w:p>
    <w:p w14:paraId="2E21BD46" w14:textId="77777777" w:rsidR="009A2198" w:rsidRPr="000B0300" w:rsidRDefault="00000000" w:rsidP="00341E0C">
      <w:pPr>
        <w:pStyle w:val="Compact"/>
        <w:numPr>
          <w:ilvl w:val="0"/>
          <w:numId w:val="4"/>
        </w:numPr>
        <w:spacing w:line="360" w:lineRule="auto"/>
        <w:jc w:val="both"/>
        <w:rPr>
          <w:rFonts w:ascii="Arial" w:hAnsi="Arial" w:cs="Arial"/>
          <w:sz w:val="23"/>
          <w:szCs w:val="23"/>
        </w:rPr>
      </w:pPr>
      <w:r w:rsidRPr="000B0300">
        <w:rPr>
          <w:rFonts w:ascii="Arial" w:hAnsi="Arial" w:cs="Arial"/>
          <w:b/>
          <w:bCs/>
          <w:sz w:val="23"/>
          <w:szCs w:val="23"/>
        </w:rPr>
        <w:t>Monitor and Maintain</w:t>
      </w:r>
      <w:r w:rsidRPr="000B0300">
        <w:rPr>
          <w:rFonts w:ascii="Arial" w:hAnsi="Arial" w:cs="Arial"/>
          <w:sz w:val="23"/>
          <w:szCs w:val="23"/>
        </w:rPr>
        <w:t xml:space="preserve"> – Regular reviews (every three months or at phase gates) to update the stakeholder community as dynamics evolve (Bourne, 2016).</w:t>
      </w:r>
    </w:p>
    <w:p w14:paraId="77B4B5E9" w14:textId="77777777" w:rsidR="003E49F2"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This cyclical approach recognises that stakeholder environments are dynamic; new actors may emerge (e.g., vocal customer groups on social media), and existing stakeholders’ positions may shift (e.g., a regulator moving from “keep satisfied” to “key player” following a policy change).</w:t>
      </w:r>
      <w:bookmarkStart w:id="11" w:name="X68656a36fb9662c4549f82863f0084e46fabba3"/>
      <w:bookmarkEnd w:id="10"/>
    </w:p>
    <w:p w14:paraId="0A2AB1B4" w14:textId="77777777" w:rsidR="003E49F2" w:rsidRDefault="003E49F2" w:rsidP="00341E0C">
      <w:pPr>
        <w:pStyle w:val="FirstParagraph"/>
        <w:spacing w:line="360" w:lineRule="auto"/>
        <w:jc w:val="both"/>
        <w:rPr>
          <w:rFonts w:ascii="Arial" w:hAnsi="Arial" w:cs="Arial"/>
          <w:sz w:val="23"/>
          <w:szCs w:val="23"/>
        </w:rPr>
      </w:pPr>
    </w:p>
    <w:p w14:paraId="6B03EECF" w14:textId="77777777" w:rsidR="003E49F2" w:rsidRDefault="003E49F2" w:rsidP="00341E0C">
      <w:pPr>
        <w:pStyle w:val="FirstParagraph"/>
        <w:spacing w:line="360" w:lineRule="auto"/>
        <w:jc w:val="center"/>
        <w:rPr>
          <w:rFonts w:ascii="Arial" w:hAnsi="Arial" w:cs="Arial"/>
          <w:sz w:val="23"/>
          <w:szCs w:val="23"/>
        </w:rPr>
      </w:pPr>
    </w:p>
    <w:p w14:paraId="0100179E" w14:textId="77777777" w:rsidR="003E49F2" w:rsidRDefault="003E49F2" w:rsidP="00341E0C">
      <w:pPr>
        <w:pStyle w:val="FirstParagraph"/>
        <w:spacing w:line="360" w:lineRule="auto"/>
        <w:jc w:val="center"/>
        <w:rPr>
          <w:rFonts w:ascii="Arial" w:hAnsi="Arial" w:cs="Arial"/>
          <w:sz w:val="23"/>
          <w:szCs w:val="23"/>
        </w:rPr>
      </w:pPr>
    </w:p>
    <w:p w14:paraId="5DAD14D6" w14:textId="77777777" w:rsidR="003E49F2" w:rsidRDefault="003E49F2" w:rsidP="00341E0C">
      <w:pPr>
        <w:pStyle w:val="FirstParagraph"/>
        <w:spacing w:line="360" w:lineRule="auto"/>
        <w:jc w:val="center"/>
        <w:rPr>
          <w:rFonts w:ascii="Arial" w:hAnsi="Arial" w:cs="Arial"/>
          <w:sz w:val="23"/>
          <w:szCs w:val="23"/>
        </w:rPr>
      </w:pPr>
    </w:p>
    <w:p w14:paraId="67132C62" w14:textId="77777777" w:rsidR="003E49F2" w:rsidRDefault="003E49F2" w:rsidP="00341E0C">
      <w:pPr>
        <w:pStyle w:val="FirstParagraph"/>
        <w:spacing w:line="360" w:lineRule="auto"/>
        <w:jc w:val="center"/>
        <w:rPr>
          <w:rFonts w:ascii="Arial" w:hAnsi="Arial" w:cs="Arial"/>
          <w:sz w:val="23"/>
          <w:szCs w:val="23"/>
        </w:rPr>
      </w:pPr>
    </w:p>
    <w:p w14:paraId="25A03F5C" w14:textId="77777777" w:rsidR="00693C84" w:rsidRDefault="00693C84" w:rsidP="00341E0C">
      <w:pPr>
        <w:pStyle w:val="FirstParagraph"/>
        <w:spacing w:line="360" w:lineRule="auto"/>
        <w:jc w:val="center"/>
        <w:rPr>
          <w:rFonts w:ascii="Arial" w:hAnsi="Arial" w:cs="Arial"/>
          <w:b/>
          <w:bCs/>
          <w:sz w:val="23"/>
          <w:szCs w:val="23"/>
        </w:rPr>
      </w:pPr>
    </w:p>
    <w:p w14:paraId="423F0A87" w14:textId="77777777" w:rsidR="00693C84" w:rsidRDefault="00693C84" w:rsidP="00341E0C">
      <w:pPr>
        <w:pStyle w:val="FirstParagraph"/>
        <w:spacing w:line="360" w:lineRule="auto"/>
        <w:jc w:val="center"/>
        <w:rPr>
          <w:rFonts w:ascii="Arial" w:hAnsi="Arial" w:cs="Arial"/>
          <w:b/>
          <w:bCs/>
          <w:sz w:val="23"/>
          <w:szCs w:val="23"/>
        </w:rPr>
      </w:pPr>
    </w:p>
    <w:p w14:paraId="6572F219" w14:textId="77777777" w:rsidR="00693C84" w:rsidRDefault="00693C84" w:rsidP="00341E0C">
      <w:pPr>
        <w:pStyle w:val="FirstParagraph"/>
        <w:spacing w:line="360" w:lineRule="auto"/>
        <w:jc w:val="center"/>
        <w:rPr>
          <w:rFonts w:ascii="Arial" w:hAnsi="Arial" w:cs="Arial"/>
          <w:b/>
          <w:bCs/>
          <w:sz w:val="23"/>
          <w:szCs w:val="23"/>
        </w:rPr>
      </w:pPr>
    </w:p>
    <w:p w14:paraId="3D903CBE" w14:textId="77777777" w:rsidR="008E10FF" w:rsidRDefault="008E10FF" w:rsidP="00341E0C">
      <w:pPr>
        <w:pStyle w:val="FirstParagraph"/>
        <w:spacing w:line="360" w:lineRule="auto"/>
        <w:rPr>
          <w:rFonts w:ascii="Arial" w:hAnsi="Arial" w:cs="Arial"/>
          <w:b/>
          <w:bCs/>
          <w:sz w:val="23"/>
          <w:szCs w:val="23"/>
        </w:rPr>
      </w:pPr>
    </w:p>
    <w:p w14:paraId="2FB46F4E" w14:textId="77777777" w:rsidR="008E10FF" w:rsidRDefault="008E10FF" w:rsidP="00341E0C">
      <w:pPr>
        <w:pStyle w:val="FirstParagraph"/>
        <w:spacing w:line="360" w:lineRule="auto"/>
        <w:rPr>
          <w:rFonts w:ascii="Arial" w:hAnsi="Arial" w:cs="Arial"/>
          <w:b/>
          <w:bCs/>
          <w:sz w:val="23"/>
          <w:szCs w:val="23"/>
        </w:rPr>
      </w:pPr>
    </w:p>
    <w:p w14:paraId="1357162D" w14:textId="77777777" w:rsidR="008E10FF" w:rsidRDefault="008E10FF" w:rsidP="00341E0C">
      <w:pPr>
        <w:pStyle w:val="FirstParagraph"/>
        <w:spacing w:line="360" w:lineRule="auto"/>
        <w:rPr>
          <w:rFonts w:ascii="Arial" w:hAnsi="Arial" w:cs="Arial"/>
          <w:b/>
          <w:bCs/>
          <w:sz w:val="23"/>
          <w:szCs w:val="23"/>
        </w:rPr>
      </w:pPr>
    </w:p>
    <w:p w14:paraId="3C3899F1" w14:textId="77777777" w:rsidR="008E10FF" w:rsidRDefault="008E10FF" w:rsidP="00341E0C">
      <w:pPr>
        <w:pStyle w:val="FirstParagraph"/>
        <w:spacing w:line="360" w:lineRule="auto"/>
        <w:rPr>
          <w:rFonts w:ascii="Arial" w:hAnsi="Arial" w:cs="Arial"/>
          <w:b/>
          <w:bCs/>
          <w:sz w:val="23"/>
          <w:szCs w:val="23"/>
        </w:rPr>
      </w:pPr>
    </w:p>
    <w:p w14:paraId="76BB839A" w14:textId="77777777" w:rsidR="008E10FF" w:rsidRDefault="008E10FF" w:rsidP="00341E0C">
      <w:pPr>
        <w:pStyle w:val="FirstParagraph"/>
        <w:spacing w:line="360" w:lineRule="auto"/>
        <w:rPr>
          <w:rFonts w:ascii="Arial" w:hAnsi="Arial" w:cs="Arial"/>
          <w:b/>
          <w:bCs/>
          <w:sz w:val="23"/>
          <w:szCs w:val="23"/>
        </w:rPr>
      </w:pPr>
    </w:p>
    <w:p w14:paraId="3992117B" w14:textId="77777777" w:rsidR="008E10FF" w:rsidRDefault="008E10FF" w:rsidP="00341E0C">
      <w:pPr>
        <w:pStyle w:val="FirstParagraph"/>
        <w:spacing w:line="360" w:lineRule="auto"/>
        <w:rPr>
          <w:rFonts w:ascii="Arial" w:hAnsi="Arial" w:cs="Arial"/>
          <w:b/>
          <w:bCs/>
          <w:sz w:val="23"/>
          <w:szCs w:val="23"/>
        </w:rPr>
      </w:pPr>
    </w:p>
    <w:p w14:paraId="535C07FF" w14:textId="77777777" w:rsidR="008E10FF" w:rsidRDefault="008E10FF" w:rsidP="00341E0C">
      <w:pPr>
        <w:pStyle w:val="FirstParagraph"/>
        <w:spacing w:line="360" w:lineRule="auto"/>
        <w:rPr>
          <w:rFonts w:ascii="Arial" w:hAnsi="Arial" w:cs="Arial"/>
          <w:b/>
          <w:bCs/>
          <w:sz w:val="23"/>
          <w:szCs w:val="23"/>
        </w:rPr>
      </w:pPr>
    </w:p>
    <w:p w14:paraId="317DA634" w14:textId="77777777" w:rsidR="008E10FF" w:rsidRDefault="008E10FF" w:rsidP="00341E0C">
      <w:pPr>
        <w:pStyle w:val="FirstParagraph"/>
        <w:spacing w:line="360" w:lineRule="auto"/>
        <w:rPr>
          <w:rFonts w:ascii="Arial" w:hAnsi="Arial" w:cs="Arial"/>
          <w:b/>
          <w:bCs/>
          <w:sz w:val="23"/>
          <w:szCs w:val="23"/>
        </w:rPr>
      </w:pPr>
    </w:p>
    <w:p w14:paraId="148714DE" w14:textId="0CABAFA3" w:rsidR="003E49F2" w:rsidRDefault="003E49F2" w:rsidP="00341E0C">
      <w:pPr>
        <w:pStyle w:val="FirstParagraph"/>
        <w:spacing w:line="360" w:lineRule="auto"/>
        <w:rPr>
          <w:rFonts w:ascii="Arial" w:hAnsi="Arial" w:cs="Arial"/>
          <w:b/>
          <w:bCs/>
          <w:sz w:val="23"/>
          <w:szCs w:val="23"/>
        </w:rPr>
      </w:pPr>
      <w:r w:rsidRPr="003E49F2">
        <w:rPr>
          <w:rFonts w:ascii="Arial" w:hAnsi="Arial" w:cs="Arial"/>
          <w:b/>
          <w:bCs/>
          <w:sz w:val="23"/>
          <w:szCs w:val="23"/>
        </w:rPr>
        <w:lastRenderedPageBreak/>
        <w:t>Tailored Engagement using SWANS/OWANS and the 4C’s Model</w:t>
      </w:r>
    </w:p>
    <w:p w14:paraId="1EE99F32" w14:textId="4B08B1D3"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For priority (definitive and dominant) stakeholders, the SWANS/OWANS framework provides depth by articulating mutual wants and needs. Examples:</w:t>
      </w:r>
    </w:p>
    <w:p w14:paraId="038CFC5D" w14:textId="77777777" w:rsidR="009A2198" w:rsidRPr="000B0300" w:rsidRDefault="00000000" w:rsidP="00341E0C">
      <w:pPr>
        <w:pStyle w:val="Compact"/>
        <w:numPr>
          <w:ilvl w:val="0"/>
          <w:numId w:val="5"/>
        </w:numPr>
        <w:spacing w:line="360" w:lineRule="auto"/>
        <w:jc w:val="both"/>
        <w:rPr>
          <w:rFonts w:ascii="Arial" w:hAnsi="Arial" w:cs="Arial"/>
          <w:sz w:val="23"/>
          <w:szCs w:val="23"/>
        </w:rPr>
      </w:pPr>
      <w:r w:rsidRPr="000B0300">
        <w:rPr>
          <w:rFonts w:ascii="Arial" w:hAnsi="Arial" w:cs="Arial"/>
          <w:b/>
          <w:bCs/>
          <w:sz w:val="23"/>
          <w:szCs w:val="23"/>
        </w:rPr>
        <w:t>High-Value Customers (SWANS)</w:t>
      </w:r>
      <w:r w:rsidRPr="000B0300">
        <w:rPr>
          <w:rFonts w:ascii="Arial" w:hAnsi="Arial" w:cs="Arial"/>
          <w:sz w:val="23"/>
          <w:szCs w:val="23"/>
        </w:rPr>
        <w:t xml:space="preserve">: Want seamless, relevant rewards and personalised experiences without feeling surveilled; need transparent data use and easy opt-out mechanisms. </w:t>
      </w:r>
      <w:r w:rsidRPr="000B0300">
        <w:rPr>
          <w:rFonts w:ascii="Arial" w:hAnsi="Arial" w:cs="Arial"/>
          <w:b/>
          <w:bCs/>
          <w:sz w:val="23"/>
          <w:szCs w:val="23"/>
        </w:rPr>
        <w:t>OWANS (Organisation’s wants from them)</w:t>
      </w:r>
      <w:r w:rsidRPr="000B0300">
        <w:rPr>
          <w:rFonts w:ascii="Arial" w:hAnsi="Arial" w:cs="Arial"/>
          <w:sz w:val="23"/>
          <w:szCs w:val="23"/>
        </w:rPr>
        <w:t>: Sustained loyalty, constructive feedback, and advocacy to drive organic growth.</w:t>
      </w:r>
    </w:p>
    <w:p w14:paraId="52BA1BEE" w14:textId="77777777" w:rsidR="009A2198" w:rsidRPr="000B0300" w:rsidRDefault="00000000" w:rsidP="00341E0C">
      <w:pPr>
        <w:pStyle w:val="Compact"/>
        <w:numPr>
          <w:ilvl w:val="0"/>
          <w:numId w:val="5"/>
        </w:numPr>
        <w:spacing w:line="360" w:lineRule="auto"/>
        <w:jc w:val="both"/>
        <w:rPr>
          <w:rFonts w:ascii="Arial" w:hAnsi="Arial" w:cs="Arial"/>
          <w:sz w:val="23"/>
          <w:szCs w:val="23"/>
        </w:rPr>
      </w:pPr>
      <w:r w:rsidRPr="000B0300">
        <w:rPr>
          <w:rFonts w:ascii="Arial" w:hAnsi="Arial" w:cs="Arial"/>
          <w:b/>
          <w:bCs/>
          <w:sz w:val="23"/>
          <w:szCs w:val="23"/>
        </w:rPr>
        <w:t>Legal &amp; Compliance / DPO (SWANS)</w:t>
      </w:r>
      <w:r w:rsidRPr="000B0300">
        <w:rPr>
          <w:rFonts w:ascii="Arial" w:hAnsi="Arial" w:cs="Arial"/>
          <w:sz w:val="23"/>
          <w:szCs w:val="23"/>
        </w:rPr>
        <w:t xml:space="preserve">: Want early involvement in design decisions affecting data flows and clear documentation of risk mitigations; need organisational commitment to ethical AI principles. </w:t>
      </w:r>
      <w:r w:rsidRPr="000B0300">
        <w:rPr>
          <w:rFonts w:ascii="Arial" w:hAnsi="Arial" w:cs="Arial"/>
          <w:b/>
          <w:bCs/>
          <w:sz w:val="23"/>
          <w:szCs w:val="23"/>
        </w:rPr>
        <w:t>OWANS</w:t>
      </w:r>
      <w:r w:rsidRPr="000B0300">
        <w:rPr>
          <w:rFonts w:ascii="Arial" w:hAnsi="Arial" w:cs="Arial"/>
          <w:sz w:val="23"/>
          <w:szCs w:val="23"/>
        </w:rPr>
        <w:t>: Timely compliance sign-off, avoidance of regulatory breaches, and contribution to a defensible audit trail.</w:t>
      </w:r>
    </w:p>
    <w:p w14:paraId="48CE5061" w14:textId="77777777" w:rsidR="009A2198" w:rsidRPr="000B0300" w:rsidRDefault="00000000" w:rsidP="00341E0C">
      <w:pPr>
        <w:pStyle w:val="Compact"/>
        <w:numPr>
          <w:ilvl w:val="0"/>
          <w:numId w:val="5"/>
        </w:numPr>
        <w:spacing w:line="360" w:lineRule="auto"/>
        <w:jc w:val="both"/>
        <w:rPr>
          <w:rFonts w:ascii="Arial" w:hAnsi="Arial" w:cs="Arial"/>
          <w:sz w:val="23"/>
          <w:szCs w:val="23"/>
        </w:rPr>
      </w:pPr>
      <w:r w:rsidRPr="000B0300">
        <w:rPr>
          <w:rFonts w:ascii="Arial" w:hAnsi="Arial" w:cs="Arial"/>
          <w:b/>
          <w:bCs/>
          <w:sz w:val="23"/>
          <w:szCs w:val="23"/>
        </w:rPr>
        <w:t>Technology Partners (SWANS)</w:t>
      </w:r>
      <w:r w:rsidRPr="000B0300">
        <w:rPr>
          <w:rFonts w:ascii="Arial" w:hAnsi="Arial" w:cs="Arial"/>
          <w:sz w:val="23"/>
          <w:szCs w:val="23"/>
        </w:rPr>
        <w:t xml:space="preserve">: Want clear scope, fair commercial terms, and collaborative problem-solving; need access to Tesco’s extensive data environment (including Clubcard) and senior decision-makers. </w:t>
      </w:r>
      <w:r w:rsidRPr="000B0300">
        <w:rPr>
          <w:rFonts w:ascii="Arial" w:hAnsi="Arial" w:cs="Arial"/>
          <w:b/>
          <w:bCs/>
          <w:sz w:val="23"/>
          <w:szCs w:val="23"/>
        </w:rPr>
        <w:t>OWANS</w:t>
      </w:r>
      <w:r w:rsidRPr="000B0300">
        <w:rPr>
          <w:rFonts w:ascii="Arial" w:hAnsi="Arial" w:cs="Arial"/>
          <w:sz w:val="23"/>
          <w:szCs w:val="23"/>
        </w:rPr>
        <w:t>: High-quality, scalable delivery; knowledge transfer; and long-term partnership potential for future innovations.</w:t>
      </w:r>
    </w:p>
    <w:p w14:paraId="2DEE67B1" w14:textId="77777777"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These insights shape engagement tactics. The 4Cs model (Communication, Collaboration, Consultation, Commitment) operationalises the approach:</w:t>
      </w:r>
    </w:p>
    <w:p w14:paraId="2E0CAB99" w14:textId="77777777" w:rsidR="009A2198" w:rsidRPr="000B0300" w:rsidRDefault="00000000" w:rsidP="00341E0C">
      <w:pPr>
        <w:pStyle w:val="Compact"/>
        <w:numPr>
          <w:ilvl w:val="0"/>
          <w:numId w:val="6"/>
        </w:numPr>
        <w:spacing w:line="360" w:lineRule="auto"/>
        <w:jc w:val="both"/>
        <w:rPr>
          <w:rFonts w:ascii="Arial" w:hAnsi="Arial" w:cs="Arial"/>
          <w:sz w:val="23"/>
          <w:szCs w:val="23"/>
        </w:rPr>
      </w:pPr>
      <w:r w:rsidRPr="000B0300">
        <w:rPr>
          <w:rFonts w:ascii="Arial" w:hAnsi="Arial" w:cs="Arial"/>
          <w:b/>
          <w:bCs/>
          <w:sz w:val="23"/>
          <w:szCs w:val="23"/>
        </w:rPr>
        <w:t>Communication</w:t>
      </w:r>
      <w:r w:rsidRPr="000B0300">
        <w:rPr>
          <w:rFonts w:ascii="Arial" w:hAnsi="Arial" w:cs="Arial"/>
          <w:sz w:val="23"/>
          <w:szCs w:val="23"/>
        </w:rPr>
        <w:t>: One-way and two-way information exchange tailored to audience (see Communication Plan below).</w:t>
      </w:r>
    </w:p>
    <w:p w14:paraId="371FCC32" w14:textId="77777777" w:rsidR="009A2198" w:rsidRPr="000B0300" w:rsidRDefault="00000000" w:rsidP="00341E0C">
      <w:pPr>
        <w:pStyle w:val="Compact"/>
        <w:numPr>
          <w:ilvl w:val="0"/>
          <w:numId w:val="6"/>
        </w:numPr>
        <w:spacing w:line="360" w:lineRule="auto"/>
        <w:jc w:val="both"/>
        <w:rPr>
          <w:rFonts w:ascii="Arial" w:hAnsi="Arial" w:cs="Arial"/>
          <w:sz w:val="23"/>
          <w:szCs w:val="23"/>
        </w:rPr>
      </w:pPr>
      <w:r w:rsidRPr="000B0300">
        <w:rPr>
          <w:rFonts w:ascii="Arial" w:hAnsi="Arial" w:cs="Arial"/>
          <w:b/>
          <w:bCs/>
          <w:sz w:val="23"/>
          <w:szCs w:val="23"/>
        </w:rPr>
        <w:t>Collaboration</w:t>
      </w:r>
      <w:r w:rsidRPr="000B0300">
        <w:rPr>
          <w:rFonts w:ascii="Arial" w:hAnsi="Arial" w:cs="Arial"/>
          <w:sz w:val="23"/>
          <w:szCs w:val="23"/>
        </w:rPr>
        <w:t>: Joint working, e.g., co-design workshops with Marketing and customer representatives; integrated project teams with Technology Partners.</w:t>
      </w:r>
    </w:p>
    <w:p w14:paraId="59E97C2B" w14:textId="77777777" w:rsidR="009A2198" w:rsidRPr="000B0300" w:rsidRDefault="00000000" w:rsidP="00341E0C">
      <w:pPr>
        <w:pStyle w:val="Compact"/>
        <w:numPr>
          <w:ilvl w:val="0"/>
          <w:numId w:val="6"/>
        </w:numPr>
        <w:spacing w:line="360" w:lineRule="auto"/>
        <w:jc w:val="both"/>
        <w:rPr>
          <w:rFonts w:ascii="Arial" w:hAnsi="Arial" w:cs="Arial"/>
          <w:sz w:val="23"/>
          <w:szCs w:val="23"/>
        </w:rPr>
      </w:pPr>
      <w:r w:rsidRPr="000B0300">
        <w:rPr>
          <w:rFonts w:ascii="Arial" w:hAnsi="Arial" w:cs="Arial"/>
          <w:b/>
          <w:bCs/>
          <w:sz w:val="23"/>
          <w:szCs w:val="23"/>
        </w:rPr>
        <w:t>Consultation</w:t>
      </w:r>
      <w:r w:rsidRPr="000B0300">
        <w:rPr>
          <w:rFonts w:ascii="Arial" w:hAnsi="Arial" w:cs="Arial"/>
          <w:sz w:val="23"/>
          <w:szCs w:val="23"/>
        </w:rPr>
        <w:t>: Structured feedback mechanisms, such as customer advisory panels, regulatory pre-submission meetings, and internal steering group reviews.</w:t>
      </w:r>
    </w:p>
    <w:p w14:paraId="6D4D6DF0" w14:textId="77777777" w:rsidR="009A2198" w:rsidRPr="000B0300" w:rsidRDefault="00000000" w:rsidP="00341E0C">
      <w:pPr>
        <w:pStyle w:val="Compact"/>
        <w:numPr>
          <w:ilvl w:val="0"/>
          <w:numId w:val="6"/>
        </w:numPr>
        <w:spacing w:line="360" w:lineRule="auto"/>
        <w:jc w:val="both"/>
        <w:rPr>
          <w:rFonts w:ascii="Arial" w:hAnsi="Arial" w:cs="Arial"/>
          <w:sz w:val="23"/>
          <w:szCs w:val="23"/>
        </w:rPr>
      </w:pPr>
      <w:r w:rsidRPr="000B0300">
        <w:rPr>
          <w:rFonts w:ascii="Arial" w:hAnsi="Arial" w:cs="Arial"/>
          <w:b/>
          <w:bCs/>
          <w:sz w:val="23"/>
          <w:szCs w:val="23"/>
        </w:rPr>
        <w:t>Commitment</w:t>
      </w:r>
      <w:r w:rsidRPr="000B0300">
        <w:rPr>
          <w:rFonts w:ascii="Arial" w:hAnsi="Arial" w:cs="Arial"/>
          <w:sz w:val="23"/>
          <w:szCs w:val="23"/>
        </w:rPr>
        <w:t>: Securing explicit buy-in through signed project charters (for internal teams), service level agreements (with partners), and public pledges on ethical AI (for external credibility).</w:t>
      </w:r>
    </w:p>
    <w:p w14:paraId="1AB85FEB" w14:textId="77777777" w:rsidR="003E49F2" w:rsidRDefault="003E49F2" w:rsidP="00341E0C">
      <w:pPr>
        <w:pStyle w:val="BodyText"/>
        <w:spacing w:line="360" w:lineRule="auto"/>
        <w:jc w:val="center"/>
        <w:rPr>
          <w:rFonts w:ascii="Arial" w:hAnsi="Arial" w:cs="Arial"/>
          <w:b/>
          <w:bCs/>
          <w:sz w:val="23"/>
          <w:szCs w:val="23"/>
        </w:rPr>
      </w:pPr>
      <w:bookmarkStart w:id="12" w:name="communication-plan"/>
      <w:bookmarkEnd w:id="11"/>
    </w:p>
    <w:p w14:paraId="4C7853E7" w14:textId="77777777" w:rsidR="00B0634E" w:rsidRDefault="00B0634E" w:rsidP="00341E0C">
      <w:pPr>
        <w:pStyle w:val="BodyText"/>
        <w:spacing w:line="360" w:lineRule="auto"/>
        <w:jc w:val="center"/>
        <w:rPr>
          <w:rFonts w:ascii="Arial" w:hAnsi="Arial" w:cs="Arial"/>
          <w:b/>
          <w:bCs/>
          <w:sz w:val="23"/>
          <w:szCs w:val="23"/>
        </w:rPr>
      </w:pPr>
    </w:p>
    <w:p w14:paraId="01FA2C76" w14:textId="5329D621" w:rsidR="00B0634E" w:rsidRPr="003E49F2" w:rsidRDefault="003E49F2" w:rsidP="00341E0C">
      <w:pPr>
        <w:pStyle w:val="BodyText"/>
        <w:spacing w:line="360" w:lineRule="auto"/>
        <w:rPr>
          <w:rFonts w:ascii="Arial" w:hAnsi="Arial" w:cs="Arial"/>
          <w:b/>
          <w:bCs/>
          <w:sz w:val="23"/>
          <w:szCs w:val="23"/>
        </w:rPr>
      </w:pPr>
      <w:r w:rsidRPr="003E49F2">
        <w:rPr>
          <w:rFonts w:ascii="Arial" w:hAnsi="Arial" w:cs="Arial"/>
          <w:b/>
          <w:bCs/>
          <w:sz w:val="23"/>
          <w:szCs w:val="23"/>
        </w:rPr>
        <w:lastRenderedPageBreak/>
        <w:t>Communication Plan</w:t>
      </w:r>
    </w:p>
    <w:p w14:paraId="0AAE6DE0" w14:textId="09634305"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A robust Communication Plan ensures the right information reaches the right stakeholders at the right time and through appropriate channels. Table 3 presents a summary plan for the critical phases (Planning, Build, Launch, and Post-Launch).</w:t>
      </w:r>
    </w:p>
    <w:p w14:paraId="10BBA4B5" w14:textId="77777777" w:rsidR="00B0634E" w:rsidRDefault="00B0634E" w:rsidP="00341E0C">
      <w:pPr>
        <w:pStyle w:val="BodyText"/>
        <w:spacing w:line="360" w:lineRule="auto"/>
        <w:jc w:val="both"/>
        <w:rPr>
          <w:rFonts w:ascii="Arial" w:hAnsi="Arial" w:cs="Arial"/>
          <w:b/>
          <w:bCs/>
          <w:sz w:val="23"/>
          <w:szCs w:val="23"/>
        </w:rPr>
      </w:pPr>
    </w:p>
    <w:p w14:paraId="60B9DD79" w14:textId="09AA777E"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b/>
          <w:bCs/>
          <w:sz w:val="23"/>
          <w:szCs w:val="23"/>
        </w:rPr>
        <w:t>Table 3: Communication Plan for ConnectPlus Project</w:t>
      </w:r>
    </w:p>
    <w:tbl>
      <w:tblPr>
        <w:tblStyle w:val="TableGrid"/>
        <w:tblW w:w="5000" w:type="pct"/>
        <w:tblLook w:val="0020" w:firstRow="1" w:lastRow="0" w:firstColumn="0" w:lastColumn="0" w:noHBand="0" w:noVBand="0"/>
      </w:tblPr>
      <w:tblGrid>
        <w:gridCol w:w="1893"/>
        <w:gridCol w:w="1778"/>
        <w:gridCol w:w="1224"/>
        <w:gridCol w:w="2547"/>
        <w:gridCol w:w="2134"/>
      </w:tblGrid>
      <w:tr w:rsidR="009A2198" w:rsidRPr="000B0300" w14:paraId="351AD181" w14:textId="77777777" w:rsidTr="00DE39CF">
        <w:tc>
          <w:tcPr>
            <w:tcW w:w="0" w:type="auto"/>
            <w:shd w:val="clear" w:color="auto" w:fill="FFC000"/>
          </w:tcPr>
          <w:p w14:paraId="55726683"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What Information</w:t>
            </w:r>
          </w:p>
        </w:tc>
        <w:tc>
          <w:tcPr>
            <w:tcW w:w="0" w:type="auto"/>
            <w:shd w:val="clear" w:color="auto" w:fill="FFC000"/>
          </w:tcPr>
          <w:p w14:paraId="20D39D96"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Target Audience</w:t>
            </w:r>
          </w:p>
        </w:tc>
        <w:tc>
          <w:tcPr>
            <w:tcW w:w="0" w:type="auto"/>
            <w:shd w:val="clear" w:color="auto" w:fill="FFC000"/>
          </w:tcPr>
          <w:p w14:paraId="71514FD7"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When</w:t>
            </w:r>
          </w:p>
        </w:tc>
        <w:tc>
          <w:tcPr>
            <w:tcW w:w="0" w:type="auto"/>
            <w:shd w:val="clear" w:color="auto" w:fill="FFC000"/>
          </w:tcPr>
          <w:p w14:paraId="5770EED4"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Method of Communication</w:t>
            </w:r>
          </w:p>
        </w:tc>
        <w:tc>
          <w:tcPr>
            <w:tcW w:w="0" w:type="auto"/>
            <w:shd w:val="clear" w:color="auto" w:fill="FFC000"/>
          </w:tcPr>
          <w:p w14:paraId="22872172"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Provider</w:t>
            </w:r>
          </w:p>
        </w:tc>
      </w:tr>
      <w:tr w:rsidR="009A2198" w:rsidRPr="000B0300" w14:paraId="213DF374" w14:textId="77777777" w:rsidTr="00DE39CF">
        <w:tc>
          <w:tcPr>
            <w:tcW w:w="0" w:type="auto"/>
          </w:tcPr>
          <w:p w14:paraId="60E41974"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Project status, milestones, risks &amp; issues</w:t>
            </w:r>
          </w:p>
        </w:tc>
        <w:tc>
          <w:tcPr>
            <w:tcW w:w="0" w:type="auto"/>
          </w:tcPr>
          <w:p w14:paraId="29B15DF2"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Board, CEO, Steering Group</w:t>
            </w:r>
          </w:p>
        </w:tc>
        <w:tc>
          <w:tcPr>
            <w:tcW w:w="0" w:type="auto"/>
          </w:tcPr>
          <w:p w14:paraId="146DC87C"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Bi-weekly</w:t>
            </w:r>
          </w:p>
        </w:tc>
        <w:tc>
          <w:tcPr>
            <w:tcW w:w="0" w:type="auto"/>
          </w:tcPr>
          <w:p w14:paraId="52B10008"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Dashboard report + verbal briefing</w:t>
            </w:r>
          </w:p>
        </w:tc>
        <w:tc>
          <w:tcPr>
            <w:tcW w:w="0" w:type="auto"/>
          </w:tcPr>
          <w:p w14:paraId="6B5B1B94"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Project Manager</w:t>
            </w:r>
          </w:p>
        </w:tc>
      </w:tr>
      <w:tr w:rsidR="009A2198" w:rsidRPr="000B0300" w14:paraId="45F6E8D9" w14:textId="77777777" w:rsidTr="00DE39CF">
        <w:tc>
          <w:tcPr>
            <w:tcW w:w="0" w:type="auto"/>
          </w:tcPr>
          <w:p w14:paraId="60B17830"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Technical progress, integration updates</w:t>
            </w:r>
          </w:p>
        </w:tc>
        <w:tc>
          <w:tcPr>
            <w:tcW w:w="0" w:type="auto"/>
          </w:tcPr>
          <w:p w14:paraId="135CBB7B"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Project Delivery Team, Tech Partners</w:t>
            </w:r>
          </w:p>
        </w:tc>
        <w:tc>
          <w:tcPr>
            <w:tcW w:w="0" w:type="auto"/>
          </w:tcPr>
          <w:p w14:paraId="679122B1"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Weekly</w:t>
            </w:r>
          </w:p>
        </w:tc>
        <w:tc>
          <w:tcPr>
            <w:tcW w:w="0" w:type="auto"/>
          </w:tcPr>
          <w:p w14:paraId="45ECC54E"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Stand-up meetings + shared workspace (e.g., MS Teams/Confluence)</w:t>
            </w:r>
          </w:p>
        </w:tc>
        <w:tc>
          <w:tcPr>
            <w:tcW w:w="0" w:type="auto"/>
          </w:tcPr>
          <w:p w14:paraId="275A157B"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Technical Lead</w:t>
            </w:r>
          </w:p>
        </w:tc>
      </w:tr>
      <w:tr w:rsidR="009A2198" w:rsidRPr="000B0300" w14:paraId="658FF4F0" w14:textId="77777777" w:rsidTr="00DE39CF">
        <w:tc>
          <w:tcPr>
            <w:tcW w:w="0" w:type="auto"/>
          </w:tcPr>
          <w:p w14:paraId="2C4FAC84" w14:textId="587C431E"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 xml:space="preserve">Customer </w:t>
            </w:r>
            <w:r w:rsidR="00DE39CF" w:rsidRPr="000B0300">
              <w:rPr>
                <w:rFonts w:ascii="Arial" w:hAnsi="Arial" w:cs="Arial"/>
                <w:sz w:val="23"/>
                <w:szCs w:val="23"/>
              </w:rPr>
              <w:t>Insight</w:t>
            </w:r>
            <w:r w:rsidRPr="000B0300">
              <w:rPr>
                <w:rFonts w:ascii="Arial" w:hAnsi="Arial" w:cs="Arial"/>
                <w:sz w:val="23"/>
                <w:szCs w:val="23"/>
              </w:rPr>
              <w:t xml:space="preserve"> reports &amp; campaign performance</w:t>
            </w:r>
          </w:p>
        </w:tc>
        <w:tc>
          <w:tcPr>
            <w:tcW w:w="0" w:type="auto"/>
          </w:tcPr>
          <w:p w14:paraId="079A1C13"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Marketing, CRM, Senior Management</w:t>
            </w:r>
          </w:p>
        </w:tc>
        <w:tc>
          <w:tcPr>
            <w:tcW w:w="0" w:type="auto"/>
          </w:tcPr>
          <w:p w14:paraId="3E33A965"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Weekly (during launch phase)</w:t>
            </w:r>
          </w:p>
        </w:tc>
        <w:tc>
          <w:tcPr>
            <w:tcW w:w="0" w:type="auto"/>
          </w:tcPr>
          <w:p w14:paraId="5EF64CC6"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Email summary + dashboard</w:t>
            </w:r>
          </w:p>
        </w:tc>
        <w:tc>
          <w:tcPr>
            <w:tcW w:w="0" w:type="auto"/>
          </w:tcPr>
          <w:p w14:paraId="29EC33E7"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Marketing Lead</w:t>
            </w:r>
          </w:p>
        </w:tc>
      </w:tr>
      <w:tr w:rsidR="009A2198" w:rsidRPr="000B0300" w14:paraId="0D0C3509" w14:textId="77777777" w:rsidTr="00DE39CF">
        <w:tc>
          <w:tcPr>
            <w:tcW w:w="0" w:type="auto"/>
          </w:tcPr>
          <w:p w14:paraId="5EB49B17" w14:textId="3AD4AC4D"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 xml:space="preserve">Data protection </w:t>
            </w:r>
            <w:proofErr w:type="gramStart"/>
            <w:r w:rsidR="00DE39CF" w:rsidRPr="000B0300">
              <w:rPr>
                <w:rFonts w:ascii="Arial" w:hAnsi="Arial" w:cs="Arial"/>
                <w:sz w:val="23"/>
                <w:szCs w:val="23"/>
              </w:rPr>
              <w:t>impact</w:t>
            </w:r>
            <w:proofErr w:type="gramEnd"/>
            <w:r w:rsidRPr="000B0300">
              <w:rPr>
                <w:rFonts w:ascii="Arial" w:hAnsi="Arial" w:cs="Arial"/>
                <w:sz w:val="23"/>
                <w:szCs w:val="23"/>
              </w:rPr>
              <w:t xml:space="preserve"> assessments, compliance status</w:t>
            </w:r>
          </w:p>
        </w:tc>
        <w:tc>
          <w:tcPr>
            <w:tcW w:w="0" w:type="auto"/>
          </w:tcPr>
          <w:p w14:paraId="51AE9D84"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Legal/DPO, Regulators (as required)</w:t>
            </w:r>
          </w:p>
        </w:tc>
        <w:tc>
          <w:tcPr>
            <w:tcW w:w="0" w:type="auto"/>
          </w:tcPr>
          <w:p w14:paraId="32DDBAD4"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At key gates &amp; upon request</w:t>
            </w:r>
          </w:p>
        </w:tc>
        <w:tc>
          <w:tcPr>
            <w:tcW w:w="0" w:type="auto"/>
          </w:tcPr>
          <w:p w14:paraId="7F5523BD"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Formal reports + secure portal</w:t>
            </w:r>
          </w:p>
        </w:tc>
        <w:tc>
          <w:tcPr>
            <w:tcW w:w="0" w:type="auto"/>
          </w:tcPr>
          <w:p w14:paraId="004909DE" w14:textId="6F6B1074" w:rsidR="009A2198" w:rsidRPr="000B0300" w:rsidRDefault="00DE39CF" w:rsidP="00341E0C">
            <w:pPr>
              <w:pStyle w:val="Compact"/>
              <w:spacing w:line="360" w:lineRule="auto"/>
              <w:jc w:val="center"/>
              <w:rPr>
                <w:rFonts w:ascii="Arial" w:hAnsi="Arial" w:cs="Arial"/>
                <w:sz w:val="23"/>
                <w:szCs w:val="23"/>
              </w:rPr>
            </w:pPr>
            <w:r>
              <w:rPr>
                <w:rFonts w:ascii="Arial" w:hAnsi="Arial" w:cs="Arial"/>
                <w:sz w:val="23"/>
                <w:szCs w:val="23"/>
              </w:rPr>
              <w:t>DPO (</w:t>
            </w:r>
            <w:r w:rsidR="00000000" w:rsidRPr="000B0300">
              <w:rPr>
                <w:rFonts w:ascii="Arial" w:hAnsi="Arial" w:cs="Arial"/>
                <w:sz w:val="23"/>
                <w:szCs w:val="23"/>
              </w:rPr>
              <w:t>Data Protection Officer</w:t>
            </w:r>
            <w:r>
              <w:rPr>
                <w:rFonts w:ascii="Arial" w:hAnsi="Arial" w:cs="Arial"/>
                <w:sz w:val="23"/>
                <w:szCs w:val="23"/>
              </w:rPr>
              <w:t>)</w:t>
            </w:r>
          </w:p>
        </w:tc>
      </w:tr>
      <w:tr w:rsidR="009A2198" w:rsidRPr="000B0300" w14:paraId="57E81A96" w14:textId="77777777" w:rsidTr="00DE39CF">
        <w:tc>
          <w:tcPr>
            <w:tcW w:w="0" w:type="auto"/>
          </w:tcPr>
          <w:p w14:paraId="285B5444"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Platform features, benefits, how data is used</w:t>
            </w:r>
          </w:p>
        </w:tc>
        <w:tc>
          <w:tcPr>
            <w:tcW w:w="0" w:type="auto"/>
          </w:tcPr>
          <w:p w14:paraId="52BC8D2F"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High-Value Customers, General Customers</w:t>
            </w:r>
          </w:p>
        </w:tc>
        <w:tc>
          <w:tcPr>
            <w:tcW w:w="0" w:type="auto"/>
          </w:tcPr>
          <w:p w14:paraId="26812286"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Pre-launch teaser &amp; launch</w:t>
            </w:r>
          </w:p>
        </w:tc>
        <w:tc>
          <w:tcPr>
            <w:tcW w:w="0" w:type="auto"/>
          </w:tcPr>
          <w:p w14:paraId="431633C4"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App push notifications, email, social, in-store signage</w:t>
            </w:r>
          </w:p>
        </w:tc>
        <w:tc>
          <w:tcPr>
            <w:tcW w:w="0" w:type="auto"/>
          </w:tcPr>
          <w:p w14:paraId="45CCABD0" w14:textId="4B18490C"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 xml:space="preserve">Marketing </w:t>
            </w:r>
            <w:r w:rsidR="00DE39CF">
              <w:rPr>
                <w:rFonts w:ascii="Arial" w:hAnsi="Arial" w:cs="Arial"/>
                <w:sz w:val="23"/>
                <w:szCs w:val="23"/>
              </w:rPr>
              <w:t>Team</w:t>
            </w:r>
          </w:p>
        </w:tc>
      </w:tr>
      <w:tr w:rsidR="009A2198" w:rsidRPr="000B0300" w14:paraId="55D5FC5E" w14:textId="77777777" w:rsidTr="00DE39CF">
        <w:tc>
          <w:tcPr>
            <w:tcW w:w="0" w:type="auto"/>
          </w:tcPr>
          <w:p w14:paraId="7E50C607"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 xml:space="preserve">Regulatory </w:t>
            </w:r>
            <w:r w:rsidRPr="000B0300">
              <w:rPr>
                <w:rFonts w:ascii="Arial" w:hAnsi="Arial" w:cs="Arial"/>
                <w:sz w:val="23"/>
                <w:szCs w:val="23"/>
              </w:rPr>
              <w:lastRenderedPageBreak/>
              <w:t>submissions &amp; guidance received</w:t>
            </w:r>
          </w:p>
        </w:tc>
        <w:tc>
          <w:tcPr>
            <w:tcW w:w="0" w:type="auto"/>
          </w:tcPr>
          <w:p w14:paraId="7BC9FD11"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lastRenderedPageBreak/>
              <w:t xml:space="preserve">Board, Legal, </w:t>
            </w:r>
            <w:r w:rsidRPr="000B0300">
              <w:rPr>
                <w:rFonts w:ascii="Arial" w:hAnsi="Arial" w:cs="Arial"/>
                <w:sz w:val="23"/>
                <w:szCs w:val="23"/>
              </w:rPr>
              <w:lastRenderedPageBreak/>
              <w:t>Project Team</w:t>
            </w:r>
          </w:p>
        </w:tc>
        <w:tc>
          <w:tcPr>
            <w:tcW w:w="0" w:type="auto"/>
          </w:tcPr>
          <w:p w14:paraId="0EFE5F34"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lastRenderedPageBreak/>
              <w:t xml:space="preserve">As </w:t>
            </w:r>
            <w:r w:rsidRPr="000B0300">
              <w:rPr>
                <w:rFonts w:ascii="Arial" w:hAnsi="Arial" w:cs="Arial"/>
                <w:sz w:val="23"/>
                <w:szCs w:val="23"/>
              </w:rPr>
              <w:lastRenderedPageBreak/>
              <w:t>received</w:t>
            </w:r>
          </w:p>
        </w:tc>
        <w:tc>
          <w:tcPr>
            <w:tcW w:w="0" w:type="auto"/>
          </w:tcPr>
          <w:p w14:paraId="4F970244"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lastRenderedPageBreak/>
              <w:t xml:space="preserve">Confidential briefing </w:t>
            </w:r>
            <w:r w:rsidRPr="000B0300">
              <w:rPr>
                <w:rFonts w:ascii="Arial" w:hAnsi="Arial" w:cs="Arial"/>
                <w:sz w:val="23"/>
                <w:szCs w:val="23"/>
              </w:rPr>
              <w:lastRenderedPageBreak/>
              <w:t>note</w:t>
            </w:r>
          </w:p>
        </w:tc>
        <w:tc>
          <w:tcPr>
            <w:tcW w:w="0" w:type="auto"/>
          </w:tcPr>
          <w:p w14:paraId="6F3EC344"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lastRenderedPageBreak/>
              <w:t>Legal/Compliance</w:t>
            </w:r>
          </w:p>
        </w:tc>
      </w:tr>
      <w:tr w:rsidR="009A2198" w:rsidRPr="000B0300" w14:paraId="2D98F906" w14:textId="77777777" w:rsidTr="00DE39CF">
        <w:tc>
          <w:tcPr>
            <w:tcW w:w="0" w:type="auto"/>
          </w:tcPr>
          <w:p w14:paraId="0D3F74F3"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Lessons learned &amp; adoption metrics</w:t>
            </w:r>
          </w:p>
        </w:tc>
        <w:tc>
          <w:tcPr>
            <w:tcW w:w="0" w:type="auto"/>
          </w:tcPr>
          <w:p w14:paraId="567636BD"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All internal stakeholders, Investors</w:t>
            </w:r>
          </w:p>
        </w:tc>
        <w:tc>
          <w:tcPr>
            <w:tcW w:w="0" w:type="auto"/>
          </w:tcPr>
          <w:p w14:paraId="101ECDCD"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Monthly &amp; post-launch review</w:t>
            </w:r>
          </w:p>
        </w:tc>
        <w:tc>
          <w:tcPr>
            <w:tcW w:w="0" w:type="auto"/>
          </w:tcPr>
          <w:p w14:paraId="08C9DC7C"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Town hall + written report</w:t>
            </w:r>
          </w:p>
        </w:tc>
        <w:tc>
          <w:tcPr>
            <w:tcW w:w="0" w:type="auto"/>
          </w:tcPr>
          <w:p w14:paraId="431C3E90"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Project Manager</w:t>
            </w:r>
          </w:p>
        </w:tc>
      </w:tr>
    </w:tbl>
    <w:p w14:paraId="6096256F"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This plan emphasises transparency while protecting sensitive information (e.g., regulatory correspondence). Methods are chosen for accessibility and cultural appropriateness—e.g., webinars with subtitles for international teams, and simplified language for customer communications.</w:t>
      </w:r>
    </w:p>
    <w:p w14:paraId="6CAAE68C" w14:textId="77777777" w:rsidR="00693C84" w:rsidRDefault="00693C84" w:rsidP="00341E0C">
      <w:pPr>
        <w:pStyle w:val="BodyText"/>
        <w:spacing w:line="360" w:lineRule="auto"/>
        <w:jc w:val="center"/>
        <w:rPr>
          <w:rFonts w:ascii="Arial" w:hAnsi="Arial" w:cs="Arial"/>
          <w:b/>
          <w:bCs/>
          <w:sz w:val="23"/>
          <w:szCs w:val="23"/>
        </w:rPr>
      </w:pPr>
      <w:bookmarkStart w:id="13" w:name="raci-matrix-for-key-activities"/>
      <w:bookmarkEnd w:id="12"/>
    </w:p>
    <w:p w14:paraId="047F0C02" w14:textId="77777777" w:rsidR="008E10FF" w:rsidRDefault="008E10FF" w:rsidP="00341E0C">
      <w:pPr>
        <w:pStyle w:val="BodyText"/>
        <w:spacing w:line="360" w:lineRule="auto"/>
        <w:rPr>
          <w:rFonts w:ascii="Arial" w:hAnsi="Arial" w:cs="Arial"/>
          <w:b/>
          <w:bCs/>
          <w:sz w:val="23"/>
          <w:szCs w:val="23"/>
        </w:rPr>
      </w:pPr>
    </w:p>
    <w:p w14:paraId="5A105C83" w14:textId="57C3902E" w:rsidR="003E49F2" w:rsidRDefault="003E49F2" w:rsidP="00341E0C">
      <w:pPr>
        <w:pStyle w:val="BodyText"/>
        <w:spacing w:line="360" w:lineRule="auto"/>
        <w:rPr>
          <w:rFonts w:ascii="Arial" w:hAnsi="Arial" w:cs="Arial"/>
          <w:b/>
          <w:bCs/>
          <w:sz w:val="23"/>
          <w:szCs w:val="23"/>
        </w:rPr>
      </w:pPr>
      <w:r w:rsidRPr="003E49F2">
        <w:rPr>
          <w:rFonts w:ascii="Arial" w:hAnsi="Arial" w:cs="Arial"/>
          <w:b/>
          <w:bCs/>
          <w:sz w:val="23"/>
          <w:szCs w:val="23"/>
        </w:rPr>
        <w:t>RACI Matrix for Key activities</w:t>
      </w:r>
    </w:p>
    <w:p w14:paraId="1F6DD58B" w14:textId="30EABFDA" w:rsidR="009A2198"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Clear accountability prevents confusion and conflict. The RACI Matrix (Responsible, Accountable, Consulted, Informed) in Table 4 assigns roles for critical activities</w:t>
      </w:r>
      <w:r w:rsidR="003E49F2">
        <w:rPr>
          <w:rFonts w:ascii="Arial" w:hAnsi="Arial" w:cs="Arial"/>
          <w:sz w:val="23"/>
          <w:szCs w:val="23"/>
        </w:rPr>
        <w:t>.</w:t>
      </w:r>
    </w:p>
    <w:p w14:paraId="53A60299"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b/>
          <w:bCs/>
          <w:sz w:val="23"/>
          <w:szCs w:val="23"/>
        </w:rPr>
        <w:t>Table 4: RACI Matrix for ConnectPlus Key Activities</w:t>
      </w:r>
    </w:p>
    <w:tbl>
      <w:tblPr>
        <w:tblStyle w:val="Table"/>
        <w:tblW w:w="5000" w:type="pct"/>
        <w:tblLayout w:type="fixed"/>
        <w:tblLook w:val="0020" w:firstRow="1" w:lastRow="0" w:firstColumn="0" w:lastColumn="0" w:noHBand="0" w:noVBand="0"/>
      </w:tblPr>
      <w:tblGrid>
        <w:gridCol w:w="1616"/>
        <w:gridCol w:w="1036"/>
        <w:gridCol w:w="858"/>
        <w:gridCol w:w="851"/>
        <w:gridCol w:w="998"/>
        <w:gridCol w:w="771"/>
        <w:gridCol w:w="1003"/>
        <w:gridCol w:w="1221"/>
        <w:gridCol w:w="1222"/>
      </w:tblGrid>
      <w:tr w:rsidR="009A2198" w:rsidRPr="000B0300" w14:paraId="4932F617" w14:textId="77777777" w:rsidTr="00DE39CF">
        <w:trPr>
          <w:cnfStyle w:val="100000000000" w:firstRow="1" w:lastRow="0" w:firstColumn="0" w:lastColumn="0" w:oddVBand="0" w:evenVBand="0" w:oddHBand="0" w:evenHBand="0" w:firstRowFirstColumn="0" w:firstRowLastColumn="0" w:lastRowFirstColumn="0" w:lastRowLastColumn="0"/>
          <w:tblHeader/>
        </w:trPr>
        <w:tc>
          <w:tcPr>
            <w:tcW w:w="1616" w:type="dxa"/>
            <w:tcBorders>
              <w:top w:val="single" w:sz="4" w:space="0" w:color="auto"/>
              <w:left w:val="single" w:sz="4" w:space="0" w:color="auto"/>
              <w:bottom w:val="single" w:sz="4" w:space="0" w:color="auto"/>
              <w:right w:val="single" w:sz="4" w:space="0" w:color="auto"/>
            </w:tcBorders>
          </w:tcPr>
          <w:p w14:paraId="22BE7DE7" w14:textId="77777777" w:rsidR="009A2198" w:rsidRPr="000B0300" w:rsidRDefault="00000000" w:rsidP="00341E0C">
            <w:pPr>
              <w:pStyle w:val="Compact"/>
              <w:spacing w:line="360" w:lineRule="auto"/>
              <w:jc w:val="center"/>
              <w:rPr>
                <w:rFonts w:ascii="Arial" w:hAnsi="Arial" w:cs="Arial"/>
                <w:sz w:val="23"/>
                <w:szCs w:val="23"/>
              </w:rPr>
            </w:pPr>
            <w:r w:rsidRPr="000B0300">
              <w:rPr>
                <w:rFonts w:ascii="Arial" w:hAnsi="Arial" w:cs="Arial"/>
                <w:sz w:val="23"/>
                <w:szCs w:val="23"/>
              </w:rPr>
              <w:t>Activity</w:t>
            </w:r>
          </w:p>
        </w:tc>
        <w:tc>
          <w:tcPr>
            <w:tcW w:w="1036" w:type="dxa"/>
            <w:tcBorders>
              <w:top w:val="single" w:sz="4" w:space="0" w:color="auto"/>
              <w:left w:val="single" w:sz="4" w:space="0" w:color="auto"/>
              <w:bottom w:val="single" w:sz="4" w:space="0" w:color="auto"/>
              <w:right w:val="single" w:sz="4" w:space="0" w:color="auto"/>
            </w:tcBorders>
            <w:shd w:val="clear" w:color="auto" w:fill="D6E3BC" w:themeFill="accent3" w:themeFillTint="66"/>
          </w:tcPr>
          <w:p w14:paraId="00F0C3FD" w14:textId="77777777" w:rsidR="009A2198" w:rsidRPr="000B0300" w:rsidRDefault="00000000" w:rsidP="00341E0C">
            <w:pPr>
              <w:pStyle w:val="Compact"/>
              <w:spacing w:line="360" w:lineRule="auto"/>
              <w:jc w:val="center"/>
              <w:rPr>
                <w:rFonts w:ascii="Arial" w:hAnsi="Arial" w:cs="Arial"/>
                <w:sz w:val="16"/>
                <w:szCs w:val="16"/>
              </w:rPr>
            </w:pPr>
            <w:r w:rsidRPr="000B0300">
              <w:rPr>
                <w:rFonts w:ascii="Arial" w:hAnsi="Arial" w:cs="Arial"/>
                <w:sz w:val="16"/>
                <w:szCs w:val="16"/>
              </w:rPr>
              <w:t>Project Manager</w:t>
            </w:r>
          </w:p>
        </w:tc>
        <w:tc>
          <w:tcPr>
            <w:tcW w:w="858" w:type="dxa"/>
            <w:tcBorders>
              <w:top w:val="single" w:sz="4" w:space="0" w:color="auto"/>
              <w:left w:val="single" w:sz="4" w:space="0" w:color="auto"/>
              <w:bottom w:val="single" w:sz="4" w:space="0" w:color="auto"/>
              <w:right w:val="single" w:sz="4" w:space="0" w:color="auto"/>
            </w:tcBorders>
            <w:shd w:val="clear" w:color="auto" w:fill="D6E3BC" w:themeFill="accent3" w:themeFillTint="66"/>
          </w:tcPr>
          <w:p w14:paraId="2F9B75D0" w14:textId="77777777" w:rsidR="009A2198" w:rsidRPr="000B0300" w:rsidRDefault="00000000" w:rsidP="00341E0C">
            <w:pPr>
              <w:pStyle w:val="Compact"/>
              <w:spacing w:line="360" w:lineRule="auto"/>
              <w:jc w:val="center"/>
              <w:rPr>
                <w:rFonts w:ascii="Arial" w:hAnsi="Arial" w:cs="Arial"/>
                <w:sz w:val="16"/>
                <w:szCs w:val="16"/>
              </w:rPr>
            </w:pPr>
            <w:r w:rsidRPr="000B0300">
              <w:rPr>
                <w:rFonts w:ascii="Arial" w:hAnsi="Arial" w:cs="Arial"/>
                <w:sz w:val="16"/>
                <w:szCs w:val="16"/>
              </w:rPr>
              <w:t>CTO / Tech Lead</w:t>
            </w:r>
          </w:p>
        </w:tc>
        <w:tc>
          <w:tcPr>
            <w:tcW w:w="851" w:type="dxa"/>
            <w:tcBorders>
              <w:top w:val="single" w:sz="4" w:space="0" w:color="auto"/>
              <w:left w:val="single" w:sz="4" w:space="0" w:color="auto"/>
              <w:bottom w:val="single" w:sz="4" w:space="0" w:color="auto"/>
              <w:right w:val="single" w:sz="4" w:space="0" w:color="auto"/>
            </w:tcBorders>
            <w:shd w:val="clear" w:color="auto" w:fill="D6E3BC" w:themeFill="accent3" w:themeFillTint="66"/>
          </w:tcPr>
          <w:p w14:paraId="7A03692D" w14:textId="77777777" w:rsidR="009A2198" w:rsidRPr="000B0300" w:rsidRDefault="00000000" w:rsidP="00341E0C">
            <w:pPr>
              <w:pStyle w:val="Compact"/>
              <w:spacing w:line="360" w:lineRule="auto"/>
              <w:jc w:val="center"/>
              <w:rPr>
                <w:rFonts w:ascii="Arial" w:hAnsi="Arial" w:cs="Arial"/>
                <w:sz w:val="16"/>
                <w:szCs w:val="16"/>
              </w:rPr>
            </w:pPr>
            <w:r w:rsidRPr="000B0300">
              <w:rPr>
                <w:rFonts w:ascii="Arial" w:hAnsi="Arial" w:cs="Arial"/>
                <w:sz w:val="16"/>
                <w:szCs w:val="16"/>
              </w:rPr>
              <w:t>Legal / DPO</w:t>
            </w:r>
          </w:p>
        </w:tc>
        <w:tc>
          <w:tcPr>
            <w:tcW w:w="998" w:type="dxa"/>
            <w:tcBorders>
              <w:top w:val="single" w:sz="4" w:space="0" w:color="auto"/>
              <w:left w:val="single" w:sz="4" w:space="0" w:color="auto"/>
              <w:bottom w:val="single" w:sz="4" w:space="0" w:color="auto"/>
              <w:right w:val="single" w:sz="4" w:space="0" w:color="auto"/>
            </w:tcBorders>
            <w:shd w:val="clear" w:color="auto" w:fill="D6E3BC" w:themeFill="accent3" w:themeFillTint="66"/>
          </w:tcPr>
          <w:p w14:paraId="6FE6ED07" w14:textId="77777777" w:rsidR="009A2198" w:rsidRPr="000B0300" w:rsidRDefault="00000000" w:rsidP="00341E0C">
            <w:pPr>
              <w:pStyle w:val="Compact"/>
              <w:spacing w:line="360" w:lineRule="auto"/>
              <w:jc w:val="center"/>
              <w:rPr>
                <w:rFonts w:ascii="Arial" w:hAnsi="Arial" w:cs="Arial"/>
                <w:sz w:val="16"/>
                <w:szCs w:val="16"/>
              </w:rPr>
            </w:pPr>
            <w:r w:rsidRPr="000B0300">
              <w:rPr>
                <w:rFonts w:ascii="Arial" w:hAnsi="Arial" w:cs="Arial"/>
                <w:sz w:val="16"/>
                <w:szCs w:val="16"/>
              </w:rPr>
              <w:t>Marketing Lead</w:t>
            </w:r>
          </w:p>
        </w:tc>
        <w:tc>
          <w:tcPr>
            <w:tcW w:w="771" w:type="dxa"/>
            <w:tcBorders>
              <w:top w:val="single" w:sz="4" w:space="0" w:color="auto"/>
              <w:left w:val="single" w:sz="4" w:space="0" w:color="auto"/>
              <w:bottom w:val="single" w:sz="4" w:space="0" w:color="auto"/>
              <w:right w:val="single" w:sz="4" w:space="0" w:color="auto"/>
            </w:tcBorders>
            <w:shd w:val="clear" w:color="auto" w:fill="D6E3BC" w:themeFill="accent3" w:themeFillTint="66"/>
          </w:tcPr>
          <w:p w14:paraId="09200993" w14:textId="77777777" w:rsidR="009A2198" w:rsidRPr="000B0300" w:rsidRDefault="00000000" w:rsidP="00341E0C">
            <w:pPr>
              <w:pStyle w:val="Compact"/>
              <w:spacing w:line="360" w:lineRule="auto"/>
              <w:jc w:val="center"/>
              <w:rPr>
                <w:rFonts w:ascii="Arial" w:hAnsi="Arial" w:cs="Arial"/>
                <w:sz w:val="16"/>
                <w:szCs w:val="16"/>
              </w:rPr>
            </w:pPr>
            <w:r w:rsidRPr="000B0300">
              <w:rPr>
                <w:rFonts w:ascii="Arial" w:hAnsi="Arial" w:cs="Arial"/>
                <w:sz w:val="16"/>
                <w:szCs w:val="16"/>
              </w:rPr>
              <w:t>Board / CEO</w:t>
            </w:r>
          </w:p>
        </w:tc>
        <w:tc>
          <w:tcPr>
            <w:tcW w:w="1003" w:type="dxa"/>
            <w:tcBorders>
              <w:top w:val="single" w:sz="4" w:space="0" w:color="auto"/>
              <w:left w:val="single" w:sz="4" w:space="0" w:color="auto"/>
              <w:bottom w:val="single" w:sz="4" w:space="0" w:color="auto"/>
              <w:right w:val="single" w:sz="4" w:space="0" w:color="auto"/>
            </w:tcBorders>
            <w:shd w:val="clear" w:color="auto" w:fill="D6E3BC" w:themeFill="accent3" w:themeFillTint="66"/>
          </w:tcPr>
          <w:p w14:paraId="2D1C12C3" w14:textId="77777777" w:rsidR="009A2198" w:rsidRPr="000B0300" w:rsidRDefault="00000000" w:rsidP="00341E0C">
            <w:pPr>
              <w:pStyle w:val="Compact"/>
              <w:spacing w:line="360" w:lineRule="auto"/>
              <w:jc w:val="center"/>
              <w:rPr>
                <w:rFonts w:ascii="Arial" w:hAnsi="Arial" w:cs="Arial"/>
                <w:sz w:val="16"/>
                <w:szCs w:val="16"/>
              </w:rPr>
            </w:pPr>
            <w:r w:rsidRPr="000B0300">
              <w:rPr>
                <w:rFonts w:ascii="Arial" w:hAnsi="Arial" w:cs="Arial"/>
                <w:sz w:val="16"/>
                <w:szCs w:val="16"/>
              </w:rPr>
              <w:t>Tech Partners</w:t>
            </w:r>
          </w:p>
        </w:tc>
        <w:tc>
          <w:tcPr>
            <w:tcW w:w="1221" w:type="dxa"/>
            <w:tcBorders>
              <w:top w:val="single" w:sz="4" w:space="0" w:color="auto"/>
              <w:left w:val="single" w:sz="4" w:space="0" w:color="auto"/>
              <w:bottom w:val="single" w:sz="4" w:space="0" w:color="auto"/>
              <w:right w:val="single" w:sz="4" w:space="0" w:color="auto"/>
            </w:tcBorders>
            <w:shd w:val="clear" w:color="auto" w:fill="D6E3BC" w:themeFill="accent3" w:themeFillTint="66"/>
          </w:tcPr>
          <w:p w14:paraId="29088BD2" w14:textId="77777777" w:rsidR="009A2198" w:rsidRPr="000B0300" w:rsidRDefault="00000000" w:rsidP="00341E0C">
            <w:pPr>
              <w:pStyle w:val="Compact"/>
              <w:spacing w:line="360" w:lineRule="auto"/>
              <w:jc w:val="center"/>
              <w:rPr>
                <w:rFonts w:ascii="Arial" w:hAnsi="Arial" w:cs="Arial"/>
                <w:sz w:val="16"/>
                <w:szCs w:val="16"/>
              </w:rPr>
            </w:pPr>
            <w:r w:rsidRPr="000B0300">
              <w:rPr>
                <w:rFonts w:ascii="Arial" w:hAnsi="Arial" w:cs="Arial"/>
                <w:sz w:val="16"/>
                <w:szCs w:val="16"/>
              </w:rPr>
              <w:t>High-Value Customers (via panels)</w:t>
            </w:r>
          </w:p>
        </w:tc>
        <w:tc>
          <w:tcPr>
            <w:tcW w:w="1222" w:type="dxa"/>
            <w:tcBorders>
              <w:top w:val="single" w:sz="4" w:space="0" w:color="auto"/>
              <w:left w:val="single" w:sz="4" w:space="0" w:color="auto"/>
              <w:bottom w:val="single" w:sz="4" w:space="0" w:color="auto"/>
              <w:right w:val="single" w:sz="4" w:space="0" w:color="auto"/>
            </w:tcBorders>
            <w:shd w:val="clear" w:color="auto" w:fill="D6E3BC" w:themeFill="accent3" w:themeFillTint="66"/>
          </w:tcPr>
          <w:p w14:paraId="47E8CDFB" w14:textId="77777777" w:rsidR="009A2198" w:rsidRPr="000B0300" w:rsidRDefault="00000000" w:rsidP="00341E0C">
            <w:pPr>
              <w:pStyle w:val="Compact"/>
              <w:spacing w:line="360" w:lineRule="auto"/>
              <w:jc w:val="center"/>
              <w:rPr>
                <w:rFonts w:ascii="Arial" w:hAnsi="Arial" w:cs="Arial"/>
                <w:sz w:val="16"/>
                <w:szCs w:val="16"/>
              </w:rPr>
            </w:pPr>
            <w:r w:rsidRPr="000B0300">
              <w:rPr>
                <w:rFonts w:ascii="Arial" w:hAnsi="Arial" w:cs="Arial"/>
                <w:sz w:val="16"/>
                <w:szCs w:val="16"/>
              </w:rPr>
              <w:t>Regulators</w:t>
            </w:r>
          </w:p>
        </w:tc>
      </w:tr>
      <w:tr w:rsidR="009A2198" w:rsidRPr="000B0300" w14:paraId="364A957B" w14:textId="77777777" w:rsidTr="00DE39CF">
        <w:tc>
          <w:tcPr>
            <w:tcW w:w="1616" w:type="dxa"/>
            <w:tcBorders>
              <w:top w:val="single" w:sz="4" w:space="0" w:color="auto"/>
              <w:left w:val="single" w:sz="4" w:space="0" w:color="auto"/>
              <w:bottom w:val="single" w:sz="4" w:space="0" w:color="auto"/>
              <w:right w:val="single" w:sz="4" w:space="0" w:color="auto"/>
            </w:tcBorders>
            <w:shd w:val="clear" w:color="auto" w:fill="FFFF00"/>
          </w:tcPr>
          <w:p w14:paraId="4317BD60" w14:textId="77777777" w:rsidR="009A2198" w:rsidRPr="000B0300" w:rsidRDefault="00000000" w:rsidP="00341E0C">
            <w:pPr>
              <w:pStyle w:val="Compact"/>
              <w:spacing w:line="360" w:lineRule="auto"/>
              <w:jc w:val="center"/>
              <w:rPr>
                <w:rFonts w:ascii="Arial" w:hAnsi="Arial" w:cs="Arial"/>
                <w:sz w:val="18"/>
                <w:szCs w:val="18"/>
              </w:rPr>
            </w:pPr>
            <w:r w:rsidRPr="000B0300">
              <w:rPr>
                <w:rFonts w:ascii="Arial" w:hAnsi="Arial" w:cs="Arial"/>
                <w:sz w:val="18"/>
                <w:szCs w:val="18"/>
              </w:rPr>
              <w:t>Define platform requirements &amp; success criteria</w:t>
            </w:r>
          </w:p>
        </w:tc>
        <w:tc>
          <w:tcPr>
            <w:tcW w:w="1036" w:type="dxa"/>
            <w:tcBorders>
              <w:top w:val="single" w:sz="4" w:space="0" w:color="auto"/>
              <w:left w:val="single" w:sz="4" w:space="0" w:color="auto"/>
              <w:bottom w:val="single" w:sz="4" w:space="0" w:color="auto"/>
              <w:right w:val="single" w:sz="4" w:space="0" w:color="auto"/>
            </w:tcBorders>
            <w:vAlign w:val="center"/>
          </w:tcPr>
          <w:p w14:paraId="00C8F0BC"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A</w:t>
            </w:r>
          </w:p>
        </w:tc>
        <w:tc>
          <w:tcPr>
            <w:tcW w:w="858" w:type="dxa"/>
            <w:tcBorders>
              <w:top w:val="single" w:sz="4" w:space="0" w:color="auto"/>
              <w:left w:val="single" w:sz="4" w:space="0" w:color="auto"/>
              <w:bottom w:val="single" w:sz="4" w:space="0" w:color="auto"/>
              <w:right w:val="single" w:sz="4" w:space="0" w:color="auto"/>
            </w:tcBorders>
            <w:vAlign w:val="center"/>
          </w:tcPr>
          <w:p w14:paraId="37C7FC24"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R</w:t>
            </w:r>
          </w:p>
        </w:tc>
        <w:tc>
          <w:tcPr>
            <w:tcW w:w="851" w:type="dxa"/>
            <w:tcBorders>
              <w:top w:val="single" w:sz="4" w:space="0" w:color="auto"/>
              <w:left w:val="single" w:sz="4" w:space="0" w:color="auto"/>
              <w:bottom w:val="single" w:sz="4" w:space="0" w:color="auto"/>
              <w:right w:val="single" w:sz="4" w:space="0" w:color="auto"/>
            </w:tcBorders>
            <w:vAlign w:val="center"/>
          </w:tcPr>
          <w:p w14:paraId="0E20D27D"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998" w:type="dxa"/>
            <w:tcBorders>
              <w:top w:val="single" w:sz="4" w:space="0" w:color="auto"/>
              <w:left w:val="single" w:sz="4" w:space="0" w:color="auto"/>
              <w:bottom w:val="single" w:sz="4" w:space="0" w:color="auto"/>
              <w:right w:val="single" w:sz="4" w:space="0" w:color="auto"/>
            </w:tcBorders>
            <w:vAlign w:val="center"/>
          </w:tcPr>
          <w:p w14:paraId="1C37C973"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771" w:type="dxa"/>
            <w:tcBorders>
              <w:top w:val="single" w:sz="4" w:space="0" w:color="auto"/>
              <w:left w:val="single" w:sz="4" w:space="0" w:color="auto"/>
              <w:bottom w:val="single" w:sz="4" w:space="0" w:color="auto"/>
              <w:right w:val="single" w:sz="4" w:space="0" w:color="auto"/>
            </w:tcBorders>
            <w:vAlign w:val="center"/>
          </w:tcPr>
          <w:p w14:paraId="2337F18F"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I</w:t>
            </w:r>
          </w:p>
        </w:tc>
        <w:tc>
          <w:tcPr>
            <w:tcW w:w="1003" w:type="dxa"/>
            <w:tcBorders>
              <w:top w:val="single" w:sz="4" w:space="0" w:color="auto"/>
              <w:left w:val="single" w:sz="4" w:space="0" w:color="auto"/>
              <w:bottom w:val="single" w:sz="4" w:space="0" w:color="auto"/>
              <w:right w:val="single" w:sz="4" w:space="0" w:color="auto"/>
            </w:tcBorders>
            <w:vAlign w:val="center"/>
          </w:tcPr>
          <w:p w14:paraId="343AB7F1"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1221" w:type="dxa"/>
            <w:tcBorders>
              <w:top w:val="single" w:sz="4" w:space="0" w:color="auto"/>
              <w:left w:val="single" w:sz="4" w:space="0" w:color="auto"/>
              <w:bottom w:val="single" w:sz="4" w:space="0" w:color="auto"/>
              <w:right w:val="single" w:sz="4" w:space="0" w:color="auto"/>
            </w:tcBorders>
            <w:vAlign w:val="center"/>
          </w:tcPr>
          <w:p w14:paraId="4BAF6CD8"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1222" w:type="dxa"/>
            <w:tcBorders>
              <w:top w:val="single" w:sz="4" w:space="0" w:color="auto"/>
              <w:left w:val="single" w:sz="4" w:space="0" w:color="auto"/>
              <w:bottom w:val="single" w:sz="4" w:space="0" w:color="auto"/>
              <w:right w:val="single" w:sz="4" w:space="0" w:color="auto"/>
            </w:tcBorders>
            <w:vAlign w:val="center"/>
          </w:tcPr>
          <w:p w14:paraId="23EF8192"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I</w:t>
            </w:r>
          </w:p>
        </w:tc>
      </w:tr>
      <w:tr w:rsidR="009A2198" w:rsidRPr="000B0300" w14:paraId="55F94BD5" w14:textId="77777777" w:rsidTr="00DE39CF">
        <w:tc>
          <w:tcPr>
            <w:tcW w:w="1616" w:type="dxa"/>
            <w:tcBorders>
              <w:top w:val="single" w:sz="4" w:space="0" w:color="auto"/>
              <w:left w:val="single" w:sz="4" w:space="0" w:color="auto"/>
              <w:bottom w:val="single" w:sz="4" w:space="0" w:color="auto"/>
              <w:right w:val="single" w:sz="4" w:space="0" w:color="auto"/>
            </w:tcBorders>
            <w:shd w:val="clear" w:color="auto" w:fill="FFFF00"/>
          </w:tcPr>
          <w:p w14:paraId="6655688C" w14:textId="77777777" w:rsidR="009A2198" w:rsidRPr="000B0300" w:rsidRDefault="00000000" w:rsidP="00341E0C">
            <w:pPr>
              <w:pStyle w:val="Compact"/>
              <w:spacing w:line="360" w:lineRule="auto"/>
              <w:jc w:val="center"/>
              <w:rPr>
                <w:rFonts w:ascii="Arial" w:hAnsi="Arial" w:cs="Arial"/>
                <w:sz w:val="18"/>
                <w:szCs w:val="18"/>
              </w:rPr>
            </w:pPr>
            <w:r w:rsidRPr="000B0300">
              <w:rPr>
                <w:rFonts w:ascii="Arial" w:hAnsi="Arial" w:cs="Arial"/>
                <w:sz w:val="18"/>
                <w:szCs w:val="18"/>
              </w:rPr>
              <w:t>AI model design, data ethics review &amp; bias testing</w:t>
            </w:r>
          </w:p>
        </w:tc>
        <w:tc>
          <w:tcPr>
            <w:tcW w:w="1036" w:type="dxa"/>
            <w:tcBorders>
              <w:top w:val="single" w:sz="4" w:space="0" w:color="auto"/>
              <w:left w:val="single" w:sz="4" w:space="0" w:color="auto"/>
              <w:bottom w:val="single" w:sz="4" w:space="0" w:color="auto"/>
              <w:right w:val="single" w:sz="4" w:space="0" w:color="auto"/>
            </w:tcBorders>
            <w:vAlign w:val="center"/>
          </w:tcPr>
          <w:p w14:paraId="7598AD08"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858" w:type="dxa"/>
            <w:tcBorders>
              <w:top w:val="single" w:sz="4" w:space="0" w:color="auto"/>
              <w:left w:val="single" w:sz="4" w:space="0" w:color="auto"/>
              <w:bottom w:val="single" w:sz="4" w:space="0" w:color="auto"/>
              <w:right w:val="single" w:sz="4" w:space="0" w:color="auto"/>
            </w:tcBorders>
            <w:vAlign w:val="center"/>
          </w:tcPr>
          <w:p w14:paraId="7D32F481"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A / R</w:t>
            </w:r>
          </w:p>
        </w:tc>
        <w:tc>
          <w:tcPr>
            <w:tcW w:w="851" w:type="dxa"/>
            <w:tcBorders>
              <w:top w:val="single" w:sz="4" w:space="0" w:color="auto"/>
              <w:left w:val="single" w:sz="4" w:space="0" w:color="auto"/>
              <w:bottom w:val="single" w:sz="4" w:space="0" w:color="auto"/>
              <w:right w:val="single" w:sz="4" w:space="0" w:color="auto"/>
            </w:tcBorders>
            <w:vAlign w:val="center"/>
          </w:tcPr>
          <w:p w14:paraId="26DAE895"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R (ethics)</w:t>
            </w:r>
          </w:p>
        </w:tc>
        <w:tc>
          <w:tcPr>
            <w:tcW w:w="998" w:type="dxa"/>
            <w:tcBorders>
              <w:top w:val="single" w:sz="4" w:space="0" w:color="auto"/>
              <w:left w:val="single" w:sz="4" w:space="0" w:color="auto"/>
              <w:bottom w:val="single" w:sz="4" w:space="0" w:color="auto"/>
              <w:right w:val="single" w:sz="4" w:space="0" w:color="auto"/>
            </w:tcBorders>
            <w:vAlign w:val="center"/>
          </w:tcPr>
          <w:p w14:paraId="37196F60"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771" w:type="dxa"/>
            <w:tcBorders>
              <w:top w:val="single" w:sz="4" w:space="0" w:color="auto"/>
              <w:left w:val="single" w:sz="4" w:space="0" w:color="auto"/>
              <w:bottom w:val="single" w:sz="4" w:space="0" w:color="auto"/>
              <w:right w:val="single" w:sz="4" w:space="0" w:color="auto"/>
            </w:tcBorders>
            <w:vAlign w:val="center"/>
          </w:tcPr>
          <w:p w14:paraId="65D28825"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I</w:t>
            </w:r>
          </w:p>
        </w:tc>
        <w:tc>
          <w:tcPr>
            <w:tcW w:w="1003" w:type="dxa"/>
            <w:tcBorders>
              <w:top w:val="single" w:sz="4" w:space="0" w:color="auto"/>
              <w:left w:val="single" w:sz="4" w:space="0" w:color="auto"/>
              <w:bottom w:val="single" w:sz="4" w:space="0" w:color="auto"/>
              <w:right w:val="single" w:sz="4" w:space="0" w:color="auto"/>
            </w:tcBorders>
            <w:vAlign w:val="center"/>
          </w:tcPr>
          <w:p w14:paraId="58BDDE37"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R</w:t>
            </w:r>
          </w:p>
        </w:tc>
        <w:tc>
          <w:tcPr>
            <w:tcW w:w="1221" w:type="dxa"/>
            <w:tcBorders>
              <w:top w:val="single" w:sz="4" w:space="0" w:color="auto"/>
              <w:left w:val="single" w:sz="4" w:space="0" w:color="auto"/>
              <w:bottom w:val="single" w:sz="4" w:space="0" w:color="auto"/>
              <w:right w:val="single" w:sz="4" w:space="0" w:color="auto"/>
            </w:tcBorders>
            <w:vAlign w:val="center"/>
          </w:tcPr>
          <w:p w14:paraId="0702B79B"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1222" w:type="dxa"/>
            <w:tcBorders>
              <w:top w:val="single" w:sz="4" w:space="0" w:color="auto"/>
              <w:left w:val="single" w:sz="4" w:space="0" w:color="auto"/>
              <w:bottom w:val="single" w:sz="4" w:space="0" w:color="auto"/>
              <w:right w:val="single" w:sz="4" w:space="0" w:color="auto"/>
            </w:tcBorders>
            <w:vAlign w:val="center"/>
          </w:tcPr>
          <w:p w14:paraId="0E4A5DB3"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r>
      <w:tr w:rsidR="009A2198" w:rsidRPr="000B0300" w14:paraId="31205086" w14:textId="77777777" w:rsidTr="008E10FF">
        <w:trPr>
          <w:trHeight w:val="1201"/>
        </w:trPr>
        <w:tc>
          <w:tcPr>
            <w:tcW w:w="1616" w:type="dxa"/>
            <w:tcBorders>
              <w:top w:val="single" w:sz="4" w:space="0" w:color="auto"/>
              <w:left w:val="single" w:sz="4" w:space="0" w:color="auto"/>
              <w:bottom w:val="single" w:sz="4" w:space="0" w:color="auto"/>
              <w:right w:val="single" w:sz="4" w:space="0" w:color="auto"/>
            </w:tcBorders>
            <w:shd w:val="clear" w:color="auto" w:fill="FFFF00"/>
          </w:tcPr>
          <w:p w14:paraId="57DEFFDF" w14:textId="77777777" w:rsidR="009A2198" w:rsidRPr="000B0300" w:rsidRDefault="00000000" w:rsidP="00341E0C">
            <w:pPr>
              <w:pStyle w:val="Compact"/>
              <w:spacing w:line="360" w:lineRule="auto"/>
              <w:jc w:val="center"/>
              <w:rPr>
                <w:rFonts w:ascii="Arial" w:hAnsi="Arial" w:cs="Arial"/>
                <w:sz w:val="18"/>
                <w:szCs w:val="18"/>
              </w:rPr>
            </w:pPr>
            <w:r w:rsidRPr="000B0300">
              <w:rPr>
                <w:rFonts w:ascii="Arial" w:hAnsi="Arial" w:cs="Arial"/>
                <w:sz w:val="18"/>
                <w:szCs w:val="18"/>
              </w:rPr>
              <w:t>Data integration &amp; security architecture</w:t>
            </w:r>
          </w:p>
        </w:tc>
        <w:tc>
          <w:tcPr>
            <w:tcW w:w="1036" w:type="dxa"/>
            <w:tcBorders>
              <w:top w:val="single" w:sz="4" w:space="0" w:color="auto"/>
              <w:left w:val="single" w:sz="4" w:space="0" w:color="auto"/>
              <w:bottom w:val="single" w:sz="4" w:space="0" w:color="auto"/>
              <w:right w:val="single" w:sz="4" w:space="0" w:color="auto"/>
            </w:tcBorders>
            <w:vAlign w:val="center"/>
          </w:tcPr>
          <w:p w14:paraId="210AF185"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A</w:t>
            </w:r>
          </w:p>
        </w:tc>
        <w:tc>
          <w:tcPr>
            <w:tcW w:w="858" w:type="dxa"/>
            <w:tcBorders>
              <w:top w:val="single" w:sz="4" w:space="0" w:color="auto"/>
              <w:left w:val="single" w:sz="4" w:space="0" w:color="auto"/>
              <w:bottom w:val="single" w:sz="4" w:space="0" w:color="auto"/>
              <w:right w:val="single" w:sz="4" w:space="0" w:color="auto"/>
            </w:tcBorders>
            <w:vAlign w:val="center"/>
          </w:tcPr>
          <w:p w14:paraId="3BE0372F"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R</w:t>
            </w:r>
          </w:p>
        </w:tc>
        <w:tc>
          <w:tcPr>
            <w:tcW w:w="851" w:type="dxa"/>
            <w:tcBorders>
              <w:top w:val="single" w:sz="4" w:space="0" w:color="auto"/>
              <w:left w:val="single" w:sz="4" w:space="0" w:color="auto"/>
              <w:bottom w:val="single" w:sz="4" w:space="0" w:color="auto"/>
              <w:right w:val="single" w:sz="4" w:space="0" w:color="auto"/>
            </w:tcBorders>
            <w:vAlign w:val="center"/>
          </w:tcPr>
          <w:p w14:paraId="23B1E4EF"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998" w:type="dxa"/>
            <w:tcBorders>
              <w:top w:val="single" w:sz="4" w:space="0" w:color="auto"/>
              <w:left w:val="single" w:sz="4" w:space="0" w:color="auto"/>
              <w:bottom w:val="single" w:sz="4" w:space="0" w:color="auto"/>
              <w:right w:val="single" w:sz="4" w:space="0" w:color="auto"/>
            </w:tcBorders>
            <w:vAlign w:val="center"/>
          </w:tcPr>
          <w:p w14:paraId="7AA87D03"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I</w:t>
            </w:r>
          </w:p>
        </w:tc>
        <w:tc>
          <w:tcPr>
            <w:tcW w:w="771" w:type="dxa"/>
            <w:tcBorders>
              <w:top w:val="single" w:sz="4" w:space="0" w:color="auto"/>
              <w:left w:val="single" w:sz="4" w:space="0" w:color="auto"/>
              <w:bottom w:val="single" w:sz="4" w:space="0" w:color="auto"/>
              <w:right w:val="single" w:sz="4" w:space="0" w:color="auto"/>
            </w:tcBorders>
            <w:vAlign w:val="center"/>
          </w:tcPr>
          <w:p w14:paraId="2CD0D447"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I</w:t>
            </w:r>
          </w:p>
        </w:tc>
        <w:tc>
          <w:tcPr>
            <w:tcW w:w="1003" w:type="dxa"/>
            <w:tcBorders>
              <w:top w:val="single" w:sz="4" w:space="0" w:color="auto"/>
              <w:left w:val="single" w:sz="4" w:space="0" w:color="auto"/>
              <w:bottom w:val="single" w:sz="4" w:space="0" w:color="auto"/>
              <w:right w:val="single" w:sz="4" w:space="0" w:color="auto"/>
            </w:tcBorders>
            <w:vAlign w:val="center"/>
          </w:tcPr>
          <w:p w14:paraId="626C68C1"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R</w:t>
            </w:r>
          </w:p>
        </w:tc>
        <w:tc>
          <w:tcPr>
            <w:tcW w:w="1221" w:type="dxa"/>
            <w:tcBorders>
              <w:top w:val="single" w:sz="4" w:space="0" w:color="auto"/>
              <w:left w:val="single" w:sz="4" w:space="0" w:color="auto"/>
              <w:bottom w:val="single" w:sz="4" w:space="0" w:color="auto"/>
              <w:right w:val="single" w:sz="4" w:space="0" w:color="auto"/>
            </w:tcBorders>
            <w:vAlign w:val="center"/>
          </w:tcPr>
          <w:p w14:paraId="73FBA075"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I</w:t>
            </w:r>
          </w:p>
        </w:tc>
        <w:tc>
          <w:tcPr>
            <w:tcW w:w="1222" w:type="dxa"/>
            <w:tcBorders>
              <w:top w:val="single" w:sz="4" w:space="0" w:color="auto"/>
              <w:left w:val="single" w:sz="4" w:space="0" w:color="auto"/>
              <w:bottom w:val="single" w:sz="4" w:space="0" w:color="auto"/>
              <w:right w:val="single" w:sz="4" w:space="0" w:color="auto"/>
            </w:tcBorders>
            <w:vAlign w:val="center"/>
          </w:tcPr>
          <w:p w14:paraId="17479B5F"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r>
      <w:tr w:rsidR="009A2198" w:rsidRPr="000B0300" w14:paraId="2AFB0339" w14:textId="77777777" w:rsidTr="00DE39CF">
        <w:tc>
          <w:tcPr>
            <w:tcW w:w="1616" w:type="dxa"/>
            <w:tcBorders>
              <w:top w:val="single" w:sz="4" w:space="0" w:color="auto"/>
              <w:left w:val="single" w:sz="4" w:space="0" w:color="auto"/>
              <w:bottom w:val="single" w:sz="4" w:space="0" w:color="auto"/>
              <w:right w:val="single" w:sz="4" w:space="0" w:color="auto"/>
            </w:tcBorders>
            <w:shd w:val="clear" w:color="auto" w:fill="FFFF00"/>
          </w:tcPr>
          <w:p w14:paraId="3FBDE352" w14:textId="77777777" w:rsidR="009A2198" w:rsidRPr="000B0300" w:rsidRDefault="00000000" w:rsidP="00341E0C">
            <w:pPr>
              <w:pStyle w:val="Compact"/>
              <w:spacing w:line="360" w:lineRule="auto"/>
              <w:jc w:val="center"/>
              <w:rPr>
                <w:rFonts w:ascii="Arial" w:hAnsi="Arial" w:cs="Arial"/>
                <w:sz w:val="18"/>
                <w:szCs w:val="18"/>
              </w:rPr>
            </w:pPr>
            <w:proofErr w:type="spellStart"/>
            <w:r w:rsidRPr="000B0300">
              <w:rPr>
                <w:rFonts w:ascii="Arial" w:hAnsi="Arial" w:cs="Arial"/>
                <w:sz w:val="18"/>
                <w:szCs w:val="18"/>
              </w:rPr>
              <w:lastRenderedPageBreak/>
              <w:t>Localisation</w:t>
            </w:r>
            <w:proofErr w:type="spellEnd"/>
            <w:r w:rsidRPr="000B0300">
              <w:rPr>
                <w:rFonts w:ascii="Arial" w:hAnsi="Arial" w:cs="Arial"/>
                <w:sz w:val="18"/>
                <w:szCs w:val="18"/>
              </w:rPr>
              <w:t xml:space="preserve"> &amp; cultural adaptation (markets)</w:t>
            </w:r>
          </w:p>
        </w:tc>
        <w:tc>
          <w:tcPr>
            <w:tcW w:w="1036" w:type="dxa"/>
            <w:tcBorders>
              <w:top w:val="single" w:sz="4" w:space="0" w:color="auto"/>
              <w:left w:val="single" w:sz="4" w:space="0" w:color="auto"/>
              <w:bottom w:val="single" w:sz="4" w:space="0" w:color="auto"/>
              <w:right w:val="single" w:sz="4" w:space="0" w:color="auto"/>
            </w:tcBorders>
            <w:vAlign w:val="center"/>
          </w:tcPr>
          <w:p w14:paraId="72C694EE"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A</w:t>
            </w:r>
          </w:p>
        </w:tc>
        <w:tc>
          <w:tcPr>
            <w:tcW w:w="858" w:type="dxa"/>
            <w:tcBorders>
              <w:top w:val="single" w:sz="4" w:space="0" w:color="auto"/>
              <w:left w:val="single" w:sz="4" w:space="0" w:color="auto"/>
              <w:bottom w:val="single" w:sz="4" w:space="0" w:color="auto"/>
              <w:right w:val="single" w:sz="4" w:space="0" w:color="auto"/>
            </w:tcBorders>
            <w:vAlign w:val="center"/>
          </w:tcPr>
          <w:p w14:paraId="474C6DFD"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851" w:type="dxa"/>
            <w:tcBorders>
              <w:top w:val="single" w:sz="4" w:space="0" w:color="auto"/>
              <w:left w:val="single" w:sz="4" w:space="0" w:color="auto"/>
              <w:bottom w:val="single" w:sz="4" w:space="0" w:color="auto"/>
              <w:right w:val="single" w:sz="4" w:space="0" w:color="auto"/>
            </w:tcBorders>
            <w:vAlign w:val="center"/>
          </w:tcPr>
          <w:p w14:paraId="5A2462BE"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998" w:type="dxa"/>
            <w:tcBorders>
              <w:top w:val="single" w:sz="4" w:space="0" w:color="auto"/>
              <w:left w:val="single" w:sz="4" w:space="0" w:color="auto"/>
              <w:bottom w:val="single" w:sz="4" w:space="0" w:color="auto"/>
              <w:right w:val="single" w:sz="4" w:space="0" w:color="auto"/>
            </w:tcBorders>
            <w:vAlign w:val="center"/>
          </w:tcPr>
          <w:p w14:paraId="40ECF913"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R</w:t>
            </w:r>
          </w:p>
        </w:tc>
        <w:tc>
          <w:tcPr>
            <w:tcW w:w="771" w:type="dxa"/>
            <w:tcBorders>
              <w:top w:val="single" w:sz="4" w:space="0" w:color="auto"/>
              <w:left w:val="single" w:sz="4" w:space="0" w:color="auto"/>
              <w:bottom w:val="single" w:sz="4" w:space="0" w:color="auto"/>
              <w:right w:val="single" w:sz="4" w:space="0" w:color="auto"/>
            </w:tcBorders>
            <w:vAlign w:val="center"/>
          </w:tcPr>
          <w:p w14:paraId="5E1C36E0"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I</w:t>
            </w:r>
          </w:p>
        </w:tc>
        <w:tc>
          <w:tcPr>
            <w:tcW w:w="1003" w:type="dxa"/>
            <w:tcBorders>
              <w:top w:val="single" w:sz="4" w:space="0" w:color="auto"/>
              <w:left w:val="single" w:sz="4" w:space="0" w:color="auto"/>
              <w:bottom w:val="single" w:sz="4" w:space="0" w:color="auto"/>
              <w:right w:val="single" w:sz="4" w:space="0" w:color="auto"/>
            </w:tcBorders>
            <w:vAlign w:val="center"/>
          </w:tcPr>
          <w:p w14:paraId="7B721B91"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1221" w:type="dxa"/>
            <w:tcBorders>
              <w:top w:val="single" w:sz="4" w:space="0" w:color="auto"/>
              <w:left w:val="single" w:sz="4" w:space="0" w:color="auto"/>
              <w:bottom w:val="single" w:sz="4" w:space="0" w:color="auto"/>
              <w:right w:val="single" w:sz="4" w:space="0" w:color="auto"/>
            </w:tcBorders>
            <w:vAlign w:val="center"/>
          </w:tcPr>
          <w:p w14:paraId="639894F7"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1222" w:type="dxa"/>
            <w:tcBorders>
              <w:top w:val="single" w:sz="4" w:space="0" w:color="auto"/>
              <w:left w:val="single" w:sz="4" w:space="0" w:color="auto"/>
              <w:bottom w:val="single" w:sz="4" w:space="0" w:color="auto"/>
              <w:right w:val="single" w:sz="4" w:space="0" w:color="auto"/>
            </w:tcBorders>
            <w:vAlign w:val="center"/>
          </w:tcPr>
          <w:p w14:paraId="6F97BB58"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I</w:t>
            </w:r>
          </w:p>
        </w:tc>
      </w:tr>
      <w:tr w:rsidR="009A2198" w:rsidRPr="000B0300" w14:paraId="0D74DB8C" w14:textId="77777777" w:rsidTr="00DE39CF">
        <w:tc>
          <w:tcPr>
            <w:tcW w:w="1616" w:type="dxa"/>
            <w:tcBorders>
              <w:top w:val="single" w:sz="4" w:space="0" w:color="auto"/>
              <w:left w:val="single" w:sz="4" w:space="0" w:color="auto"/>
              <w:bottom w:val="single" w:sz="4" w:space="0" w:color="auto"/>
              <w:right w:val="single" w:sz="4" w:space="0" w:color="auto"/>
            </w:tcBorders>
            <w:shd w:val="clear" w:color="auto" w:fill="FFFF00"/>
          </w:tcPr>
          <w:p w14:paraId="70CB9F6D" w14:textId="77777777" w:rsidR="003E49F2" w:rsidRDefault="003E49F2" w:rsidP="00341E0C">
            <w:pPr>
              <w:pStyle w:val="Compact"/>
              <w:spacing w:line="360" w:lineRule="auto"/>
              <w:jc w:val="center"/>
              <w:rPr>
                <w:rFonts w:ascii="Arial" w:hAnsi="Arial" w:cs="Arial"/>
                <w:sz w:val="18"/>
                <w:szCs w:val="18"/>
              </w:rPr>
            </w:pPr>
          </w:p>
          <w:p w14:paraId="7AB77D0B" w14:textId="38CECE43" w:rsidR="009A2198" w:rsidRPr="000B0300" w:rsidRDefault="00000000" w:rsidP="00341E0C">
            <w:pPr>
              <w:pStyle w:val="Compact"/>
              <w:spacing w:line="360" w:lineRule="auto"/>
              <w:jc w:val="center"/>
              <w:rPr>
                <w:rFonts w:ascii="Arial" w:hAnsi="Arial" w:cs="Arial"/>
                <w:sz w:val="18"/>
                <w:szCs w:val="18"/>
              </w:rPr>
            </w:pPr>
            <w:r w:rsidRPr="000B0300">
              <w:rPr>
                <w:rFonts w:ascii="Arial" w:hAnsi="Arial" w:cs="Arial"/>
                <w:sz w:val="18"/>
                <w:szCs w:val="18"/>
              </w:rPr>
              <w:t>Customer communication &amp; launch campaign</w:t>
            </w:r>
          </w:p>
        </w:tc>
        <w:tc>
          <w:tcPr>
            <w:tcW w:w="1036" w:type="dxa"/>
            <w:tcBorders>
              <w:top w:val="single" w:sz="4" w:space="0" w:color="auto"/>
              <w:left w:val="single" w:sz="4" w:space="0" w:color="auto"/>
              <w:bottom w:val="single" w:sz="4" w:space="0" w:color="auto"/>
              <w:right w:val="single" w:sz="4" w:space="0" w:color="auto"/>
            </w:tcBorders>
            <w:vAlign w:val="center"/>
          </w:tcPr>
          <w:p w14:paraId="545E0619" w14:textId="77777777" w:rsidR="003E49F2" w:rsidRDefault="003E49F2" w:rsidP="00341E0C">
            <w:pPr>
              <w:pStyle w:val="Compact"/>
              <w:spacing w:line="360" w:lineRule="auto"/>
              <w:jc w:val="center"/>
              <w:rPr>
                <w:rFonts w:ascii="Arial" w:hAnsi="Arial" w:cs="Arial"/>
                <w:sz w:val="22"/>
                <w:szCs w:val="22"/>
              </w:rPr>
            </w:pPr>
          </w:p>
          <w:p w14:paraId="0B49E36A" w14:textId="77777777" w:rsidR="003E49F2" w:rsidRDefault="003E49F2" w:rsidP="00341E0C">
            <w:pPr>
              <w:pStyle w:val="Compact"/>
              <w:spacing w:line="360" w:lineRule="auto"/>
              <w:jc w:val="center"/>
              <w:rPr>
                <w:rFonts w:ascii="Arial" w:hAnsi="Arial" w:cs="Arial"/>
                <w:sz w:val="22"/>
                <w:szCs w:val="22"/>
              </w:rPr>
            </w:pPr>
          </w:p>
          <w:p w14:paraId="6C44F8F1" w14:textId="361CD5FC"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858" w:type="dxa"/>
            <w:tcBorders>
              <w:top w:val="single" w:sz="4" w:space="0" w:color="auto"/>
              <w:left w:val="single" w:sz="4" w:space="0" w:color="auto"/>
              <w:bottom w:val="single" w:sz="4" w:space="0" w:color="auto"/>
              <w:right w:val="single" w:sz="4" w:space="0" w:color="auto"/>
            </w:tcBorders>
            <w:vAlign w:val="center"/>
          </w:tcPr>
          <w:p w14:paraId="7B9476F6" w14:textId="77777777" w:rsidR="003E49F2" w:rsidRDefault="003E49F2" w:rsidP="00341E0C">
            <w:pPr>
              <w:pStyle w:val="Compact"/>
              <w:spacing w:line="360" w:lineRule="auto"/>
              <w:jc w:val="center"/>
              <w:rPr>
                <w:rFonts w:ascii="Arial" w:hAnsi="Arial" w:cs="Arial"/>
                <w:sz w:val="22"/>
                <w:szCs w:val="22"/>
              </w:rPr>
            </w:pPr>
          </w:p>
          <w:p w14:paraId="722B2026" w14:textId="77777777" w:rsidR="003E49F2" w:rsidRDefault="003E49F2" w:rsidP="00341E0C">
            <w:pPr>
              <w:pStyle w:val="Compact"/>
              <w:spacing w:line="360" w:lineRule="auto"/>
              <w:jc w:val="center"/>
              <w:rPr>
                <w:rFonts w:ascii="Arial" w:hAnsi="Arial" w:cs="Arial"/>
                <w:sz w:val="22"/>
                <w:szCs w:val="22"/>
              </w:rPr>
            </w:pPr>
          </w:p>
          <w:p w14:paraId="2D0F2FC3" w14:textId="623DA68B"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I</w:t>
            </w:r>
          </w:p>
        </w:tc>
        <w:tc>
          <w:tcPr>
            <w:tcW w:w="851" w:type="dxa"/>
            <w:tcBorders>
              <w:top w:val="single" w:sz="4" w:space="0" w:color="auto"/>
              <w:left w:val="single" w:sz="4" w:space="0" w:color="auto"/>
              <w:bottom w:val="single" w:sz="4" w:space="0" w:color="auto"/>
              <w:right w:val="single" w:sz="4" w:space="0" w:color="auto"/>
            </w:tcBorders>
            <w:vAlign w:val="center"/>
          </w:tcPr>
          <w:p w14:paraId="10C7F5B0" w14:textId="77777777" w:rsidR="003E49F2" w:rsidRDefault="003E49F2" w:rsidP="00341E0C">
            <w:pPr>
              <w:pStyle w:val="Compact"/>
              <w:spacing w:line="360" w:lineRule="auto"/>
              <w:jc w:val="center"/>
              <w:rPr>
                <w:rFonts w:ascii="Arial" w:hAnsi="Arial" w:cs="Arial"/>
                <w:sz w:val="22"/>
                <w:szCs w:val="22"/>
              </w:rPr>
            </w:pPr>
          </w:p>
          <w:p w14:paraId="0F83E223" w14:textId="77777777" w:rsidR="003E49F2" w:rsidRDefault="003E49F2" w:rsidP="00341E0C">
            <w:pPr>
              <w:pStyle w:val="Compact"/>
              <w:spacing w:line="360" w:lineRule="auto"/>
              <w:jc w:val="center"/>
              <w:rPr>
                <w:rFonts w:ascii="Arial" w:hAnsi="Arial" w:cs="Arial"/>
                <w:sz w:val="22"/>
                <w:szCs w:val="22"/>
              </w:rPr>
            </w:pPr>
          </w:p>
          <w:p w14:paraId="3AA80935" w14:textId="7B7D4318"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998" w:type="dxa"/>
            <w:tcBorders>
              <w:top w:val="single" w:sz="4" w:space="0" w:color="auto"/>
              <w:left w:val="single" w:sz="4" w:space="0" w:color="auto"/>
              <w:bottom w:val="single" w:sz="4" w:space="0" w:color="auto"/>
              <w:right w:val="single" w:sz="4" w:space="0" w:color="auto"/>
            </w:tcBorders>
            <w:vAlign w:val="center"/>
          </w:tcPr>
          <w:p w14:paraId="5CFE184F" w14:textId="77777777" w:rsidR="003E49F2" w:rsidRDefault="003E49F2" w:rsidP="00341E0C">
            <w:pPr>
              <w:pStyle w:val="Compact"/>
              <w:spacing w:line="360" w:lineRule="auto"/>
              <w:jc w:val="center"/>
              <w:rPr>
                <w:rFonts w:ascii="Arial" w:hAnsi="Arial" w:cs="Arial"/>
                <w:sz w:val="22"/>
                <w:szCs w:val="22"/>
              </w:rPr>
            </w:pPr>
          </w:p>
          <w:p w14:paraId="4707ED29" w14:textId="77777777" w:rsidR="003E49F2" w:rsidRDefault="003E49F2" w:rsidP="00341E0C">
            <w:pPr>
              <w:pStyle w:val="Compact"/>
              <w:spacing w:line="360" w:lineRule="auto"/>
              <w:jc w:val="center"/>
              <w:rPr>
                <w:rFonts w:ascii="Arial" w:hAnsi="Arial" w:cs="Arial"/>
                <w:sz w:val="22"/>
                <w:szCs w:val="22"/>
              </w:rPr>
            </w:pPr>
          </w:p>
          <w:p w14:paraId="5B760706" w14:textId="51871A4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A / R</w:t>
            </w:r>
          </w:p>
        </w:tc>
        <w:tc>
          <w:tcPr>
            <w:tcW w:w="771" w:type="dxa"/>
            <w:tcBorders>
              <w:top w:val="single" w:sz="4" w:space="0" w:color="auto"/>
              <w:left w:val="single" w:sz="4" w:space="0" w:color="auto"/>
              <w:bottom w:val="single" w:sz="4" w:space="0" w:color="auto"/>
              <w:right w:val="single" w:sz="4" w:space="0" w:color="auto"/>
            </w:tcBorders>
            <w:vAlign w:val="center"/>
          </w:tcPr>
          <w:p w14:paraId="20FF2178" w14:textId="77777777" w:rsidR="003E49F2" w:rsidRDefault="003E49F2" w:rsidP="00341E0C">
            <w:pPr>
              <w:pStyle w:val="Compact"/>
              <w:spacing w:line="360" w:lineRule="auto"/>
              <w:jc w:val="center"/>
              <w:rPr>
                <w:rFonts w:ascii="Arial" w:hAnsi="Arial" w:cs="Arial"/>
                <w:sz w:val="22"/>
                <w:szCs w:val="22"/>
              </w:rPr>
            </w:pPr>
          </w:p>
          <w:p w14:paraId="33C4A6AE" w14:textId="77777777" w:rsidR="003E49F2" w:rsidRDefault="003E49F2" w:rsidP="00341E0C">
            <w:pPr>
              <w:pStyle w:val="Compact"/>
              <w:spacing w:line="360" w:lineRule="auto"/>
              <w:jc w:val="center"/>
              <w:rPr>
                <w:rFonts w:ascii="Arial" w:hAnsi="Arial" w:cs="Arial"/>
                <w:sz w:val="22"/>
                <w:szCs w:val="22"/>
              </w:rPr>
            </w:pPr>
          </w:p>
          <w:p w14:paraId="59F86A0A" w14:textId="16220FCB"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I</w:t>
            </w:r>
          </w:p>
        </w:tc>
        <w:tc>
          <w:tcPr>
            <w:tcW w:w="1003" w:type="dxa"/>
            <w:tcBorders>
              <w:top w:val="single" w:sz="4" w:space="0" w:color="auto"/>
              <w:left w:val="single" w:sz="4" w:space="0" w:color="auto"/>
              <w:bottom w:val="single" w:sz="4" w:space="0" w:color="auto"/>
              <w:right w:val="single" w:sz="4" w:space="0" w:color="auto"/>
            </w:tcBorders>
            <w:vAlign w:val="center"/>
          </w:tcPr>
          <w:p w14:paraId="6A07703B" w14:textId="77777777" w:rsidR="003E49F2" w:rsidRDefault="003E49F2" w:rsidP="00341E0C">
            <w:pPr>
              <w:pStyle w:val="Compact"/>
              <w:spacing w:line="360" w:lineRule="auto"/>
              <w:jc w:val="center"/>
              <w:rPr>
                <w:rFonts w:ascii="Arial" w:hAnsi="Arial" w:cs="Arial"/>
                <w:sz w:val="22"/>
                <w:szCs w:val="22"/>
              </w:rPr>
            </w:pPr>
          </w:p>
          <w:p w14:paraId="69BD5CC7" w14:textId="77777777" w:rsidR="003E49F2" w:rsidRDefault="003E49F2" w:rsidP="00341E0C">
            <w:pPr>
              <w:pStyle w:val="Compact"/>
              <w:spacing w:line="360" w:lineRule="auto"/>
              <w:jc w:val="center"/>
              <w:rPr>
                <w:rFonts w:ascii="Arial" w:hAnsi="Arial" w:cs="Arial"/>
                <w:sz w:val="22"/>
                <w:szCs w:val="22"/>
              </w:rPr>
            </w:pPr>
          </w:p>
          <w:p w14:paraId="2A08DAF3" w14:textId="1A3B2313"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I</w:t>
            </w:r>
          </w:p>
        </w:tc>
        <w:tc>
          <w:tcPr>
            <w:tcW w:w="1221" w:type="dxa"/>
            <w:tcBorders>
              <w:top w:val="single" w:sz="4" w:space="0" w:color="auto"/>
              <w:left w:val="single" w:sz="4" w:space="0" w:color="auto"/>
              <w:bottom w:val="single" w:sz="4" w:space="0" w:color="auto"/>
              <w:right w:val="single" w:sz="4" w:space="0" w:color="auto"/>
            </w:tcBorders>
            <w:vAlign w:val="center"/>
          </w:tcPr>
          <w:p w14:paraId="788EC30C" w14:textId="77777777" w:rsidR="003E49F2" w:rsidRDefault="003E49F2" w:rsidP="00341E0C">
            <w:pPr>
              <w:pStyle w:val="Compact"/>
              <w:spacing w:line="360" w:lineRule="auto"/>
              <w:jc w:val="center"/>
              <w:rPr>
                <w:rFonts w:ascii="Arial" w:hAnsi="Arial" w:cs="Arial"/>
                <w:sz w:val="22"/>
                <w:szCs w:val="22"/>
              </w:rPr>
            </w:pPr>
          </w:p>
          <w:p w14:paraId="47CA49F8" w14:textId="77777777" w:rsidR="003E49F2" w:rsidRDefault="003E49F2" w:rsidP="00341E0C">
            <w:pPr>
              <w:pStyle w:val="Compact"/>
              <w:spacing w:line="360" w:lineRule="auto"/>
              <w:jc w:val="center"/>
              <w:rPr>
                <w:rFonts w:ascii="Arial" w:hAnsi="Arial" w:cs="Arial"/>
                <w:sz w:val="22"/>
                <w:szCs w:val="22"/>
              </w:rPr>
            </w:pPr>
          </w:p>
          <w:p w14:paraId="30C46389" w14:textId="209D2612"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1222" w:type="dxa"/>
            <w:tcBorders>
              <w:top w:val="single" w:sz="4" w:space="0" w:color="auto"/>
              <w:left w:val="single" w:sz="4" w:space="0" w:color="auto"/>
              <w:bottom w:val="single" w:sz="4" w:space="0" w:color="auto"/>
              <w:right w:val="single" w:sz="4" w:space="0" w:color="auto"/>
            </w:tcBorders>
            <w:vAlign w:val="center"/>
          </w:tcPr>
          <w:p w14:paraId="29CAC03D" w14:textId="77777777" w:rsidR="003E49F2" w:rsidRDefault="003E49F2" w:rsidP="00341E0C">
            <w:pPr>
              <w:pStyle w:val="Compact"/>
              <w:spacing w:line="360" w:lineRule="auto"/>
              <w:jc w:val="center"/>
              <w:rPr>
                <w:rFonts w:ascii="Arial" w:hAnsi="Arial" w:cs="Arial"/>
                <w:sz w:val="22"/>
                <w:szCs w:val="22"/>
              </w:rPr>
            </w:pPr>
          </w:p>
          <w:p w14:paraId="159189FB" w14:textId="77777777" w:rsidR="003E49F2" w:rsidRDefault="003E49F2" w:rsidP="00341E0C">
            <w:pPr>
              <w:pStyle w:val="Compact"/>
              <w:spacing w:line="360" w:lineRule="auto"/>
              <w:jc w:val="center"/>
              <w:rPr>
                <w:rFonts w:ascii="Arial" w:hAnsi="Arial" w:cs="Arial"/>
                <w:sz w:val="22"/>
                <w:szCs w:val="22"/>
              </w:rPr>
            </w:pPr>
          </w:p>
          <w:p w14:paraId="792B4EA4" w14:textId="3684893C"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I</w:t>
            </w:r>
          </w:p>
        </w:tc>
      </w:tr>
      <w:tr w:rsidR="009A2198" w:rsidRPr="000B0300" w14:paraId="3ECC48FD" w14:textId="77777777" w:rsidTr="00DE39CF">
        <w:tc>
          <w:tcPr>
            <w:tcW w:w="1616" w:type="dxa"/>
            <w:tcBorders>
              <w:top w:val="single" w:sz="4" w:space="0" w:color="auto"/>
              <w:left w:val="single" w:sz="4" w:space="0" w:color="auto"/>
              <w:bottom w:val="single" w:sz="4" w:space="0" w:color="auto"/>
              <w:right w:val="single" w:sz="4" w:space="0" w:color="auto"/>
            </w:tcBorders>
            <w:shd w:val="clear" w:color="auto" w:fill="FFFF00"/>
          </w:tcPr>
          <w:p w14:paraId="571747F9" w14:textId="77777777" w:rsidR="009A2198" w:rsidRPr="000B0300" w:rsidRDefault="00000000" w:rsidP="00341E0C">
            <w:pPr>
              <w:pStyle w:val="Compact"/>
              <w:spacing w:line="360" w:lineRule="auto"/>
              <w:jc w:val="center"/>
              <w:rPr>
                <w:rFonts w:ascii="Arial" w:hAnsi="Arial" w:cs="Arial"/>
                <w:sz w:val="18"/>
                <w:szCs w:val="18"/>
              </w:rPr>
            </w:pPr>
            <w:r w:rsidRPr="000B0300">
              <w:rPr>
                <w:rFonts w:ascii="Arial" w:hAnsi="Arial" w:cs="Arial"/>
                <w:sz w:val="18"/>
                <w:szCs w:val="18"/>
              </w:rPr>
              <w:t>Regulatory submissions &amp; go/no-go decision</w:t>
            </w:r>
          </w:p>
        </w:tc>
        <w:tc>
          <w:tcPr>
            <w:tcW w:w="1036" w:type="dxa"/>
            <w:tcBorders>
              <w:top w:val="single" w:sz="4" w:space="0" w:color="auto"/>
              <w:left w:val="single" w:sz="4" w:space="0" w:color="auto"/>
              <w:bottom w:val="single" w:sz="4" w:space="0" w:color="auto"/>
              <w:right w:val="single" w:sz="4" w:space="0" w:color="auto"/>
            </w:tcBorders>
            <w:vAlign w:val="center"/>
          </w:tcPr>
          <w:p w14:paraId="33310B8D"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858" w:type="dxa"/>
            <w:tcBorders>
              <w:top w:val="single" w:sz="4" w:space="0" w:color="auto"/>
              <w:left w:val="single" w:sz="4" w:space="0" w:color="auto"/>
              <w:bottom w:val="single" w:sz="4" w:space="0" w:color="auto"/>
              <w:right w:val="single" w:sz="4" w:space="0" w:color="auto"/>
            </w:tcBorders>
            <w:vAlign w:val="center"/>
          </w:tcPr>
          <w:p w14:paraId="7B94EFDE"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851" w:type="dxa"/>
            <w:tcBorders>
              <w:top w:val="single" w:sz="4" w:space="0" w:color="auto"/>
              <w:left w:val="single" w:sz="4" w:space="0" w:color="auto"/>
              <w:bottom w:val="single" w:sz="4" w:space="0" w:color="auto"/>
              <w:right w:val="single" w:sz="4" w:space="0" w:color="auto"/>
            </w:tcBorders>
            <w:vAlign w:val="center"/>
          </w:tcPr>
          <w:p w14:paraId="1BC31B13"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A / R</w:t>
            </w:r>
          </w:p>
        </w:tc>
        <w:tc>
          <w:tcPr>
            <w:tcW w:w="998" w:type="dxa"/>
            <w:tcBorders>
              <w:top w:val="single" w:sz="4" w:space="0" w:color="auto"/>
              <w:left w:val="single" w:sz="4" w:space="0" w:color="auto"/>
              <w:bottom w:val="single" w:sz="4" w:space="0" w:color="auto"/>
              <w:right w:val="single" w:sz="4" w:space="0" w:color="auto"/>
            </w:tcBorders>
            <w:vAlign w:val="center"/>
          </w:tcPr>
          <w:p w14:paraId="26F27275"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I</w:t>
            </w:r>
          </w:p>
        </w:tc>
        <w:tc>
          <w:tcPr>
            <w:tcW w:w="771" w:type="dxa"/>
            <w:tcBorders>
              <w:top w:val="single" w:sz="4" w:space="0" w:color="auto"/>
              <w:left w:val="single" w:sz="4" w:space="0" w:color="auto"/>
              <w:bottom w:val="single" w:sz="4" w:space="0" w:color="auto"/>
              <w:right w:val="single" w:sz="4" w:space="0" w:color="auto"/>
            </w:tcBorders>
            <w:vAlign w:val="center"/>
          </w:tcPr>
          <w:p w14:paraId="3E1DC214"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A</w:t>
            </w:r>
          </w:p>
        </w:tc>
        <w:tc>
          <w:tcPr>
            <w:tcW w:w="1003" w:type="dxa"/>
            <w:tcBorders>
              <w:top w:val="single" w:sz="4" w:space="0" w:color="auto"/>
              <w:left w:val="single" w:sz="4" w:space="0" w:color="auto"/>
              <w:bottom w:val="single" w:sz="4" w:space="0" w:color="auto"/>
              <w:right w:val="single" w:sz="4" w:space="0" w:color="auto"/>
            </w:tcBorders>
            <w:vAlign w:val="center"/>
          </w:tcPr>
          <w:p w14:paraId="16AB4F5C"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1221" w:type="dxa"/>
            <w:tcBorders>
              <w:top w:val="single" w:sz="4" w:space="0" w:color="auto"/>
              <w:left w:val="single" w:sz="4" w:space="0" w:color="auto"/>
              <w:bottom w:val="single" w:sz="4" w:space="0" w:color="auto"/>
              <w:right w:val="single" w:sz="4" w:space="0" w:color="auto"/>
            </w:tcBorders>
            <w:vAlign w:val="center"/>
          </w:tcPr>
          <w:p w14:paraId="45104AF2"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I</w:t>
            </w:r>
          </w:p>
        </w:tc>
        <w:tc>
          <w:tcPr>
            <w:tcW w:w="1222" w:type="dxa"/>
            <w:tcBorders>
              <w:top w:val="single" w:sz="4" w:space="0" w:color="auto"/>
              <w:left w:val="single" w:sz="4" w:space="0" w:color="auto"/>
              <w:bottom w:val="single" w:sz="4" w:space="0" w:color="auto"/>
              <w:right w:val="single" w:sz="4" w:space="0" w:color="auto"/>
            </w:tcBorders>
            <w:vAlign w:val="center"/>
          </w:tcPr>
          <w:p w14:paraId="1D180D8B"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R (review)</w:t>
            </w:r>
          </w:p>
        </w:tc>
      </w:tr>
      <w:tr w:rsidR="009A2198" w:rsidRPr="000B0300" w14:paraId="75647F9F" w14:textId="77777777" w:rsidTr="00DE39CF">
        <w:tc>
          <w:tcPr>
            <w:tcW w:w="1616" w:type="dxa"/>
            <w:tcBorders>
              <w:top w:val="single" w:sz="4" w:space="0" w:color="auto"/>
              <w:left w:val="single" w:sz="4" w:space="0" w:color="auto"/>
              <w:bottom w:val="single" w:sz="4" w:space="0" w:color="auto"/>
              <w:right w:val="single" w:sz="4" w:space="0" w:color="auto"/>
            </w:tcBorders>
            <w:shd w:val="clear" w:color="auto" w:fill="FFFF00"/>
          </w:tcPr>
          <w:p w14:paraId="3E18F44B" w14:textId="77777777" w:rsidR="009A2198" w:rsidRPr="000B0300" w:rsidRDefault="00000000" w:rsidP="00341E0C">
            <w:pPr>
              <w:pStyle w:val="Compact"/>
              <w:spacing w:line="360" w:lineRule="auto"/>
              <w:jc w:val="center"/>
              <w:rPr>
                <w:rFonts w:ascii="Arial" w:hAnsi="Arial" w:cs="Arial"/>
                <w:sz w:val="18"/>
                <w:szCs w:val="18"/>
              </w:rPr>
            </w:pPr>
            <w:r w:rsidRPr="000B0300">
              <w:rPr>
                <w:rFonts w:ascii="Arial" w:hAnsi="Arial" w:cs="Arial"/>
                <w:sz w:val="18"/>
                <w:szCs w:val="18"/>
              </w:rPr>
              <w:t>Post-launch performance review &amp; iteration</w:t>
            </w:r>
          </w:p>
        </w:tc>
        <w:tc>
          <w:tcPr>
            <w:tcW w:w="1036" w:type="dxa"/>
            <w:tcBorders>
              <w:top w:val="single" w:sz="4" w:space="0" w:color="auto"/>
              <w:left w:val="single" w:sz="4" w:space="0" w:color="auto"/>
              <w:bottom w:val="single" w:sz="4" w:space="0" w:color="auto"/>
              <w:right w:val="single" w:sz="4" w:space="0" w:color="auto"/>
            </w:tcBorders>
            <w:vAlign w:val="center"/>
          </w:tcPr>
          <w:p w14:paraId="5E60A7AD"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A</w:t>
            </w:r>
          </w:p>
        </w:tc>
        <w:tc>
          <w:tcPr>
            <w:tcW w:w="858" w:type="dxa"/>
            <w:tcBorders>
              <w:top w:val="single" w:sz="4" w:space="0" w:color="auto"/>
              <w:left w:val="single" w:sz="4" w:space="0" w:color="auto"/>
              <w:bottom w:val="single" w:sz="4" w:space="0" w:color="auto"/>
              <w:right w:val="single" w:sz="4" w:space="0" w:color="auto"/>
            </w:tcBorders>
            <w:vAlign w:val="center"/>
          </w:tcPr>
          <w:p w14:paraId="3D0D8E29"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R</w:t>
            </w:r>
          </w:p>
        </w:tc>
        <w:tc>
          <w:tcPr>
            <w:tcW w:w="851" w:type="dxa"/>
            <w:tcBorders>
              <w:top w:val="single" w:sz="4" w:space="0" w:color="auto"/>
              <w:left w:val="single" w:sz="4" w:space="0" w:color="auto"/>
              <w:bottom w:val="single" w:sz="4" w:space="0" w:color="auto"/>
              <w:right w:val="single" w:sz="4" w:space="0" w:color="auto"/>
            </w:tcBorders>
            <w:vAlign w:val="center"/>
          </w:tcPr>
          <w:p w14:paraId="4C138D77"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998" w:type="dxa"/>
            <w:tcBorders>
              <w:top w:val="single" w:sz="4" w:space="0" w:color="auto"/>
              <w:left w:val="single" w:sz="4" w:space="0" w:color="auto"/>
              <w:bottom w:val="single" w:sz="4" w:space="0" w:color="auto"/>
              <w:right w:val="single" w:sz="4" w:space="0" w:color="auto"/>
            </w:tcBorders>
            <w:vAlign w:val="center"/>
          </w:tcPr>
          <w:p w14:paraId="2526EE84"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R</w:t>
            </w:r>
          </w:p>
        </w:tc>
        <w:tc>
          <w:tcPr>
            <w:tcW w:w="771" w:type="dxa"/>
            <w:tcBorders>
              <w:top w:val="single" w:sz="4" w:space="0" w:color="auto"/>
              <w:left w:val="single" w:sz="4" w:space="0" w:color="auto"/>
              <w:bottom w:val="single" w:sz="4" w:space="0" w:color="auto"/>
              <w:right w:val="single" w:sz="4" w:space="0" w:color="auto"/>
            </w:tcBorders>
            <w:vAlign w:val="center"/>
          </w:tcPr>
          <w:p w14:paraId="61990116"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I</w:t>
            </w:r>
          </w:p>
        </w:tc>
        <w:tc>
          <w:tcPr>
            <w:tcW w:w="1003" w:type="dxa"/>
            <w:tcBorders>
              <w:top w:val="single" w:sz="4" w:space="0" w:color="auto"/>
              <w:left w:val="single" w:sz="4" w:space="0" w:color="auto"/>
              <w:bottom w:val="single" w:sz="4" w:space="0" w:color="auto"/>
              <w:right w:val="single" w:sz="4" w:space="0" w:color="auto"/>
            </w:tcBorders>
            <w:vAlign w:val="center"/>
          </w:tcPr>
          <w:p w14:paraId="45CB9F9B"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1221" w:type="dxa"/>
            <w:tcBorders>
              <w:top w:val="single" w:sz="4" w:space="0" w:color="auto"/>
              <w:left w:val="single" w:sz="4" w:space="0" w:color="auto"/>
              <w:bottom w:val="single" w:sz="4" w:space="0" w:color="auto"/>
              <w:right w:val="single" w:sz="4" w:space="0" w:color="auto"/>
            </w:tcBorders>
            <w:vAlign w:val="center"/>
          </w:tcPr>
          <w:p w14:paraId="2FB6C564"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C</w:t>
            </w:r>
          </w:p>
        </w:tc>
        <w:tc>
          <w:tcPr>
            <w:tcW w:w="1222" w:type="dxa"/>
            <w:tcBorders>
              <w:top w:val="single" w:sz="4" w:space="0" w:color="auto"/>
              <w:left w:val="single" w:sz="4" w:space="0" w:color="auto"/>
              <w:bottom w:val="single" w:sz="4" w:space="0" w:color="auto"/>
              <w:right w:val="single" w:sz="4" w:space="0" w:color="auto"/>
            </w:tcBorders>
            <w:vAlign w:val="center"/>
          </w:tcPr>
          <w:p w14:paraId="11BF5D21" w14:textId="77777777" w:rsidR="009A2198" w:rsidRPr="000B0300" w:rsidRDefault="00000000" w:rsidP="00341E0C">
            <w:pPr>
              <w:pStyle w:val="Compact"/>
              <w:spacing w:line="360" w:lineRule="auto"/>
              <w:jc w:val="center"/>
              <w:rPr>
                <w:rFonts w:ascii="Arial" w:hAnsi="Arial" w:cs="Arial"/>
                <w:sz w:val="22"/>
                <w:szCs w:val="22"/>
              </w:rPr>
            </w:pPr>
            <w:r w:rsidRPr="000B0300">
              <w:rPr>
                <w:rFonts w:ascii="Arial" w:hAnsi="Arial" w:cs="Arial"/>
                <w:sz w:val="22"/>
                <w:szCs w:val="22"/>
              </w:rPr>
              <w:t>I</w:t>
            </w:r>
          </w:p>
        </w:tc>
      </w:tr>
    </w:tbl>
    <w:p w14:paraId="2B80DF4A"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i/>
          <w:iCs/>
          <w:sz w:val="23"/>
          <w:szCs w:val="23"/>
        </w:rPr>
        <w:t>Key: R = Responsible (does the work); A = Accountable (final decision/ownership); C = Consulted (input sought); I = Informed (kept up to date).</w:t>
      </w:r>
    </w:p>
    <w:p w14:paraId="0A02DC59"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This matrix clarifies that while the Project Manager is accountable for overall delivery, Legal/DPO holds accountability for compliance-critical decisions, preventing unilateral actions that could expose the organisation to regulatory or reputational harm.</w:t>
      </w:r>
    </w:p>
    <w:p w14:paraId="68361969" w14:textId="77777777" w:rsidR="003E49F2" w:rsidRDefault="003E49F2" w:rsidP="00341E0C">
      <w:pPr>
        <w:pStyle w:val="BodyText"/>
        <w:spacing w:line="360" w:lineRule="auto"/>
        <w:jc w:val="center"/>
        <w:rPr>
          <w:rFonts w:ascii="Arial" w:hAnsi="Arial" w:cs="Arial"/>
          <w:b/>
          <w:bCs/>
          <w:sz w:val="23"/>
          <w:szCs w:val="23"/>
        </w:rPr>
      </w:pPr>
      <w:bookmarkStart w:id="14" w:name="conflict-management"/>
      <w:bookmarkEnd w:id="13"/>
    </w:p>
    <w:p w14:paraId="22839374" w14:textId="77777777" w:rsidR="003E49F2" w:rsidRDefault="003E49F2" w:rsidP="00341E0C">
      <w:pPr>
        <w:pStyle w:val="BodyText"/>
        <w:spacing w:line="360" w:lineRule="auto"/>
        <w:jc w:val="center"/>
        <w:rPr>
          <w:rFonts w:ascii="Arial" w:hAnsi="Arial" w:cs="Arial"/>
          <w:b/>
          <w:bCs/>
          <w:sz w:val="23"/>
          <w:szCs w:val="23"/>
        </w:rPr>
      </w:pPr>
    </w:p>
    <w:p w14:paraId="6755372D" w14:textId="77777777" w:rsidR="00B0634E" w:rsidRDefault="00B0634E" w:rsidP="00341E0C">
      <w:pPr>
        <w:pStyle w:val="BodyText"/>
        <w:spacing w:line="360" w:lineRule="auto"/>
        <w:jc w:val="center"/>
        <w:rPr>
          <w:rFonts w:ascii="Arial" w:hAnsi="Arial" w:cs="Arial"/>
          <w:b/>
          <w:bCs/>
          <w:sz w:val="23"/>
          <w:szCs w:val="23"/>
        </w:rPr>
      </w:pPr>
    </w:p>
    <w:p w14:paraId="6FC698C7" w14:textId="77777777" w:rsidR="00B0634E" w:rsidRDefault="00B0634E" w:rsidP="00341E0C">
      <w:pPr>
        <w:pStyle w:val="BodyText"/>
        <w:spacing w:line="360" w:lineRule="auto"/>
        <w:jc w:val="center"/>
        <w:rPr>
          <w:rFonts w:ascii="Arial" w:hAnsi="Arial" w:cs="Arial"/>
          <w:b/>
          <w:bCs/>
          <w:sz w:val="23"/>
          <w:szCs w:val="23"/>
        </w:rPr>
      </w:pPr>
    </w:p>
    <w:p w14:paraId="1BA996C9" w14:textId="77777777" w:rsidR="00B0634E" w:rsidRDefault="00B0634E" w:rsidP="00341E0C">
      <w:pPr>
        <w:pStyle w:val="BodyText"/>
        <w:spacing w:line="360" w:lineRule="auto"/>
        <w:jc w:val="center"/>
        <w:rPr>
          <w:rFonts w:ascii="Arial" w:hAnsi="Arial" w:cs="Arial"/>
          <w:b/>
          <w:bCs/>
          <w:sz w:val="23"/>
          <w:szCs w:val="23"/>
        </w:rPr>
      </w:pPr>
    </w:p>
    <w:p w14:paraId="544E93E4" w14:textId="77777777" w:rsidR="00693C84" w:rsidRDefault="00693C84" w:rsidP="00341E0C">
      <w:pPr>
        <w:pStyle w:val="BodyText"/>
        <w:spacing w:line="360" w:lineRule="auto"/>
        <w:jc w:val="center"/>
        <w:rPr>
          <w:rFonts w:ascii="Arial" w:hAnsi="Arial" w:cs="Arial"/>
          <w:b/>
          <w:bCs/>
          <w:sz w:val="23"/>
          <w:szCs w:val="23"/>
        </w:rPr>
      </w:pPr>
    </w:p>
    <w:p w14:paraId="619B9249" w14:textId="77777777" w:rsidR="008E10FF" w:rsidRDefault="008E10FF" w:rsidP="00341E0C">
      <w:pPr>
        <w:pStyle w:val="BodyText"/>
        <w:spacing w:line="360" w:lineRule="auto"/>
        <w:rPr>
          <w:rFonts w:ascii="Arial" w:hAnsi="Arial" w:cs="Arial"/>
          <w:b/>
          <w:bCs/>
          <w:sz w:val="23"/>
          <w:szCs w:val="23"/>
        </w:rPr>
      </w:pPr>
    </w:p>
    <w:p w14:paraId="69C6DB45" w14:textId="77777777" w:rsidR="008E10FF" w:rsidRDefault="008E10FF" w:rsidP="00341E0C">
      <w:pPr>
        <w:pStyle w:val="BodyText"/>
        <w:spacing w:line="360" w:lineRule="auto"/>
        <w:rPr>
          <w:rFonts w:ascii="Arial" w:hAnsi="Arial" w:cs="Arial"/>
          <w:b/>
          <w:bCs/>
          <w:sz w:val="23"/>
          <w:szCs w:val="23"/>
        </w:rPr>
      </w:pPr>
    </w:p>
    <w:p w14:paraId="23CFDDB5" w14:textId="2847E91E" w:rsidR="003E49F2" w:rsidRDefault="003E49F2" w:rsidP="00341E0C">
      <w:pPr>
        <w:pStyle w:val="BodyText"/>
        <w:spacing w:line="360" w:lineRule="auto"/>
        <w:rPr>
          <w:rFonts w:ascii="Arial" w:hAnsi="Arial" w:cs="Arial"/>
          <w:b/>
          <w:bCs/>
          <w:sz w:val="23"/>
          <w:szCs w:val="23"/>
        </w:rPr>
      </w:pPr>
      <w:r w:rsidRPr="003E49F2">
        <w:rPr>
          <w:rFonts w:ascii="Arial" w:hAnsi="Arial" w:cs="Arial"/>
          <w:b/>
          <w:bCs/>
          <w:sz w:val="23"/>
          <w:szCs w:val="23"/>
        </w:rPr>
        <w:lastRenderedPageBreak/>
        <w:t>Conflict Management</w:t>
      </w:r>
    </w:p>
    <w:p w14:paraId="6E4B703D" w14:textId="072046BF"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Conflict is inevitable in complex, multi-stakeholder projects.</w:t>
      </w:r>
      <w:r w:rsidR="000B0300">
        <w:rPr>
          <w:rFonts w:ascii="Arial" w:hAnsi="Arial" w:cs="Arial"/>
          <w:sz w:val="23"/>
          <w:szCs w:val="23"/>
        </w:rPr>
        <w:t xml:space="preserve"> C</w:t>
      </w:r>
      <w:r w:rsidRPr="000B0300">
        <w:rPr>
          <w:rFonts w:ascii="Arial" w:hAnsi="Arial" w:cs="Arial"/>
          <w:sz w:val="23"/>
          <w:szCs w:val="23"/>
        </w:rPr>
        <w:t>onflicts may be functional (improving outcomes through constructive challenge) or dysfunctional (impeding progress). Examples likely in this project include:</w:t>
      </w:r>
    </w:p>
    <w:p w14:paraId="5F1DC6F3" w14:textId="77777777" w:rsidR="009A2198" w:rsidRPr="000B0300" w:rsidRDefault="00000000" w:rsidP="00341E0C">
      <w:pPr>
        <w:pStyle w:val="Compact"/>
        <w:numPr>
          <w:ilvl w:val="0"/>
          <w:numId w:val="7"/>
        </w:numPr>
        <w:spacing w:line="360" w:lineRule="auto"/>
        <w:jc w:val="both"/>
        <w:rPr>
          <w:rFonts w:ascii="Arial" w:hAnsi="Arial" w:cs="Arial"/>
          <w:sz w:val="23"/>
          <w:szCs w:val="23"/>
        </w:rPr>
      </w:pPr>
      <w:r w:rsidRPr="000B0300">
        <w:rPr>
          <w:rFonts w:ascii="Arial" w:hAnsi="Arial" w:cs="Arial"/>
          <w:sz w:val="23"/>
          <w:szCs w:val="23"/>
        </w:rPr>
        <w:t>Tension between Project Team’s desire for rapid iteration and Legal/DPO’s requirement for exhaustive risk assessment (time vs. compliance).</w:t>
      </w:r>
    </w:p>
    <w:p w14:paraId="14663C9C" w14:textId="77777777" w:rsidR="009A2198" w:rsidRPr="000B0300" w:rsidRDefault="00000000" w:rsidP="00341E0C">
      <w:pPr>
        <w:pStyle w:val="Compact"/>
        <w:numPr>
          <w:ilvl w:val="0"/>
          <w:numId w:val="7"/>
        </w:numPr>
        <w:spacing w:line="360" w:lineRule="auto"/>
        <w:jc w:val="both"/>
        <w:rPr>
          <w:rFonts w:ascii="Arial" w:hAnsi="Arial" w:cs="Arial"/>
          <w:sz w:val="23"/>
          <w:szCs w:val="23"/>
        </w:rPr>
      </w:pPr>
      <w:r w:rsidRPr="000B0300">
        <w:rPr>
          <w:rFonts w:ascii="Arial" w:hAnsi="Arial" w:cs="Arial"/>
          <w:sz w:val="23"/>
          <w:szCs w:val="23"/>
        </w:rPr>
        <w:t>Investor pressure for quick financial returns versus the Board’s longer-term brand and sustainability objectives.</w:t>
      </w:r>
    </w:p>
    <w:p w14:paraId="312FE877" w14:textId="77777777" w:rsidR="009A2198" w:rsidRPr="000B0300" w:rsidRDefault="00000000" w:rsidP="00341E0C">
      <w:pPr>
        <w:pStyle w:val="Compact"/>
        <w:numPr>
          <w:ilvl w:val="0"/>
          <w:numId w:val="7"/>
        </w:numPr>
        <w:spacing w:line="360" w:lineRule="auto"/>
        <w:jc w:val="both"/>
        <w:rPr>
          <w:rFonts w:ascii="Arial" w:hAnsi="Arial" w:cs="Arial"/>
          <w:sz w:val="23"/>
          <w:szCs w:val="23"/>
        </w:rPr>
      </w:pPr>
      <w:r w:rsidRPr="000B0300">
        <w:rPr>
          <w:rFonts w:ascii="Arial" w:hAnsi="Arial" w:cs="Arial"/>
          <w:sz w:val="23"/>
          <w:szCs w:val="23"/>
        </w:rPr>
        <w:t>Differing cultural expectations between UK-centric design teams and APAC market leads regarding data sharing and personalisation.</w:t>
      </w:r>
    </w:p>
    <w:p w14:paraId="15F5F520" w14:textId="77777777"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To manage these, the following approaches will be employed:</w:t>
      </w:r>
    </w:p>
    <w:p w14:paraId="17C98293" w14:textId="77777777" w:rsidR="009A2198" w:rsidRPr="000B0300" w:rsidRDefault="00000000" w:rsidP="00341E0C">
      <w:pPr>
        <w:pStyle w:val="Compact"/>
        <w:numPr>
          <w:ilvl w:val="0"/>
          <w:numId w:val="8"/>
        </w:numPr>
        <w:spacing w:line="360" w:lineRule="auto"/>
        <w:jc w:val="both"/>
        <w:rPr>
          <w:rFonts w:ascii="Arial" w:hAnsi="Arial" w:cs="Arial"/>
          <w:sz w:val="23"/>
          <w:szCs w:val="23"/>
        </w:rPr>
      </w:pPr>
      <w:r w:rsidRPr="000B0300">
        <w:rPr>
          <w:rFonts w:ascii="Arial" w:hAnsi="Arial" w:cs="Arial"/>
          <w:b/>
          <w:bCs/>
          <w:sz w:val="23"/>
          <w:szCs w:val="23"/>
        </w:rPr>
        <w:t>Early identification and open dialogue</w:t>
      </w:r>
      <w:r w:rsidRPr="000B0300">
        <w:rPr>
          <w:rFonts w:ascii="Arial" w:hAnsi="Arial" w:cs="Arial"/>
          <w:sz w:val="23"/>
          <w:szCs w:val="23"/>
        </w:rPr>
        <w:t>: Regular risk and issue logs reviewed in steering group meetings; psychological safety encouraged so concerns surface early.</w:t>
      </w:r>
    </w:p>
    <w:p w14:paraId="28A312DA" w14:textId="77777777" w:rsidR="009A2198" w:rsidRPr="000B0300" w:rsidRDefault="00000000" w:rsidP="00341E0C">
      <w:pPr>
        <w:pStyle w:val="Compact"/>
        <w:numPr>
          <w:ilvl w:val="0"/>
          <w:numId w:val="8"/>
        </w:numPr>
        <w:spacing w:line="360" w:lineRule="auto"/>
        <w:jc w:val="both"/>
        <w:rPr>
          <w:rFonts w:ascii="Arial" w:hAnsi="Arial" w:cs="Arial"/>
          <w:sz w:val="23"/>
          <w:szCs w:val="23"/>
        </w:rPr>
      </w:pPr>
      <w:r w:rsidRPr="000B0300">
        <w:rPr>
          <w:rFonts w:ascii="Arial" w:hAnsi="Arial" w:cs="Arial"/>
          <w:b/>
          <w:bCs/>
          <w:sz w:val="23"/>
          <w:szCs w:val="23"/>
        </w:rPr>
        <w:t>Structured negotiation and trade-off analysis</w:t>
      </w:r>
      <w:r w:rsidRPr="000B0300">
        <w:rPr>
          <w:rFonts w:ascii="Arial" w:hAnsi="Arial" w:cs="Arial"/>
          <w:sz w:val="23"/>
          <w:szCs w:val="23"/>
        </w:rPr>
        <w:t>: Use of decision frameworks (e.g., weighted scoring of speed vs. risk) with transparent rationale.</w:t>
      </w:r>
    </w:p>
    <w:p w14:paraId="737562CC" w14:textId="7D482F29" w:rsidR="009A2198" w:rsidRPr="000B0300" w:rsidRDefault="00000000" w:rsidP="00341E0C">
      <w:pPr>
        <w:pStyle w:val="Compact"/>
        <w:numPr>
          <w:ilvl w:val="0"/>
          <w:numId w:val="8"/>
        </w:numPr>
        <w:spacing w:line="360" w:lineRule="auto"/>
        <w:jc w:val="both"/>
        <w:rPr>
          <w:rFonts w:ascii="Arial" w:hAnsi="Arial" w:cs="Arial"/>
          <w:sz w:val="23"/>
          <w:szCs w:val="23"/>
        </w:rPr>
      </w:pPr>
      <w:r w:rsidRPr="000B0300">
        <w:rPr>
          <w:rFonts w:ascii="Arial" w:hAnsi="Arial" w:cs="Arial"/>
          <w:b/>
          <w:bCs/>
          <w:sz w:val="23"/>
          <w:szCs w:val="23"/>
        </w:rPr>
        <w:t>Mediation and facilitation</w:t>
      </w:r>
      <w:r w:rsidRPr="000B0300">
        <w:rPr>
          <w:rFonts w:ascii="Arial" w:hAnsi="Arial" w:cs="Arial"/>
          <w:sz w:val="23"/>
          <w:szCs w:val="23"/>
        </w:rPr>
        <w:t>: For inter-team conflicts, independent facilitation (potentially from HR Change team) to reframe positions as shared problems rather than adversarial stances (transforming conflict into problem-solving).</w:t>
      </w:r>
    </w:p>
    <w:p w14:paraId="795C1D19" w14:textId="3C359A84" w:rsidR="009A2198" w:rsidRPr="000B0300" w:rsidRDefault="00000000" w:rsidP="00341E0C">
      <w:pPr>
        <w:pStyle w:val="Compact"/>
        <w:numPr>
          <w:ilvl w:val="0"/>
          <w:numId w:val="8"/>
        </w:numPr>
        <w:spacing w:line="360" w:lineRule="auto"/>
        <w:jc w:val="both"/>
        <w:rPr>
          <w:rFonts w:ascii="Arial" w:hAnsi="Arial" w:cs="Arial"/>
          <w:sz w:val="23"/>
          <w:szCs w:val="23"/>
        </w:rPr>
      </w:pPr>
      <w:r w:rsidRPr="000B0300">
        <w:rPr>
          <w:rFonts w:ascii="Arial" w:hAnsi="Arial" w:cs="Arial"/>
          <w:b/>
          <w:bCs/>
          <w:sz w:val="23"/>
          <w:szCs w:val="23"/>
        </w:rPr>
        <w:t>Focus on mutuality and shared vision</w:t>
      </w:r>
      <w:r w:rsidRPr="000B0300">
        <w:rPr>
          <w:rFonts w:ascii="Arial" w:hAnsi="Arial" w:cs="Arial"/>
          <w:sz w:val="23"/>
          <w:szCs w:val="23"/>
        </w:rPr>
        <w:t xml:space="preserve">: Reminding stakeholders of the overarching SMART objectives and the “win-win” potential demonstrated in case studies such as Marks &amp; Spencer’s supply chain sustainability </w:t>
      </w:r>
      <w:proofErr w:type="spellStart"/>
      <w:r w:rsidRPr="000B0300">
        <w:rPr>
          <w:rFonts w:ascii="Arial" w:hAnsi="Arial" w:cs="Arial"/>
          <w:sz w:val="23"/>
          <w:szCs w:val="23"/>
        </w:rPr>
        <w:t>programme</w:t>
      </w:r>
      <w:proofErr w:type="spellEnd"/>
      <w:r w:rsidRPr="000B0300">
        <w:rPr>
          <w:rFonts w:ascii="Arial" w:hAnsi="Arial" w:cs="Arial"/>
          <w:sz w:val="23"/>
          <w:szCs w:val="23"/>
        </w:rPr>
        <w:t>.</w:t>
      </w:r>
    </w:p>
    <w:p w14:paraId="5DD544FC" w14:textId="77777777"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By treating conflict as a natural part of stakeholder dynamics and applying principled negotiation, the project can convert potential dysfunction into improved solutions, such as hybrid compliance processes that satisfy both speed and rigour.</w:t>
      </w:r>
    </w:p>
    <w:p w14:paraId="59C46FF5" w14:textId="6570F887" w:rsidR="009A2198" w:rsidRDefault="009A2198" w:rsidP="00341E0C">
      <w:pPr>
        <w:spacing w:line="360" w:lineRule="auto"/>
        <w:jc w:val="both"/>
        <w:rPr>
          <w:rFonts w:ascii="Arial" w:hAnsi="Arial" w:cs="Arial"/>
          <w:sz w:val="23"/>
          <w:szCs w:val="23"/>
        </w:rPr>
      </w:pPr>
    </w:p>
    <w:p w14:paraId="5D468EED" w14:textId="77777777" w:rsidR="003C409A" w:rsidRDefault="003C409A" w:rsidP="00341E0C">
      <w:pPr>
        <w:pStyle w:val="BodyText"/>
        <w:spacing w:line="360" w:lineRule="auto"/>
        <w:jc w:val="center"/>
        <w:rPr>
          <w:rFonts w:ascii="Arial" w:hAnsi="Arial" w:cs="Arial"/>
          <w:b/>
          <w:bCs/>
          <w:sz w:val="23"/>
          <w:szCs w:val="23"/>
        </w:rPr>
      </w:pPr>
      <w:bookmarkStart w:id="15" w:name="X46c081ca944c9ee524cdc43e19b2e6ca21f0cb6"/>
      <w:bookmarkEnd w:id="9"/>
      <w:bookmarkEnd w:id="14"/>
    </w:p>
    <w:p w14:paraId="04CFDD8F" w14:textId="77777777" w:rsidR="00B0634E" w:rsidRDefault="00B0634E" w:rsidP="00341E0C">
      <w:pPr>
        <w:pStyle w:val="BodyText"/>
        <w:spacing w:line="360" w:lineRule="auto"/>
        <w:jc w:val="center"/>
        <w:rPr>
          <w:rFonts w:ascii="Arial" w:hAnsi="Arial" w:cs="Arial"/>
          <w:b/>
          <w:bCs/>
          <w:sz w:val="23"/>
          <w:szCs w:val="23"/>
        </w:rPr>
      </w:pPr>
    </w:p>
    <w:p w14:paraId="361FFB1D" w14:textId="75F40602" w:rsidR="003C409A" w:rsidRPr="003C409A" w:rsidRDefault="003C409A" w:rsidP="00341E0C">
      <w:pPr>
        <w:pStyle w:val="BodyText"/>
        <w:spacing w:line="360" w:lineRule="auto"/>
        <w:rPr>
          <w:rFonts w:ascii="Arial" w:hAnsi="Arial" w:cs="Arial"/>
          <w:b/>
          <w:bCs/>
          <w:sz w:val="23"/>
          <w:szCs w:val="23"/>
        </w:rPr>
      </w:pPr>
      <w:r w:rsidRPr="003C409A">
        <w:rPr>
          <w:rFonts w:ascii="Arial" w:hAnsi="Arial" w:cs="Arial"/>
          <w:b/>
          <w:bCs/>
          <w:sz w:val="23"/>
          <w:szCs w:val="23"/>
        </w:rPr>
        <w:lastRenderedPageBreak/>
        <w:t>Impact of Sustainable stakeholder engagement on business performance</w:t>
      </w:r>
    </w:p>
    <w:p w14:paraId="29244DFF" w14:textId="77777777"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Sustainable stakeholder engagement—characterised by ongoing dialogue, transparency, mutual value creation, and ethical practice—has a demonstrable positive impact on organisational performance, particularly for a global digital initiative such as ConnectPlus. This section evaluates the mechanisms through which engagement drives performance, drawing on academic literature and industry evidence, while critically acknowledging limitations.</w:t>
      </w:r>
    </w:p>
    <w:p w14:paraId="6F394AF1" w14:textId="6CDA0EDD" w:rsidR="003C409A" w:rsidRPr="003C409A" w:rsidRDefault="003C409A" w:rsidP="00341E0C">
      <w:pPr>
        <w:pStyle w:val="BodyText"/>
        <w:spacing w:line="360" w:lineRule="auto"/>
        <w:rPr>
          <w:rFonts w:ascii="Arial" w:hAnsi="Arial" w:cs="Arial"/>
          <w:b/>
          <w:bCs/>
          <w:sz w:val="23"/>
          <w:szCs w:val="23"/>
        </w:rPr>
      </w:pPr>
      <w:bookmarkStart w:id="16" w:name="mechanisms-of-positive-impact"/>
      <w:r w:rsidRPr="003C409A">
        <w:rPr>
          <w:rFonts w:ascii="Arial" w:hAnsi="Arial" w:cs="Arial"/>
          <w:b/>
          <w:bCs/>
          <w:sz w:val="23"/>
          <w:szCs w:val="23"/>
        </w:rPr>
        <w:t>Mechanisms of positive impact</w:t>
      </w:r>
    </w:p>
    <w:p w14:paraId="1C90D413" w14:textId="355BB9B6"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 xml:space="preserve">First, effective engagement reduces project risk and enhances delivery certainty. By involving Legal/Compliance and Regulators early (definitive stakeholders), Tesco can anticipate and address regulatory hurdles, avoiding costly delays or post-launch remediation. The LG Electronics case (Jun and Kim, 2021) illustrates how structured stakeholder communication around sustainability goals strengthened organisational legitimacy and supported business expansion. </w:t>
      </w:r>
    </w:p>
    <w:p w14:paraId="7B24A38E"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Second, engagement builds trust and relational capital, which translates into commercial outcomes. Customers who perceive that their data is handled ethically and that their preferences shape the platform are more likely to remain loyal and advocate for the brand. Research consistently links strong stakeholder relationships to improved customer lifetime value and resilience during market disruptions (Christopher, Payne and Ballantyne, 2013; Ashcroft, 2017). For Tesco, this supports the strategic goal of significantly increasing customer lifetime value and basket size through superior personalisation.</w:t>
      </w:r>
    </w:p>
    <w:p w14:paraId="47A389CD" w14:textId="764D39BF"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Third, engagement fosters innovation and organisational learning. Collaboration with Technology Partners and diverse customer segments brings external knowledge and fresh perspectives, enhancing the AI personalisation engine and feature roadmap. Internal engagement across functions breaks down silos, improving cross-functional agility—a key capability in fast-moving retail</w:t>
      </w:r>
      <w:r w:rsidR="003C409A">
        <w:rPr>
          <w:rFonts w:ascii="Arial" w:hAnsi="Arial" w:cs="Arial"/>
          <w:sz w:val="23"/>
          <w:szCs w:val="23"/>
        </w:rPr>
        <w:t>.</w:t>
      </w:r>
    </w:p>
    <w:p w14:paraId="67EA6A31" w14:textId="1325B29A"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 xml:space="preserve">Fourth, sustainable engagement strengthens reputation and licence to operate. In an era of heightened scrutiny of AI and data practices, demonstrable commitment to stakeholder concerns (e.g., through published AI ethics principles developed in consultation with NGOs) differentiates Tesco from competitors (particularly discounters and pure-play online </w:t>
      </w:r>
      <w:r w:rsidRPr="000B0300">
        <w:rPr>
          <w:rFonts w:ascii="Arial" w:hAnsi="Arial" w:cs="Arial"/>
          <w:sz w:val="23"/>
          <w:szCs w:val="23"/>
        </w:rPr>
        <w:lastRenderedPageBreak/>
        <w:t xml:space="preserve">retailers) and attracts </w:t>
      </w:r>
      <w:r w:rsidR="003C409A" w:rsidRPr="000B0300">
        <w:rPr>
          <w:rFonts w:ascii="Arial" w:hAnsi="Arial" w:cs="Arial"/>
          <w:sz w:val="23"/>
          <w:szCs w:val="23"/>
        </w:rPr>
        <w:t>value</w:t>
      </w:r>
      <w:r w:rsidR="003C409A">
        <w:rPr>
          <w:rFonts w:ascii="Arial" w:hAnsi="Arial" w:cs="Arial"/>
          <w:sz w:val="23"/>
          <w:szCs w:val="23"/>
        </w:rPr>
        <w:t xml:space="preserve"> </w:t>
      </w:r>
      <w:r w:rsidRPr="000B0300">
        <w:rPr>
          <w:rFonts w:ascii="Arial" w:hAnsi="Arial" w:cs="Arial"/>
          <w:sz w:val="23"/>
          <w:szCs w:val="23"/>
        </w:rPr>
        <w:t>aligned investors, talent, and supplier partners. This aligns with broader evidence that companies with mature stakeholder engagement practices exhibit superior ESG performance, resilience, and lower cost of capital.</w:t>
      </w:r>
    </w:p>
    <w:p w14:paraId="24F1CF26" w14:textId="77777777" w:rsidR="003C409A" w:rsidRDefault="003C409A" w:rsidP="00341E0C">
      <w:pPr>
        <w:pStyle w:val="BodyText"/>
        <w:spacing w:line="360" w:lineRule="auto"/>
        <w:jc w:val="center"/>
        <w:rPr>
          <w:rFonts w:ascii="Arial" w:hAnsi="Arial" w:cs="Arial"/>
          <w:b/>
          <w:bCs/>
          <w:sz w:val="23"/>
          <w:szCs w:val="23"/>
        </w:rPr>
      </w:pPr>
      <w:bookmarkStart w:id="17" w:name="X71309f199b92706a8408288d6b49c14367b3fd9"/>
      <w:bookmarkEnd w:id="16"/>
    </w:p>
    <w:p w14:paraId="700E0066" w14:textId="51BFC82A" w:rsidR="003C409A" w:rsidRPr="003C409A" w:rsidRDefault="003C409A" w:rsidP="00341E0C">
      <w:pPr>
        <w:pStyle w:val="BodyText"/>
        <w:spacing w:line="360" w:lineRule="auto"/>
        <w:rPr>
          <w:rFonts w:ascii="Arial" w:hAnsi="Arial" w:cs="Arial"/>
          <w:b/>
          <w:bCs/>
          <w:sz w:val="23"/>
          <w:szCs w:val="23"/>
        </w:rPr>
      </w:pPr>
      <w:r w:rsidRPr="003C409A">
        <w:rPr>
          <w:rFonts w:ascii="Arial" w:hAnsi="Arial" w:cs="Arial"/>
          <w:b/>
          <w:bCs/>
          <w:sz w:val="23"/>
          <w:szCs w:val="23"/>
        </w:rPr>
        <w:t>Critical evaluation and potential limitations</w:t>
      </w:r>
    </w:p>
    <w:p w14:paraId="31496722" w14:textId="3FA6A5F1"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 xml:space="preserve">However, the relationship between engagement and performance is not automatic or universally positive. High-quality engagement requires significant investment of time, expertise, and financial </w:t>
      </w:r>
      <w:r w:rsidR="00DB5718" w:rsidRPr="000B0300">
        <w:rPr>
          <w:rFonts w:ascii="Arial" w:hAnsi="Arial" w:cs="Arial"/>
          <w:sz w:val="23"/>
          <w:szCs w:val="23"/>
        </w:rPr>
        <w:t xml:space="preserve">resources, </w:t>
      </w:r>
      <w:r w:rsidRPr="000B0300">
        <w:rPr>
          <w:rFonts w:ascii="Arial" w:hAnsi="Arial" w:cs="Arial"/>
          <w:sz w:val="23"/>
          <w:szCs w:val="23"/>
        </w:rPr>
        <w:t>particularly challenging within a six-month window and finite budget. There is a risk of “engagement fatigue” or tokenism if processes are poorly designed, leading to cynicism among stakeholders and diminished returns (Greenwood, 2007). Power imbalances may result in dominant voices (e.g., investors or senior management) overshadowing dependent stakeholders (e.g., privacy NGOs or marginalised customer groups), producing outcomes that are sustainable only in appearance.</w:t>
      </w:r>
    </w:p>
    <w:p w14:paraId="68066342"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Measurement difficulties also exist. While adoption rates and NPS are quantifiable, the contribution of engagement activities to these metrics is often indirect and lagged. Over-claiming causality risks undermining credibility with the Board. Furthermore, in certain contexts, extensive consultation can slow decision-making to the point where competitive advantage is lost—particularly relevant against fast-moving rivals.</w:t>
      </w:r>
    </w:p>
    <w:p w14:paraId="581AC7FF" w14:textId="258DC6EE"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 xml:space="preserve">Nevertheless, the weight of evidence from the module case studies (LG Electronics, Marks &amp; Spencer) and theoretical foundations supports the conclusion that, when executed thoughtfully and embedded within </w:t>
      </w:r>
      <w:proofErr w:type="spellStart"/>
      <w:r w:rsidRPr="000B0300">
        <w:rPr>
          <w:rFonts w:ascii="Arial" w:hAnsi="Arial" w:cs="Arial"/>
          <w:sz w:val="23"/>
          <w:szCs w:val="23"/>
        </w:rPr>
        <w:t>organisational</w:t>
      </w:r>
      <w:proofErr w:type="spellEnd"/>
      <w:r w:rsidRPr="000B0300">
        <w:rPr>
          <w:rFonts w:ascii="Arial" w:hAnsi="Arial" w:cs="Arial"/>
          <w:sz w:val="23"/>
          <w:szCs w:val="23"/>
        </w:rPr>
        <w:t xml:space="preserve"> culture, sustainable stakeholder engagement is a net positive driver of performance. For ConnectPlus, it is not merely a “nice to have” but a strategic imperative for achieving the SMART objectives and realising Tesco’s broader ambition of responsible digital leadership in UK and international retail.</w:t>
      </w:r>
    </w:p>
    <w:p w14:paraId="1677667E" w14:textId="41D401A0" w:rsidR="009A2198" w:rsidRPr="000B0300" w:rsidRDefault="009A2198" w:rsidP="00341E0C">
      <w:pPr>
        <w:spacing w:line="360" w:lineRule="auto"/>
        <w:jc w:val="both"/>
        <w:rPr>
          <w:rFonts w:ascii="Arial" w:hAnsi="Arial" w:cs="Arial"/>
          <w:sz w:val="23"/>
          <w:szCs w:val="23"/>
        </w:rPr>
      </w:pPr>
    </w:p>
    <w:p w14:paraId="7DA3B5FA" w14:textId="6EF87DB2" w:rsidR="009A2198" w:rsidRDefault="009A2198" w:rsidP="00341E0C">
      <w:pPr>
        <w:pStyle w:val="Heading2"/>
        <w:spacing w:line="360" w:lineRule="auto"/>
        <w:jc w:val="both"/>
        <w:rPr>
          <w:rFonts w:ascii="Arial" w:hAnsi="Arial" w:cs="Arial"/>
          <w:sz w:val="23"/>
          <w:szCs w:val="23"/>
        </w:rPr>
      </w:pPr>
      <w:bookmarkStart w:id="18" w:name="recommendations-and-conclusion"/>
      <w:bookmarkEnd w:id="15"/>
      <w:bookmarkEnd w:id="17"/>
    </w:p>
    <w:p w14:paraId="65A87F61" w14:textId="77777777" w:rsidR="00B0634E" w:rsidRDefault="00B0634E" w:rsidP="00341E0C">
      <w:pPr>
        <w:pStyle w:val="BodyText"/>
        <w:spacing w:line="360" w:lineRule="auto"/>
        <w:jc w:val="center"/>
        <w:rPr>
          <w:rFonts w:ascii="Arial" w:hAnsi="Arial" w:cs="Arial"/>
          <w:b/>
          <w:bCs/>
          <w:sz w:val="23"/>
          <w:szCs w:val="23"/>
        </w:rPr>
      </w:pPr>
    </w:p>
    <w:p w14:paraId="39A8F214" w14:textId="77777777" w:rsidR="008E10FF" w:rsidRDefault="008E10FF" w:rsidP="00341E0C">
      <w:pPr>
        <w:pStyle w:val="BodyText"/>
        <w:spacing w:line="360" w:lineRule="auto"/>
        <w:rPr>
          <w:rFonts w:ascii="Arial" w:hAnsi="Arial" w:cs="Arial"/>
          <w:b/>
          <w:bCs/>
          <w:sz w:val="23"/>
          <w:szCs w:val="23"/>
        </w:rPr>
      </w:pPr>
    </w:p>
    <w:p w14:paraId="5AEDB062" w14:textId="76CD364C" w:rsidR="00DB5718" w:rsidRDefault="00DB5718" w:rsidP="00341E0C">
      <w:pPr>
        <w:pStyle w:val="BodyText"/>
        <w:spacing w:line="360" w:lineRule="auto"/>
        <w:rPr>
          <w:rFonts w:ascii="Arial" w:hAnsi="Arial" w:cs="Arial"/>
          <w:b/>
          <w:bCs/>
          <w:sz w:val="23"/>
          <w:szCs w:val="23"/>
        </w:rPr>
      </w:pPr>
      <w:r w:rsidRPr="00DB5718">
        <w:rPr>
          <w:rFonts w:ascii="Arial" w:hAnsi="Arial" w:cs="Arial"/>
          <w:b/>
          <w:bCs/>
          <w:sz w:val="23"/>
          <w:szCs w:val="23"/>
        </w:rPr>
        <w:lastRenderedPageBreak/>
        <w:t>Recommendations and Conclusion</w:t>
      </w:r>
    </w:p>
    <w:p w14:paraId="63B1600C" w14:textId="77777777" w:rsidR="00693C84" w:rsidRPr="00DB5718" w:rsidRDefault="00693C84" w:rsidP="00341E0C">
      <w:pPr>
        <w:pStyle w:val="BodyText"/>
        <w:spacing w:line="360" w:lineRule="auto"/>
        <w:rPr>
          <w:rFonts w:ascii="Arial" w:hAnsi="Arial" w:cs="Arial"/>
          <w:b/>
          <w:bCs/>
          <w:sz w:val="23"/>
          <w:szCs w:val="23"/>
        </w:rPr>
      </w:pPr>
    </w:p>
    <w:p w14:paraId="70EB3BF5" w14:textId="6E8F8B00" w:rsidR="00DB5718" w:rsidRPr="00DB5718" w:rsidRDefault="00DB5718" w:rsidP="00341E0C">
      <w:pPr>
        <w:pStyle w:val="FirstParagraph"/>
        <w:spacing w:line="360" w:lineRule="auto"/>
        <w:jc w:val="both"/>
        <w:rPr>
          <w:rFonts w:ascii="Arial" w:hAnsi="Arial" w:cs="Arial"/>
          <w:b/>
          <w:bCs/>
          <w:sz w:val="23"/>
          <w:szCs w:val="23"/>
        </w:rPr>
      </w:pPr>
      <w:bookmarkStart w:id="19" w:name="recommendations"/>
      <w:r w:rsidRPr="00DB5718">
        <w:rPr>
          <w:rFonts w:ascii="Arial" w:hAnsi="Arial" w:cs="Arial"/>
          <w:b/>
          <w:bCs/>
          <w:sz w:val="23"/>
          <w:szCs w:val="23"/>
        </w:rPr>
        <w:t>Recommendations</w:t>
      </w:r>
    </w:p>
    <w:p w14:paraId="085962CB" w14:textId="2707CA5E"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Based on the analysis, the following recommendations are proposed to optimise stakeholder engagement for the ConnectPlus launch:</w:t>
      </w:r>
    </w:p>
    <w:p w14:paraId="682FBE8A" w14:textId="77777777" w:rsidR="009A2198" w:rsidRPr="000B0300" w:rsidRDefault="00000000" w:rsidP="00341E0C">
      <w:pPr>
        <w:numPr>
          <w:ilvl w:val="0"/>
          <w:numId w:val="9"/>
        </w:numPr>
        <w:spacing w:line="360" w:lineRule="auto"/>
        <w:jc w:val="both"/>
        <w:rPr>
          <w:rFonts w:ascii="Arial" w:hAnsi="Arial" w:cs="Arial"/>
          <w:sz w:val="23"/>
          <w:szCs w:val="23"/>
        </w:rPr>
      </w:pPr>
      <w:r w:rsidRPr="000B0300">
        <w:rPr>
          <w:rFonts w:ascii="Arial" w:hAnsi="Arial" w:cs="Arial"/>
          <w:b/>
          <w:bCs/>
          <w:sz w:val="23"/>
          <w:szCs w:val="23"/>
        </w:rPr>
        <w:t>Establish a Cross-Functional Stakeholder Engagement Steering Group</w:t>
      </w:r>
      <w:r w:rsidRPr="000B0300">
        <w:rPr>
          <w:rFonts w:ascii="Arial" w:hAnsi="Arial" w:cs="Arial"/>
          <w:sz w:val="23"/>
          <w:szCs w:val="23"/>
        </w:rPr>
        <w:t>: Comprising representatives from the Board sponsor, Project Team, Legal/DPO, Marketing, regional market leads, and an external ethics advisor. This group should meet bi-weekly during planning and launch phases to review engagement profiles, address emerging conflicts, and ensure alignment with the Communication Plan and RACI Matrix.</w:t>
      </w:r>
    </w:p>
    <w:p w14:paraId="0AADA833" w14:textId="781CCBB8" w:rsidR="009A2198" w:rsidRPr="000B0300" w:rsidRDefault="00000000" w:rsidP="00341E0C">
      <w:pPr>
        <w:numPr>
          <w:ilvl w:val="0"/>
          <w:numId w:val="9"/>
        </w:numPr>
        <w:spacing w:line="360" w:lineRule="auto"/>
        <w:jc w:val="both"/>
        <w:rPr>
          <w:rFonts w:ascii="Arial" w:hAnsi="Arial" w:cs="Arial"/>
          <w:sz w:val="23"/>
          <w:szCs w:val="23"/>
        </w:rPr>
      </w:pPr>
      <w:r w:rsidRPr="000B0300">
        <w:rPr>
          <w:rFonts w:ascii="Arial" w:hAnsi="Arial" w:cs="Arial"/>
          <w:b/>
          <w:bCs/>
          <w:sz w:val="23"/>
          <w:szCs w:val="23"/>
        </w:rPr>
        <w:t>Invest in Cultural Competence and Conflict Resolution Training</w:t>
      </w:r>
      <w:r w:rsidRPr="000B0300">
        <w:rPr>
          <w:rFonts w:ascii="Arial" w:hAnsi="Arial" w:cs="Arial"/>
          <w:sz w:val="23"/>
          <w:szCs w:val="23"/>
        </w:rPr>
        <w:t>: Equip the Project Manager and core team with skills to navigate international stakeholder dynamics and transform potential dysfunctional conflicts into constructive dialogue, drawing on the approaches</w:t>
      </w:r>
      <w:r w:rsidR="00DB5718">
        <w:rPr>
          <w:rFonts w:ascii="Arial" w:hAnsi="Arial" w:cs="Arial"/>
          <w:sz w:val="23"/>
          <w:szCs w:val="23"/>
        </w:rPr>
        <w:t>.</w:t>
      </w:r>
    </w:p>
    <w:p w14:paraId="431A6DDD" w14:textId="77777777" w:rsidR="009A2198" w:rsidRPr="000B0300" w:rsidRDefault="00000000" w:rsidP="00341E0C">
      <w:pPr>
        <w:numPr>
          <w:ilvl w:val="0"/>
          <w:numId w:val="9"/>
        </w:numPr>
        <w:spacing w:line="360" w:lineRule="auto"/>
        <w:jc w:val="both"/>
        <w:rPr>
          <w:rFonts w:ascii="Arial" w:hAnsi="Arial" w:cs="Arial"/>
          <w:sz w:val="23"/>
          <w:szCs w:val="23"/>
        </w:rPr>
      </w:pPr>
      <w:r w:rsidRPr="000B0300">
        <w:rPr>
          <w:rFonts w:ascii="Arial" w:hAnsi="Arial" w:cs="Arial"/>
          <w:b/>
          <w:bCs/>
          <w:sz w:val="23"/>
          <w:szCs w:val="23"/>
        </w:rPr>
        <w:t>Implement a Phased, Feedback-Driven Rollout with Built-in Monitoring</w:t>
      </w:r>
      <w:r w:rsidRPr="000B0300">
        <w:rPr>
          <w:rFonts w:ascii="Arial" w:hAnsi="Arial" w:cs="Arial"/>
          <w:sz w:val="23"/>
          <w:szCs w:val="23"/>
        </w:rPr>
        <w:t>: Begin with a UK pilot incorporating extensive customer co-creation, followed by iterative market launches. Use digital tools (potentially integrated within ConnectPlus itself) for real-time stakeholder sentiment tracking and rapid response protocols. Conduct formal stakeholder community reviews at three-month intervals as recommended in the module.</w:t>
      </w:r>
    </w:p>
    <w:p w14:paraId="550C306E" w14:textId="77777777" w:rsidR="009A2198" w:rsidRPr="000B0300" w:rsidRDefault="00000000" w:rsidP="00341E0C">
      <w:pPr>
        <w:numPr>
          <w:ilvl w:val="0"/>
          <w:numId w:val="9"/>
        </w:numPr>
        <w:spacing w:line="360" w:lineRule="auto"/>
        <w:jc w:val="both"/>
        <w:rPr>
          <w:rFonts w:ascii="Arial" w:hAnsi="Arial" w:cs="Arial"/>
          <w:sz w:val="23"/>
          <w:szCs w:val="23"/>
        </w:rPr>
      </w:pPr>
      <w:r w:rsidRPr="000B0300">
        <w:rPr>
          <w:rFonts w:ascii="Arial" w:hAnsi="Arial" w:cs="Arial"/>
          <w:b/>
          <w:bCs/>
          <w:sz w:val="23"/>
          <w:szCs w:val="23"/>
        </w:rPr>
        <w:t>Align Performance Metrics with Stakeholder Value</w:t>
      </w:r>
      <w:r w:rsidRPr="000B0300">
        <w:rPr>
          <w:rFonts w:ascii="Arial" w:hAnsi="Arial" w:cs="Arial"/>
          <w:sz w:val="23"/>
          <w:szCs w:val="23"/>
        </w:rPr>
        <w:t>: Extend traditional project KPIs to include stakeholder-specific measures, such as regulator satisfaction scores, partner collaboration health indices, and customer-perceived transparency ratings. Report these alongside financial and adoption metrics to the Board.</w:t>
      </w:r>
    </w:p>
    <w:p w14:paraId="0C754974" w14:textId="77777777" w:rsidR="008E10FF" w:rsidRDefault="00000000" w:rsidP="00341E0C">
      <w:pPr>
        <w:numPr>
          <w:ilvl w:val="0"/>
          <w:numId w:val="9"/>
        </w:numPr>
        <w:spacing w:line="360" w:lineRule="auto"/>
        <w:jc w:val="both"/>
        <w:rPr>
          <w:rFonts w:ascii="Arial" w:hAnsi="Arial" w:cs="Arial"/>
          <w:sz w:val="23"/>
          <w:szCs w:val="23"/>
        </w:rPr>
      </w:pPr>
      <w:r w:rsidRPr="000B0300">
        <w:rPr>
          <w:rFonts w:ascii="Arial" w:hAnsi="Arial" w:cs="Arial"/>
          <w:b/>
          <w:bCs/>
          <w:sz w:val="23"/>
          <w:szCs w:val="23"/>
        </w:rPr>
        <w:t>Secure Long-Term Partnership Agreements with Technology Providers</w:t>
      </w:r>
      <w:r w:rsidRPr="000B0300">
        <w:rPr>
          <w:rFonts w:ascii="Arial" w:hAnsi="Arial" w:cs="Arial"/>
          <w:sz w:val="23"/>
          <w:szCs w:val="23"/>
        </w:rPr>
        <w:t xml:space="preserve">: Move beyond transactional contracts to relational agreements that include joint innovation roadmaps and shared risk/reward mechanisms, </w:t>
      </w:r>
      <w:proofErr w:type="spellStart"/>
      <w:r w:rsidRPr="000B0300">
        <w:rPr>
          <w:rFonts w:ascii="Arial" w:hAnsi="Arial" w:cs="Arial"/>
          <w:sz w:val="23"/>
          <w:szCs w:val="23"/>
        </w:rPr>
        <w:t>maximising</w:t>
      </w:r>
      <w:proofErr w:type="spellEnd"/>
      <w:r w:rsidRPr="000B0300">
        <w:rPr>
          <w:rFonts w:ascii="Arial" w:hAnsi="Arial" w:cs="Arial"/>
          <w:sz w:val="23"/>
          <w:szCs w:val="23"/>
        </w:rPr>
        <w:t xml:space="preserve"> </w:t>
      </w:r>
      <w:proofErr w:type="gramStart"/>
      <w:r w:rsidRPr="000B0300">
        <w:rPr>
          <w:rFonts w:ascii="Arial" w:hAnsi="Arial" w:cs="Arial"/>
          <w:sz w:val="23"/>
          <w:szCs w:val="23"/>
        </w:rPr>
        <w:t>the</w:t>
      </w:r>
      <w:r w:rsidR="00693C84">
        <w:rPr>
          <w:rFonts w:ascii="Arial" w:hAnsi="Arial" w:cs="Arial"/>
          <w:sz w:val="23"/>
          <w:szCs w:val="23"/>
        </w:rPr>
        <w:t xml:space="preserve"> </w:t>
      </w:r>
      <w:r w:rsidRPr="000B0300">
        <w:rPr>
          <w:rFonts w:ascii="Arial" w:hAnsi="Arial" w:cs="Arial"/>
          <w:sz w:val="23"/>
          <w:szCs w:val="23"/>
        </w:rPr>
        <w:t>OWANS</w:t>
      </w:r>
      <w:proofErr w:type="gramEnd"/>
      <w:r w:rsidRPr="000B0300">
        <w:rPr>
          <w:rFonts w:ascii="Arial" w:hAnsi="Arial" w:cs="Arial"/>
          <w:sz w:val="23"/>
          <w:szCs w:val="23"/>
        </w:rPr>
        <w:t xml:space="preserve"> benefits identified through the SWANS/OWANS analysis.</w:t>
      </w:r>
      <w:bookmarkStart w:id="20" w:name="conclusion"/>
      <w:bookmarkEnd w:id="19"/>
    </w:p>
    <w:p w14:paraId="5624A18E" w14:textId="76A0A8B6" w:rsidR="00DB5718" w:rsidRPr="008E10FF" w:rsidRDefault="00DB5718" w:rsidP="008E10FF">
      <w:pPr>
        <w:spacing w:line="360" w:lineRule="auto"/>
        <w:ind w:left="240"/>
        <w:jc w:val="both"/>
        <w:rPr>
          <w:rFonts w:ascii="Arial" w:hAnsi="Arial" w:cs="Arial"/>
          <w:sz w:val="23"/>
          <w:szCs w:val="23"/>
        </w:rPr>
      </w:pPr>
      <w:r w:rsidRPr="008E10FF">
        <w:rPr>
          <w:rFonts w:ascii="Arial" w:hAnsi="Arial" w:cs="Arial"/>
          <w:b/>
          <w:bCs/>
          <w:sz w:val="23"/>
          <w:szCs w:val="23"/>
        </w:rPr>
        <w:lastRenderedPageBreak/>
        <w:t>Conclusion</w:t>
      </w:r>
    </w:p>
    <w:p w14:paraId="2EDBEBA0" w14:textId="175E9F83" w:rsidR="009A2198" w:rsidRPr="00B0634E" w:rsidRDefault="00000000" w:rsidP="00341E0C">
      <w:pPr>
        <w:pStyle w:val="FirstParagraph"/>
        <w:spacing w:line="360" w:lineRule="auto"/>
        <w:jc w:val="both"/>
        <w:rPr>
          <w:rFonts w:ascii="Arial" w:hAnsi="Arial" w:cs="Arial"/>
          <w:sz w:val="23"/>
          <w:szCs w:val="23"/>
        </w:rPr>
      </w:pPr>
      <w:r w:rsidRPr="00B0634E">
        <w:rPr>
          <w:rFonts w:ascii="Arial" w:hAnsi="Arial" w:cs="Arial"/>
          <w:sz w:val="23"/>
          <w:szCs w:val="23"/>
        </w:rPr>
        <w:t xml:space="preserve">The launch of ConnectPlus represents both a significant opportunity and a complex stakeholder challenge for Tesco plc. By </w:t>
      </w:r>
      <w:r w:rsidR="00B0634E" w:rsidRPr="00B0634E">
        <w:rPr>
          <w:rFonts w:ascii="Arial" w:hAnsi="Arial" w:cs="Arial"/>
          <w:sz w:val="23"/>
          <w:szCs w:val="23"/>
        </w:rPr>
        <w:t>analytically</w:t>
      </w:r>
      <w:r w:rsidRPr="00B0634E">
        <w:rPr>
          <w:rFonts w:ascii="Arial" w:hAnsi="Arial" w:cs="Arial"/>
          <w:sz w:val="23"/>
          <w:szCs w:val="23"/>
        </w:rPr>
        <w:t xml:space="preserve"> identifying and prioritising stakeholders using Mendelow’s Power/Interest Matrix and Mitchell, Agle and Wood’s Salience Model, and by applying structured engagement processes</w:t>
      </w:r>
      <w:r w:rsidR="00B0634E">
        <w:rPr>
          <w:rFonts w:ascii="Arial" w:hAnsi="Arial" w:cs="Arial"/>
          <w:sz w:val="23"/>
          <w:szCs w:val="23"/>
        </w:rPr>
        <w:t xml:space="preserve">, </w:t>
      </w:r>
      <w:r w:rsidRPr="00B0634E">
        <w:rPr>
          <w:rFonts w:ascii="Arial" w:hAnsi="Arial" w:cs="Arial"/>
          <w:sz w:val="23"/>
          <w:szCs w:val="23"/>
        </w:rPr>
        <w:t>including tailored Communication Plans, RACI clarity, SWANS/OWANS mutual understanding, and the 4Cs framework</w:t>
      </w:r>
      <w:r w:rsidR="00B0634E">
        <w:rPr>
          <w:rFonts w:ascii="Arial" w:hAnsi="Arial" w:cs="Arial"/>
          <w:sz w:val="23"/>
          <w:szCs w:val="23"/>
        </w:rPr>
        <w:t xml:space="preserve">, </w:t>
      </w:r>
      <w:r w:rsidRPr="00B0634E">
        <w:rPr>
          <w:rFonts w:ascii="Arial" w:hAnsi="Arial" w:cs="Arial"/>
          <w:sz w:val="23"/>
          <w:szCs w:val="23"/>
        </w:rPr>
        <w:t xml:space="preserve">the Project Manager can foster </w:t>
      </w:r>
      <w:r w:rsidR="00DB5718" w:rsidRPr="00B0634E">
        <w:rPr>
          <w:rFonts w:ascii="Arial" w:hAnsi="Arial" w:cs="Arial"/>
          <w:sz w:val="23"/>
          <w:szCs w:val="23"/>
        </w:rPr>
        <w:t>collaboration</w:t>
      </w:r>
      <w:r w:rsidRPr="00B0634E">
        <w:rPr>
          <w:rFonts w:ascii="Arial" w:hAnsi="Arial" w:cs="Arial"/>
          <w:sz w:val="23"/>
          <w:szCs w:val="23"/>
        </w:rPr>
        <w:t>, trust, and commitment necessary for success across diverse markets.</w:t>
      </w:r>
    </w:p>
    <w:p w14:paraId="45EB14EB" w14:textId="12B07BCC" w:rsidR="009A2198" w:rsidRPr="00B0634E" w:rsidRDefault="00000000" w:rsidP="00341E0C">
      <w:pPr>
        <w:pStyle w:val="BodyText"/>
        <w:spacing w:line="360" w:lineRule="auto"/>
        <w:jc w:val="both"/>
        <w:rPr>
          <w:rFonts w:ascii="Arial" w:hAnsi="Arial" w:cs="Arial"/>
          <w:sz w:val="23"/>
          <w:szCs w:val="23"/>
        </w:rPr>
      </w:pPr>
      <w:r w:rsidRPr="00B0634E">
        <w:rPr>
          <w:rFonts w:ascii="Arial" w:hAnsi="Arial" w:cs="Arial"/>
          <w:sz w:val="23"/>
          <w:szCs w:val="23"/>
        </w:rPr>
        <w:t>Sustainable stakeholder engagement is not without costs or risks, yet the evidence from module case studies, and industry practice demonstrates its capacity to enhance project delivery, customer outcomes</w:t>
      </w:r>
      <w:r w:rsidR="00B0634E">
        <w:rPr>
          <w:rFonts w:ascii="Arial" w:hAnsi="Arial" w:cs="Arial"/>
          <w:sz w:val="23"/>
          <w:szCs w:val="23"/>
        </w:rPr>
        <w:t xml:space="preserve"> </w:t>
      </w:r>
      <w:r w:rsidRPr="00B0634E">
        <w:rPr>
          <w:rFonts w:ascii="Arial" w:hAnsi="Arial" w:cs="Arial"/>
          <w:sz w:val="23"/>
          <w:szCs w:val="23"/>
        </w:rPr>
        <w:t xml:space="preserve">and ultimately </w:t>
      </w:r>
      <w:proofErr w:type="spellStart"/>
      <w:r w:rsidRPr="00B0634E">
        <w:rPr>
          <w:rFonts w:ascii="Arial" w:hAnsi="Arial" w:cs="Arial"/>
          <w:sz w:val="23"/>
          <w:szCs w:val="23"/>
        </w:rPr>
        <w:t>organisational</w:t>
      </w:r>
      <w:proofErr w:type="spellEnd"/>
      <w:r w:rsidRPr="00B0634E">
        <w:rPr>
          <w:rFonts w:ascii="Arial" w:hAnsi="Arial" w:cs="Arial"/>
          <w:sz w:val="23"/>
          <w:szCs w:val="23"/>
        </w:rPr>
        <w:t xml:space="preserve"> performance. In an era where data ethics and customer trust are paramount, organisations that treat stakeholder engagement as a strategic capability—rather than a peripheral activity—will be best positioned to thrive.</w:t>
      </w:r>
    </w:p>
    <w:p w14:paraId="668E5343" w14:textId="77777777" w:rsidR="009A2198" w:rsidRPr="00B0634E" w:rsidRDefault="00000000" w:rsidP="00341E0C">
      <w:pPr>
        <w:pStyle w:val="BodyText"/>
        <w:spacing w:line="360" w:lineRule="auto"/>
        <w:jc w:val="both"/>
        <w:rPr>
          <w:rFonts w:ascii="Arial" w:hAnsi="Arial" w:cs="Arial"/>
          <w:sz w:val="23"/>
          <w:szCs w:val="23"/>
        </w:rPr>
      </w:pPr>
      <w:r w:rsidRPr="00B0634E">
        <w:rPr>
          <w:rFonts w:ascii="Arial" w:hAnsi="Arial" w:cs="Arial"/>
          <w:sz w:val="23"/>
          <w:szCs w:val="23"/>
        </w:rPr>
        <w:t>Through disciplined application of the frameworks and principles explored in LCLM 5001, Tesco can transform the ConnectPlus launch from a technical project into a catalyst for deeper stakeholder relationships and sustained competitive advantage. The recommendations outlined above provide a practical roadmap to achieve this ambition, ensuring that the platform delivers value not only to customers and shareholders but to the broader ecosystem of stakeholders upon whom long-term success depends.</w:t>
      </w:r>
    </w:p>
    <w:p w14:paraId="7D1D0DA6" w14:textId="03CC83D5" w:rsidR="009A2198" w:rsidRPr="00B0634E" w:rsidRDefault="009A2198" w:rsidP="00341E0C">
      <w:pPr>
        <w:spacing w:line="360" w:lineRule="auto"/>
        <w:jc w:val="both"/>
        <w:rPr>
          <w:rFonts w:ascii="Arial" w:hAnsi="Arial" w:cs="Arial"/>
          <w:sz w:val="23"/>
          <w:szCs w:val="23"/>
        </w:rPr>
      </w:pPr>
    </w:p>
    <w:p w14:paraId="5EA1911D" w14:textId="75136311" w:rsidR="009A2198" w:rsidRDefault="009A2198" w:rsidP="00341E0C">
      <w:pPr>
        <w:pStyle w:val="Heading2"/>
        <w:spacing w:line="360" w:lineRule="auto"/>
        <w:jc w:val="both"/>
        <w:rPr>
          <w:rFonts w:ascii="Arial" w:hAnsi="Arial" w:cs="Arial"/>
          <w:sz w:val="23"/>
          <w:szCs w:val="23"/>
        </w:rPr>
      </w:pPr>
      <w:bookmarkStart w:id="21" w:name="references"/>
      <w:bookmarkEnd w:id="18"/>
      <w:bookmarkEnd w:id="20"/>
    </w:p>
    <w:p w14:paraId="38B9BF74" w14:textId="77777777" w:rsidR="00DB5718" w:rsidRDefault="00DB5718" w:rsidP="00341E0C">
      <w:pPr>
        <w:pStyle w:val="BodyText"/>
        <w:spacing w:line="360" w:lineRule="auto"/>
        <w:jc w:val="center"/>
        <w:rPr>
          <w:rFonts w:ascii="Arial" w:hAnsi="Arial" w:cs="Arial"/>
          <w:b/>
          <w:bCs/>
          <w:sz w:val="23"/>
          <w:szCs w:val="23"/>
          <w:u w:val="single"/>
        </w:rPr>
      </w:pPr>
    </w:p>
    <w:p w14:paraId="4E6EAC40" w14:textId="77777777" w:rsidR="00DB5718" w:rsidRDefault="00DB5718" w:rsidP="00341E0C">
      <w:pPr>
        <w:pStyle w:val="BodyText"/>
        <w:spacing w:line="360" w:lineRule="auto"/>
        <w:jc w:val="center"/>
        <w:rPr>
          <w:rFonts w:ascii="Arial" w:hAnsi="Arial" w:cs="Arial"/>
          <w:b/>
          <w:bCs/>
          <w:sz w:val="23"/>
          <w:szCs w:val="23"/>
          <w:u w:val="single"/>
        </w:rPr>
      </w:pPr>
    </w:p>
    <w:p w14:paraId="3033D2B4" w14:textId="77777777" w:rsidR="00DB5718" w:rsidRDefault="00DB5718" w:rsidP="00341E0C">
      <w:pPr>
        <w:pStyle w:val="BodyText"/>
        <w:spacing w:line="360" w:lineRule="auto"/>
        <w:jc w:val="center"/>
        <w:rPr>
          <w:rFonts w:ascii="Arial" w:hAnsi="Arial" w:cs="Arial"/>
          <w:b/>
          <w:bCs/>
          <w:sz w:val="23"/>
          <w:szCs w:val="23"/>
          <w:u w:val="single"/>
        </w:rPr>
      </w:pPr>
    </w:p>
    <w:p w14:paraId="7121D735" w14:textId="77777777" w:rsidR="00830D4B" w:rsidRDefault="00830D4B" w:rsidP="00341E0C">
      <w:pPr>
        <w:pStyle w:val="BodyText"/>
        <w:spacing w:line="360" w:lineRule="auto"/>
        <w:jc w:val="center"/>
        <w:rPr>
          <w:rFonts w:ascii="Arial" w:hAnsi="Arial" w:cs="Arial"/>
          <w:b/>
          <w:bCs/>
          <w:sz w:val="23"/>
          <w:szCs w:val="23"/>
          <w:u w:val="single"/>
        </w:rPr>
      </w:pPr>
    </w:p>
    <w:p w14:paraId="41EFE2BD" w14:textId="77777777" w:rsidR="00830D4B" w:rsidRDefault="00830D4B" w:rsidP="00341E0C">
      <w:pPr>
        <w:pStyle w:val="BodyText"/>
        <w:spacing w:line="360" w:lineRule="auto"/>
        <w:jc w:val="center"/>
        <w:rPr>
          <w:rFonts w:ascii="Arial" w:hAnsi="Arial" w:cs="Arial"/>
          <w:b/>
          <w:bCs/>
          <w:sz w:val="23"/>
          <w:szCs w:val="23"/>
          <w:u w:val="single"/>
        </w:rPr>
      </w:pPr>
    </w:p>
    <w:p w14:paraId="39A8988A" w14:textId="70EF52C0" w:rsidR="00DB5718" w:rsidRDefault="00DB5718" w:rsidP="008E10FF">
      <w:pPr>
        <w:pStyle w:val="BodyText"/>
        <w:spacing w:line="360" w:lineRule="auto"/>
        <w:jc w:val="center"/>
        <w:rPr>
          <w:rFonts w:ascii="Arial" w:hAnsi="Arial" w:cs="Arial"/>
          <w:b/>
          <w:bCs/>
          <w:sz w:val="23"/>
          <w:szCs w:val="23"/>
          <w:u w:val="single"/>
        </w:rPr>
      </w:pPr>
      <w:r w:rsidRPr="00DB5718">
        <w:rPr>
          <w:rFonts w:ascii="Arial" w:hAnsi="Arial" w:cs="Arial"/>
          <w:b/>
          <w:bCs/>
          <w:sz w:val="23"/>
          <w:szCs w:val="23"/>
          <w:u w:val="single"/>
        </w:rPr>
        <w:lastRenderedPageBreak/>
        <w:t>References</w:t>
      </w:r>
    </w:p>
    <w:p w14:paraId="62288D06" w14:textId="77777777" w:rsidR="00DB5718" w:rsidRPr="00DB5718" w:rsidRDefault="00DB5718" w:rsidP="00341E0C">
      <w:pPr>
        <w:pStyle w:val="BodyText"/>
        <w:spacing w:line="360" w:lineRule="auto"/>
        <w:jc w:val="center"/>
        <w:rPr>
          <w:rFonts w:ascii="Arial" w:hAnsi="Arial" w:cs="Arial"/>
          <w:b/>
          <w:bCs/>
          <w:sz w:val="23"/>
          <w:szCs w:val="23"/>
          <w:u w:val="single"/>
        </w:rPr>
      </w:pPr>
    </w:p>
    <w:p w14:paraId="7748F074" w14:textId="77777777" w:rsidR="009A2198" w:rsidRPr="000B0300" w:rsidRDefault="00000000" w:rsidP="00341E0C">
      <w:pPr>
        <w:pStyle w:val="FirstParagraph"/>
        <w:spacing w:line="360" w:lineRule="auto"/>
        <w:jc w:val="both"/>
        <w:rPr>
          <w:rFonts w:ascii="Arial" w:hAnsi="Arial" w:cs="Arial"/>
          <w:sz w:val="23"/>
          <w:szCs w:val="23"/>
        </w:rPr>
      </w:pPr>
      <w:r w:rsidRPr="000B0300">
        <w:rPr>
          <w:rFonts w:ascii="Arial" w:hAnsi="Arial" w:cs="Arial"/>
          <w:sz w:val="23"/>
          <w:szCs w:val="23"/>
        </w:rPr>
        <w:t xml:space="preserve">Ashcroft, J. (2017) </w:t>
      </w:r>
      <w:r w:rsidRPr="000B0300">
        <w:rPr>
          <w:rFonts w:ascii="Arial" w:hAnsi="Arial" w:cs="Arial"/>
          <w:i/>
          <w:iCs/>
          <w:sz w:val="23"/>
          <w:szCs w:val="23"/>
        </w:rPr>
        <w:t>The Relational Lens: Understanding, Measuring, and Managing Stakeholder Relationships</w:t>
      </w:r>
      <w:r w:rsidRPr="000B0300">
        <w:rPr>
          <w:rFonts w:ascii="Arial" w:hAnsi="Arial" w:cs="Arial"/>
          <w:sz w:val="23"/>
          <w:szCs w:val="23"/>
        </w:rPr>
        <w:t>. Cambridge: Cambridge University Press.</w:t>
      </w:r>
    </w:p>
    <w:p w14:paraId="443D9A10"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 xml:space="preserve">Bourne, L. (2016) </w:t>
      </w:r>
      <w:r w:rsidRPr="000B0300">
        <w:rPr>
          <w:rFonts w:ascii="Arial" w:hAnsi="Arial" w:cs="Arial"/>
          <w:i/>
          <w:iCs/>
          <w:sz w:val="23"/>
          <w:szCs w:val="23"/>
        </w:rPr>
        <w:t>Stakeholder Relationship Management: A Maturity Model for Organisational Implementation</w:t>
      </w:r>
      <w:r w:rsidRPr="000B0300">
        <w:rPr>
          <w:rFonts w:ascii="Arial" w:hAnsi="Arial" w:cs="Arial"/>
          <w:sz w:val="23"/>
          <w:szCs w:val="23"/>
        </w:rPr>
        <w:t>. New York: Routledge.</w:t>
      </w:r>
    </w:p>
    <w:p w14:paraId="0A4C1E79"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 xml:space="preserve">Christopher, M., Payne, A. and Ballantyne, D. (2013) </w:t>
      </w:r>
      <w:r w:rsidRPr="000B0300">
        <w:rPr>
          <w:rFonts w:ascii="Arial" w:hAnsi="Arial" w:cs="Arial"/>
          <w:i/>
          <w:iCs/>
          <w:sz w:val="23"/>
          <w:szCs w:val="23"/>
        </w:rPr>
        <w:t>Relationship Marketing: Creating Stakeholder Value</w:t>
      </w:r>
      <w:r w:rsidRPr="000B0300">
        <w:rPr>
          <w:rFonts w:ascii="Arial" w:hAnsi="Arial" w:cs="Arial"/>
          <w:sz w:val="23"/>
          <w:szCs w:val="23"/>
        </w:rPr>
        <w:t>. 2nd edn. London: Routledge.</w:t>
      </w:r>
    </w:p>
    <w:p w14:paraId="2539C673"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 xml:space="preserve">Freeman, R.E. (1984) </w:t>
      </w:r>
      <w:r w:rsidRPr="000B0300">
        <w:rPr>
          <w:rFonts w:ascii="Arial" w:hAnsi="Arial" w:cs="Arial"/>
          <w:i/>
          <w:iCs/>
          <w:sz w:val="23"/>
          <w:szCs w:val="23"/>
        </w:rPr>
        <w:t>Strategic Management: A Stakeholder Approach</w:t>
      </w:r>
      <w:r w:rsidRPr="000B0300">
        <w:rPr>
          <w:rFonts w:ascii="Arial" w:hAnsi="Arial" w:cs="Arial"/>
          <w:sz w:val="23"/>
          <w:szCs w:val="23"/>
        </w:rPr>
        <w:t>. Boston: Pitman.</w:t>
      </w:r>
    </w:p>
    <w:p w14:paraId="347EEFFC"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 xml:space="preserve">Freeman, R.E., Harrison, J.S., Wicks, A.C., Parmar, B. and de Colle, S. (2010) </w:t>
      </w:r>
      <w:r w:rsidRPr="000B0300">
        <w:rPr>
          <w:rFonts w:ascii="Arial" w:hAnsi="Arial" w:cs="Arial"/>
          <w:i/>
          <w:iCs/>
          <w:sz w:val="23"/>
          <w:szCs w:val="23"/>
        </w:rPr>
        <w:t>Stakeholder Theory: The State of the Art</w:t>
      </w:r>
      <w:r w:rsidRPr="000B0300">
        <w:rPr>
          <w:rFonts w:ascii="Arial" w:hAnsi="Arial" w:cs="Arial"/>
          <w:sz w:val="23"/>
          <w:szCs w:val="23"/>
        </w:rPr>
        <w:t>. Cambridge: Cambridge University Press.</w:t>
      </w:r>
    </w:p>
    <w:p w14:paraId="04C977F5"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 xml:space="preserve">Gordon, J.R. (1996) </w:t>
      </w:r>
      <w:r w:rsidRPr="000B0300">
        <w:rPr>
          <w:rFonts w:ascii="Arial" w:hAnsi="Arial" w:cs="Arial"/>
          <w:i/>
          <w:iCs/>
          <w:sz w:val="23"/>
          <w:szCs w:val="23"/>
        </w:rPr>
        <w:t>Organizational Behaviour: A Diagnostic Approach</w:t>
      </w:r>
      <w:r w:rsidRPr="000B0300">
        <w:rPr>
          <w:rFonts w:ascii="Arial" w:hAnsi="Arial" w:cs="Arial"/>
          <w:sz w:val="23"/>
          <w:szCs w:val="23"/>
        </w:rPr>
        <w:t>. 5th edn. Englewood Cliffs, NJ: Prentice-Hall.</w:t>
      </w:r>
    </w:p>
    <w:p w14:paraId="400BAA93"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 xml:space="preserve">Greenwood, M. (2007) ‘Stakeholder engagement: Beyond the myth of corporate responsibility’, </w:t>
      </w:r>
      <w:r w:rsidRPr="000B0300">
        <w:rPr>
          <w:rFonts w:ascii="Arial" w:hAnsi="Arial" w:cs="Arial"/>
          <w:i/>
          <w:iCs/>
          <w:sz w:val="23"/>
          <w:szCs w:val="23"/>
        </w:rPr>
        <w:t>Journal of Business Ethics</w:t>
      </w:r>
      <w:r w:rsidRPr="000B0300">
        <w:rPr>
          <w:rFonts w:ascii="Arial" w:hAnsi="Arial" w:cs="Arial"/>
          <w:sz w:val="23"/>
          <w:szCs w:val="23"/>
        </w:rPr>
        <w:t>, 74(4), pp. 315–327.</w:t>
      </w:r>
    </w:p>
    <w:p w14:paraId="1A9BA890"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Jun, H. and Kim, M. (</w:t>
      </w:r>
      <w:proofErr w:type="gramStart"/>
      <w:r w:rsidRPr="000B0300">
        <w:rPr>
          <w:rFonts w:ascii="Arial" w:hAnsi="Arial" w:cs="Arial"/>
          <w:sz w:val="23"/>
          <w:szCs w:val="23"/>
        </w:rPr>
        <w:t>2021) ‘</w:t>
      </w:r>
      <w:proofErr w:type="gramEnd"/>
      <w:r w:rsidRPr="000B0300">
        <w:rPr>
          <w:rFonts w:ascii="Arial" w:hAnsi="Arial" w:cs="Arial"/>
          <w:sz w:val="23"/>
          <w:szCs w:val="23"/>
        </w:rPr>
        <w:t xml:space="preserve">From Stakeholder Communication to Engagement for the Sustainable Development Goals (SDGs): A Case Study of LG </w:t>
      </w:r>
      <w:proofErr w:type="gramStart"/>
      <w:r w:rsidRPr="000B0300">
        <w:rPr>
          <w:rFonts w:ascii="Arial" w:hAnsi="Arial" w:cs="Arial"/>
          <w:sz w:val="23"/>
          <w:szCs w:val="23"/>
        </w:rPr>
        <w:t>Electronics’,</w:t>
      </w:r>
      <w:proofErr w:type="gramEnd"/>
      <w:r w:rsidRPr="000B0300">
        <w:rPr>
          <w:rFonts w:ascii="Arial" w:hAnsi="Arial" w:cs="Arial"/>
          <w:sz w:val="23"/>
          <w:szCs w:val="23"/>
        </w:rPr>
        <w:t xml:space="preserve"> </w:t>
      </w:r>
      <w:r w:rsidRPr="000B0300">
        <w:rPr>
          <w:rFonts w:ascii="Arial" w:hAnsi="Arial" w:cs="Arial"/>
          <w:i/>
          <w:iCs/>
          <w:sz w:val="23"/>
          <w:szCs w:val="23"/>
        </w:rPr>
        <w:t>Sustainability</w:t>
      </w:r>
      <w:r w:rsidRPr="000B0300">
        <w:rPr>
          <w:rFonts w:ascii="Arial" w:hAnsi="Arial" w:cs="Arial"/>
          <w:sz w:val="23"/>
          <w:szCs w:val="23"/>
        </w:rPr>
        <w:t>, 13(15), 8624. Available at: https://doi.org/10.3390/su13158624 (Accessed: 10 July 2026).</w:t>
      </w:r>
    </w:p>
    <w:p w14:paraId="609E6A03"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 xml:space="preserve">Kujala, J., Sachs, S., Leinonen, H., Heikkinen, A. and Laude, D. (2022) ‘Stakeholder Engagement: Past, Present, and Future’, </w:t>
      </w:r>
      <w:r w:rsidRPr="000B0300">
        <w:rPr>
          <w:rFonts w:ascii="Arial" w:hAnsi="Arial" w:cs="Arial"/>
          <w:i/>
          <w:iCs/>
          <w:sz w:val="23"/>
          <w:szCs w:val="23"/>
        </w:rPr>
        <w:t>Business &amp; Society</w:t>
      </w:r>
      <w:r w:rsidRPr="000B0300">
        <w:rPr>
          <w:rFonts w:ascii="Arial" w:hAnsi="Arial" w:cs="Arial"/>
          <w:sz w:val="23"/>
          <w:szCs w:val="23"/>
        </w:rPr>
        <w:t>, 61(5), pp. 1136–1196.</w:t>
      </w:r>
    </w:p>
    <w:p w14:paraId="3855DCCB"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Mendelow, A. (</w:t>
      </w:r>
      <w:proofErr w:type="gramStart"/>
      <w:r w:rsidRPr="000B0300">
        <w:rPr>
          <w:rFonts w:ascii="Arial" w:hAnsi="Arial" w:cs="Arial"/>
          <w:sz w:val="23"/>
          <w:szCs w:val="23"/>
        </w:rPr>
        <w:t>1991) ‘</w:t>
      </w:r>
      <w:proofErr w:type="gramEnd"/>
      <w:r w:rsidRPr="000B0300">
        <w:rPr>
          <w:rFonts w:ascii="Arial" w:hAnsi="Arial" w:cs="Arial"/>
          <w:sz w:val="23"/>
          <w:szCs w:val="23"/>
        </w:rPr>
        <w:t xml:space="preserve">Proceedings of the Second International Conference on Information </w:t>
      </w:r>
      <w:proofErr w:type="gramStart"/>
      <w:r w:rsidRPr="000B0300">
        <w:rPr>
          <w:rFonts w:ascii="Arial" w:hAnsi="Arial" w:cs="Arial"/>
          <w:sz w:val="23"/>
          <w:szCs w:val="23"/>
        </w:rPr>
        <w:t>Systems’,</w:t>
      </w:r>
      <w:proofErr w:type="gramEnd"/>
      <w:r w:rsidRPr="000B0300">
        <w:rPr>
          <w:rFonts w:ascii="Arial" w:hAnsi="Arial" w:cs="Arial"/>
          <w:sz w:val="23"/>
          <w:szCs w:val="23"/>
        </w:rPr>
        <w:t xml:space="preserve"> Cambridge, MA, December 1991.</w:t>
      </w:r>
    </w:p>
    <w:p w14:paraId="51041A35"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 xml:space="preserve">Mitchell, R.K., Agle, B.R. and Wood, D.J. (1997) ‘Toward a Theory of Stakeholder Identification and Salience: Defining the Principle of Who and What Really Counts’, </w:t>
      </w:r>
      <w:r w:rsidRPr="000B0300">
        <w:rPr>
          <w:rFonts w:ascii="Arial" w:hAnsi="Arial" w:cs="Arial"/>
          <w:i/>
          <w:iCs/>
          <w:sz w:val="23"/>
          <w:szCs w:val="23"/>
        </w:rPr>
        <w:t>Academy of Management Review</w:t>
      </w:r>
      <w:r w:rsidRPr="000B0300">
        <w:rPr>
          <w:rFonts w:ascii="Arial" w:hAnsi="Arial" w:cs="Arial"/>
          <w:sz w:val="23"/>
          <w:szCs w:val="23"/>
        </w:rPr>
        <w:t>, 22(4), pp. 853–886.</w:t>
      </w:r>
    </w:p>
    <w:p w14:paraId="256E4184"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 xml:space="preserve">Moore, C. (1986) </w:t>
      </w:r>
      <w:r w:rsidRPr="000B0300">
        <w:rPr>
          <w:rFonts w:ascii="Arial" w:hAnsi="Arial" w:cs="Arial"/>
          <w:i/>
          <w:iCs/>
          <w:sz w:val="23"/>
          <w:szCs w:val="23"/>
        </w:rPr>
        <w:t>The Mediation Process: Practical Strategies for Resolving Conflict</w:t>
      </w:r>
      <w:r w:rsidRPr="000B0300">
        <w:rPr>
          <w:rFonts w:ascii="Arial" w:hAnsi="Arial" w:cs="Arial"/>
          <w:sz w:val="23"/>
          <w:szCs w:val="23"/>
        </w:rPr>
        <w:t>. San Francisco, CA: Jossey-Bass.</w:t>
      </w:r>
    </w:p>
    <w:p w14:paraId="11D42BC3"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lastRenderedPageBreak/>
        <w:t xml:space="preserve">Neely, A. (2009) </w:t>
      </w:r>
      <w:r w:rsidRPr="000B0300">
        <w:rPr>
          <w:rFonts w:ascii="Arial" w:hAnsi="Arial" w:cs="Arial"/>
          <w:i/>
          <w:iCs/>
          <w:sz w:val="23"/>
          <w:szCs w:val="23"/>
        </w:rPr>
        <w:t>Stakeholder Engagement – A Road Map to Meaningful Engagement</w:t>
      </w:r>
      <w:r w:rsidRPr="000B0300">
        <w:rPr>
          <w:rFonts w:ascii="Arial" w:hAnsi="Arial" w:cs="Arial"/>
          <w:sz w:val="23"/>
          <w:szCs w:val="23"/>
        </w:rPr>
        <w:t>. Doughty Centre, Cranfield School of Management.</w:t>
      </w:r>
    </w:p>
    <w:p w14:paraId="139FA445"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 xml:space="preserve">Pfeffer, J. and Salancik, G.R. (1978) </w:t>
      </w:r>
      <w:r w:rsidRPr="000B0300">
        <w:rPr>
          <w:rFonts w:ascii="Arial" w:hAnsi="Arial" w:cs="Arial"/>
          <w:i/>
          <w:iCs/>
          <w:sz w:val="23"/>
          <w:szCs w:val="23"/>
        </w:rPr>
        <w:t>The External Control of Organization: A Resource Dependence Perspective</w:t>
      </w:r>
      <w:r w:rsidRPr="000B0300">
        <w:rPr>
          <w:rFonts w:ascii="Arial" w:hAnsi="Arial" w:cs="Arial"/>
          <w:sz w:val="23"/>
          <w:szCs w:val="23"/>
        </w:rPr>
        <w:t>. New York: Harper and Row.</w:t>
      </w:r>
    </w:p>
    <w:p w14:paraId="6E6DA908" w14:textId="77777777" w:rsidR="009A2198" w:rsidRPr="000B0300" w:rsidRDefault="00000000" w:rsidP="00341E0C">
      <w:pPr>
        <w:pStyle w:val="BodyText"/>
        <w:spacing w:line="360" w:lineRule="auto"/>
        <w:jc w:val="both"/>
        <w:rPr>
          <w:rFonts w:ascii="Arial" w:hAnsi="Arial" w:cs="Arial"/>
          <w:sz w:val="23"/>
          <w:szCs w:val="23"/>
        </w:rPr>
      </w:pPr>
      <w:r w:rsidRPr="000B0300">
        <w:rPr>
          <w:rFonts w:ascii="Arial" w:hAnsi="Arial" w:cs="Arial"/>
          <w:sz w:val="23"/>
          <w:szCs w:val="23"/>
        </w:rPr>
        <w:t xml:space="preserve">Rowley, T.J. (1997) ‘Moving Beyond Dyadic Ties: A Network Theory of Stakeholder Influences’, </w:t>
      </w:r>
      <w:r w:rsidRPr="000B0300">
        <w:rPr>
          <w:rFonts w:ascii="Arial" w:hAnsi="Arial" w:cs="Arial"/>
          <w:i/>
          <w:iCs/>
          <w:sz w:val="23"/>
          <w:szCs w:val="23"/>
        </w:rPr>
        <w:t>Academy of Management Review</w:t>
      </w:r>
      <w:r w:rsidRPr="000B0300">
        <w:rPr>
          <w:rFonts w:ascii="Arial" w:hAnsi="Arial" w:cs="Arial"/>
          <w:sz w:val="23"/>
          <w:szCs w:val="23"/>
        </w:rPr>
        <w:t>, 22(4), pp. 887–910.</w:t>
      </w:r>
    </w:p>
    <w:bookmarkEnd w:id="0"/>
    <w:bookmarkEnd w:id="21"/>
    <w:p w14:paraId="7FFA7A0F" w14:textId="363E2DAA" w:rsidR="009A2198" w:rsidRPr="000B0300" w:rsidRDefault="009A2198" w:rsidP="000B0300">
      <w:pPr>
        <w:jc w:val="both"/>
        <w:rPr>
          <w:rFonts w:ascii="Arial" w:hAnsi="Arial" w:cs="Arial"/>
          <w:sz w:val="23"/>
          <w:szCs w:val="23"/>
        </w:rPr>
      </w:pPr>
    </w:p>
    <w:sectPr w:rsidR="009A2198" w:rsidRPr="000B0300" w:rsidSect="000B0300">
      <w:headerReference w:type="default" r:id="rId7"/>
      <w:pgSz w:w="12240" w:h="15840"/>
      <w:pgMar w:top="1440" w:right="1440" w:bottom="1440" w:left="1440" w:header="17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7D45F2" w14:textId="77777777" w:rsidR="00C36AD9" w:rsidRDefault="00C36AD9">
      <w:pPr>
        <w:spacing w:after="0"/>
      </w:pPr>
      <w:r>
        <w:separator/>
      </w:r>
    </w:p>
  </w:endnote>
  <w:endnote w:type="continuationSeparator" w:id="0">
    <w:p w14:paraId="5CF46444" w14:textId="77777777" w:rsidR="00C36AD9" w:rsidRDefault="00C36AD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E9BBEC" w14:textId="77777777" w:rsidR="00C36AD9" w:rsidRDefault="00C36AD9">
      <w:r>
        <w:separator/>
      </w:r>
    </w:p>
  </w:footnote>
  <w:footnote w:type="continuationSeparator" w:id="0">
    <w:p w14:paraId="2D210785" w14:textId="77777777" w:rsidR="00C36AD9" w:rsidRDefault="00C36A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004962"/>
      <w:docPartObj>
        <w:docPartGallery w:val="Page Numbers (Top of Page)"/>
        <w:docPartUnique/>
      </w:docPartObj>
    </w:sdtPr>
    <w:sdtEndPr>
      <w:rPr>
        <w:noProof/>
      </w:rPr>
    </w:sdtEndPr>
    <w:sdtContent>
      <w:p w14:paraId="568EA3DC" w14:textId="556E151C" w:rsidR="00DB5718" w:rsidRDefault="00DB571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41AEA61" w14:textId="77777777" w:rsidR="00DB5718" w:rsidRDefault="00DB57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7E1A383E"/>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1" w15:restartNumberingAfterBreak="0">
    <w:nsid w:val="0000A991"/>
    <w:multiLevelType w:val="multilevel"/>
    <w:tmpl w:val="CC1CC1AA"/>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2" w15:restartNumberingAfterBreak="0">
    <w:nsid w:val="00A99411"/>
    <w:multiLevelType w:val="multilevel"/>
    <w:tmpl w:val="2C46C358"/>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 w16cid:durableId="2135632999">
    <w:abstractNumId w:val="0"/>
  </w:num>
  <w:num w:numId="2" w16cid:durableId="1536577560">
    <w:abstractNumId w:val="1"/>
  </w:num>
  <w:num w:numId="3" w16cid:durableId="1779330046">
    <w:abstractNumId w:val="1"/>
  </w:num>
  <w:num w:numId="4" w16cid:durableId="181436661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134830978">
    <w:abstractNumId w:val="1"/>
  </w:num>
  <w:num w:numId="6" w16cid:durableId="1660495492">
    <w:abstractNumId w:val="1"/>
  </w:num>
  <w:num w:numId="7" w16cid:durableId="1702317994">
    <w:abstractNumId w:val="1"/>
  </w:num>
  <w:num w:numId="8" w16cid:durableId="209003382">
    <w:abstractNumId w:val="1"/>
  </w:num>
  <w:num w:numId="9" w16cid:durableId="206591028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A2198"/>
    <w:rsid w:val="00072A59"/>
    <w:rsid w:val="000B0300"/>
    <w:rsid w:val="00341E0C"/>
    <w:rsid w:val="00385690"/>
    <w:rsid w:val="003A2F7E"/>
    <w:rsid w:val="003C409A"/>
    <w:rsid w:val="003E49F2"/>
    <w:rsid w:val="00587EB7"/>
    <w:rsid w:val="006622B0"/>
    <w:rsid w:val="00693C84"/>
    <w:rsid w:val="007C2D54"/>
    <w:rsid w:val="00830D4B"/>
    <w:rsid w:val="00845C11"/>
    <w:rsid w:val="00852B20"/>
    <w:rsid w:val="008E10FF"/>
    <w:rsid w:val="009864DF"/>
    <w:rsid w:val="009A2198"/>
    <w:rsid w:val="00A879FA"/>
    <w:rsid w:val="00B0634E"/>
    <w:rsid w:val="00C36AD9"/>
    <w:rsid w:val="00C73985"/>
    <w:rsid w:val="00D230C8"/>
    <w:rsid w:val="00DB5718"/>
    <w:rsid w:val="00DE39CF"/>
    <w:rsid w:val="00F1775E"/>
  </w:rsids>
  <m:mathPr>
    <m:mathFont m:val="Cambria Math"/>
    <m:brkBin m:val="before"/>
    <m:brkBinSub m:val="--"/>
    <m:smallFrac m:val="0"/>
    <m:dispDef/>
    <m:lMargin m:val="0"/>
    <m:rMargin m:val="0"/>
    <m:defJc m:val="centerGroup"/>
    <m:wrapRight/>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C1860"/>
  <w15:docId w15:val="{326EC878-8FF8-43A0-BBEB-54F8416C0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header"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color w:val="345A8A"/>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Header">
    <w:name w:val="header"/>
    <w:basedOn w:val="Normal"/>
    <w:link w:val="HeaderChar"/>
    <w:uiPriority w:val="99"/>
    <w:rsid w:val="000B0300"/>
    <w:pPr>
      <w:tabs>
        <w:tab w:val="center" w:pos="4513"/>
        <w:tab w:val="right" w:pos="9026"/>
      </w:tabs>
      <w:spacing w:after="0"/>
    </w:pPr>
  </w:style>
  <w:style w:type="character" w:customStyle="1" w:styleId="HeaderChar">
    <w:name w:val="Header Char"/>
    <w:basedOn w:val="DefaultParagraphFont"/>
    <w:link w:val="Header"/>
    <w:uiPriority w:val="99"/>
    <w:rsid w:val="000B0300"/>
  </w:style>
  <w:style w:type="paragraph" w:styleId="Footer">
    <w:name w:val="footer"/>
    <w:basedOn w:val="Normal"/>
    <w:link w:val="FooterChar"/>
    <w:rsid w:val="000B0300"/>
    <w:pPr>
      <w:tabs>
        <w:tab w:val="center" w:pos="4513"/>
        <w:tab w:val="right" w:pos="9026"/>
      </w:tabs>
      <w:spacing w:after="0"/>
    </w:pPr>
  </w:style>
  <w:style w:type="character" w:customStyle="1" w:styleId="FooterChar">
    <w:name w:val="Footer Char"/>
    <w:basedOn w:val="DefaultParagraphFont"/>
    <w:link w:val="Footer"/>
    <w:rsid w:val="000B0300"/>
  </w:style>
  <w:style w:type="table" w:styleId="TableGrid">
    <w:name w:val="Table Grid"/>
    <w:basedOn w:val="TableNormal"/>
    <w:rsid w:val="00F1775E"/>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basedOn w:val="DefaultParagraphFont"/>
    <w:link w:val="BodyText"/>
    <w:rsid w:val="00DB57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25</Pages>
  <Words>5418</Words>
  <Characters>30887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CG1</dc:creator>
  <cp:keywords/>
  <cp:lastModifiedBy>mik lowe</cp:lastModifiedBy>
  <cp:revision>3</cp:revision>
  <dcterms:created xsi:type="dcterms:W3CDTF">2026-07-17T20:49:00Z</dcterms:created>
  <dcterms:modified xsi:type="dcterms:W3CDTF">2026-07-17T21:04:00Z</dcterms:modified>
</cp:coreProperties>
</file>