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08EAE" w14:textId="319E6EAC" w:rsidR="003B292C" w:rsidRDefault="003B292C" w:rsidP="00A930CB">
      <w:pPr>
        <w:spacing w:after="165" w:line="360" w:lineRule="auto"/>
        <w:rPr>
          <w:rFonts w:ascii="Tahoma" w:hAnsi="Tahoma" w:cs="Tahoma"/>
          <w:color w:val="000000"/>
          <w:sz w:val="40"/>
          <w:szCs w:val="40"/>
        </w:rPr>
      </w:pPr>
      <w:r>
        <w:rPr>
          <w:rFonts w:ascii="Tahoma" w:hAnsi="Tahoma" w:cs="Tahoma"/>
          <w:color w:val="000000"/>
          <w:sz w:val="40"/>
          <w:szCs w:val="40"/>
        </w:rPr>
        <w:t xml:space="preserve"> </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124C449A"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0A47B8D" w:rsidR="00A930CB" w:rsidRPr="00A930CB" w:rsidRDefault="00C05EB9" w:rsidP="00A930CB">
                <w:pPr>
                  <w:spacing w:before="120" w:after="120" w:line="360" w:lineRule="auto"/>
                  <w:rPr>
                    <w:rFonts w:ascii="Tahoma" w:hAnsi="Tahoma" w:cs="Tahoma"/>
                    <w:sz w:val="32"/>
                    <w:szCs w:val="32"/>
                  </w:rPr>
                </w:pPr>
                <w:r>
                  <w:rPr>
                    <w:rFonts w:ascii="Tahoma" w:hAnsi="Tahoma" w:cs="Tahoma"/>
                    <w:sz w:val="32"/>
                    <w:szCs w:val="32"/>
                  </w:rPr>
                  <w:t>K. Mi-Ria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A3D3CE8" w:rsidR="00A930CB" w:rsidRPr="00A930CB" w:rsidRDefault="00C05EB9" w:rsidP="00A930CB">
                <w:pPr>
                  <w:spacing w:before="120" w:after="120" w:line="360" w:lineRule="auto"/>
                  <w:rPr>
                    <w:rFonts w:ascii="Tahoma" w:hAnsi="Tahoma" w:cs="Tahoma"/>
                    <w:sz w:val="32"/>
                    <w:szCs w:val="32"/>
                  </w:rPr>
                </w:pPr>
                <w:r>
                  <w:rPr>
                    <w:rFonts w:ascii="Tahoma" w:hAnsi="Tahoma" w:cs="Tahoma"/>
                    <w:sz w:val="32"/>
                    <w:szCs w:val="32"/>
                  </w:rPr>
                  <w:t>2026317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6BF764F" w:rsidR="00A930CB" w:rsidRPr="00C05EB9" w:rsidRDefault="00C05EB9" w:rsidP="00A930CB">
                <w:pPr>
                  <w:spacing w:before="120" w:after="120" w:line="360" w:lineRule="auto"/>
                  <w:rPr>
                    <w:rFonts w:ascii="Tahoma" w:hAnsi="Tahoma" w:cs="Tahoma"/>
                    <w:sz w:val="32"/>
                    <w:szCs w:val="32"/>
                  </w:rPr>
                </w:pPr>
                <w:r w:rsidRPr="00C05EB9">
                  <w:rPr>
                    <w:rFonts w:ascii="Tahoma" w:hAnsi="Tahoma" w:cs="Tahoma"/>
                    <w:sz w:val="32"/>
                    <w:szCs w:val="32"/>
                  </w:rPr>
                  <w:t>BMSK6002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04003C2" w14:textId="565EAEF2" w:rsidR="00C05EB9" w:rsidRPr="00C05EB9" w:rsidRDefault="00C05EB9" w:rsidP="00C05EB9">
                <w:pPr>
                  <w:spacing w:after="120"/>
                  <w:rPr>
                    <w:rFonts w:ascii="Tahoma" w:hAnsi="Tahoma" w:cs="Tahoma"/>
                    <w:sz w:val="32"/>
                    <w:szCs w:val="32"/>
                  </w:rPr>
                </w:pPr>
                <w:r w:rsidRPr="00C05EB9">
                  <w:rPr>
                    <w:rFonts w:ascii="Tahoma" w:hAnsi="Tahoma" w:cs="Tahoma"/>
                    <w:sz w:val="32"/>
                    <w:szCs w:val="32"/>
                  </w:rPr>
                  <w:fldChar w:fldCharType="begin"/>
                </w:r>
                <w:r w:rsidRPr="00C05EB9">
                  <w:rPr>
                    <w:rFonts w:ascii="Tahoma" w:hAnsi="Tahoma" w:cs="Tahoma"/>
                    <w:sz w:val="32"/>
                    <w:szCs w:val="32"/>
                  </w:rPr>
                  <w:instrText xml:space="preserve"> HYPERLINK "https://moodle.uwtsd.ac.uk/course/view.php?id=4007" </w:instrText>
                </w:r>
                <w:r w:rsidRPr="00C05EB9">
                  <w:rPr>
                    <w:rFonts w:ascii="Tahoma" w:hAnsi="Tahoma" w:cs="Tahoma"/>
                    <w:sz w:val="32"/>
                    <w:szCs w:val="32"/>
                  </w:rPr>
                  <w:fldChar w:fldCharType="separate"/>
                </w:r>
                <w:r w:rsidRPr="00C05EB9">
                  <w:rPr>
                    <w:rFonts w:ascii="Tahoma" w:hAnsi="Tahoma" w:cs="Tahoma"/>
                    <w:sz w:val="32"/>
                    <w:szCs w:val="32"/>
                  </w:rPr>
                  <w:t>Developing Innovation and Creativity for Business Advantage</w:t>
                </w:r>
              </w:p>
              <w:p w14:paraId="0F1C3659" w14:textId="62DD143F" w:rsidR="00A930CB" w:rsidRPr="00C05EB9" w:rsidRDefault="00C05EB9" w:rsidP="00C05EB9">
                <w:pPr>
                  <w:spacing w:after="120"/>
                  <w:rPr>
                    <w:rFonts w:ascii="Tahoma" w:hAnsi="Tahoma" w:cs="Tahoma"/>
                    <w:sz w:val="16"/>
                    <w:szCs w:val="16"/>
                  </w:rPr>
                </w:pPr>
                <w:r w:rsidRPr="00C05EB9">
                  <w:rPr>
                    <w:rFonts w:ascii="Tahoma" w:hAnsi="Tahoma" w:cs="Tahoma"/>
                    <w:sz w:val="32"/>
                    <w:szCs w:val="32"/>
                  </w:rPr>
                  <w:fldChar w:fldCharType="end"/>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29BEE48B" w14:textId="09B12534" w:rsidR="00756A0A"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5177792" w:history="1">
                <w:r w:rsidR="00756A0A" w:rsidRPr="006351AC">
                  <w:rPr>
                    <w:rStyle w:val="Hyperlink"/>
                    <w:rFonts w:ascii="Arial" w:hAnsi="Arial" w:cs="Arial"/>
                    <w:noProof/>
                  </w:rPr>
                  <w:t>Introduction</w:t>
                </w:r>
                <w:r w:rsidR="00756A0A">
                  <w:rPr>
                    <w:noProof/>
                    <w:webHidden/>
                  </w:rPr>
                  <w:tab/>
                </w:r>
                <w:r w:rsidR="00756A0A">
                  <w:rPr>
                    <w:noProof/>
                    <w:webHidden/>
                  </w:rPr>
                  <w:fldChar w:fldCharType="begin"/>
                </w:r>
                <w:r w:rsidR="00756A0A">
                  <w:rPr>
                    <w:noProof/>
                    <w:webHidden/>
                  </w:rPr>
                  <w:instrText xml:space="preserve"> PAGEREF _Toc95177792 \h </w:instrText>
                </w:r>
                <w:r w:rsidR="00756A0A">
                  <w:rPr>
                    <w:noProof/>
                    <w:webHidden/>
                  </w:rPr>
                </w:r>
                <w:r w:rsidR="00756A0A">
                  <w:rPr>
                    <w:noProof/>
                    <w:webHidden/>
                  </w:rPr>
                  <w:fldChar w:fldCharType="separate"/>
                </w:r>
                <w:r w:rsidR="00756A0A">
                  <w:rPr>
                    <w:noProof/>
                    <w:webHidden/>
                  </w:rPr>
                  <w:t>3</w:t>
                </w:r>
                <w:r w:rsidR="00756A0A">
                  <w:rPr>
                    <w:noProof/>
                    <w:webHidden/>
                  </w:rPr>
                  <w:fldChar w:fldCharType="end"/>
                </w:r>
              </w:hyperlink>
            </w:p>
            <w:p w14:paraId="1B526770" w14:textId="2A543BE7" w:rsidR="00756A0A" w:rsidRDefault="00687F0F">
              <w:pPr>
                <w:pStyle w:val="TOC2"/>
                <w:tabs>
                  <w:tab w:val="right" w:leader="dot" w:pos="9350"/>
                </w:tabs>
                <w:rPr>
                  <w:rFonts w:eastAsiaTheme="minorEastAsia"/>
                  <w:noProof/>
                  <w:lang w:eastAsia="en-GB"/>
                </w:rPr>
              </w:pPr>
              <w:hyperlink w:anchor="_Toc95177793" w:history="1">
                <w:r w:rsidR="00756A0A" w:rsidRPr="006351AC">
                  <w:rPr>
                    <w:rStyle w:val="Hyperlink"/>
                    <w:rFonts w:ascii="Arial" w:hAnsi="Arial" w:cs="Arial"/>
                    <w:noProof/>
                  </w:rPr>
                  <w:t>Section 1 Innovation Models</w:t>
                </w:r>
                <w:r w:rsidR="00756A0A">
                  <w:rPr>
                    <w:noProof/>
                    <w:webHidden/>
                  </w:rPr>
                  <w:tab/>
                </w:r>
                <w:r w:rsidR="00756A0A">
                  <w:rPr>
                    <w:noProof/>
                    <w:webHidden/>
                  </w:rPr>
                  <w:fldChar w:fldCharType="begin"/>
                </w:r>
                <w:r w:rsidR="00756A0A">
                  <w:rPr>
                    <w:noProof/>
                    <w:webHidden/>
                  </w:rPr>
                  <w:instrText xml:space="preserve"> PAGEREF _Toc95177793 \h </w:instrText>
                </w:r>
                <w:r w:rsidR="00756A0A">
                  <w:rPr>
                    <w:noProof/>
                    <w:webHidden/>
                  </w:rPr>
                </w:r>
                <w:r w:rsidR="00756A0A">
                  <w:rPr>
                    <w:noProof/>
                    <w:webHidden/>
                  </w:rPr>
                  <w:fldChar w:fldCharType="separate"/>
                </w:r>
                <w:r w:rsidR="00756A0A">
                  <w:rPr>
                    <w:noProof/>
                    <w:webHidden/>
                  </w:rPr>
                  <w:t>3</w:t>
                </w:r>
                <w:r w:rsidR="00756A0A">
                  <w:rPr>
                    <w:noProof/>
                    <w:webHidden/>
                  </w:rPr>
                  <w:fldChar w:fldCharType="end"/>
                </w:r>
              </w:hyperlink>
            </w:p>
            <w:p w14:paraId="4356FD58" w14:textId="22867C50" w:rsidR="00756A0A" w:rsidRDefault="00687F0F">
              <w:pPr>
                <w:pStyle w:val="TOC2"/>
                <w:tabs>
                  <w:tab w:val="right" w:leader="dot" w:pos="9350"/>
                </w:tabs>
                <w:rPr>
                  <w:rFonts w:eastAsiaTheme="minorEastAsia"/>
                  <w:noProof/>
                  <w:lang w:eastAsia="en-GB"/>
                </w:rPr>
              </w:pPr>
              <w:hyperlink w:anchor="_Toc95177794" w:history="1">
                <w:r w:rsidR="00756A0A" w:rsidRPr="006351AC">
                  <w:rPr>
                    <w:rStyle w:val="Hyperlink"/>
                    <w:rFonts w:ascii="Arial" w:hAnsi="Arial" w:cs="Arial"/>
                    <w:noProof/>
                  </w:rPr>
                  <w:t>Section 2 Organisations Innovation</w:t>
                </w:r>
                <w:r w:rsidR="00756A0A">
                  <w:rPr>
                    <w:noProof/>
                    <w:webHidden/>
                  </w:rPr>
                  <w:tab/>
                </w:r>
                <w:r w:rsidR="00756A0A">
                  <w:rPr>
                    <w:noProof/>
                    <w:webHidden/>
                  </w:rPr>
                  <w:fldChar w:fldCharType="begin"/>
                </w:r>
                <w:r w:rsidR="00756A0A">
                  <w:rPr>
                    <w:noProof/>
                    <w:webHidden/>
                  </w:rPr>
                  <w:instrText xml:space="preserve"> PAGEREF _Toc95177794 \h </w:instrText>
                </w:r>
                <w:r w:rsidR="00756A0A">
                  <w:rPr>
                    <w:noProof/>
                    <w:webHidden/>
                  </w:rPr>
                </w:r>
                <w:r w:rsidR="00756A0A">
                  <w:rPr>
                    <w:noProof/>
                    <w:webHidden/>
                  </w:rPr>
                  <w:fldChar w:fldCharType="separate"/>
                </w:r>
                <w:r w:rsidR="00756A0A">
                  <w:rPr>
                    <w:noProof/>
                    <w:webHidden/>
                  </w:rPr>
                  <w:t>5</w:t>
                </w:r>
                <w:r w:rsidR="00756A0A">
                  <w:rPr>
                    <w:noProof/>
                    <w:webHidden/>
                  </w:rPr>
                  <w:fldChar w:fldCharType="end"/>
                </w:r>
              </w:hyperlink>
            </w:p>
            <w:p w14:paraId="7B41E1A5" w14:textId="1A6A9101" w:rsidR="00756A0A" w:rsidRDefault="00687F0F">
              <w:pPr>
                <w:pStyle w:val="TOC2"/>
                <w:tabs>
                  <w:tab w:val="right" w:leader="dot" w:pos="9350"/>
                </w:tabs>
                <w:rPr>
                  <w:rFonts w:eastAsiaTheme="minorEastAsia"/>
                  <w:noProof/>
                  <w:lang w:eastAsia="en-GB"/>
                </w:rPr>
              </w:pPr>
              <w:hyperlink w:anchor="_Toc95177795" w:history="1">
                <w:r w:rsidR="00756A0A" w:rsidRPr="006351AC">
                  <w:rPr>
                    <w:rStyle w:val="Hyperlink"/>
                    <w:rFonts w:ascii="Arial" w:hAnsi="Arial" w:cs="Arial"/>
                    <w:noProof/>
                  </w:rPr>
                  <w:t>Section 3 Creativity</w:t>
                </w:r>
                <w:r w:rsidR="00756A0A">
                  <w:rPr>
                    <w:noProof/>
                    <w:webHidden/>
                  </w:rPr>
                  <w:tab/>
                </w:r>
                <w:r w:rsidR="00756A0A">
                  <w:rPr>
                    <w:noProof/>
                    <w:webHidden/>
                  </w:rPr>
                  <w:fldChar w:fldCharType="begin"/>
                </w:r>
                <w:r w:rsidR="00756A0A">
                  <w:rPr>
                    <w:noProof/>
                    <w:webHidden/>
                  </w:rPr>
                  <w:instrText xml:space="preserve"> PAGEREF _Toc95177795 \h </w:instrText>
                </w:r>
                <w:r w:rsidR="00756A0A">
                  <w:rPr>
                    <w:noProof/>
                    <w:webHidden/>
                  </w:rPr>
                </w:r>
                <w:r w:rsidR="00756A0A">
                  <w:rPr>
                    <w:noProof/>
                    <w:webHidden/>
                  </w:rPr>
                  <w:fldChar w:fldCharType="separate"/>
                </w:r>
                <w:r w:rsidR="00756A0A">
                  <w:rPr>
                    <w:noProof/>
                    <w:webHidden/>
                  </w:rPr>
                  <w:t>6</w:t>
                </w:r>
                <w:r w:rsidR="00756A0A">
                  <w:rPr>
                    <w:noProof/>
                    <w:webHidden/>
                  </w:rPr>
                  <w:fldChar w:fldCharType="end"/>
                </w:r>
              </w:hyperlink>
            </w:p>
            <w:p w14:paraId="297A7E7D" w14:textId="03E28C4C" w:rsidR="00756A0A" w:rsidRDefault="00687F0F">
              <w:pPr>
                <w:pStyle w:val="TOC2"/>
                <w:tabs>
                  <w:tab w:val="right" w:leader="dot" w:pos="9350"/>
                </w:tabs>
                <w:rPr>
                  <w:rFonts w:eastAsiaTheme="minorEastAsia"/>
                  <w:noProof/>
                  <w:lang w:eastAsia="en-GB"/>
                </w:rPr>
              </w:pPr>
              <w:hyperlink w:anchor="_Toc95177796" w:history="1">
                <w:r w:rsidR="00756A0A" w:rsidRPr="006351AC">
                  <w:rPr>
                    <w:rStyle w:val="Hyperlink"/>
                    <w:rFonts w:ascii="Arial" w:hAnsi="Arial" w:cs="Arial"/>
                    <w:noProof/>
                  </w:rPr>
                  <w:t>Conclusion</w:t>
                </w:r>
                <w:r w:rsidR="00756A0A">
                  <w:rPr>
                    <w:noProof/>
                    <w:webHidden/>
                  </w:rPr>
                  <w:tab/>
                </w:r>
                <w:r w:rsidR="00756A0A">
                  <w:rPr>
                    <w:noProof/>
                    <w:webHidden/>
                  </w:rPr>
                  <w:fldChar w:fldCharType="begin"/>
                </w:r>
                <w:r w:rsidR="00756A0A">
                  <w:rPr>
                    <w:noProof/>
                    <w:webHidden/>
                  </w:rPr>
                  <w:instrText xml:space="preserve"> PAGEREF _Toc95177796 \h </w:instrText>
                </w:r>
                <w:r w:rsidR="00756A0A">
                  <w:rPr>
                    <w:noProof/>
                    <w:webHidden/>
                  </w:rPr>
                </w:r>
                <w:r w:rsidR="00756A0A">
                  <w:rPr>
                    <w:noProof/>
                    <w:webHidden/>
                  </w:rPr>
                  <w:fldChar w:fldCharType="separate"/>
                </w:r>
                <w:r w:rsidR="00756A0A">
                  <w:rPr>
                    <w:noProof/>
                    <w:webHidden/>
                  </w:rPr>
                  <w:t>9</w:t>
                </w:r>
                <w:r w:rsidR="00756A0A">
                  <w:rPr>
                    <w:noProof/>
                    <w:webHidden/>
                  </w:rPr>
                  <w:fldChar w:fldCharType="end"/>
                </w:r>
              </w:hyperlink>
            </w:p>
            <w:p w14:paraId="5B534B83" w14:textId="2B566C50" w:rsidR="00756A0A" w:rsidRDefault="00687F0F">
              <w:pPr>
                <w:pStyle w:val="TOC2"/>
                <w:tabs>
                  <w:tab w:val="right" w:leader="dot" w:pos="9350"/>
                </w:tabs>
                <w:rPr>
                  <w:rFonts w:eastAsiaTheme="minorEastAsia"/>
                  <w:noProof/>
                  <w:lang w:eastAsia="en-GB"/>
                </w:rPr>
              </w:pPr>
              <w:hyperlink w:anchor="_Toc95177797" w:history="1">
                <w:r w:rsidR="00756A0A" w:rsidRPr="006351AC">
                  <w:rPr>
                    <w:rStyle w:val="Hyperlink"/>
                    <w:rFonts w:ascii="Arial" w:hAnsi="Arial" w:cs="Arial"/>
                    <w:noProof/>
                  </w:rPr>
                  <w:t>References</w:t>
                </w:r>
                <w:r w:rsidR="00756A0A">
                  <w:rPr>
                    <w:noProof/>
                    <w:webHidden/>
                  </w:rPr>
                  <w:tab/>
                </w:r>
                <w:r w:rsidR="00756A0A">
                  <w:rPr>
                    <w:noProof/>
                    <w:webHidden/>
                  </w:rPr>
                  <w:fldChar w:fldCharType="begin"/>
                </w:r>
                <w:r w:rsidR="00756A0A">
                  <w:rPr>
                    <w:noProof/>
                    <w:webHidden/>
                  </w:rPr>
                  <w:instrText xml:space="preserve"> PAGEREF _Toc95177797 \h </w:instrText>
                </w:r>
                <w:r w:rsidR="00756A0A">
                  <w:rPr>
                    <w:noProof/>
                    <w:webHidden/>
                  </w:rPr>
                </w:r>
                <w:r w:rsidR="00756A0A">
                  <w:rPr>
                    <w:noProof/>
                    <w:webHidden/>
                  </w:rPr>
                  <w:fldChar w:fldCharType="separate"/>
                </w:r>
                <w:r w:rsidR="00756A0A">
                  <w:rPr>
                    <w:noProof/>
                    <w:webHidden/>
                  </w:rPr>
                  <w:t>10</w:t>
                </w:r>
                <w:r w:rsidR="00756A0A">
                  <w:rPr>
                    <w:noProof/>
                    <w:webHidden/>
                  </w:rPr>
                  <w:fldChar w:fldCharType="end"/>
                </w:r>
              </w:hyperlink>
            </w:p>
            <w:p w14:paraId="2584D315" w14:textId="27B00769" w:rsidR="00756A0A" w:rsidRDefault="00687F0F">
              <w:pPr>
                <w:pStyle w:val="TOC2"/>
                <w:tabs>
                  <w:tab w:val="right" w:leader="dot" w:pos="9350"/>
                </w:tabs>
                <w:rPr>
                  <w:rFonts w:eastAsiaTheme="minorEastAsia"/>
                  <w:noProof/>
                  <w:lang w:eastAsia="en-GB"/>
                </w:rPr>
              </w:pPr>
              <w:hyperlink w:anchor="_Toc95177798" w:history="1">
                <w:r w:rsidR="00756A0A" w:rsidRPr="006351AC">
                  <w:rPr>
                    <w:rStyle w:val="Hyperlink"/>
                    <w:rFonts w:ascii="Arial" w:hAnsi="Arial" w:cs="Arial"/>
                    <w:noProof/>
                  </w:rPr>
                  <w:t xml:space="preserve">Appendix 1 </w:t>
                </w:r>
                <w:r w:rsidR="00756A0A">
                  <w:rPr>
                    <w:rStyle w:val="Hyperlink"/>
                    <w:rFonts w:ascii="Arial" w:hAnsi="Arial" w:cs="Arial"/>
                    <w:noProof/>
                  </w:rPr>
                  <w:t>Stage-Gate</w:t>
                </w:r>
                <w:r w:rsidR="00756A0A" w:rsidRPr="006351AC">
                  <w:rPr>
                    <w:rStyle w:val="Hyperlink"/>
                    <w:rFonts w:ascii="Arial" w:hAnsi="Arial" w:cs="Arial"/>
                    <w:noProof/>
                  </w:rPr>
                  <w:t xml:space="preserve"> Innovation Model Process</w:t>
                </w:r>
                <w:r w:rsidR="00756A0A">
                  <w:rPr>
                    <w:noProof/>
                    <w:webHidden/>
                  </w:rPr>
                  <w:tab/>
                </w:r>
                <w:r w:rsidR="00756A0A">
                  <w:rPr>
                    <w:noProof/>
                    <w:webHidden/>
                  </w:rPr>
                  <w:fldChar w:fldCharType="begin"/>
                </w:r>
                <w:r w:rsidR="00756A0A">
                  <w:rPr>
                    <w:noProof/>
                    <w:webHidden/>
                  </w:rPr>
                  <w:instrText xml:space="preserve"> PAGEREF _Toc95177798 \h </w:instrText>
                </w:r>
                <w:r w:rsidR="00756A0A">
                  <w:rPr>
                    <w:noProof/>
                    <w:webHidden/>
                  </w:rPr>
                </w:r>
                <w:r w:rsidR="00756A0A">
                  <w:rPr>
                    <w:noProof/>
                    <w:webHidden/>
                  </w:rPr>
                  <w:fldChar w:fldCharType="separate"/>
                </w:r>
                <w:r w:rsidR="00756A0A">
                  <w:rPr>
                    <w:noProof/>
                    <w:webHidden/>
                  </w:rPr>
                  <w:t>13</w:t>
                </w:r>
                <w:r w:rsidR="00756A0A">
                  <w:rPr>
                    <w:noProof/>
                    <w:webHidden/>
                  </w:rPr>
                  <w:fldChar w:fldCharType="end"/>
                </w:r>
              </w:hyperlink>
            </w:p>
            <w:p w14:paraId="73A29515" w14:textId="6D89A1F9" w:rsidR="00756A0A" w:rsidRDefault="00687F0F">
              <w:pPr>
                <w:pStyle w:val="TOC2"/>
                <w:tabs>
                  <w:tab w:val="right" w:leader="dot" w:pos="9350"/>
                </w:tabs>
                <w:rPr>
                  <w:rFonts w:eastAsiaTheme="minorEastAsia"/>
                  <w:noProof/>
                  <w:lang w:eastAsia="en-GB"/>
                </w:rPr>
              </w:pPr>
              <w:hyperlink w:anchor="_Toc95177799" w:history="1">
                <w:r w:rsidR="00756A0A" w:rsidRPr="006351AC">
                  <w:rPr>
                    <w:rStyle w:val="Hyperlink"/>
                    <w:rFonts w:ascii="Arial" w:hAnsi="Arial" w:cs="Arial"/>
                    <w:noProof/>
                  </w:rPr>
                  <w:t>Appendix 2 Open Innovation Model</w:t>
                </w:r>
                <w:r w:rsidR="00756A0A">
                  <w:rPr>
                    <w:noProof/>
                    <w:webHidden/>
                  </w:rPr>
                  <w:tab/>
                </w:r>
                <w:r w:rsidR="00756A0A">
                  <w:rPr>
                    <w:noProof/>
                    <w:webHidden/>
                  </w:rPr>
                  <w:fldChar w:fldCharType="begin"/>
                </w:r>
                <w:r w:rsidR="00756A0A">
                  <w:rPr>
                    <w:noProof/>
                    <w:webHidden/>
                  </w:rPr>
                  <w:instrText xml:space="preserve"> PAGEREF _Toc95177799 \h </w:instrText>
                </w:r>
                <w:r w:rsidR="00756A0A">
                  <w:rPr>
                    <w:noProof/>
                    <w:webHidden/>
                  </w:rPr>
                </w:r>
                <w:r w:rsidR="00756A0A">
                  <w:rPr>
                    <w:noProof/>
                    <w:webHidden/>
                  </w:rPr>
                  <w:fldChar w:fldCharType="separate"/>
                </w:r>
                <w:r w:rsidR="00756A0A">
                  <w:rPr>
                    <w:noProof/>
                    <w:webHidden/>
                  </w:rPr>
                  <w:t>14</w:t>
                </w:r>
                <w:r w:rsidR="00756A0A">
                  <w:rPr>
                    <w:noProof/>
                    <w:webHidden/>
                  </w:rPr>
                  <w:fldChar w:fldCharType="end"/>
                </w:r>
              </w:hyperlink>
            </w:p>
            <w:p w14:paraId="3F3E3945" w14:textId="44FF5841" w:rsidR="00756A0A" w:rsidRDefault="00687F0F">
              <w:pPr>
                <w:pStyle w:val="TOC2"/>
                <w:tabs>
                  <w:tab w:val="right" w:leader="dot" w:pos="9350"/>
                </w:tabs>
                <w:rPr>
                  <w:rFonts w:eastAsiaTheme="minorEastAsia"/>
                  <w:noProof/>
                  <w:lang w:eastAsia="en-GB"/>
                </w:rPr>
              </w:pPr>
              <w:hyperlink w:anchor="_Toc95177800" w:history="1">
                <w:r w:rsidR="00756A0A" w:rsidRPr="006351AC">
                  <w:rPr>
                    <w:rStyle w:val="Hyperlink"/>
                    <w:rFonts w:ascii="Arial" w:hAnsi="Arial" w:cs="Arial"/>
                    <w:noProof/>
                  </w:rPr>
                  <w:t>Appendix 3 Ideas Dashboard</w:t>
                </w:r>
                <w:r w:rsidR="00756A0A">
                  <w:rPr>
                    <w:noProof/>
                    <w:webHidden/>
                  </w:rPr>
                  <w:tab/>
                </w:r>
                <w:r w:rsidR="00756A0A">
                  <w:rPr>
                    <w:noProof/>
                    <w:webHidden/>
                  </w:rPr>
                  <w:fldChar w:fldCharType="begin"/>
                </w:r>
                <w:r w:rsidR="00756A0A">
                  <w:rPr>
                    <w:noProof/>
                    <w:webHidden/>
                  </w:rPr>
                  <w:instrText xml:space="preserve"> PAGEREF _Toc95177800 \h </w:instrText>
                </w:r>
                <w:r w:rsidR="00756A0A">
                  <w:rPr>
                    <w:noProof/>
                    <w:webHidden/>
                  </w:rPr>
                </w:r>
                <w:r w:rsidR="00756A0A">
                  <w:rPr>
                    <w:noProof/>
                    <w:webHidden/>
                  </w:rPr>
                  <w:fldChar w:fldCharType="separate"/>
                </w:r>
                <w:r w:rsidR="00756A0A">
                  <w:rPr>
                    <w:noProof/>
                    <w:webHidden/>
                  </w:rPr>
                  <w:t>15</w:t>
                </w:r>
                <w:r w:rsidR="00756A0A">
                  <w:rPr>
                    <w:noProof/>
                    <w:webHidden/>
                  </w:rPr>
                  <w:fldChar w:fldCharType="end"/>
                </w:r>
              </w:hyperlink>
            </w:p>
            <w:p w14:paraId="42394321" w14:textId="5127E29C"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87F0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DA75A8" w:rsidRDefault="0006008A" w:rsidP="0030173B">
      <w:pPr>
        <w:pStyle w:val="Heading2"/>
        <w:rPr>
          <w:rFonts w:ascii="Arial" w:hAnsi="Arial" w:cs="Arial"/>
        </w:rPr>
      </w:pPr>
      <w:bookmarkStart w:id="0" w:name="_Toc456901515"/>
      <w:bookmarkStart w:id="1" w:name="_Toc95177792"/>
      <w:r w:rsidRPr="00DA75A8">
        <w:rPr>
          <w:rFonts w:ascii="Arial" w:hAnsi="Arial" w:cs="Arial"/>
        </w:rPr>
        <w:lastRenderedPageBreak/>
        <w:t>Introduction</w:t>
      </w:r>
      <w:bookmarkEnd w:id="0"/>
      <w:bookmarkEnd w:id="1"/>
      <w:r w:rsidRPr="00DA75A8">
        <w:rPr>
          <w:rFonts w:ascii="Arial" w:hAnsi="Arial" w:cs="Arial"/>
        </w:rPr>
        <w:t xml:space="preserve"> </w:t>
      </w:r>
    </w:p>
    <w:p w14:paraId="47219298" w14:textId="2887BD7D" w:rsidR="0030173B" w:rsidRPr="00DA75A8" w:rsidRDefault="0030173B" w:rsidP="00497EB1">
      <w:pPr>
        <w:rPr>
          <w:rFonts w:ascii="Arial" w:hAnsi="Arial" w:cs="Arial"/>
        </w:rPr>
      </w:pPr>
    </w:p>
    <w:p w14:paraId="5A1CE146" w14:textId="77777777" w:rsidR="00DA75A8" w:rsidRPr="00DA75A8" w:rsidRDefault="00497EB1" w:rsidP="00DA75A8">
      <w:pPr>
        <w:textAlignment w:val="baseline"/>
        <w:rPr>
          <w:rFonts w:ascii="Arial" w:hAnsi="Arial" w:cs="Arial"/>
        </w:rPr>
      </w:pPr>
      <w:r w:rsidRPr="00DA75A8">
        <w:rPr>
          <w:rFonts w:ascii="Arial" w:eastAsia="Times New Roman" w:hAnsi="Arial" w:cs="Arial"/>
          <w:sz w:val="24"/>
          <w:szCs w:val="24"/>
          <w:lang w:val="en-US" w:eastAsia="en-GB"/>
        </w:rPr>
        <w:t>​</w:t>
      </w:r>
      <w:r w:rsidR="00DA75A8" w:rsidRPr="00DA75A8">
        <w:rPr>
          <w:rFonts w:ascii="Arial" w:hAnsi="Arial" w:cs="Arial"/>
        </w:rPr>
        <w:t>​Creativity and Innovation differ in the fact that one leads onto the other. Creativity is also defined with the term invention or discovery (Huber, 1998); Innovation includes creativity and its introduction to the world made real. Innovation also differs in that it stems from the Latin verb of 'reintroducing' or 'making new'. Innovation starts with creativity and ends with its business application (Dubina, IN, &amp; Carayannis, EG (eds) 2016).</w:t>
      </w:r>
    </w:p>
    <w:p w14:paraId="20FB3191" w14:textId="77777777" w:rsidR="00DA75A8" w:rsidRPr="00DA75A8" w:rsidRDefault="00DA75A8" w:rsidP="00DA75A8">
      <w:pPr>
        <w:textAlignment w:val="baseline"/>
        <w:rPr>
          <w:rFonts w:ascii="Arial" w:hAnsi="Arial" w:cs="Arial"/>
        </w:rPr>
      </w:pPr>
    </w:p>
    <w:p w14:paraId="7F04BB19" w14:textId="7EF5234C" w:rsidR="007074D6" w:rsidRPr="00DA75A8" w:rsidRDefault="00DA75A8" w:rsidP="00DA75A8">
      <w:pPr>
        <w:textAlignment w:val="baseline"/>
        <w:rPr>
          <w:rFonts w:ascii="Arial" w:hAnsi="Arial" w:cs="Arial"/>
        </w:rPr>
      </w:pPr>
      <w:r w:rsidRPr="00DA75A8">
        <w:rPr>
          <w:rFonts w:ascii="Arial" w:hAnsi="Arial" w:cs="Arial"/>
        </w:rPr>
        <w:t>This report looks at the Stage-Gate model and the Open Innovation models of Innovation. These are used to examine the ability of organisations to innovate effectively critically. The report also evaluates an organisation's ability to harness creativity; and how an organisation fosters a creative culture in the workplace.</w:t>
      </w:r>
    </w:p>
    <w:p w14:paraId="1D58083B" w14:textId="77777777" w:rsidR="00DA75A8" w:rsidRPr="00DA75A8" w:rsidRDefault="00DA75A8" w:rsidP="00DA75A8">
      <w:pPr>
        <w:textAlignment w:val="baseline"/>
        <w:rPr>
          <w:rFonts w:ascii="Arial" w:hAnsi="Arial" w:cs="Arial"/>
          <w:sz w:val="24"/>
          <w:szCs w:val="24"/>
        </w:rPr>
      </w:pPr>
    </w:p>
    <w:p w14:paraId="5CB9DF97" w14:textId="40A9B727" w:rsidR="00322C2E" w:rsidRPr="00DA75A8" w:rsidRDefault="002049FE" w:rsidP="002049FE">
      <w:pPr>
        <w:pStyle w:val="Heading2"/>
        <w:rPr>
          <w:rFonts w:ascii="Arial" w:hAnsi="Arial" w:cs="Arial"/>
        </w:rPr>
      </w:pPr>
      <w:bookmarkStart w:id="2" w:name="_Toc95177793"/>
      <w:r w:rsidRPr="00DA75A8">
        <w:rPr>
          <w:rFonts w:ascii="Arial" w:hAnsi="Arial" w:cs="Arial"/>
        </w:rPr>
        <w:t>Section 1</w:t>
      </w:r>
      <w:r w:rsidR="006542C1" w:rsidRPr="00DA75A8">
        <w:rPr>
          <w:rFonts w:ascii="Arial" w:hAnsi="Arial" w:cs="Arial"/>
        </w:rPr>
        <w:t xml:space="preserve"> Innovation Models</w:t>
      </w:r>
      <w:bookmarkEnd w:id="2"/>
    </w:p>
    <w:p w14:paraId="61C396DE" w14:textId="09A311C8" w:rsidR="0006008A" w:rsidRPr="00DA75A8" w:rsidRDefault="00013FCF" w:rsidP="00497EB1">
      <w:pPr>
        <w:rPr>
          <w:rFonts w:ascii="Arial" w:hAnsi="Arial" w:cs="Arial"/>
          <w:sz w:val="24"/>
          <w:szCs w:val="24"/>
        </w:rPr>
      </w:pPr>
      <w:r w:rsidRPr="00DA75A8">
        <w:rPr>
          <w:rFonts w:ascii="Arial" w:hAnsi="Arial" w:cs="Arial"/>
          <w:sz w:val="24"/>
          <w:szCs w:val="24"/>
        </w:rPr>
        <w:t xml:space="preserve"> </w:t>
      </w:r>
    </w:p>
    <w:p w14:paraId="44ACAE70" w14:textId="5992C328" w:rsidR="00181B88" w:rsidRPr="00DA75A8" w:rsidRDefault="00DA75A8" w:rsidP="00181B88">
      <w:pPr>
        <w:rPr>
          <w:rFonts w:ascii="Arial" w:hAnsi="Arial" w:cs="Arial"/>
        </w:rPr>
      </w:pPr>
      <w:r w:rsidRPr="00DA75A8">
        <w:rPr>
          <w:rFonts w:ascii="Arial" w:hAnsi="Arial" w:cs="Arial"/>
        </w:rPr>
        <w:t>There are several innovation models for new products, from their conception to launch. However, a comparison is made between the Stage-Gate model of Innovation vs the Open model of Innovation.</w:t>
      </w:r>
    </w:p>
    <w:p w14:paraId="6E55CBB1" w14:textId="77777777" w:rsidR="00DA75A8" w:rsidRPr="00DA75A8" w:rsidRDefault="00DA75A8" w:rsidP="00181B88">
      <w:pPr>
        <w:rPr>
          <w:rFonts w:ascii="Arial" w:hAnsi="Arial" w:cs="Arial"/>
        </w:rPr>
      </w:pPr>
    </w:p>
    <w:p w14:paraId="5EDAC102" w14:textId="549A86C8" w:rsidR="00181B88" w:rsidRPr="00DA75A8" w:rsidRDefault="00181B88" w:rsidP="00181B88">
      <w:pPr>
        <w:rPr>
          <w:rFonts w:ascii="Arial" w:hAnsi="Arial" w:cs="Arial"/>
          <w:b/>
          <w:bCs/>
          <w:sz w:val="24"/>
          <w:szCs w:val="24"/>
        </w:rPr>
      </w:pPr>
      <w:r w:rsidRPr="00DA75A8">
        <w:rPr>
          <w:rFonts w:ascii="Arial" w:hAnsi="Arial" w:cs="Arial"/>
          <w:b/>
          <w:bCs/>
          <w:sz w:val="24"/>
          <w:szCs w:val="24"/>
        </w:rPr>
        <w:t>Stage-Gate Model</w:t>
      </w:r>
    </w:p>
    <w:p w14:paraId="47317B2D" w14:textId="504F42FD" w:rsidR="00181B88" w:rsidRPr="00DA75A8" w:rsidRDefault="00181B88" w:rsidP="00181B88">
      <w:pPr>
        <w:rPr>
          <w:rFonts w:ascii="Arial" w:hAnsi="Arial" w:cs="Arial"/>
        </w:rPr>
      </w:pPr>
    </w:p>
    <w:p w14:paraId="709CF877" w14:textId="77777777" w:rsidR="00DA75A8" w:rsidRPr="00DA75A8" w:rsidRDefault="00DA75A8" w:rsidP="00DA75A8">
      <w:pPr>
        <w:rPr>
          <w:rFonts w:ascii="Arial" w:eastAsia="Times New Roman" w:hAnsi="Arial" w:cs="Arial"/>
          <w:color w:val="0E101A"/>
          <w:sz w:val="24"/>
          <w:szCs w:val="24"/>
          <w:lang w:eastAsia="en-GB"/>
        </w:rPr>
      </w:pPr>
      <w:bookmarkStart w:id="3" w:name="_Toc95177794"/>
      <w:r w:rsidRPr="00DA75A8">
        <w:rPr>
          <w:rFonts w:ascii="Arial" w:eastAsia="Times New Roman" w:hAnsi="Arial" w:cs="Arial"/>
          <w:color w:val="0E101A"/>
          <w:sz w:val="24"/>
          <w:szCs w:val="24"/>
          <w:lang w:eastAsia="en-GB"/>
        </w:rPr>
        <w:t>Created by Robert Cooper in 1988 and was later optimised to a 5-stage process model. The model is a road map for a step-by-step play for the development process of a new product. The idea has several stages of Innovation, with gates between each stage. These gates are where decisions are made on whether the project is to proceed or not; as a kind of evaluation check or "quality control" for success or its effectiveness. This model has been utilised by companies, the likes of 3M, Exxon Chemical, and Lego, to name a few. (Cooper,1988) (Cooper, et al., 2002) (Cooper, 2011).</w:t>
      </w:r>
    </w:p>
    <w:p w14:paraId="50F4D83A" w14:textId="77777777" w:rsidR="00DA75A8" w:rsidRPr="00DA75A8" w:rsidRDefault="00DA75A8" w:rsidP="00DA75A8">
      <w:pPr>
        <w:rPr>
          <w:rFonts w:ascii="Arial" w:eastAsia="Times New Roman" w:hAnsi="Arial" w:cs="Arial"/>
          <w:color w:val="0E101A"/>
          <w:sz w:val="24"/>
          <w:szCs w:val="24"/>
          <w:lang w:eastAsia="en-GB"/>
        </w:rPr>
      </w:pPr>
    </w:p>
    <w:p w14:paraId="5C181198"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first stage is Scoping. After the initial idea or discovery is made, its merits are assessed and evaluated. This consists largely of research, looking at the pros and cons of its marketing potential. </w:t>
      </w:r>
    </w:p>
    <w:p w14:paraId="2267DCF8" w14:textId="77777777" w:rsidR="00DA75A8" w:rsidRPr="00DA75A8" w:rsidRDefault="00DA75A8" w:rsidP="00DA75A8">
      <w:pPr>
        <w:rPr>
          <w:rFonts w:ascii="Arial" w:eastAsia="Times New Roman" w:hAnsi="Arial" w:cs="Arial"/>
          <w:color w:val="0E101A"/>
          <w:sz w:val="24"/>
          <w:szCs w:val="24"/>
          <w:lang w:eastAsia="en-GB"/>
        </w:rPr>
      </w:pPr>
    </w:p>
    <w:p w14:paraId="0594ED64"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Creating a business case is the second stage. A more thorough investigation is carried out for the suitability and success of the product. A plan of how it is to be carried out, who is involved, specifications and the targeted client base on the market.</w:t>
      </w:r>
    </w:p>
    <w:p w14:paraId="3D63B9E5" w14:textId="77777777" w:rsidR="00DA75A8" w:rsidRPr="00DA75A8" w:rsidRDefault="00DA75A8" w:rsidP="00DA75A8">
      <w:pPr>
        <w:rPr>
          <w:rFonts w:ascii="Arial" w:eastAsia="Times New Roman" w:hAnsi="Arial" w:cs="Arial"/>
          <w:color w:val="0E101A"/>
          <w:sz w:val="24"/>
          <w:szCs w:val="24"/>
          <w:lang w:eastAsia="en-GB"/>
        </w:rPr>
      </w:pPr>
    </w:p>
    <w:p w14:paraId="35DF523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third stage is Development. At this stage, the plan is put into motion. It is where the Development and the design are carried out. Concurrent activities are carried out on both the technical levels as well as that of the marketing aspects. Laid targets in the development stage are monitored and on a timeline as a measure of progress.</w:t>
      </w:r>
    </w:p>
    <w:p w14:paraId="5362FC60" w14:textId="77777777" w:rsidR="00DA75A8" w:rsidRPr="00DA75A8" w:rsidRDefault="00DA75A8" w:rsidP="00DA75A8">
      <w:pPr>
        <w:rPr>
          <w:rFonts w:ascii="Arial" w:eastAsia="Times New Roman" w:hAnsi="Arial" w:cs="Arial"/>
          <w:color w:val="0E101A"/>
          <w:sz w:val="24"/>
          <w:szCs w:val="24"/>
          <w:lang w:eastAsia="en-GB"/>
        </w:rPr>
      </w:pPr>
    </w:p>
    <w:p w14:paraId="1778BF47"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Testing and Validation is the fourth stage. This involves putting the new product through tests and operational trials to ensure that it fulfils what had been initially planned.</w:t>
      </w:r>
    </w:p>
    <w:p w14:paraId="0E4EB673" w14:textId="77777777" w:rsidR="00DA75A8" w:rsidRPr="00DA75A8" w:rsidRDefault="00DA75A8" w:rsidP="00DA75A8">
      <w:pPr>
        <w:rPr>
          <w:rFonts w:ascii="Arial" w:eastAsia="Times New Roman" w:hAnsi="Arial" w:cs="Arial"/>
          <w:color w:val="0E101A"/>
          <w:sz w:val="24"/>
          <w:szCs w:val="24"/>
          <w:lang w:eastAsia="en-GB"/>
        </w:rPr>
      </w:pPr>
    </w:p>
    <w:p w14:paraId="7CBA2155"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lastRenderedPageBreak/>
        <w:t>The fifth stage is Launch. After successful Validation, the product is commercialised and sold at this stage. Prior trials and projections using customer feedback should ensure a successful product.</w:t>
      </w:r>
    </w:p>
    <w:p w14:paraId="0B9DA5A1" w14:textId="77777777" w:rsidR="00DA75A8" w:rsidRPr="00DA75A8" w:rsidRDefault="00DA75A8" w:rsidP="00DA75A8">
      <w:pPr>
        <w:rPr>
          <w:rFonts w:ascii="Arial" w:eastAsia="Times New Roman" w:hAnsi="Arial" w:cs="Arial"/>
          <w:color w:val="0E101A"/>
          <w:sz w:val="24"/>
          <w:szCs w:val="24"/>
          <w:lang w:eastAsia="en-GB"/>
        </w:rPr>
      </w:pPr>
    </w:p>
    <w:p w14:paraId="39E7CCC2"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Stage-Gate Model has, as previously stated, a series of 'Gates' that determine whether the project was to continue or "Go/Kill decision points" (Cooper, 2011, p. 174). The fundamental questions raised are whether the actions carried out were done correctly or whether the project itself is still currently the right one. See Appendix 1.</w:t>
      </w:r>
    </w:p>
    <w:p w14:paraId="0CA6FBF5" w14:textId="77777777" w:rsidR="00DA75A8" w:rsidRPr="00DA75A8" w:rsidRDefault="00DA75A8" w:rsidP="00DA75A8">
      <w:pPr>
        <w:rPr>
          <w:rFonts w:ascii="Arial" w:eastAsia="Times New Roman" w:hAnsi="Arial" w:cs="Arial"/>
          <w:color w:val="0E101A"/>
          <w:sz w:val="24"/>
          <w:szCs w:val="24"/>
          <w:lang w:eastAsia="en-GB"/>
        </w:rPr>
      </w:pPr>
    </w:p>
    <w:p w14:paraId="7D1C926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initial gate is Screening. Magnusson (2016) stated that the three important aspects required for successful Innovation lay in it being new, valuable to the user and productibility. The originality for uniqueness and its attractiveness. The User-value highlights the benefits to the new product or idea and the productivity for its possibility. On passing through this gate, it is then assessed and scoped in stage one of the process. </w:t>
      </w:r>
    </w:p>
    <w:p w14:paraId="4C2AA183" w14:textId="77777777" w:rsidR="00DA75A8" w:rsidRPr="00DA75A8" w:rsidRDefault="00DA75A8" w:rsidP="00DA75A8">
      <w:pPr>
        <w:rPr>
          <w:rFonts w:ascii="Arial" w:eastAsia="Times New Roman" w:hAnsi="Arial" w:cs="Arial"/>
          <w:color w:val="0E101A"/>
          <w:sz w:val="24"/>
          <w:szCs w:val="24"/>
          <w:lang w:eastAsia="en-GB"/>
        </w:rPr>
      </w:pPr>
    </w:p>
    <w:p w14:paraId="1A82FBB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Gate two is where a second screening or initial assessment is carried out. This is where the questions are asked for their feasibility, using evaluators whether they be technical or expert users. It is also at this stage that questions are asked with regards to the financial possibilities. Stage 2 is then entered with the creation of a business case.</w:t>
      </w:r>
    </w:p>
    <w:p w14:paraId="2DFFDFF2" w14:textId="77777777" w:rsidR="00DA75A8" w:rsidRPr="00DA75A8" w:rsidRDefault="00DA75A8" w:rsidP="00DA75A8">
      <w:pPr>
        <w:rPr>
          <w:rFonts w:ascii="Arial" w:eastAsia="Times New Roman" w:hAnsi="Arial" w:cs="Arial"/>
          <w:color w:val="0E101A"/>
          <w:sz w:val="24"/>
          <w:szCs w:val="24"/>
          <w:lang w:eastAsia="en-GB"/>
        </w:rPr>
      </w:pPr>
    </w:p>
    <w:p w14:paraId="4C3F046E"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Gate three. If all the criteria are met, an agreement needs to be made post the business case creation stage. The questions are asked before the development stage due to the heavy financial commitments involved. If the new product features or specifications meet the criteria, will it still hit the target market it is aimed at, and basically whether the benefits outweigh the cons. Once fulfilled and answered, the authorisation is then given to the Development stage at stage three. </w:t>
      </w:r>
    </w:p>
    <w:p w14:paraId="2899CEAC" w14:textId="77777777" w:rsidR="00DA75A8" w:rsidRPr="00DA75A8" w:rsidRDefault="00DA75A8" w:rsidP="00DA75A8">
      <w:pPr>
        <w:rPr>
          <w:rFonts w:ascii="Arial" w:eastAsia="Times New Roman" w:hAnsi="Arial" w:cs="Arial"/>
          <w:color w:val="0E101A"/>
          <w:sz w:val="24"/>
          <w:szCs w:val="24"/>
          <w:lang w:eastAsia="en-GB"/>
        </w:rPr>
      </w:pPr>
    </w:p>
    <w:p w14:paraId="2F9A66BD"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fourth gate is the pre-test review. The review validates the product development and whether it still meets the customer requirements and market value. It then proceeds to the testing and validation stage if it is a 'Go'.</w:t>
      </w:r>
    </w:p>
    <w:p w14:paraId="51643AB9" w14:textId="77777777" w:rsidR="00DA75A8" w:rsidRPr="00DA75A8" w:rsidRDefault="00DA75A8" w:rsidP="00DA75A8">
      <w:pPr>
        <w:rPr>
          <w:rFonts w:ascii="Arial" w:eastAsia="Times New Roman" w:hAnsi="Arial" w:cs="Arial"/>
          <w:color w:val="0E101A"/>
          <w:sz w:val="24"/>
          <w:szCs w:val="24"/>
          <w:lang w:eastAsia="en-GB"/>
        </w:rPr>
      </w:pPr>
    </w:p>
    <w:p w14:paraId="0D2DB1C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Launch is the fifth gate. At this point, it looks at the results of the test and validation stage and reviews whether the outcomes are positive enough to proceed to the launch stage. Marketing plans and operations are reviewed and solidified via the findings with a look at its longevity following commercialisation.</w:t>
      </w:r>
    </w:p>
    <w:p w14:paraId="2D0A390C" w14:textId="77777777" w:rsidR="00DA75A8" w:rsidRPr="00DA75A8" w:rsidRDefault="00DA75A8" w:rsidP="00DA75A8">
      <w:pPr>
        <w:rPr>
          <w:rFonts w:ascii="Arial" w:eastAsia="Times New Roman" w:hAnsi="Arial" w:cs="Arial"/>
          <w:color w:val="0E101A"/>
          <w:sz w:val="24"/>
          <w:szCs w:val="24"/>
          <w:lang w:eastAsia="en-GB"/>
        </w:rPr>
      </w:pPr>
    </w:p>
    <w:p w14:paraId="7C3B50B5"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There is customer input throughout the stages, and post-launch review is always carried out. This analysis is also carried out for future improvements throughout the process.</w:t>
      </w:r>
    </w:p>
    <w:p w14:paraId="0A94174F" w14:textId="77777777" w:rsidR="00DA75A8" w:rsidRPr="00DA75A8" w:rsidRDefault="00DA75A8" w:rsidP="00DA75A8">
      <w:pPr>
        <w:rPr>
          <w:rFonts w:ascii="Arial" w:eastAsia="Times New Roman" w:hAnsi="Arial" w:cs="Arial"/>
          <w:color w:val="0E101A"/>
          <w:sz w:val="24"/>
          <w:szCs w:val="24"/>
          <w:lang w:eastAsia="en-GB"/>
        </w:rPr>
      </w:pPr>
    </w:p>
    <w:p w14:paraId="6E4EE65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The benefit of the Stage-Gate model is that it focuses on hitting milestones at each stage to be able to progress further, allowing for more focus on the tasks. The focus prevents time wastage, and the 'Go/Kill' progress assessment points prevent additional time spent on the project if not feasible or achievable. The discipline instilled through the structure has the team members aware of what needs to be done or accomplished. </w:t>
      </w:r>
      <w:r w:rsidRPr="00DA75A8">
        <w:rPr>
          <w:rFonts w:ascii="Arial" w:eastAsia="Times New Roman" w:hAnsi="Arial" w:cs="Arial"/>
          <w:color w:val="0E101A"/>
          <w:sz w:val="24"/>
          <w:szCs w:val="24"/>
          <w:lang w:eastAsia="en-GB"/>
        </w:rPr>
        <w:lastRenderedPageBreak/>
        <w:t xml:space="preserve">Error prevention through the model's structure and guided approach ensure steps are not skipped in the process. (Paul </w:t>
      </w:r>
      <w:proofErr w:type="spellStart"/>
      <w:r w:rsidRPr="00DA75A8">
        <w:rPr>
          <w:rFonts w:ascii="Arial" w:eastAsia="Times New Roman" w:hAnsi="Arial" w:cs="Arial"/>
          <w:color w:val="0E101A"/>
          <w:sz w:val="24"/>
          <w:szCs w:val="24"/>
          <w:lang w:eastAsia="en-GB"/>
        </w:rPr>
        <w:t>Duguhi</w:t>
      </w:r>
      <w:proofErr w:type="spellEnd"/>
      <w:r w:rsidRPr="00DA75A8">
        <w:rPr>
          <w:rFonts w:ascii="Arial" w:eastAsia="Times New Roman" w:hAnsi="Arial" w:cs="Arial"/>
          <w:color w:val="0E101A"/>
          <w:sz w:val="24"/>
          <w:szCs w:val="24"/>
          <w:lang w:eastAsia="en-GB"/>
        </w:rPr>
        <w:t>, 2021). </w:t>
      </w:r>
    </w:p>
    <w:p w14:paraId="63E8BEF3" w14:textId="77777777" w:rsidR="00DA75A8" w:rsidRPr="00DA75A8" w:rsidRDefault="00DA75A8" w:rsidP="00DA75A8">
      <w:pPr>
        <w:rPr>
          <w:rFonts w:ascii="Arial" w:eastAsia="Times New Roman" w:hAnsi="Arial" w:cs="Arial"/>
          <w:color w:val="0E101A"/>
          <w:sz w:val="24"/>
          <w:szCs w:val="24"/>
          <w:lang w:eastAsia="en-GB"/>
        </w:rPr>
      </w:pPr>
    </w:p>
    <w:p w14:paraId="72F2549B"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b/>
          <w:bCs/>
          <w:color w:val="0E101A"/>
          <w:sz w:val="24"/>
          <w:szCs w:val="24"/>
          <w:lang w:eastAsia="en-GB"/>
        </w:rPr>
        <w:t>Open Innovation Model</w:t>
      </w:r>
      <w:r w:rsidRPr="00DA75A8">
        <w:rPr>
          <w:rFonts w:ascii="Arial" w:eastAsia="Times New Roman" w:hAnsi="Arial" w:cs="Arial"/>
          <w:color w:val="0E101A"/>
          <w:sz w:val="24"/>
          <w:szCs w:val="24"/>
          <w:lang w:eastAsia="en-GB"/>
        </w:rPr>
        <w:t> </w:t>
      </w:r>
    </w:p>
    <w:p w14:paraId="55A4A077" w14:textId="77777777" w:rsidR="00DA75A8" w:rsidRPr="00DA75A8" w:rsidRDefault="00DA75A8" w:rsidP="00DA75A8">
      <w:pPr>
        <w:rPr>
          <w:rFonts w:ascii="Arial" w:eastAsia="Times New Roman" w:hAnsi="Arial" w:cs="Arial"/>
          <w:color w:val="0E101A"/>
          <w:sz w:val="24"/>
          <w:szCs w:val="24"/>
          <w:lang w:eastAsia="en-GB"/>
        </w:rPr>
      </w:pPr>
    </w:p>
    <w:p w14:paraId="27ACCD46"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Chesbrough first raised the phrase in 2003 in his book "Open Innovation". Open Innovation refers to the intentional exchange of knowledge and technologies to hasten internal Innovation and broaden the market. Where Closed Innovation is where inputs come from mostly internal sources (Cooper, 2011). See Appendix 2 for the Open Innovation type model and how an organisation uses Research and Development (R&amp;D) in Innovation.</w:t>
      </w:r>
    </w:p>
    <w:p w14:paraId="2B4BBA51" w14:textId="77777777" w:rsidR="00DA75A8" w:rsidRPr="00DA75A8" w:rsidRDefault="00DA75A8" w:rsidP="00DA75A8">
      <w:pPr>
        <w:rPr>
          <w:rFonts w:ascii="Arial" w:eastAsia="Times New Roman" w:hAnsi="Arial" w:cs="Arial"/>
          <w:color w:val="0E101A"/>
          <w:sz w:val="24"/>
          <w:szCs w:val="24"/>
          <w:lang w:eastAsia="en-GB"/>
        </w:rPr>
      </w:pPr>
    </w:p>
    <w:p w14:paraId="13377EA2"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While cost could be saved to leverage another organisation's budget, this could be disadvantaged by the contractual obligations formed in the negotiations with Open innovation models. Gronlund, </w:t>
      </w:r>
      <w:proofErr w:type="spellStart"/>
      <w:r w:rsidRPr="00DA75A8">
        <w:rPr>
          <w:rFonts w:ascii="Arial" w:eastAsia="Times New Roman" w:hAnsi="Arial" w:cs="Arial"/>
          <w:color w:val="0E101A"/>
          <w:sz w:val="24"/>
          <w:szCs w:val="24"/>
          <w:lang w:eastAsia="en-GB"/>
        </w:rPr>
        <w:t>Ronnberg</w:t>
      </w:r>
      <w:proofErr w:type="spellEnd"/>
      <w:r w:rsidRPr="00DA75A8">
        <w:rPr>
          <w:rFonts w:ascii="Arial" w:eastAsia="Times New Roman" w:hAnsi="Arial" w:cs="Arial"/>
          <w:color w:val="0E101A"/>
          <w:sz w:val="24"/>
          <w:szCs w:val="24"/>
          <w:lang w:eastAsia="en-GB"/>
        </w:rPr>
        <w:t xml:space="preserve">, D., &amp; </w:t>
      </w:r>
      <w:proofErr w:type="spellStart"/>
      <w:r w:rsidRPr="00DA75A8">
        <w:rPr>
          <w:rFonts w:ascii="Arial" w:eastAsia="Times New Roman" w:hAnsi="Arial" w:cs="Arial"/>
          <w:color w:val="0E101A"/>
          <w:sz w:val="24"/>
          <w:szCs w:val="24"/>
          <w:lang w:eastAsia="en-GB"/>
        </w:rPr>
        <w:t>Frishammar</w:t>
      </w:r>
      <w:proofErr w:type="spellEnd"/>
      <w:r w:rsidRPr="00DA75A8">
        <w:rPr>
          <w:rFonts w:ascii="Arial" w:eastAsia="Times New Roman" w:hAnsi="Arial" w:cs="Arial"/>
          <w:color w:val="0E101A"/>
          <w:sz w:val="24"/>
          <w:szCs w:val="24"/>
          <w:lang w:eastAsia="en-GB"/>
        </w:rPr>
        <w:t>, J. (2010) argue that the Stage-Gate process was said to be time-wasting from unnecessary activities, having distractions and a hindrance on the opportunity to learn. This led to the inclusion of open innovation activities in the Stage-Gate process, namely the Agility Stage-Gate Innovation. </w:t>
      </w:r>
    </w:p>
    <w:p w14:paraId="5301D216" w14:textId="77777777" w:rsidR="00DA75A8" w:rsidRPr="00DA75A8" w:rsidRDefault="00DA75A8" w:rsidP="00DA75A8">
      <w:pPr>
        <w:rPr>
          <w:rFonts w:ascii="Arial" w:eastAsia="Times New Roman" w:hAnsi="Arial" w:cs="Arial"/>
          <w:color w:val="0E101A"/>
          <w:sz w:val="24"/>
          <w:szCs w:val="24"/>
          <w:lang w:eastAsia="en-GB"/>
        </w:rPr>
      </w:pPr>
    </w:p>
    <w:p w14:paraId="07E5698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Agile Innovation is the result of applying the 'Lean' approach to speed up the innovation process. In 1975 Toyota introduced a system of which its success became world renown which and adopted around the world. It involved priority management in accelerating processes and the application of new resources. Francesc Guell (2022).</w:t>
      </w:r>
    </w:p>
    <w:p w14:paraId="070E9AEB" w14:textId="77777777" w:rsidR="00DA75A8" w:rsidRPr="00DA75A8" w:rsidRDefault="00DA75A8" w:rsidP="00DA75A8">
      <w:pPr>
        <w:rPr>
          <w:rFonts w:ascii="Arial" w:eastAsia="Times New Roman" w:hAnsi="Arial" w:cs="Arial"/>
          <w:color w:val="0E101A"/>
          <w:sz w:val="24"/>
          <w:szCs w:val="24"/>
          <w:lang w:eastAsia="en-GB"/>
        </w:rPr>
      </w:pPr>
    </w:p>
    <w:p w14:paraId="5659DD4C"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Critics claimed the Stage-Gate model was too linear, </w:t>
      </w:r>
      <w:proofErr w:type="gramStart"/>
      <w:r w:rsidRPr="00DA75A8">
        <w:rPr>
          <w:rFonts w:ascii="Arial" w:eastAsia="Times New Roman" w:hAnsi="Arial" w:cs="Arial"/>
          <w:color w:val="0E101A"/>
          <w:sz w:val="24"/>
          <w:szCs w:val="24"/>
          <w:lang w:eastAsia="en-GB"/>
        </w:rPr>
        <w:t>rigid</w:t>
      </w:r>
      <w:proofErr w:type="gramEnd"/>
      <w:r w:rsidRPr="00DA75A8">
        <w:rPr>
          <w:rFonts w:ascii="Arial" w:eastAsia="Times New Roman" w:hAnsi="Arial" w:cs="Arial"/>
          <w:color w:val="0E101A"/>
          <w:sz w:val="24"/>
          <w:szCs w:val="24"/>
          <w:lang w:eastAsia="en-GB"/>
        </w:rPr>
        <w:t xml:space="preserve"> and planned. It did not have the capacity for active changes being too structured and lacked the adaptability for more innovative projects. The result of which the Stage-Gate model was modified with the open process called the Agility Stage-Gate Model. The emphasis on adaptability and quicker response to change. (Cooper, 2011) (Cooper, Sommer, 2016)</w:t>
      </w:r>
    </w:p>
    <w:p w14:paraId="508B81BA" w14:textId="77777777" w:rsidR="00DA75A8" w:rsidRPr="00DA75A8" w:rsidRDefault="00DA75A8" w:rsidP="00DA75A8">
      <w:pPr>
        <w:rPr>
          <w:rFonts w:ascii="Arial" w:eastAsia="Times New Roman" w:hAnsi="Arial" w:cs="Arial"/>
          <w:color w:val="0E101A"/>
          <w:sz w:val="24"/>
          <w:szCs w:val="24"/>
          <w:lang w:eastAsia="en-GB"/>
        </w:rPr>
      </w:pPr>
    </w:p>
    <w:p w14:paraId="12FCA39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model refers to an organisations use of external sources from that of the organisation in collaboration through strategic partnership. This is carried out to reduce cost and risk; in terms of Development, this has already been undertaken, and therefore the organisation is entering the market at low risk and low point level. Doing so would reduce the time in the initial stages of the process. It also allows for shared learning and other new expansions or introductions to the market. (Tidd &amp; Bessant, 2018). Open Innovation through collaborations fosters stronger relationships internally and externally, and the enthusiasm to help and a sense of ownership would only contribute to the project's success. (</w:t>
      </w:r>
      <w:proofErr w:type="spellStart"/>
      <w:r w:rsidRPr="00DA75A8">
        <w:rPr>
          <w:rFonts w:ascii="Arial" w:eastAsia="Times New Roman" w:hAnsi="Arial" w:cs="Arial"/>
          <w:color w:val="0E101A"/>
          <w:sz w:val="24"/>
          <w:szCs w:val="24"/>
          <w:lang w:eastAsia="en-GB"/>
        </w:rPr>
        <w:t>Apiumhub</w:t>
      </w:r>
      <w:proofErr w:type="spellEnd"/>
      <w:r w:rsidRPr="00DA75A8">
        <w:rPr>
          <w:rFonts w:ascii="Arial" w:eastAsia="Times New Roman" w:hAnsi="Arial" w:cs="Arial"/>
          <w:color w:val="0E101A"/>
          <w:sz w:val="24"/>
          <w:szCs w:val="24"/>
          <w:lang w:eastAsia="en-GB"/>
        </w:rPr>
        <w:t>, 2019). </w:t>
      </w:r>
    </w:p>
    <w:p w14:paraId="011CF50F" w14:textId="77777777" w:rsidR="00DA75A8" w:rsidRPr="00DA75A8" w:rsidRDefault="00DA75A8" w:rsidP="00DA75A8">
      <w:pPr>
        <w:rPr>
          <w:rFonts w:ascii="Arial" w:eastAsia="Times New Roman" w:hAnsi="Arial" w:cs="Arial"/>
          <w:color w:val="0E101A"/>
          <w:sz w:val="24"/>
          <w:szCs w:val="24"/>
          <w:lang w:eastAsia="en-GB"/>
        </w:rPr>
      </w:pPr>
    </w:p>
    <w:p w14:paraId="4EF1F712" w14:textId="1C0C1BF6"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It could be concluded from the comparisons of the two models that open models of Innovation appear to be more advantageous of the two models with the creator of the Stage-Gate model Cooper even having to modify the model he had created to conform with the fast passes of more modern times and how business is done. The closed model of Innovation adopted by Apple has been successful to date. However, the style </w:t>
      </w:r>
      <w:r w:rsidRPr="00DA75A8">
        <w:rPr>
          <w:rFonts w:ascii="Arial" w:eastAsia="Times New Roman" w:hAnsi="Arial" w:cs="Arial"/>
          <w:color w:val="0E101A"/>
          <w:sz w:val="24"/>
          <w:szCs w:val="24"/>
          <w:lang w:eastAsia="en-GB"/>
        </w:rPr>
        <w:lastRenderedPageBreak/>
        <w:t>of swallowing other enterprises for technology would most likely be a method to keep technology in a more enclosed setting.</w:t>
      </w:r>
    </w:p>
    <w:p w14:paraId="17996CF5" w14:textId="77777777" w:rsidR="00DA75A8" w:rsidRPr="00DA75A8" w:rsidRDefault="00DA75A8" w:rsidP="00DA75A8">
      <w:pPr>
        <w:rPr>
          <w:rFonts w:ascii="Arial" w:eastAsia="Times New Roman" w:hAnsi="Arial" w:cs="Arial"/>
          <w:color w:val="0E101A"/>
          <w:sz w:val="24"/>
          <w:szCs w:val="24"/>
          <w:lang w:eastAsia="en-GB"/>
        </w:rPr>
      </w:pPr>
    </w:p>
    <w:p w14:paraId="1B0C3141" w14:textId="7290DA89" w:rsidR="0056093A" w:rsidRPr="00DA75A8" w:rsidRDefault="002049FE" w:rsidP="00EE57DD">
      <w:pPr>
        <w:pStyle w:val="Heading2"/>
        <w:rPr>
          <w:rFonts w:ascii="Arial" w:hAnsi="Arial" w:cs="Arial"/>
        </w:rPr>
      </w:pPr>
      <w:r w:rsidRPr="00DA75A8">
        <w:rPr>
          <w:rFonts w:ascii="Arial" w:hAnsi="Arial" w:cs="Arial"/>
        </w:rPr>
        <w:t>Section 2</w:t>
      </w:r>
      <w:r w:rsidR="0069331D" w:rsidRPr="00DA75A8">
        <w:rPr>
          <w:rFonts w:ascii="Arial" w:hAnsi="Arial" w:cs="Arial"/>
        </w:rPr>
        <w:t xml:space="preserve"> </w:t>
      </w:r>
      <w:r w:rsidR="00EE57DD" w:rsidRPr="00DA75A8">
        <w:rPr>
          <w:rFonts w:ascii="Arial" w:hAnsi="Arial" w:cs="Arial"/>
        </w:rPr>
        <w:t>Organisations Innovation</w:t>
      </w:r>
      <w:bookmarkEnd w:id="3"/>
    </w:p>
    <w:p w14:paraId="3A1CC18A" w14:textId="7C39AA10" w:rsidR="00EE57DD" w:rsidRPr="00DA75A8" w:rsidRDefault="00EE57DD" w:rsidP="00EE57DD">
      <w:pPr>
        <w:rPr>
          <w:rFonts w:ascii="Arial" w:hAnsi="Arial" w:cs="Arial"/>
        </w:rPr>
      </w:pPr>
    </w:p>
    <w:p w14:paraId="78890E7C" w14:textId="77777777" w:rsidR="00DA75A8" w:rsidRPr="00DA75A8" w:rsidRDefault="00DA75A8" w:rsidP="00DA75A8">
      <w:pPr>
        <w:pStyle w:val="NormalWeb"/>
        <w:spacing w:before="0" w:beforeAutospacing="0" w:after="0" w:afterAutospacing="0"/>
        <w:rPr>
          <w:rFonts w:ascii="Arial" w:hAnsi="Arial" w:cs="Arial"/>
          <w:color w:val="0E101A"/>
        </w:rPr>
      </w:pPr>
    </w:p>
    <w:p w14:paraId="3CFDADDF"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An example of Organisational Innovation is seen in Samsung. Samsung uses open Innovation in a distinctive way by separating it into four categories. Partnership: collaboration with start-up companies in Silicon Valley to enhance Samsung's own product features acquired. Ventures; through investments into start-up companies as a source of revenue, such as </w:t>
      </w:r>
      <w:proofErr w:type="spellStart"/>
      <w:r w:rsidRPr="00DA75A8">
        <w:rPr>
          <w:rFonts w:ascii="Arial" w:hAnsi="Arial" w:cs="Arial"/>
          <w:color w:val="0E101A"/>
        </w:rPr>
        <w:t>Mobeam</w:t>
      </w:r>
      <w:proofErr w:type="spellEnd"/>
      <w:r w:rsidRPr="00DA75A8">
        <w:rPr>
          <w:rFonts w:ascii="Arial" w:hAnsi="Arial" w:cs="Arial"/>
          <w:color w:val="0E101A"/>
        </w:rPr>
        <w:t xml:space="preserve">, a payment company on the mobile phone. Accelerators: Resources are offered start-ups as well as real estate and financially with the goal of eventually increasing product portfolio or simply as a learning experience. The acquisition is the last category, and this involves acquiring start-up companies that are carrying out work that is central to Samsung's future strategic positioning. Samsung has also built Innovation centres in Silicon Valley in the USA, Delhi, Tel </w:t>
      </w:r>
      <w:proofErr w:type="gramStart"/>
      <w:r w:rsidRPr="00DA75A8">
        <w:rPr>
          <w:rFonts w:ascii="Arial" w:hAnsi="Arial" w:cs="Arial"/>
          <w:color w:val="0E101A"/>
        </w:rPr>
        <w:t>Aviv</w:t>
      </w:r>
      <w:proofErr w:type="gramEnd"/>
      <w:r w:rsidRPr="00DA75A8">
        <w:rPr>
          <w:rFonts w:ascii="Arial" w:hAnsi="Arial" w:cs="Arial"/>
          <w:color w:val="0E101A"/>
        </w:rPr>
        <w:t xml:space="preserve"> and other various areas around the world. (Ackerman. G, 2016) (Anonymous 2013,2019,2021) (Merek, 2013).</w:t>
      </w:r>
    </w:p>
    <w:p w14:paraId="6B04238B" w14:textId="77777777" w:rsidR="00DA75A8" w:rsidRPr="00DA75A8" w:rsidRDefault="00DA75A8" w:rsidP="00DA75A8">
      <w:pPr>
        <w:pStyle w:val="NormalWeb"/>
        <w:spacing w:before="0" w:beforeAutospacing="0" w:after="0" w:afterAutospacing="0"/>
        <w:rPr>
          <w:rFonts w:ascii="Arial" w:hAnsi="Arial" w:cs="Arial"/>
          <w:color w:val="0E101A"/>
        </w:rPr>
      </w:pPr>
    </w:p>
    <w:p w14:paraId="18D47C0B"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Unlike Samsung, Apple, under the control of Steve Jobs had taken an alternative route of a more closed innovation model and have met with great success. Information and knowledge are tightly guarded and has been very successful despite being very in-transparent. (Jane </w:t>
      </w:r>
      <w:proofErr w:type="spellStart"/>
      <w:r w:rsidRPr="00DA75A8">
        <w:rPr>
          <w:rFonts w:ascii="Arial" w:hAnsi="Arial" w:cs="Arial"/>
          <w:color w:val="0E101A"/>
        </w:rPr>
        <w:t>Spruijt</w:t>
      </w:r>
      <w:proofErr w:type="spellEnd"/>
      <w:r w:rsidRPr="00DA75A8">
        <w:rPr>
          <w:rFonts w:ascii="Arial" w:hAnsi="Arial" w:cs="Arial"/>
          <w:color w:val="0E101A"/>
        </w:rPr>
        <w:t xml:space="preserve"> 2011).</w:t>
      </w:r>
    </w:p>
    <w:p w14:paraId="2AA75EE1" w14:textId="77777777" w:rsidR="00DA75A8" w:rsidRPr="00DA75A8" w:rsidRDefault="00DA75A8" w:rsidP="00DA75A8">
      <w:pPr>
        <w:pStyle w:val="NormalWeb"/>
        <w:spacing w:before="0" w:beforeAutospacing="0" w:after="0" w:afterAutospacing="0"/>
        <w:rPr>
          <w:rFonts w:ascii="Arial" w:hAnsi="Arial" w:cs="Arial"/>
          <w:color w:val="0E101A"/>
        </w:rPr>
      </w:pPr>
    </w:p>
    <w:p w14:paraId="71EFB002"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Allen T, Brown K, </w:t>
      </w:r>
      <w:proofErr w:type="spellStart"/>
      <w:r w:rsidRPr="00DA75A8">
        <w:rPr>
          <w:rFonts w:ascii="Arial" w:hAnsi="Arial" w:cs="Arial"/>
          <w:color w:val="0E101A"/>
        </w:rPr>
        <w:t>Askonas</w:t>
      </w:r>
      <w:proofErr w:type="spellEnd"/>
      <w:r w:rsidRPr="00DA75A8">
        <w:rPr>
          <w:rFonts w:ascii="Arial" w:hAnsi="Arial" w:cs="Arial"/>
          <w:color w:val="0E101A"/>
        </w:rPr>
        <w:t xml:space="preserve"> J (2020) in an article "How the Army Out-Innovated the Islamic Sate's Drones". They describe how due to the American think tank Asymmetrical Warfare Group had realised prior to deployment the potential danger of drone attacks by ISIL groups in Iraq due to attacks observed around the world. The American forces then delivered "counter-drone training, technology, and tactics to Army units in combat". This resulted in the American forces having fewer casualties in comparison to the local security contingent. This experience demonstrated as a learning point the requirement for quick reactions to observations, analysis, and collaboration to defeat enemy forces. The ISIL had been exploiting open innovation sources to modify drones for the attacks. </w:t>
      </w:r>
    </w:p>
    <w:p w14:paraId="13402781"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w:t>
      </w:r>
    </w:p>
    <w:p w14:paraId="1F382D32"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LEGO Group, a manufacturing business in Denmark, saw an opportunity in a "Story – Starter" new product programme for readers and writers in Elementary school. They had used the standard Stage-Gate method, but due to the rigorous interactions with customers, the process was made more complex due to the process used. The team involved was offered a one-of-a-kind alternative via the Digital Solutions Group as luck would have it, had been utilising the Agile method. The introduction of this alternative accelerated the customer iterations and improved the project productivity. Seeing the advantages of the process and its success LEGO has now incorporated this hybrid process in their new product development projects. (Cooper &amp; Sommer, 2016).</w:t>
      </w:r>
    </w:p>
    <w:p w14:paraId="492AACE2" w14:textId="77777777" w:rsidR="00DA75A8" w:rsidRPr="00DA75A8" w:rsidRDefault="00DA75A8" w:rsidP="00DA75A8">
      <w:pPr>
        <w:pStyle w:val="Heading2"/>
        <w:spacing w:before="0"/>
        <w:rPr>
          <w:rFonts w:ascii="Arial" w:hAnsi="Arial" w:cs="Arial"/>
          <w:color w:val="0E101A"/>
        </w:rPr>
      </w:pPr>
      <w:r w:rsidRPr="00DA75A8">
        <w:rPr>
          <w:rFonts w:ascii="Arial" w:hAnsi="Arial" w:cs="Arial"/>
          <w:b/>
          <w:bCs/>
          <w:color w:val="0E101A"/>
        </w:rPr>
        <w:lastRenderedPageBreak/>
        <w:t> </w:t>
      </w:r>
    </w:p>
    <w:p w14:paraId="05372C27"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It could be seen that while traditional aspects of a Closed innovation model have been successful in the past, this has now been seen to be problematic with the changing environment with time (Cooper, &amp; Sommer, A. F, 2016). While a closed innovation process has been met with success by Steve Jobs with Apple, in the words of Chesbrough (2011), "not all the smart people work for you". However, it does raise the question of how much longer </w:t>
      </w:r>
      <w:proofErr w:type="gramStart"/>
      <w:r w:rsidRPr="00DA75A8">
        <w:rPr>
          <w:rFonts w:ascii="Arial" w:hAnsi="Arial" w:cs="Arial"/>
          <w:color w:val="0E101A"/>
        </w:rPr>
        <w:t>can Apple</w:t>
      </w:r>
      <w:proofErr w:type="gramEnd"/>
      <w:r w:rsidRPr="00DA75A8">
        <w:rPr>
          <w:rFonts w:ascii="Arial" w:hAnsi="Arial" w:cs="Arial"/>
          <w:color w:val="0E101A"/>
        </w:rPr>
        <w:t xml:space="preserve"> maintain its current successful streek since the death of Mr Steve Jobs. As well as the advantages and disadvantages of accessible information and technology by competitors, or in the case of the military, hostile forces.</w:t>
      </w:r>
    </w:p>
    <w:p w14:paraId="4B3E2D56" w14:textId="77777777" w:rsidR="00EE57DD" w:rsidRPr="00DA75A8" w:rsidRDefault="00EE57DD" w:rsidP="00EE57DD">
      <w:pPr>
        <w:rPr>
          <w:rFonts w:ascii="Arial" w:hAnsi="Arial" w:cs="Arial"/>
        </w:rPr>
      </w:pPr>
    </w:p>
    <w:p w14:paraId="41A566DA" w14:textId="20B5DAEE" w:rsidR="00EE57DD" w:rsidRPr="00DA75A8" w:rsidRDefault="002049FE" w:rsidP="00EE57DD">
      <w:pPr>
        <w:pStyle w:val="Heading2"/>
        <w:rPr>
          <w:rFonts w:ascii="Arial" w:hAnsi="Arial" w:cs="Arial"/>
        </w:rPr>
      </w:pPr>
      <w:bookmarkStart w:id="4" w:name="_Toc95177795"/>
      <w:r w:rsidRPr="00DA75A8">
        <w:rPr>
          <w:rFonts w:ascii="Arial" w:hAnsi="Arial" w:cs="Arial"/>
        </w:rPr>
        <w:t>Section 3</w:t>
      </w:r>
      <w:r w:rsidR="00EE57DD" w:rsidRPr="00DA75A8">
        <w:rPr>
          <w:rFonts w:ascii="Arial" w:hAnsi="Arial" w:cs="Arial"/>
        </w:rPr>
        <w:t xml:space="preserve"> C</w:t>
      </w:r>
      <w:r w:rsidR="006542C1" w:rsidRPr="00DA75A8">
        <w:rPr>
          <w:rFonts w:ascii="Arial" w:hAnsi="Arial" w:cs="Arial"/>
        </w:rPr>
        <w:t>reativity</w:t>
      </w:r>
      <w:bookmarkEnd w:id="4"/>
    </w:p>
    <w:p w14:paraId="0167A0D3" w14:textId="77777777" w:rsidR="00EE57DD" w:rsidRPr="00DA75A8" w:rsidRDefault="00EE57DD" w:rsidP="00EE57DD">
      <w:pPr>
        <w:rPr>
          <w:rFonts w:ascii="Arial" w:hAnsi="Arial" w:cs="Arial"/>
        </w:rPr>
      </w:pPr>
    </w:p>
    <w:p w14:paraId="4C38F609" w14:textId="77777777" w:rsidR="00DA75A8" w:rsidRPr="00DA75A8" w:rsidRDefault="00DA75A8" w:rsidP="00DA75A8">
      <w:pPr>
        <w:rPr>
          <w:rFonts w:ascii="Arial" w:eastAsia="Times New Roman" w:hAnsi="Arial" w:cs="Arial"/>
          <w:color w:val="0E101A"/>
          <w:sz w:val="24"/>
          <w:szCs w:val="24"/>
          <w:lang w:eastAsia="en-GB"/>
        </w:rPr>
      </w:pPr>
      <w:bookmarkStart w:id="5" w:name="_Toc95177796"/>
    </w:p>
    <w:p w14:paraId="404392C2"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There are several definitions to note about creativity: ranging from the belief that it is a rare and inexplicable event whom one has or expresses, another that it relates to behaviour. (Amezquita, 2021). Amezquita concludes that creativity is a series of behaviours influenced by the environment. Sternberg (2017) looks at creativity as three kinds of defiance. Defying the; crowd, oneself, and zeitgeist. The crowd defiance looks at the popularity of the idea, yourself or oneself looks at the fact that we are our biggest hindrance. The zeitgeist defiance looks at initial beliefs or prerequisite assumptions with the unconscious realisation that they have not been tested and are often unprovable.</w:t>
      </w:r>
    </w:p>
    <w:p w14:paraId="7B61EDFF" w14:textId="77777777" w:rsidR="00DA75A8" w:rsidRPr="00DA75A8" w:rsidRDefault="00DA75A8" w:rsidP="00DA75A8">
      <w:pPr>
        <w:rPr>
          <w:rFonts w:ascii="Arial" w:eastAsia="Times New Roman" w:hAnsi="Arial" w:cs="Arial"/>
          <w:color w:val="0E101A"/>
          <w:sz w:val="24"/>
          <w:szCs w:val="24"/>
          <w:lang w:eastAsia="en-GB"/>
        </w:rPr>
      </w:pPr>
    </w:p>
    <w:p w14:paraId="76F44173"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Amabile (1998) stated that creativity is comprised of three things. These were imagination, expertise, and motivation. Imagination or Creative thinking relies in large on personality, their thought processes and how they conduct tasks. The individual is not afraid 'to go against the tide' per se and thinks of counterarguments regardless of how it affects the status quo. This enhances creativity when the individual uses the proverbial 'out of the box' style of thinking. Having the ability to try or combine other unrelated fields to find a solution to a problem; also, being able to pause and work on other tasks only to return with refreshed pairs of eyes or perspectives, thus increasing the chances of finding solutions to the problems. The Expertise component looks at knowledge and capabilities in the broad spectrum of their work or even as an autodidactic. The individual uses that as a base knowledge to enhance the creative element to finding solutions. Motivation is another component and is either Extrinsic or Intrinsic. Extrinsic being motivated by external sources either rewards or punishment and Intrinsic motivation are self-driven; for example, a sense of satisfaction or pride in one's accomplishments. Studies have investigated comparisons of the relationship between intelligence and creativity; it also looks at the impact of convergent and divergent thinking with regards to creativity. (Runco, M.A., 2014). Convergent thinking leads to one possible solution as opposed to divergent having multiple solutions. Examples of these could best be seen through questions like, (Convergent thinking) how many centimetres are there in a meter ruler? Divergent being, list uses of a large cardboard box.</w:t>
      </w:r>
    </w:p>
    <w:p w14:paraId="137FD5B0" w14:textId="77777777" w:rsidR="00DA75A8" w:rsidRPr="00DA75A8" w:rsidRDefault="00DA75A8" w:rsidP="00DA75A8">
      <w:pPr>
        <w:rPr>
          <w:rFonts w:ascii="Arial" w:eastAsia="Times New Roman" w:hAnsi="Arial" w:cs="Arial"/>
          <w:color w:val="0E101A"/>
          <w:sz w:val="24"/>
          <w:szCs w:val="24"/>
          <w:lang w:eastAsia="en-GB"/>
        </w:rPr>
      </w:pPr>
    </w:p>
    <w:p w14:paraId="2A356C9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b/>
          <w:bCs/>
          <w:color w:val="0E101A"/>
          <w:sz w:val="24"/>
          <w:szCs w:val="24"/>
          <w:lang w:eastAsia="en-GB"/>
        </w:rPr>
        <w:t>Harnessing Creativity</w:t>
      </w:r>
    </w:p>
    <w:p w14:paraId="5E94E5A1" w14:textId="77777777" w:rsidR="00DA75A8" w:rsidRPr="00DA75A8" w:rsidRDefault="00DA75A8" w:rsidP="00DA75A8">
      <w:pPr>
        <w:rPr>
          <w:rFonts w:ascii="Arial" w:eastAsia="Times New Roman" w:hAnsi="Arial" w:cs="Arial"/>
          <w:color w:val="0E101A"/>
          <w:sz w:val="24"/>
          <w:szCs w:val="24"/>
          <w:lang w:eastAsia="en-GB"/>
        </w:rPr>
      </w:pPr>
    </w:p>
    <w:p w14:paraId="113A3179"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lastRenderedPageBreak/>
        <w:t>First introduced in 1996, the GEMS Scheme has honoured individuals for suggestions put forward in the Armed Forces. This scheme has led to budget savings and work-life improvements to the Ministry of Defence (MOD). (Ministry of Defence, 2010) (Marshall, A. 2018).</w:t>
      </w:r>
    </w:p>
    <w:p w14:paraId="0088BC96" w14:textId="77777777" w:rsidR="00DA75A8" w:rsidRPr="00DA75A8" w:rsidRDefault="00DA75A8" w:rsidP="00DA75A8">
      <w:pPr>
        <w:rPr>
          <w:rFonts w:ascii="Arial" w:eastAsia="Times New Roman" w:hAnsi="Arial" w:cs="Arial"/>
          <w:color w:val="0E101A"/>
          <w:sz w:val="24"/>
          <w:szCs w:val="24"/>
          <w:lang w:eastAsia="en-GB"/>
        </w:rPr>
      </w:pPr>
    </w:p>
    <w:p w14:paraId="18B780DD"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At the time of the publication, the MOD had received over two thousand ideas which were entered in the previous year with £18 million pounds saved in that year alone. An example of this was the schedule serving requirements for Apache Helicopters. Namely the 300-hour scheduled servicing as well as the 600-hour scheduled servicing. The servicing interval required the return from Afghanistan of these aircraft, which limited the operational capability of the airframe in its service on deployment. A plan was submitted in 2007 and post-assessments and evaluations were found with merit. A savings of £4.2 million was found, a five to ten-day turnaround as opposed to sixty to seventy and an increase of 330% increase in flying hours for the operational deployment was realised. </w:t>
      </w:r>
    </w:p>
    <w:p w14:paraId="52D764DE"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three individuals who submitted the idea had connections to the aviation world ranging from aviation technicians to planning and were rewarded for their contribution.</w:t>
      </w:r>
    </w:p>
    <w:p w14:paraId="2C458209" w14:textId="77777777" w:rsidR="00DA75A8" w:rsidRPr="00DA75A8" w:rsidRDefault="00DA75A8" w:rsidP="00DA75A8">
      <w:pPr>
        <w:rPr>
          <w:rFonts w:ascii="Arial" w:eastAsia="Times New Roman" w:hAnsi="Arial" w:cs="Arial"/>
          <w:color w:val="0E101A"/>
          <w:sz w:val="24"/>
          <w:szCs w:val="24"/>
          <w:lang w:eastAsia="en-GB"/>
        </w:rPr>
      </w:pPr>
    </w:p>
    <w:p w14:paraId="019A6C4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This example displays the team having the 3 components to creativity by Amabile (1998). The motivation behind the idea was for serviceability and operational capability for the use of the Apache helicopter whilst on its deployment in Afghanistan. The team had expertise in the field, they had engineering backgrounds and were involved in the deployments of these aircraft types. Creative thinking was born out of serviceability states as well as the need for an increase in flying hours for the flying requirements in theatre. The secondary product of this creativity was they received payment and recognition for their efforts.</w:t>
      </w:r>
    </w:p>
    <w:p w14:paraId="1C38FE45" w14:textId="77777777" w:rsidR="00DA75A8" w:rsidRPr="00DA75A8" w:rsidRDefault="00DA75A8" w:rsidP="00DA75A8">
      <w:pPr>
        <w:rPr>
          <w:rFonts w:ascii="Arial" w:eastAsia="Times New Roman" w:hAnsi="Arial" w:cs="Arial"/>
          <w:color w:val="0E101A"/>
          <w:sz w:val="24"/>
          <w:szCs w:val="24"/>
          <w:lang w:eastAsia="en-GB"/>
        </w:rPr>
      </w:pPr>
    </w:p>
    <w:p w14:paraId="517F5710"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GEMS Scheme is open to all MOD employees which include staff and civilians, and like the example given also encompasses submissions as part of a team. The reward for each team member is agreed upon by the team members in relation to their contribution to the idea. To date, the dashboard (see Appendix 3) displays a current total of 15,081 ideas and 101,611 unique views.</w:t>
      </w:r>
    </w:p>
    <w:p w14:paraId="1D3BD66C" w14:textId="77777777" w:rsidR="00DA75A8" w:rsidRPr="00DA75A8" w:rsidRDefault="00DA75A8" w:rsidP="00DA75A8">
      <w:pPr>
        <w:rPr>
          <w:rFonts w:ascii="Arial" w:eastAsia="Times New Roman" w:hAnsi="Arial" w:cs="Arial"/>
          <w:color w:val="0E101A"/>
          <w:sz w:val="24"/>
          <w:szCs w:val="24"/>
          <w:lang w:eastAsia="en-GB"/>
        </w:rPr>
      </w:pPr>
    </w:p>
    <w:p w14:paraId="1B9DA1B0"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This demonstrates the organisation's success in harnessing creativity and how this is captured for the benefit of the MOD.</w:t>
      </w:r>
    </w:p>
    <w:p w14:paraId="0950961D" w14:textId="77777777" w:rsidR="00DA75A8" w:rsidRPr="00DA75A8" w:rsidRDefault="00DA75A8" w:rsidP="00DA75A8">
      <w:pPr>
        <w:rPr>
          <w:rFonts w:ascii="Arial" w:eastAsia="Times New Roman" w:hAnsi="Arial" w:cs="Arial"/>
          <w:color w:val="0E101A"/>
          <w:sz w:val="24"/>
          <w:szCs w:val="24"/>
          <w:lang w:eastAsia="en-GB"/>
        </w:rPr>
      </w:pPr>
    </w:p>
    <w:p w14:paraId="739B7A59" w14:textId="77777777" w:rsidR="00DA75A8" w:rsidRPr="00DA75A8" w:rsidRDefault="00DA75A8" w:rsidP="00DA75A8">
      <w:pPr>
        <w:rPr>
          <w:rFonts w:ascii="Arial" w:eastAsia="Times New Roman" w:hAnsi="Arial" w:cs="Arial"/>
          <w:color w:val="0E101A"/>
          <w:sz w:val="24"/>
          <w:szCs w:val="24"/>
          <w:lang w:eastAsia="en-GB"/>
        </w:rPr>
      </w:pPr>
    </w:p>
    <w:p w14:paraId="2EB1A1CB" w14:textId="77777777" w:rsidR="00DA75A8" w:rsidRPr="00DA75A8" w:rsidRDefault="00DA75A8" w:rsidP="00DA75A8">
      <w:pPr>
        <w:rPr>
          <w:rFonts w:ascii="Arial" w:eastAsia="Times New Roman" w:hAnsi="Arial" w:cs="Arial"/>
          <w:color w:val="0E101A"/>
          <w:sz w:val="24"/>
          <w:szCs w:val="24"/>
          <w:lang w:eastAsia="en-GB"/>
        </w:rPr>
      </w:pPr>
    </w:p>
    <w:p w14:paraId="6F98AD27"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b/>
          <w:bCs/>
          <w:color w:val="0E101A"/>
          <w:sz w:val="24"/>
          <w:szCs w:val="24"/>
          <w:lang w:eastAsia="en-GB"/>
        </w:rPr>
        <w:t>Creative Culture</w:t>
      </w:r>
    </w:p>
    <w:p w14:paraId="4F37AB27" w14:textId="77777777" w:rsidR="00DA75A8" w:rsidRPr="00DA75A8" w:rsidRDefault="00DA75A8" w:rsidP="00DA75A8">
      <w:pPr>
        <w:rPr>
          <w:rFonts w:ascii="Arial" w:eastAsia="Times New Roman" w:hAnsi="Arial" w:cs="Arial"/>
          <w:color w:val="0E101A"/>
          <w:sz w:val="24"/>
          <w:szCs w:val="24"/>
          <w:lang w:eastAsia="en-GB"/>
        </w:rPr>
      </w:pPr>
    </w:p>
    <w:p w14:paraId="25ADC5EB"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Creative culture refers to a community that learns from each other and that creativity directly affects culture and its evolution (Csikszentmihalyi, M., 2006). The values and skills in relation to talent to meet the demands of society or necessity are influenced by the environment. The environment is key in directing specific talents or skills, allowing their value to flourish for the benefit of the community (Runco, M.A, 2014). Runco stated that it is these values are the product of culture. A correlation of cultural differences to </w:t>
      </w:r>
      <w:r w:rsidRPr="00DA75A8">
        <w:rPr>
          <w:rFonts w:ascii="Arial" w:eastAsia="Times New Roman" w:hAnsi="Arial" w:cs="Arial"/>
          <w:color w:val="0E101A"/>
          <w:sz w:val="24"/>
          <w:szCs w:val="24"/>
          <w:lang w:eastAsia="en-GB"/>
        </w:rPr>
        <w:lastRenderedPageBreak/>
        <w:t>the difference in values. He concludes that for originality and creativity to flourish, it would be dependent on how much it is accepted and tolerated.        </w:t>
      </w:r>
    </w:p>
    <w:p w14:paraId="168E9E8B" w14:textId="77777777" w:rsidR="00DA75A8" w:rsidRPr="00DA75A8" w:rsidRDefault="00DA75A8" w:rsidP="00DA75A8">
      <w:pPr>
        <w:rPr>
          <w:rFonts w:ascii="Arial" w:eastAsia="Times New Roman" w:hAnsi="Arial" w:cs="Arial"/>
          <w:color w:val="0E101A"/>
          <w:sz w:val="24"/>
          <w:szCs w:val="24"/>
          <w:lang w:eastAsia="en-GB"/>
        </w:rPr>
      </w:pPr>
    </w:p>
    <w:p w14:paraId="7864E99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Army (2020) explains the Army Lessons Process (ALP) which applies throughout the armed forces. Regardless of role, it stresses the importance of all responsible for taking the time to stop and think about improvements in current processes. The learning and improvement process to be ingrained in the way the Army conducts its business.</w:t>
      </w:r>
    </w:p>
    <w:p w14:paraId="526382A1" w14:textId="77777777" w:rsidR="00DA75A8" w:rsidRPr="00DA75A8" w:rsidRDefault="00DA75A8" w:rsidP="00DA75A8">
      <w:pPr>
        <w:rPr>
          <w:rFonts w:ascii="Arial" w:eastAsia="Times New Roman" w:hAnsi="Arial" w:cs="Arial"/>
          <w:color w:val="0E101A"/>
          <w:sz w:val="24"/>
          <w:szCs w:val="24"/>
          <w:lang w:eastAsia="en-GB"/>
        </w:rPr>
      </w:pPr>
    </w:p>
    <w:p w14:paraId="4E973CB8"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ALP focuses on the Roles of the leaders and how this is to be the driving force to this learning culture. It is where errors and mistakes are used as learning opportunities. Leaders are also to realise achievements made and reward individuals for them. Leaders to allow time to review and re-evaluate activities into the processes for the long term benefits it instils. The principles of which lay in participation, correcting issues, a collaborative process, bottom-up process, improvements, minimising administrative demands and feedback.</w:t>
      </w:r>
    </w:p>
    <w:p w14:paraId="1B013DB5" w14:textId="77777777" w:rsidR="00DA75A8" w:rsidRPr="00DA75A8" w:rsidRDefault="00DA75A8" w:rsidP="00DA75A8">
      <w:pPr>
        <w:rPr>
          <w:rFonts w:ascii="Arial" w:eastAsia="Times New Roman" w:hAnsi="Arial" w:cs="Arial"/>
          <w:color w:val="0E101A"/>
          <w:sz w:val="24"/>
          <w:szCs w:val="24"/>
          <w:lang w:eastAsia="en-GB"/>
        </w:rPr>
      </w:pPr>
    </w:p>
    <w:p w14:paraId="19A8FA95"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In ALP, all are to participate. Issues are to be corrected and incorporated into the work processes. Being a collaborative process allows for multiple views from different angles that increase the chances of improving the task. The bottom-up process is the involvement of those at the point of the spear being in the best position to understand the effects on the ground situation as opposed to policymakers. Improvements are realised once benefits are identified, to be carried out without delay as well as the possibility to escalate lessons learnt to appropriate levels for change. Decreasing the demands for over descriptive administrative actions by originators could hamstring production. Feedback is vital, as this satisfies the originator as well as retains faith in the system for future improvements. </w:t>
      </w:r>
    </w:p>
    <w:p w14:paraId="02A1F7F4" w14:textId="77777777" w:rsidR="00DA75A8" w:rsidRPr="00DA75A8" w:rsidRDefault="00DA75A8" w:rsidP="00DA75A8">
      <w:pPr>
        <w:rPr>
          <w:rFonts w:ascii="Arial" w:eastAsia="Times New Roman" w:hAnsi="Arial" w:cs="Arial"/>
          <w:color w:val="0E101A"/>
          <w:sz w:val="24"/>
          <w:szCs w:val="24"/>
          <w:lang w:eastAsia="en-GB"/>
        </w:rPr>
      </w:pPr>
    </w:p>
    <w:p w14:paraId="1AB20C9B"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There are several benefits to ALP. These are increasing safety, increased probability of success, reputation benefits, improved time usage, budget and manning to tasks and improved morale. It also has the added benefit of work satisfaction and individual Development to individuals who are encouraged to use effective creativity in the process.</w:t>
      </w:r>
    </w:p>
    <w:p w14:paraId="3B9A5C4B" w14:textId="77777777" w:rsidR="00DA75A8" w:rsidRPr="00DA75A8" w:rsidRDefault="00DA75A8" w:rsidP="00DA75A8">
      <w:pPr>
        <w:rPr>
          <w:rFonts w:ascii="Arial" w:eastAsia="Times New Roman" w:hAnsi="Arial" w:cs="Arial"/>
          <w:color w:val="0E101A"/>
          <w:sz w:val="24"/>
          <w:szCs w:val="24"/>
          <w:lang w:eastAsia="en-GB"/>
        </w:rPr>
      </w:pPr>
    </w:p>
    <w:p w14:paraId="2BD38CC1"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Leadership in the ALP is vital for the success of the programme and is not so much about the process but about the culture and behaviours. In the capacity as a leader, the individual is to ensure that new staff members are properly inducted into their various roles, lessons learnt from previous members and feedback on the induction process for improvement. The leader is a role model and sets the routine. The leader tasks new members with target points and evaluate how this could be incorporated into their lessons. The leader must inspire and encourage staff by; challenging them to ask questions, taking an interest in members tasks, include extra time in the process for reflection to encourage creativity. An open and honest culture so that learning and improvements could be carried out. Leaders to view failure as a learning opportunity. Leaders should also reward financially and recognise publicly improvements identified or for their contributions. </w:t>
      </w:r>
    </w:p>
    <w:p w14:paraId="6DCB83FB" w14:textId="77777777" w:rsidR="00DA75A8" w:rsidRPr="00DA75A8" w:rsidRDefault="00DA75A8" w:rsidP="00DA75A8">
      <w:pPr>
        <w:rPr>
          <w:rFonts w:ascii="Arial" w:eastAsia="Times New Roman" w:hAnsi="Arial" w:cs="Arial"/>
          <w:color w:val="0E101A"/>
          <w:sz w:val="24"/>
          <w:szCs w:val="24"/>
          <w:lang w:eastAsia="en-GB"/>
        </w:rPr>
      </w:pPr>
    </w:p>
    <w:p w14:paraId="3393130B" w14:textId="4B790315"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lastRenderedPageBreak/>
        <w:t>The Army's process of learning has, in summary, harnessed a creative culture in the organisation and harvested the rewards of continuously improving processes with individuals being valued members of the workforce.</w:t>
      </w:r>
    </w:p>
    <w:p w14:paraId="7C7829B9" w14:textId="77777777" w:rsidR="00DA75A8" w:rsidRPr="00DA75A8" w:rsidRDefault="00DA75A8" w:rsidP="00DA75A8">
      <w:pPr>
        <w:rPr>
          <w:rFonts w:ascii="Arial" w:eastAsia="Times New Roman" w:hAnsi="Arial" w:cs="Arial"/>
          <w:color w:val="0E101A"/>
          <w:sz w:val="24"/>
          <w:szCs w:val="24"/>
          <w:lang w:eastAsia="en-GB"/>
        </w:rPr>
      </w:pPr>
    </w:p>
    <w:p w14:paraId="52CE6B68" w14:textId="1905EE66" w:rsidR="00885114" w:rsidRPr="00DA75A8" w:rsidRDefault="00513050" w:rsidP="00307ACA">
      <w:pPr>
        <w:pStyle w:val="Heading2"/>
        <w:rPr>
          <w:rFonts w:ascii="Arial" w:hAnsi="Arial" w:cs="Arial"/>
        </w:rPr>
      </w:pPr>
      <w:r w:rsidRPr="00DA75A8">
        <w:rPr>
          <w:rFonts w:ascii="Arial" w:hAnsi="Arial" w:cs="Arial"/>
        </w:rPr>
        <w:t>Conclusion</w:t>
      </w:r>
      <w:bookmarkStart w:id="6" w:name="_Toc456901523"/>
      <w:bookmarkEnd w:id="5"/>
    </w:p>
    <w:p w14:paraId="139771B6" w14:textId="7CB7FCF0" w:rsidR="00307ACA" w:rsidRPr="00DA75A8" w:rsidRDefault="00307ACA" w:rsidP="00307ACA">
      <w:pPr>
        <w:rPr>
          <w:rFonts w:ascii="Arial" w:hAnsi="Arial" w:cs="Arial"/>
        </w:rPr>
      </w:pPr>
    </w:p>
    <w:p w14:paraId="35DBE965" w14:textId="77777777" w:rsidR="00DA75A8" w:rsidRPr="00DA75A8" w:rsidRDefault="00DA75A8" w:rsidP="00DA75A8">
      <w:pPr>
        <w:rPr>
          <w:rFonts w:ascii="Arial" w:hAnsi="Arial" w:cs="Arial"/>
        </w:rPr>
      </w:pPr>
      <w:r w:rsidRPr="00DA75A8">
        <w:rPr>
          <w:rFonts w:ascii="Arial" w:hAnsi="Arial" w:cs="Arial"/>
        </w:rPr>
        <w:t>It could be seen that there is value in both the Stage-Gate model of Innovation as well as the Open innovation model of Innovation. Though the success could be seen in the larger companies, this could be a threat to smaller organisations being swallowed by big companies such as Apple or Samsung. The modifying of the Stage-Gate model to cater for a more expedited process and realised by its creator could be the beginnings of more hybrid processes in the future to adopt the advantages of both models into its method of operations.</w:t>
      </w:r>
    </w:p>
    <w:p w14:paraId="50959817" w14:textId="77777777" w:rsidR="00DA75A8" w:rsidRPr="00DA75A8" w:rsidRDefault="00DA75A8" w:rsidP="00DA75A8">
      <w:pPr>
        <w:rPr>
          <w:rFonts w:ascii="Arial" w:hAnsi="Arial" w:cs="Arial"/>
        </w:rPr>
      </w:pPr>
    </w:p>
    <w:p w14:paraId="26FB7D62" w14:textId="15F88060" w:rsidR="00307ACA" w:rsidRPr="00DA75A8" w:rsidRDefault="00DA75A8" w:rsidP="00DA75A8">
      <w:pPr>
        <w:rPr>
          <w:rFonts w:ascii="Arial" w:hAnsi="Arial" w:cs="Arial"/>
        </w:rPr>
      </w:pPr>
      <w:r w:rsidRPr="00DA75A8">
        <w:rPr>
          <w:rFonts w:ascii="Arial" w:hAnsi="Arial" w:cs="Arial"/>
        </w:rPr>
        <w:t>Harnessing and fostering creativity could be seen to be highly driven by processes in place and effective leadership for the success of organisations. The lesson appears to indicate the constant need to be adaptable to change for improvement through feedback and reviews. It also stresses the need for acknowledgements and rewards to ensure that individuals are valued and encouraged towards constant betterment: this cycle breeding, an evolving organisation of high reputable standing and strength of personnel.</w:t>
      </w:r>
    </w:p>
    <w:p w14:paraId="067ED370" w14:textId="4ABF465F" w:rsidR="0030173B" w:rsidRPr="00DA75A8" w:rsidRDefault="0030173B" w:rsidP="00497EB1">
      <w:pPr>
        <w:rPr>
          <w:rFonts w:ascii="Arial" w:eastAsiaTheme="majorEastAsia" w:hAnsi="Arial" w:cs="Arial"/>
          <w:color w:val="2E74B5" w:themeColor="accent1" w:themeShade="BF"/>
          <w:sz w:val="26"/>
          <w:szCs w:val="26"/>
        </w:rPr>
      </w:pPr>
      <w:r w:rsidRPr="00DA75A8">
        <w:rPr>
          <w:rFonts w:ascii="Arial" w:hAnsi="Arial" w:cs="Arial"/>
        </w:rPr>
        <w:br w:type="page"/>
      </w:r>
    </w:p>
    <w:p w14:paraId="24C0E20B" w14:textId="77777777" w:rsidR="00885114" w:rsidRPr="00DA75A8" w:rsidRDefault="00885114" w:rsidP="00497EB1">
      <w:pPr>
        <w:pStyle w:val="Heading2"/>
        <w:spacing w:before="0"/>
        <w:rPr>
          <w:rFonts w:ascii="Arial" w:hAnsi="Arial" w:cs="Arial"/>
        </w:rPr>
      </w:pPr>
    </w:p>
    <w:p w14:paraId="1202B5C4" w14:textId="77777777" w:rsidR="00885114" w:rsidRPr="00DA75A8" w:rsidRDefault="00885114" w:rsidP="003F69D6">
      <w:pPr>
        <w:pStyle w:val="Heading2"/>
        <w:rPr>
          <w:rFonts w:ascii="Arial" w:hAnsi="Arial" w:cs="Arial"/>
        </w:rPr>
      </w:pPr>
    </w:p>
    <w:p w14:paraId="1A43F908" w14:textId="362035FF" w:rsidR="003F69D6" w:rsidRPr="00DA75A8" w:rsidRDefault="00B220CB" w:rsidP="002049FE">
      <w:pPr>
        <w:pStyle w:val="Heading2"/>
        <w:rPr>
          <w:rFonts w:ascii="Arial" w:hAnsi="Arial" w:cs="Arial"/>
        </w:rPr>
      </w:pPr>
      <w:bookmarkStart w:id="7" w:name="_Toc95177797"/>
      <w:bookmarkEnd w:id="6"/>
      <w:r w:rsidRPr="00DA75A8">
        <w:rPr>
          <w:rFonts w:ascii="Arial" w:hAnsi="Arial" w:cs="Arial"/>
        </w:rPr>
        <w:t>References</w:t>
      </w:r>
      <w:bookmarkEnd w:id="7"/>
    </w:p>
    <w:p w14:paraId="0CC44D82" w14:textId="482CAE43" w:rsidR="007F15AB" w:rsidRPr="00DA75A8" w:rsidRDefault="007F15AB" w:rsidP="007F15AB">
      <w:pPr>
        <w:rPr>
          <w:rFonts w:ascii="Arial" w:hAnsi="Arial" w:cs="Arial"/>
          <w:sz w:val="20"/>
          <w:szCs w:val="20"/>
        </w:rPr>
      </w:pPr>
    </w:p>
    <w:p w14:paraId="75260A84" w14:textId="079F7FF8" w:rsidR="00CA6232" w:rsidRPr="00DA75A8" w:rsidRDefault="00CA6232" w:rsidP="007F15AB">
      <w:pPr>
        <w:rPr>
          <w:rFonts w:ascii="Arial" w:hAnsi="Arial" w:cs="Arial"/>
          <w:sz w:val="20"/>
          <w:szCs w:val="20"/>
        </w:rPr>
      </w:pPr>
      <w:r w:rsidRPr="00DA75A8">
        <w:rPr>
          <w:rFonts w:ascii="Arial" w:hAnsi="Arial" w:cs="Arial"/>
          <w:sz w:val="20"/>
          <w:szCs w:val="20"/>
        </w:rPr>
        <w:t>ACKERMAN, G., 2016-last update, Samsung opens branch in Tel Aviv to tap into Israel's engineering innovation (Posted 2016-09-25 23:48:16): Individual companies will get investments of about $1 million, a Samsung executive said [Homepage of WP Company LLC d/b/a The Washington Post], [Online].</w:t>
      </w:r>
    </w:p>
    <w:p w14:paraId="0CFD0212" w14:textId="65639B6A" w:rsidR="00CA6232" w:rsidRPr="00DA75A8" w:rsidRDefault="00CA6232" w:rsidP="007F15AB">
      <w:pPr>
        <w:rPr>
          <w:rFonts w:ascii="Arial" w:hAnsi="Arial" w:cs="Arial"/>
          <w:sz w:val="20"/>
          <w:szCs w:val="20"/>
        </w:rPr>
      </w:pPr>
    </w:p>
    <w:p w14:paraId="394E2C04" w14:textId="11E494BF" w:rsidR="00AD6848" w:rsidRPr="00DA75A8" w:rsidRDefault="00AD6848" w:rsidP="007F15AB">
      <w:pPr>
        <w:rPr>
          <w:rFonts w:ascii="Arial" w:hAnsi="Arial" w:cs="Arial"/>
          <w:sz w:val="20"/>
          <w:szCs w:val="20"/>
        </w:rPr>
      </w:pPr>
      <w:r w:rsidRPr="00DA75A8">
        <w:rPr>
          <w:rFonts w:ascii="Arial" w:hAnsi="Arial" w:cs="Arial"/>
          <w:sz w:val="20"/>
          <w:szCs w:val="20"/>
        </w:rPr>
        <w:t xml:space="preserve">Allen T, Brown K, Askonas J (2020) War on the Rocks: How the Army </w:t>
      </w:r>
      <w:proofErr w:type="gramStart"/>
      <w:r w:rsidRPr="00DA75A8">
        <w:rPr>
          <w:rFonts w:ascii="Arial" w:hAnsi="Arial" w:cs="Arial"/>
          <w:sz w:val="20"/>
          <w:szCs w:val="20"/>
        </w:rPr>
        <w:t>Out-Innovated</w:t>
      </w:r>
      <w:proofErr w:type="gramEnd"/>
      <w:r w:rsidRPr="00DA75A8">
        <w:rPr>
          <w:rFonts w:ascii="Arial" w:hAnsi="Arial" w:cs="Arial"/>
          <w:sz w:val="20"/>
          <w:szCs w:val="20"/>
        </w:rPr>
        <w:t xml:space="preserve"> the Islamic States Drones. (Online) Available at: </w:t>
      </w:r>
      <w:hyperlink r:id="rId10" w:history="1">
        <w:r w:rsidRPr="00DA75A8">
          <w:rPr>
            <w:rStyle w:val="Hyperlink"/>
            <w:rFonts w:ascii="Arial" w:hAnsi="Arial" w:cs="Arial"/>
            <w:sz w:val="20"/>
            <w:szCs w:val="20"/>
          </w:rPr>
          <w:t>https://warontherocks.com/2020/12/how-the-army-out-innovated-the-islamic-states-drones/</w:t>
        </w:r>
      </w:hyperlink>
      <w:r w:rsidRPr="00DA75A8">
        <w:rPr>
          <w:rFonts w:ascii="Arial" w:hAnsi="Arial" w:cs="Arial"/>
          <w:sz w:val="20"/>
          <w:szCs w:val="20"/>
        </w:rPr>
        <w:t xml:space="preserve"> (Accessed on: 31 Jan 2022)</w:t>
      </w:r>
    </w:p>
    <w:p w14:paraId="76CF8314" w14:textId="77777777" w:rsidR="00AD6848" w:rsidRPr="00DA75A8" w:rsidRDefault="00AD6848" w:rsidP="007F15AB">
      <w:pPr>
        <w:rPr>
          <w:rFonts w:ascii="Arial" w:hAnsi="Arial" w:cs="Arial"/>
          <w:sz w:val="20"/>
          <w:szCs w:val="20"/>
        </w:rPr>
      </w:pPr>
    </w:p>
    <w:p w14:paraId="53A9E099" w14:textId="371A24B9" w:rsidR="0091641A" w:rsidRPr="00DA75A8" w:rsidRDefault="0069331D" w:rsidP="007F15AB">
      <w:pPr>
        <w:rPr>
          <w:rFonts w:ascii="Arial" w:hAnsi="Arial" w:cs="Arial"/>
          <w:sz w:val="20"/>
          <w:szCs w:val="20"/>
        </w:rPr>
      </w:pPr>
      <w:r w:rsidRPr="00DA75A8">
        <w:rPr>
          <w:rFonts w:ascii="Arial" w:hAnsi="Arial" w:cs="Arial"/>
          <w:sz w:val="20"/>
          <w:szCs w:val="20"/>
        </w:rPr>
        <w:t>AMEZQUITA IV, E.B., 2021. Creativity: Beyond the Mind; Behind the Curtain: A Behavioral Interpretation of Improvisational Comedy. Psychological Record, 71(4), pp. 577-584.</w:t>
      </w:r>
    </w:p>
    <w:p w14:paraId="59A74433" w14:textId="4F1D8AE9" w:rsidR="00DB15ED" w:rsidRPr="00DA75A8" w:rsidRDefault="00DB15ED" w:rsidP="007F15AB">
      <w:pPr>
        <w:rPr>
          <w:rFonts w:ascii="Arial" w:hAnsi="Arial" w:cs="Arial"/>
          <w:sz w:val="20"/>
          <w:szCs w:val="20"/>
        </w:rPr>
      </w:pPr>
    </w:p>
    <w:p w14:paraId="5986374C" w14:textId="7839CFFC" w:rsidR="008E5D8B" w:rsidRPr="00DA75A8" w:rsidRDefault="00A34547" w:rsidP="007F15AB">
      <w:pPr>
        <w:rPr>
          <w:rFonts w:ascii="Arial" w:hAnsi="Arial" w:cs="Arial"/>
          <w:sz w:val="20"/>
          <w:szCs w:val="20"/>
        </w:rPr>
      </w:pPr>
      <w:r w:rsidRPr="00DA75A8">
        <w:rPr>
          <w:rFonts w:ascii="Arial" w:hAnsi="Arial" w:cs="Arial"/>
          <w:sz w:val="20"/>
          <w:szCs w:val="20"/>
        </w:rPr>
        <w:t xml:space="preserve">Amabile T.M (1998) Harvard Business Review: How to Kill Creativity (Online) Available at: </w:t>
      </w:r>
      <w:hyperlink r:id="rId11" w:history="1">
        <w:r w:rsidRPr="00DA75A8">
          <w:rPr>
            <w:rStyle w:val="Hyperlink"/>
            <w:rFonts w:ascii="Arial" w:hAnsi="Arial" w:cs="Arial"/>
            <w:sz w:val="20"/>
            <w:szCs w:val="20"/>
          </w:rPr>
          <w:t>https://hbr.org/1998/09/how-to-kill-creativity</w:t>
        </w:r>
      </w:hyperlink>
      <w:r w:rsidRPr="00DA75A8">
        <w:rPr>
          <w:rFonts w:ascii="Arial" w:hAnsi="Arial" w:cs="Arial"/>
          <w:sz w:val="20"/>
          <w:szCs w:val="20"/>
        </w:rPr>
        <w:t xml:space="preserve"> (Accessed on: 31 Jan 2022).</w:t>
      </w:r>
    </w:p>
    <w:p w14:paraId="309BA9CD" w14:textId="77777777" w:rsidR="00A34547" w:rsidRPr="00DA75A8" w:rsidRDefault="00A34547" w:rsidP="007F15AB">
      <w:pPr>
        <w:rPr>
          <w:rFonts w:ascii="Arial" w:hAnsi="Arial" w:cs="Arial"/>
          <w:sz w:val="20"/>
          <w:szCs w:val="20"/>
        </w:rPr>
      </w:pPr>
    </w:p>
    <w:p w14:paraId="5C20F943" w14:textId="660972F1" w:rsidR="00CA6232" w:rsidRPr="00DA75A8" w:rsidRDefault="00CA6232" w:rsidP="007F15AB">
      <w:pPr>
        <w:rPr>
          <w:rFonts w:ascii="Arial" w:hAnsi="Arial" w:cs="Arial"/>
          <w:sz w:val="20"/>
          <w:szCs w:val="20"/>
        </w:rPr>
      </w:pPr>
      <w:r w:rsidRPr="00DA75A8">
        <w:rPr>
          <w:rFonts w:ascii="Arial" w:hAnsi="Arial" w:cs="Arial"/>
          <w:sz w:val="20"/>
          <w:szCs w:val="20"/>
        </w:rPr>
        <w:t>Anonymous</w:t>
      </w:r>
      <w:r w:rsidR="002179A2" w:rsidRPr="00DA75A8">
        <w:rPr>
          <w:rFonts w:ascii="Arial" w:hAnsi="Arial" w:cs="Arial"/>
          <w:sz w:val="20"/>
          <w:szCs w:val="20"/>
        </w:rPr>
        <w:t xml:space="preserve"> (</w:t>
      </w:r>
      <w:r w:rsidRPr="00DA75A8">
        <w:rPr>
          <w:rFonts w:ascii="Arial" w:hAnsi="Arial" w:cs="Arial"/>
          <w:sz w:val="20"/>
          <w:szCs w:val="20"/>
        </w:rPr>
        <w:t>2013</w:t>
      </w:r>
      <w:r w:rsidR="002179A2" w:rsidRPr="00DA75A8">
        <w:rPr>
          <w:rFonts w:ascii="Arial" w:hAnsi="Arial" w:cs="Arial"/>
          <w:sz w:val="20"/>
          <w:szCs w:val="20"/>
        </w:rPr>
        <w:t>)</w:t>
      </w:r>
      <w:r w:rsidRPr="00DA75A8">
        <w:rPr>
          <w:rFonts w:ascii="Arial" w:hAnsi="Arial" w:cs="Arial"/>
          <w:sz w:val="20"/>
          <w:szCs w:val="20"/>
        </w:rPr>
        <w:t>, Feb 11. All Things Digital: Samsung Open Innovation Center Software Developers Accelerator. Dow Jones Institutional News.</w:t>
      </w:r>
    </w:p>
    <w:p w14:paraId="4FC3AB0D" w14:textId="20434BFC" w:rsidR="00CA6232" w:rsidRPr="00DA75A8" w:rsidRDefault="00CA6232" w:rsidP="007F15AB">
      <w:pPr>
        <w:rPr>
          <w:rFonts w:ascii="Arial" w:hAnsi="Arial" w:cs="Arial"/>
          <w:sz w:val="20"/>
          <w:szCs w:val="20"/>
        </w:rPr>
      </w:pPr>
    </w:p>
    <w:p w14:paraId="50C6CC93" w14:textId="24AE4D68" w:rsidR="002A58C1" w:rsidRPr="00DA75A8" w:rsidRDefault="002A58C1" w:rsidP="007F15AB">
      <w:pPr>
        <w:rPr>
          <w:rFonts w:ascii="Arial" w:hAnsi="Arial" w:cs="Arial"/>
          <w:sz w:val="20"/>
          <w:szCs w:val="20"/>
        </w:rPr>
      </w:pPr>
      <w:r w:rsidRPr="00DA75A8">
        <w:rPr>
          <w:rFonts w:ascii="Arial" w:hAnsi="Arial" w:cs="Arial"/>
          <w:sz w:val="20"/>
          <w:szCs w:val="20"/>
        </w:rPr>
        <w:t>Anonymous (2019), May 17. Magenta Telekom, Samsung open first joint Innovation Shop in Vienna. Pivotal Sources.</w:t>
      </w:r>
    </w:p>
    <w:p w14:paraId="0B8066AE" w14:textId="77777777" w:rsidR="002A58C1" w:rsidRPr="00DA75A8" w:rsidRDefault="002A58C1" w:rsidP="007F15AB">
      <w:pPr>
        <w:rPr>
          <w:rFonts w:ascii="Arial" w:hAnsi="Arial" w:cs="Arial"/>
          <w:sz w:val="20"/>
          <w:szCs w:val="20"/>
        </w:rPr>
      </w:pPr>
    </w:p>
    <w:p w14:paraId="2EC2743E" w14:textId="798E13B7" w:rsidR="00CA6232" w:rsidRPr="00DA75A8" w:rsidRDefault="00CA6232" w:rsidP="007F15AB">
      <w:pPr>
        <w:rPr>
          <w:rFonts w:ascii="Arial" w:hAnsi="Arial" w:cs="Arial"/>
          <w:sz w:val="20"/>
          <w:szCs w:val="20"/>
        </w:rPr>
      </w:pPr>
      <w:r w:rsidRPr="00DA75A8">
        <w:rPr>
          <w:rFonts w:ascii="Arial" w:hAnsi="Arial" w:cs="Arial"/>
          <w:sz w:val="20"/>
          <w:szCs w:val="20"/>
        </w:rPr>
        <w:t>Anonymous</w:t>
      </w:r>
      <w:r w:rsidR="002179A2" w:rsidRPr="00DA75A8">
        <w:rPr>
          <w:rFonts w:ascii="Arial" w:hAnsi="Arial" w:cs="Arial"/>
          <w:sz w:val="20"/>
          <w:szCs w:val="20"/>
        </w:rPr>
        <w:t xml:space="preserve"> (</w:t>
      </w:r>
      <w:r w:rsidRPr="00DA75A8">
        <w:rPr>
          <w:rFonts w:ascii="Arial" w:hAnsi="Arial" w:cs="Arial"/>
          <w:sz w:val="20"/>
          <w:szCs w:val="20"/>
        </w:rPr>
        <w:t>2021</w:t>
      </w:r>
      <w:r w:rsidR="002179A2" w:rsidRPr="00DA75A8">
        <w:rPr>
          <w:rFonts w:ascii="Arial" w:hAnsi="Arial" w:cs="Arial"/>
          <w:sz w:val="20"/>
          <w:szCs w:val="20"/>
        </w:rPr>
        <w:t>)</w:t>
      </w:r>
      <w:r w:rsidRPr="00DA75A8">
        <w:rPr>
          <w:rFonts w:ascii="Arial" w:hAnsi="Arial" w:cs="Arial"/>
          <w:sz w:val="20"/>
          <w:szCs w:val="20"/>
        </w:rPr>
        <w:t xml:space="preserve">, Mar 11. Samsung opens </w:t>
      </w:r>
      <w:proofErr w:type="gramStart"/>
      <w:r w:rsidRPr="00DA75A8">
        <w:rPr>
          <w:rFonts w:ascii="Arial" w:hAnsi="Arial" w:cs="Arial"/>
          <w:sz w:val="20"/>
          <w:szCs w:val="20"/>
        </w:rPr>
        <w:t>new innovation</w:t>
      </w:r>
      <w:proofErr w:type="gramEnd"/>
      <w:r w:rsidRPr="00DA75A8">
        <w:rPr>
          <w:rFonts w:ascii="Arial" w:hAnsi="Arial" w:cs="Arial"/>
          <w:sz w:val="20"/>
          <w:szCs w:val="20"/>
        </w:rPr>
        <w:t xml:space="preserve"> lab at Delhi Technological University. Mint.</w:t>
      </w:r>
    </w:p>
    <w:p w14:paraId="24616A03" w14:textId="77777777" w:rsidR="00CA6232" w:rsidRPr="00DA75A8" w:rsidRDefault="00CA6232" w:rsidP="007F15AB">
      <w:pPr>
        <w:rPr>
          <w:rFonts w:ascii="Arial" w:hAnsi="Arial" w:cs="Arial"/>
          <w:sz w:val="20"/>
          <w:szCs w:val="20"/>
        </w:rPr>
      </w:pPr>
    </w:p>
    <w:p w14:paraId="7DD7AE59" w14:textId="005BB715" w:rsidR="00E1483A" w:rsidRPr="00DA75A8" w:rsidRDefault="0018281C" w:rsidP="00E1483A">
      <w:pPr>
        <w:rPr>
          <w:rFonts w:ascii="Arial" w:hAnsi="Arial" w:cs="Arial"/>
          <w:sz w:val="20"/>
          <w:szCs w:val="20"/>
        </w:rPr>
      </w:pPr>
      <w:r w:rsidRPr="00DA75A8">
        <w:rPr>
          <w:rFonts w:ascii="Arial" w:hAnsi="Arial" w:cs="Arial"/>
          <w:sz w:val="20"/>
          <w:szCs w:val="20"/>
        </w:rPr>
        <w:t xml:space="preserve">Apiumhub (2019) Open Innovation: Benefits, Case Studies and Books. (Online) Available at: </w:t>
      </w:r>
      <w:hyperlink r:id="rId12" w:history="1">
        <w:r w:rsidRPr="00DA75A8">
          <w:rPr>
            <w:rStyle w:val="Hyperlink"/>
            <w:rFonts w:ascii="Arial" w:hAnsi="Arial" w:cs="Arial"/>
            <w:sz w:val="20"/>
            <w:szCs w:val="20"/>
          </w:rPr>
          <w:t>https://apiumhub.com/tech-blog-barcelona/open-innovation-benefits/</w:t>
        </w:r>
      </w:hyperlink>
      <w:r w:rsidRPr="00DA75A8">
        <w:rPr>
          <w:rFonts w:ascii="Arial" w:hAnsi="Arial" w:cs="Arial"/>
          <w:sz w:val="20"/>
          <w:szCs w:val="20"/>
        </w:rPr>
        <w:t xml:space="preserve"> (Accessed on: 31 Jan 2022)</w:t>
      </w:r>
    </w:p>
    <w:p w14:paraId="598B3F6C" w14:textId="18B45849" w:rsidR="0018281C" w:rsidRPr="00DA75A8" w:rsidRDefault="0018281C" w:rsidP="00E1483A">
      <w:pPr>
        <w:rPr>
          <w:rFonts w:ascii="Arial" w:hAnsi="Arial" w:cs="Arial"/>
          <w:sz w:val="20"/>
          <w:szCs w:val="20"/>
        </w:rPr>
      </w:pPr>
    </w:p>
    <w:p w14:paraId="59AB9A32" w14:textId="02AB646F" w:rsidR="00CB4AB0" w:rsidRPr="00DA75A8" w:rsidRDefault="00CB4AB0" w:rsidP="00E1483A">
      <w:pPr>
        <w:rPr>
          <w:rFonts w:ascii="Arial" w:hAnsi="Arial" w:cs="Arial"/>
          <w:sz w:val="20"/>
          <w:szCs w:val="20"/>
        </w:rPr>
      </w:pPr>
      <w:r w:rsidRPr="00DA75A8">
        <w:rPr>
          <w:rFonts w:ascii="Arial" w:hAnsi="Arial" w:cs="Arial"/>
          <w:sz w:val="20"/>
          <w:szCs w:val="20"/>
        </w:rPr>
        <w:t>Army (2020) Army Standing Order No. 1118 – Army Lessons Process</w:t>
      </w:r>
      <w:r w:rsidR="00E62E37" w:rsidRPr="00DA75A8">
        <w:rPr>
          <w:rFonts w:ascii="Arial" w:hAnsi="Arial" w:cs="Arial"/>
          <w:sz w:val="20"/>
          <w:szCs w:val="20"/>
        </w:rPr>
        <w:t xml:space="preserve">. (Online) Available at: </w:t>
      </w:r>
      <w:hyperlink r:id="rId13" w:anchor="search=creative%20culture%20in%20army" w:history="1">
        <w:r w:rsidR="00E62E37" w:rsidRPr="00DA75A8">
          <w:rPr>
            <w:rStyle w:val="Hyperlink"/>
            <w:rFonts w:ascii="Arial" w:hAnsi="Arial" w:cs="Arial"/>
            <w:sz w:val="20"/>
            <w:szCs w:val="20"/>
          </w:rPr>
          <w:t>https://modgovuk.sharepoint.com/sites/defnet/Corp/Army/Publications/ACSO_1118.pdf#search=creative%20culture%20in%20army</w:t>
        </w:r>
      </w:hyperlink>
      <w:r w:rsidR="00E62E37" w:rsidRPr="00DA75A8">
        <w:rPr>
          <w:rFonts w:ascii="Arial" w:hAnsi="Arial" w:cs="Arial"/>
          <w:sz w:val="20"/>
          <w:szCs w:val="20"/>
        </w:rPr>
        <w:t xml:space="preserve"> (Accessed on: 31 Jan 2022)</w:t>
      </w:r>
    </w:p>
    <w:p w14:paraId="77645DB6" w14:textId="77777777" w:rsidR="00CB4AB0" w:rsidRPr="00DA75A8" w:rsidRDefault="00CB4AB0" w:rsidP="00E1483A">
      <w:pPr>
        <w:rPr>
          <w:rFonts w:ascii="Arial" w:hAnsi="Arial" w:cs="Arial"/>
          <w:sz w:val="20"/>
          <w:szCs w:val="20"/>
        </w:rPr>
      </w:pPr>
    </w:p>
    <w:p w14:paraId="7E3C19CE" w14:textId="423152F3" w:rsidR="00E1483A" w:rsidRPr="00DA75A8" w:rsidRDefault="00E1483A" w:rsidP="00E1483A">
      <w:pPr>
        <w:rPr>
          <w:rFonts w:ascii="Arial" w:hAnsi="Arial" w:cs="Arial"/>
          <w:sz w:val="20"/>
          <w:szCs w:val="20"/>
        </w:rPr>
      </w:pPr>
      <w:r w:rsidRPr="00DA75A8">
        <w:rPr>
          <w:rFonts w:ascii="Arial" w:hAnsi="Arial" w:cs="Arial"/>
          <w:sz w:val="20"/>
          <w:szCs w:val="20"/>
        </w:rPr>
        <w:t xml:space="preserve">Chesbrough. (2003). The Logic of Open Innovation: Managing Intellectual Property. California Management Review, 45(3), 33–58. </w:t>
      </w:r>
      <w:hyperlink r:id="rId14" w:history="1">
        <w:r w:rsidRPr="00DA75A8">
          <w:rPr>
            <w:rStyle w:val="Hyperlink"/>
            <w:rFonts w:ascii="Arial" w:hAnsi="Arial" w:cs="Arial"/>
            <w:sz w:val="20"/>
            <w:szCs w:val="20"/>
          </w:rPr>
          <w:t>https://doi.org/10.2307/41166175</w:t>
        </w:r>
      </w:hyperlink>
      <w:r w:rsidRPr="00DA75A8">
        <w:rPr>
          <w:rFonts w:ascii="Arial" w:hAnsi="Arial" w:cs="Arial"/>
          <w:sz w:val="20"/>
          <w:szCs w:val="20"/>
        </w:rPr>
        <w:t xml:space="preserve"> </w:t>
      </w:r>
    </w:p>
    <w:p w14:paraId="794811EF" w14:textId="77777777" w:rsidR="00C72A0C" w:rsidRPr="00DA75A8" w:rsidRDefault="00C72A0C" w:rsidP="00E1483A">
      <w:pPr>
        <w:rPr>
          <w:rFonts w:ascii="Arial" w:hAnsi="Arial" w:cs="Arial"/>
          <w:sz w:val="20"/>
          <w:szCs w:val="20"/>
        </w:rPr>
      </w:pPr>
    </w:p>
    <w:p w14:paraId="49539F8A" w14:textId="6E24FCBF" w:rsidR="001C2762" w:rsidRPr="00DA75A8" w:rsidRDefault="00C72A0C" w:rsidP="001C2762">
      <w:pPr>
        <w:rPr>
          <w:rFonts w:ascii="Arial" w:hAnsi="Arial" w:cs="Arial"/>
          <w:sz w:val="20"/>
          <w:szCs w:val="20"/>
        </w:rPr>
      </w:pPr>
      <w:r w:rsidRPr="00DA75A8">
        <w:rPr>
          <w:rFonts w:ascii="Arial" w:hAnsi="Arial" w:cs="Arial"/>
          <w:sz w:val="20"/>
          <w:szCs w:val="20"/>
        </w:rPr>
        <w:t xml:space="preserve">Chesbrough, Henry. (2012). Open Innovation: Where We’ve Been and Where We’re Going. Research-Technology Management. </w:t>
      </w:r>
      <w:r w:rsidR="007E58AD" w:rsidRPr="00DA75A8">
        <w:rPr>
          <w:rFonts w:ascii="Arial" w:hAnsi="Arial" w:cs="Arial"/>
          <w:sz w:val="20"/>
          <w:szCs w:val="20"/>
        </w:rPr>
        <w:t xml:space="preserve">(Online) Available </w:t>
      </w:r>
      <w:r w:rsidR="0018281C" w:rsidRPr="00DA75A8">
        <w:rPr>
          <w:rFonts w:ascii="Arial" w:hAnsi="Arial" w:cs="Arial"/>
          <w:sz w:val="20"/>
          <w:szCs w:val="20"/>
        </w:rPr>
        <w:t>at</w:t>
      </w:r>
      <w:r w:rsidR="007E58AD" w:rsidRPr="00DA75A8">
        <w:rPr>
          <w:rFonts w:ascii="Arial" w:hAnsi="Arial" w:cs="Arial"/>
          <w:sz w:val="20"/>
          <w:szCs w:val="20"/>
        </w:rPr>
        <w:t xml:space="preserve">: </w:t>
      </w:r>
      <w:hyperlink r:id="rId15" w:history="1">
        <w:r w:rsidR="007E58AD" w:rsidRPr="00DA75A8">
          <w:rPr>
            <w:rStyle w:val="Hyperlink"/>
            <w:rFonts w:ascii="Arial" w:hAnsi="Arial" w:cs="Arial"/>
            <w:sz w:val="20"/>
            <w:szCs w:val="20"/>
          </w:rPr>
          <w:t>https://www.researchgate.net/publication/262864879_Open_Innovation_Where_We've_Been_and_Where_We're_Going</w:t>
        </w:r>
      </w:hyperlink>
      <w:r w:rsidR="007E58AD" w:rsidRPr="00DA75A8">
        <w:rPr>
          <w:rFonts w:ascii="Arial" w:hAnsi="Arial" w:cs="Arial"/>
          <w:sz w:val="20"/>
          <w:szCs w:val="20"/>
        </w:rPr>
        <w:t xml:space="preserve"> (Accessed on 31 Jan 2022)</w:t>
      </w:r>
    </w:p>
    <w:p w14:paraId="583CE0ED" w14:textId="050E393E" w:rsidR="00C72A0C" w:rsidRPr="00DA75A8" w:rsidRDefault="00C72A0C" w:rsidP="001C2762">
      <w:pPr>
        <w:rPr>
          <w:rFonts w:ascii="Arial" w:hAnsi="Arial" w:cs="Arial"/>
          <w:sz w:val="20"/>
          <w:szCs w:val="20"/>
        </w:rPr>
      </w:pPr>
    </w:p>
    <w:p w14:paraId="328AA1BC" w14:textId="1FC40DA0" w:rsidR="008B0EDA" w:rsidRPr="00DA75A8" w:rsidRDefault="00687F0F" w:rsidP="008B0EDA">
      <w:pPr>
        <w:rPr>
          <w:rFonts w:ascii="Arial" w:hAnsi="Arial" w:cs="Arial"/>
          <w:sz w:val="20"/>
          <w:szCs w:val="20"/>
        </w:rPr>
      </w:pPr>
      <w:hyperlink r:id="rId16" w:anchor="bbib0080" w:history="1">
        <w:r w:rsidR="008B0EDA" w:rsidRPr="00DA75A8">
          <w:rPr>
            <w:rFonts w:ascii="Arial" w:hAnsi="Arial" w:cs="Arial"/>
            <w:sz w:val="20"/>
            <w:szCs w:val="20"/>
          </w:rPr>
          <w:t>Chesbrough, H (2012</w:t>
        </w:r>
      </w:hyperlink>
      <w:r w:rsidR="008B0EDA" w:rsidRPr="00DA75A8">
        <w:rPr>
          <w:rFonts w:ascii="Arial" w:hAnsi="Arial" w:cs="Arial"/>
          <w:sz w:val="20"/>
          <w:szCs w:val="20"/>
        </w:rPr>
        <w:t>) Open innovation: Research Technology Management, 55 (2012), pp. 20-27</w:t>
      </w:r>
    </w:p>
    <w:p w14:paraId="0DB6A105" w14:textId="402D03DF" w:rsidR="008B0EDA" w:rsidRPr="00DA75A8" w:rsidRDefault="008B0EDA" w:rsidP="001C2762">
      <w:pPr>
        <w:rPr>
          <w:rFonts w:ascii="Arial" w:hAnsi="Arial" w:cs="Arial"/>
          <w:sz w:val="20"/>
          <w:szCs w:val="20"/>
        </w:rPr>
      </w:pPr>
    </w:p>
    <w:p w14:paraId="19FA6140" w14:textId="078FD9B7" w:rsidR="00E86B6B" w:rsidRPr="00DA75A8" w:rsidRDefault="00E86B6B" w:rsidP="001C2762">
      <w:pPr>
        <w:rPr>
          <w:rFonts w:ascii="Arial" w:hAnsi="Arial" w:cs="Arial"/>
          <w:sz w:val="20"/>
          <w:szCs w:val="20"/>
        </w:rPr>
      </w:pPr>
      <w:r w:rsidRPr="00DA75A8">
        <w:rPr>
          <w:rFonts w:ascii="Arial" w:hAnsi="Arial" w:cs="Arial"/>
          <w:sz w:val="20"/>
          <w:szCs w:val="20"/>
        </w:rPr>
        <w:t>CHRISTENSEN, C. (2015). Disruptive innovation is a strategy, not just the technology: In a rare interview, Christensen tells Business Today the relevance of his theory of disruptive innovation and explains with real-life examples how it could play out in today's context. Business Today.</w:t>
      </w:r>
    </w:p>
    <w:p w14:paraId="5EAA652A" w14:textId="77777777" w:rsidR="00E86B6B" w:rsidRPr="00DA75A8" w:rsidRDefault="00E86B6B" w:rsidP="001C2762">
      <w:pPr>
        <w:rPr>
          <w:rFonts w:ascii="Arial" w:hAnsi="Arial" w:cs="Arial"/>
          <w:sz w:val="20"/>
          <w:szCs w:val="20"/>
        </w:rPr>
      </w:pPr>
    </w:p>
    <w:p w14:paraId="03631DAC" w14:textId="4259B3BF" w:rsidR="00F21ECF" w:rsidRPr="00DA75A8" w:rsidRDefault="00F21ECF" w:rsidP="001C2762">
      <w:pPr>
        <w:rPr>
          <w:rFonts w:ascii="Arial" w:hAnsi="Arial" w:cs="Arial"/>
          <w:sz w:val="20"/>
          <w:szCs w:val="20"/>
        </w:rPr>
      </w:pPr>
      <w:r w:rsidRPr="00DA75A8">
        <w:rPr>
          <w:rFonts w:ascii="Arial" w:hAnsi="Arial" w:cs="Arial"/>
          <w:sz w:val="20"/>
          <w:szCs w:val="20"/>
        </w:rPr>
        <w:t>Cooper, R. G. 2011. Winning at New Products: Creating Value Through Innovation, 4th ed. New York: Basic Books-Perseus.</w:t>
      </w:r>
    </w:p>
    <w:p w14:paraId="0651701F" w14:textId="77777777" w:rsidR="00F21ECF" w:rsidRPr="00DA75A8" w:rsidRDefault="00F21ECF" w:rsidP="001C2762">
      <w:pPr>
        <w:rPr>
          <w:rFonts w:ascii="Arial" w:hAnsi="Arial" w:cs="Arial"/>
          <w:sz w:val="20"/>
          <w:szCs w:val="20"/>
        </w:rPr>
      </w:pPr>
    </w:p>
    <w:p w14:paraId="23EB41DD" w14:textId="4D1752A2" w:rsidR="001C2762" w:rsidRPr="00DA75A8" w:rsidRDefault="001C2762" w:rsidP="001C2762">
      <w:pPr>
        <w:rPr>
          <w:rFonts w:ascii="Arial" w:hAnsi="Arial" w:cs="Arial"/>
          <w:sz w:val="20"/>
          <w:szCs w:val="20"/>
        </w:rPr>
      </w:pPr>
      <w:r w:rsidRPr="00DA75A8">
        <w:rPr>
          <w:rFonts w:ascii="Arial" w:hAnsi="Arial" w:cs="Arial"/>
          <w:sz w:val="20"/>
          <w:szCs w:val="20"/>
        </w:rPr>
        <w:t xml:space="preserve">Cooper, &amp; Edgett, S. J. (2012). Best Practices in the Idea-to-Launch Process and Its Governance. Research Technology Management, 55(2), 43–54. </w:t>
      </w:r>
      <w:hyperlink r:id="rId17" w:history="1">
        <w:r w:rsidR="005D1F3B" w:rsidRPr="00DA75A8">
          <w:rPr>
            <w:rStyle w:val="Hyperlink"/>
            <w:rFonts w:ascii="Arial" w:hAnsi="Arial" w:cs="Arial"/>
            <w:sz w:val="20"/>
            <w:szCs w:val="20"/>
          </w:rPr>
          <w:t>https://doi.org/10.5437/08956308X5502022</w:t>
        </w:r>
      </w:hyperlink>
      <w:r w:rsidR="005D1F3B" w:rsidRPr="00DA75A8">
        <w:rPr>
          <w:rFonts w:ascii="Arial" w:hAnsi="Arial" w:cs="Arial"/>
          <w:sz w:val="20"/>
          <w:szCs w:val="20"/>
        </w:rPr>
        <w:t xml:space="preserve"> </w:t>
      </w:r>
    </w:p>
    <w:p w14:paraId="38A8D3AA" w14:textId="0871F976" w:rsidR="00F95C32" w:rsidRPr="00DA75A8" w:rsidRDefault="00F95C32" w:rsidP="00F95C32">
      <w:pPr>
        <w:rPr>
          <w:rFonts w:ascii="Arial" w:hAnsi="Arial" w:cs="Arial"/>
          <w:color w:val="555555"/>
          <w:sz w:val="20"/>
          <w:szCs w:val="20"/>
          <w:shd w:val="clear" w:color="auto" w:fill="FFFFFF"/>
        </w:rPr>
      </w:pPr>
    </w:p>
    <w:p w14:paraId="177BE3EF" w14:textId="10979C5D" w:rsidR="00613CAB" w:rsidRPr="00DA75A8" w:rsidRDefault="00613CAB" w:rsidP="00613CAB">
      <w:pPr>
        <w:rPr>
          <w:rFonts w:ascii="Arial" w:hAnsi="Arial" w:cs="Arial"/>
          <w:sz w:val="20"/>
          <w:szCs w:val="20"/>
        </w:rPr>
      </w:pPr>
      <w:r w:rsidRPr="00DA75A8">
        <w:rPr>
          <w:rFonts w:ascii="Arial" w:hAnsi="Arial" w:cs="Arial"/>
          <w:sz w:val="20"/>
          <w:szCs w:val="20"/>
        </w:rPr>
        <w:lastRenderedPageBreak/>
        <w:t xml:space="preserve">Cooper, &amp; Sommer, A. F. (2016). The Agile-Stage-Gate Hybrid Model: A Promising New Approach and a New Research Opportunity. The Journal of Product Innovation Management, 33(5), 513–526. </w:t>
      </w:r>
      <w:hyperlink r:id="rId18" w:history="1">
        <w:r w:rsidRPr="00DA75A8">
          <w:rPr>
            <w:rStyle w:val="Hyperlink"/>
            <w:rFonts w:ascii="Arial" w:hAnsi="Arial" w:cs="Arial"/>
            <w:sz w:val="20"/>
            <w:szCs w:val="20"/>
          </w:rPr>
          <w:t>https://doi.org/10.1111/jpim.12314</w:t>
        </w:r>
      </w:hyperlink>
      <w:r w:rsidRPr="00DA75A8">
        <w:rPr>
          <w:rFonts w:ascii="Arial" w:hAnsi="Arial" w:cs="Arial"/>
          <w:sz w:val="20"/>
          <w:szCs w:val="20"/>
        </w:rPr>
        <w:t xml:space="preserve"> </w:t>
      </w:r>
    </w:p>
    <w:p w14:paraId="74EA1699" w14:textId="0B7532E7" w:rsidR="00613CAB" w:rsidRPr="00DA75A8" w:rsidRDefault="00613CAB" w:rsidP="00F95C32">
      <w:pPr>
        <w:rPr>
          <w:rFonts w:ascii="Arial" w:hAnsi="Arial" w:cs="Arial"/>
          <w:color w:val="555555"/>
          <w:sz w:val="20"/>
          <w:szCs w:val="20"/>
          <w:shd w:val="clear" w:color="auto" w:fill="FFFFFF"/>
        </w:rPr>
      </w:pPr>
    </w:p>
    <w:p w14:paraId="3A43336D" w14:textId="1399B357" w:rsidR="00470C01" w:rsidRPr="00DA75A8" w:rsidRDefault="0032350E" w:rsidP="00F95C32">
      <w:pPr>
        <w:rPr>
          <w:rFonts w:ascii="Arial" w:hAnsi="Arial" w:cs="Arial"/>
          <w:sz w:val="20"/>
          <w:szCs w:val="20"/>
        </w:rPr>
      </w:pPr>
      <w:r w:rsidRPr="00DA75A8">
        <w:rPr>
          <w:rFonts w:ascii="Arial" w:hAnsi="Arial" w:cs="Arial"/>
          <w:sz w:val="20"/>
          <w:szCs w:val="20"/>
        </w:rPr>
        <w:t xml:space="preserve">Csikszentmihalyi, M. (2006). A systems perspective on creativity. In J. Henry (Ed.), Creative management and development (pp. 3-17). SAGE Publications Ltd, </w:t>
      </w:r>
      <w:hyperlink r:id="rId19" w:history="1">
        <w:r w:rsidRPr="00DA75A8">
          <w:rPr>
            <w:rFonts w:ascii="Arial" w:hAnsi="Arial" w:cs="Arial"/>
            <w:sz w:val="20"/>
            <w:szCs w:val="20"/>
          </w:rPr>
          <w:t>https://dx.doi.org/10.4135/9781446213704.n1</w:t>
        </w:r>
      </w:hyperlink>
      <w:r w:rsidRPr="00DA75A8">
        <w:rPr>
          <w:rFonts w:ascii="Arial" w:hAnsi="Arial" w:cs="Arial"/>
          <w:sz w:val="20"/>
          <w:szCs w:val="20"/>
        </w:rPr>
        <w:t xml:space="preserve"> </w:t>
      </w:r>
    </w:p>
    <w:p w14:paraId="31584128" w14:textId="77777777" w:rsidR="00470C01" w:rsidRPr="00DA75A8" w:rsidRDefault="00470C01" w:rsidP="00F95C32">
      <w:pPr>
        <w:rPr>
          <w:rFonts w:ascii="Arial" w:hAnsi="Arial" w:cs="Arial"/>
          <w:sz w:val="20"/>
          <w:szCs w:val="20"/>
        </w:rPr>
      </w:pPr>
    </w:p>
    <w:p w14:paraId="1E3AFE00" w14:textId="2814F7F3" w:rsidR="00470C01" w:rsidRPr="00DA75A8" w:rsidRDefault="00470C01" w:rsidP="00470C01">
      <w:pPr>
        <w:rPr>
          <w:rFonts w:ascii="Arial" w:hAnsi="Arial" w:cs="Arial"/>
          <w:sz w:val="20"/>
          <w:szCs w:val="20"/>
        </w:rPr>
      </w:pPr>
      <w:r w:rsidRPr="00DA75A8">
        <w:rPr>
          <w:rFonts w:ascii="Arial" w:hAnsi="Arial" w:cs="Arial"/>
          <w:sz w:val="20"/>
          <w:szCs w:val="20"/>
        </w:rPr>
        <w:t xml:space="preserve">Dubina, Carayannis, E. G., &amp; Campbell, D. F. J. (2011). Creativity Economy and a Crisis of the Economy? Coevolution of Knowledge, Innovation, and Creativity, and of the Knowledge Economy and Knowledge Society. Journal of the Knowledge Economy, 3(1), 1–24. </w:t>
      </w:r>
      <w:hyperlink r:id="rId20" w:history="1">
        <w:r w:rsidRPr="00DA75A8">
          <w:rPr>
            <w:rStyle w:val="Hyperlink"/>
            <w:rFonts w:ascii="Arial" w:hAnsi="Arial" w:cs="Arial"/>
            <w:sz w:val="20"/>
            <w:szCs w:val="20"/>
          </w:rPr>
          <w:t>https://doi.org/10.1007/s13132-011-0042-y</w:t>
        </w:r>
      </w:hyperlink>
      <w:r w:rsidRPr="00DA75A8">
        <w:rPr>
          <w:rFonts w:ascii="Arial" w:hAnsi="Arial" w:cs="Arial"/>
          <w:sz w:val="20"/>
          <w:szCs w:val="20"/>
        </w:rPr>
        <w:t xml:space="preserve"> </w:t>
      </w:r>
    </w:p>
    <w:p w14:paraId="222D550E" w14:textId="77777777" w:rsidR="00470C01" w:rsidRPr="00DA75A8" w:rsidRDefault="00470C01" w:rsidP="00F95C32">
      <w:pPr>
        <w:rPr>
          <w:rFonts w:ascii="Arial" w:hAnsi="Arial" w:cs="Arial"/>
          <w:sz w:val="20"/>
          <w:szCs w:val="20"/>
        </w:rPr>
      </w:pPr>
    </w:p>
    <w:p w14:paraId="531F1E90" w14:textId="5F19C5D2" w:rsidR="00F95C32" w:rsidRPr="00DA75A8" w:rsidRDefault="00F95C32" w:rsidP="00F95C32">
      <w:pPr>
        <w:rPr>
          <w:rFonts w:ascii="Arial" w:hAnsi="Arial" w:cs="Arial"/>
          <w:sz w:val="20"/>
          <w:szCs w:val="20"/>
        </w:rPr>
      </w:pPr>
      <w:r w:rsidRPr="00DA75A8">
        <w:rPr>
          <w:rFonts w:ascii="Arial" w:hAnsi="Arial" w:cs="Arial"/>
          <w:sz w:val="20"/>
          <w:szCs w:val="20"/>
        </w:rPr>
        <w:t xml:space="preserve">Dubina, IN, &amp; Carayannis, EG (eds) 2016, Creativity, Innovation, and Entrepreneurship Across Cultures: Theory and Practices, Springer New York, New York, NY. Available from: ProQuest </w:t>
      </w:r>
      <w:proofErr w:type="spellStart"/>
      <w:r w:rsidRPr="00DA75A8">
        <w:rPr>
          <w:rFonts w:ascii="Arial" w:hAnsi="Arial" w:cs="Arial"/>
          <w:sz w:val="20"/>
          <w:szCs w:val="20"/>
        </w:rPr>
        <w:t>Ebook</w:t>
      </w:r>
      <w:proofErr w:type="spellEnd"/>
      <w:r w:rsidRPr="00DA75A8">
        <w:rPr>
          <w:rFonts w:ascii="Arial" w:hAnsi="Arial" w:cs="Arial"/>
          <w:sz w:val="20"/>
          <w:szCs w:val="20"/>
        </w:rPr>
        <w:t xml:space="preserve"> Central. [29 January 2022].</w:t>
      </w:r>
    </w:p>
    <w:p w14:paraId="39950582" w14:textId="0C8D98FC" w:rsidR="002454CC" w:rsidRPr="00DA75A8" w:rsidRDefault="002454CC" w:rsidP="00D06E1C">
      <w:pPr>
        <w:rPr>
          <w:rFonts w:ascii="Arial" w:hAnsi="Arial" w:cs="Arial"/>
          <w:sz w:val="20"/>
          <w:szCs w:val="20"/>
        </w:rPr>
      </w:pPr>
    </w:p>
    <w:p w14:paraId="2F32BA0A" w14:textId="7106B9D1" w:rsidR="002F7590" w:rsidRPr="00DA75A8" w:rsidRDefault="002F7590" w:rsidP="00D06E1C">
      <w:pPr>
        <w:rPr>
          <w:rFonts w:ascii="Arial" w:hAnsi="Arial" w:cs="Arial"/>
          <w:sz w:val="20"/>
          <w:szCs w:val="20"/>
        </w:rPr>
      </w:pPr>
      <w:r w:rsidRPr="00DA75A8">
        <w:rPr>
          <w:rFonts w:ascii="Arial" w:hAnsi="Arial" w:cs="Arial"/>
          <w:sz w:val="20"/>
          <w:szCs w:val="20"/>
        </w:rPr>
        <w:t xml:space="preserve">Francesc Guell (2022) Agile Innovation. (Online) Available at: </w:t>
      </w:r>
      <w:hyperlink r:id="rId21" w:history="1">
        <w:r w:rsidRPr="00DA75A8">
          <w:rPr>
            <w:rStyle w:val="Hyperlink"/>
            <w:rFonts w:ascii="Arial" w:hAnsi="Arial" w:cs="Arial"/>
            <w:sz w:val="20"/>
            <w:szCs w:val="20"/>
          </w:rPr>
          <w:t>https://www.fguell.com/en/agile-innovation/</w:t>
        </w:r>
      </w:hyperlink>
      <w:r w:rsidRPr="00DA75A8">
        <w:rPr>
          <w:rFonts w:ascii="Arial" w:hAnsi="Arial" w:cs="Arial"/>
          <w:sz w:val="20"/>
          <w:szCs w:val="20"/>
        </w:rPr>
        <w:t xml:space="preserve"> (Accessed on: 31 Jan 2022).</w:t>
      </w:r>
    </w:p>
    <w:p w14:paraId="2A136E1B" w14:textId="77777777" w:rsidR="002F7590" w:rsidRPr="00DA75A8" w:rsidRDefault="002F7590" w:rsidP="00D06E1C">
      <w:pPr>
        <w:rPr>
          <w:rFonts w:ascii="Arial" w:hAnsi="Arial" w:cs="Arial"/>
          <w:sz w:val="20"/>
          <w:szCs w:val="20"/>
        </w:rPr>
      </w:pPr>
    </w:p>
    <w:p w14:paraId="6BE457F8" w14:textId="68AC6B15" w:rsidR="00F95C32" w:rsidRPr="00DA75A8" w:rsidRDefault="00D06E1C" w:rsidP="00D06E1C">
      <w:pPr>
        <w:rPr>
          <w:rFonts w:ascii="Arial" w:hAnsi="Arial" w:cs="Arial"/>
          <w:sz w:val="20"/>
          <w:szCs w:val="20"/>
        </w:rPr>
      </w:pPr>
      <w:r w:rsidRPr="00DA75A8">
        <w:rPr>
          <w:rFonts w:ascii="Arial" w:hAnsi="Arial" w:cs="Arial"/>
          <w:sz w:val="20"/>
          <w:szCs w:val="20"/>
        </w:rPr>
        <w:t xml:space="preserve">Gronlund, Ronnberg, D., &amp; Frishammar, J. (2010). Open Innovation and the Stage-Gate Process: A Revised Model for New Product Development. California Management Review, 52(3), 106–131. </w:t>
      </w:r>
      <w:hyperlink r:id="rId22" w:history="1">
        <w:r w:rsidRPr="00DA75A8">
          <w:rPr>
            <w:rStyle w:val="Hyperlink"/>
            <w:rFonts w:ascii="Arial" w:hAnsi="Arial" w:cs="Arial"/>
            <w:sz w:val="20"/>
            <w:szCs w:val="20"/>
          </w:rPr>
          <w:t>https://doi.org/10.1525/cmr.2010.52.3.106</w:t>
        </w:r>
      </w:hyperlink>
    </w:p>
    <w:p w14:paraId="211D0986" w14:textId="6793B103" w:rsidR="00D06E1C" w:rsidRPr="00DA75A8" w:rsidRDefault="00D06E1C" w:rsidP="00D06E1C">
      <w:pPr>
        <w:rPr>
          <w:rFonts w:ascii="Arial" w:hAnsi="Arial" w:cs="Arial"/>
          <w:sz w:val="20"/>
          <w:szCs w:val="20"/>
        </w:rPr>
      </w:pPr>
    </w:p>
    <w:p w14:paraId="27FAA5FE" w14:textId="59BDDC1B" w:rsidR="00181CB4" w:rsidRPr="00DA75A8" w:rsidRDefault="00181CB4" w:rsidP="00D06E1C">
      <w:pPr>
        <w:rPr>
          <w:rFonts w:ascii="Arial" w:hAnsi="Arial" w:cs="Arial"/>
          <w:sz w:val="20"/>
          <w:szCs w:val="20"/>
        </w:rPr>
      </w:pPr>
      <w:r w:rsidRPr="00DA75A8">
        <w:rPr>
          <w:rFonts w:ascii="Arial" w:hAnsi="Arial" w:cs="Arial"/>
          <w:sz w:val="20"/>
          <w:szCs w:val="20"/>
        </w:rPr>
        <w:t xml:space="preserve">Gryskiewicz, S. and Taylor, S. (2003) ‘Making Creativity Practical’, Making Creativity Practical: Innovation That Gets Results, pp. 10–27. Available at: </w:t>
      </w:r>
      <w:hyperlink r:id="rId23" w:history="1">
        <w:r w:rsidRPr="00DA75A8">
          <w:rPr>
            <w:rFonts w:ascii="Arial" w:hAnsi="Arial" w:cs="Arial"/>
          </w:rPr>
          <w:t>https://search-ebscohost-com.ezproxy.uwtsd.ac.uk/login.aspx?direct=true&amp;db=bth&amp;AN=22440794&amp;site=ehost-live</w:t>
        </w:r>
      </w:hyperlink>
      <w:r w:rsidRPr="00DA75A8">
        <w:rPr>
          <w:rFonts w:ascii="Arial" w:hAnsi="Arial" w:cs="Arial"/>
          <w:sz w:val="20"/>
          <w:szCs w:val="20"/>
        </w:rPr>
        <w:t xml:space="preserve">  (Accessed: 7 February 2022).</w:t>
      </w:r>
    </w:p>
    <w:p w14:paraId="1616B724" w14:textId="77777777" w:rsidR="00181CB4" w:rsidRPr="00DA75A8" w:rsidRDefault="00181CB4" w:rsidP="00D06E1C">
      <w:pPr>
        <w:rPr>
          <w:rFonts w:ascii="Arial" w:hAnsi="Arial" w:cs="Arial"/>
          <w:sz w:val="20"/>
          <w:szCs w:val="20"/>
        </w:rPr>
      </w:pPr>
    </w:p>
    <w:p w14:paraId="202F9664" w14:textId="5DCB8BAF" w:rsidR="003E248A" w:rsidRPr="00DA75A8" w:rsidRDefault="003E248A" w:rsidP="003E248A">
      <w:pPr>
        <w:rPr>
          <w:rFonts w:ascii="Arial" w:hAnsi="Arial" w:cs="Arial"/>
          <w:sz w:val="20"/>
          <w:szCs w:val="20"/>
        </w:rPr>
      </w:pPr>
      <w:r w:rsidRPr="00DA75A8">
        <w:rPr>
          <w:rFonts w:ascii="Arial" w:hAnsi="Arial" w:cs="Arial"/>
          <w:sz w:val="20"/>
          <w:szCs w:val="20"/>
        </w:rPr>
        <w:t>Henry. (2006). Creative management and development (3rd ed.). SAGE.</w:t>
      </w:r>
    </w:p>
    <w:p w14:paraId="320FC73F" w14:textId="77777777" w:rsidR="00F95C32" w:rsidRPr="00DA75A8" w:rsidRDefault="00F95C32" w:rsidP="00F95C32">
      <w:pPr>
        <w:rPr>
          <w:rFonts w:ascii="Arial" w:hAnsi="Arial" w:cs="Arial"/>
          <w:sz w:val="20"/>
          <w:szCs w:val="20"/>
        </w:rPr>
      </w:pPr>
      <w:r w:rsidRPr="00DA75A8">
        <w:rPr>
          <w:rFonts w:ascii="Arial" w:hAnsi="Arial" w:cs="Arial"/>
          <w:sz w:val="20"/>
          <w:szCs w:val="20"/>
        </w:rPr>
        <w:t xml:space="preserve">HUBER. (1998). Invention and Inventivity as a Special Kind of Creativity, with Implications for General Creativity. The Journal of Creative Behavior, 32(1), 58–72. </w:t>
      </w:r>
      <w:hyperlink r:id="rId24" w:history="1">
        <w:r w:rsidRPr="00DA75A8">
          <w:rPr>
            <w:rStyle w:val="Hyperlink"/>
            <w:rFonts w:ascii="Arial" w:hAnsi="Arial" w:cs="Arial"/>
            <w:sz w:val="20"/>
            <w:szCs w:val="20"/>
          </w:rPr>
          <w:t>https://doi.org/10.1002/j.2162-6057.1998.tb00806.x</w:t>
        </w:r>
      </w:hyperlink>
    </w:p>
    <w:p w14:paraId="2DA1314F" w14:textId="4955D969" w:rsidR="001C2762" w:rsidRPr="00DA75A8" w:rsidRDefault="001C2762" w:rsidP="00AB284D">
      <w:pPr>
        <w:rPr>
          <w:rFonts w:ascii="Arial" w:hAnsi="Arial" w:cs="Arial"/>
          <w:sz w:val="20"/>
          <w:szCs w:val="20"/>
        </w:rPr>
      </w:pPr>
    </w:p>
    <w:p w14:paraId="7D8271CC" w14:textId="124E85E4" w:rsidR="003E3E93" w:rsidRPr="00DA75A8" w:rsidRDefault="003E3E93" w:rsidP="00AB284D">
      <w:pPr>
        <w:rPr>
          <w:rFonts w:ascii="Arial" w:hAnsi="Arial" w:cs="Arial"/>
          <w:sz w:val="20"/>
          <w:szCs w:val="20"/>
        </w:rPr>
      </w:pPr>
      <w:r w:rsidRPr="00DA75A8">
        <w:rPr>
          <w:rFonts w:ascii="Arial" w:hAnsi="Arial" w:cs="Arial"/>
          <w:sz w:val="20"/>
          <w:szCs w:val="20"/>
        </w:rPr>
        <w:t xml:space="preserve">Jan Spruijt (2011) Open Innovation: What Steve Jobs </w:t>
      </w:r>
      <w:proofErr w:type="gramStart"/>
      <w:r w:rsidRPr="00DA75A8">
        <w:rPr>
          <w:rFonts w:ascii="Arial" w:hAnsi="Arial" w:cs="Arial"/>
          <w:sz w:val="20"/>
          <w:szCs w:val="20"/>
        </w:rPr>
        <w:t>did(</w:t>
      </w:r>
      <w:proofErr w:type="gramEnd"/>
      <w:r w:rsidRPr="00DA75A8">
        <w:rPr>
          <w:rFonts w:ascii="Arial" w:hAnsi="Arial" w:cs="Arial"/>
          <w:sz w:val="20"/>
          <w:szCs w:val="20"/>
        </w:rPr>
        <w:t xml:space="preserve">not do) for Open Innovation. (Online) Available at: </w:t>
      </w:r>
      <w:hyperlink r:id="rId25" w:history="1">
        <w:r w:rsidRPr="00DA75A8">
          <w:rPr>
            <w:rStyle w:val="Hyperlink"/>
            <w:rFonts w:ascii="Arial" w:hAnsi="Arial" w:cs="Arial"/>
            <w:sz w:val="20"/>
            <w:szCs w:val="20"/>
          </w:rPr>
          <w:t>https://openinnovation.eu/06-12-2011/what-steve-jobs-did-not-do-for-open-innovation/</w:t>
        </w:r>
      </w:hyperlink>
      <w:r w:rsidRPr="00DA75A8">
        <w:rPr>
          <w:rFonts w:ascii="Arial" w:hAnsi="Arial" w:cs="Arial"/>
          <w:sz w:val="20"/>
          <w:szCs w:val="20"/>
        </w:rPr>
        <w:t>. (Accessed on: 31 Jan 2022)</w:t>
      </w:r>
    </w:p>
    <w:p w14:paraId="2A613A0C" w14:textId="77777777" w:rsidR="003E3E93" w:rsidRPr="00DA75A8" w:rsidRDefault="003E3E93" w:rsidP="00AB284D">
      <w:pPr>
        <w:rPr>
          <w:rFonts w:ascii="Arial" w:hAnsi="Arial" w:cs="Arial"/>
          <w:sz w:val="20"/>
          <w:szCs w:val="20"/>
        </w:rPr>
      </w:pPr>
    </w:p>
    <w:p w14:paraId="7FB1176A" w14:textId="75B87BA7" w:rsidR="001C2762" w:rsidRPr="00DA75A8" w:rsidRDefault="00F95C32" w:rsidP="00F95C32">
      <w:pPr>
        <w:rPr>
          <w:rStyle w:val="Hyperlink"/>
          <w:rFonts w:ascii="Arial" w:hAnsi="Arial" w:cs="Arial"/>
          <w:sz w:val="20"/>
          <w:szCs w:val="20"/>
        </w:rPr>
      </w:pPr>
      <w:r w:rsidRPr="00DA75A8">
        <w:rPr>
          <w:rFonts w:ascii="Arial" w:hAnsi="Arial" w:cs="Arial"/>
          <w:sz w:val="20"/>
          <w:szCs w:val="20"/>
        </w:rPr>
        <w:t xml:space="preserve">Magnusson, Wästlund, E., &amp; Netz, J. (2016). Exploring Users’ Appropriateness as a Proxy for Experts When Screening New Product/Service Ideas. The Journal of Product Innovation Management, 33(1), 4–18. </w:t>
      </w:r>
      <w:hyperlink r:id="rId26" w:history="1">
        <w:r w:rsidR="00417DD2" w:rsidRPr="00DA75A8">
          <w:rPr>
            <w:rStyle w:val="Hyperlink"/>
            <w:rFonts w:ascii="Arial" w:hAnsi="Arial" w:cs="Arial"/>
            <w:sz w:val="20"/>
            <w:szCs w:val="20"/>
          </w:rPr>
          <w:t>https://doi.org/10.1111/jpim.12251</w:t>
        </w:r>
      </w:hyperlink>
    </w:p>
    <w:p w14:paraId="416C9D98" w14:textId="7EE6A7A8" w:rsidR="0073646A" w:rsidRPr="00DA75A8" w:rsidRDefault="0073646A" w:rsidP="00F95C32">
      <w:pPr>
        <w:rPr>
          <w:rStyle w:val="Hyperlink"/>
          <w:rFonts w:ascii="Arial" w:hAnsi="Arial" w:cs="Arial"/>
          <w:sz w:val="20"/>
          <w:szCs w:val="20"/>
        </w:rPr>
      </w:pPr>
    </w:p>
    <w:p w14:paraId="71BAD742" w14:textId="45C22E7F" w:rsidR="0073646A" w:rsidRPr="00DA75A8" w:rsidRDefault="0073646A" w:rsidP="00F95C32">
      <w:pPr>
        <w:rPr>
          <w:rFonts w:ascii="Arial" w:hAnsi="Arial" w:cs="Arial"/>
          <w:sz w:val="20"/>
          <w:szCs w:val="20"/>
        </w:rPr>
      </w:pPr>
      <w:r w:rsidRPr="00DA75A8">
        <w:rPr>
          <w:rFonts w:ascii="Arial" w:hAnsi="Arial" w:cs="Arial"/>
          <w:sz w:val="20"/>
          <w:szCs w:val="20"/>
        </w:rPr>
        <w:t>MAREK, S., 2013. Samsung opens innovation center in Silicon Valley. FierceWireless</w:t>
      </w:r>
      <w:r w:rsidR="0049132D" w:rsidRPr="00DA75A8">
        <w:rPr>
          <w:rFonts w:ascii="Arial" w:hAnsi="Arial" w:cs="Arial"/>
          <w:sz w:val="20"/>
          <w:szCs w:val="20"/>
        </w:rPr>
        <w:t>.</w:t>
      </w:r>
    </w:p>
    <w:p w14:paraId="457E8B76" w14:textId="00FFB091" w:rsidR="0049132D" w:rsidRPr="00DA75A8" w:rsidRDefault="0049132D" w:rsidP="00F95C32">
      <w:pPr>
        <w:rPr>
          <w:rFonts w:ascii="Arial" w:hAnsi="Arial" w:cs="Arial"/>
          <w:sz w:val="20"/>
          <w:szCs w:val="20"/>
        </w:rPr>
      </w:pPr>
    </w:p>
    <w:p w14:paraId="6C25589B" w14:textId="3714E2B7" w:rsidR="0091641A" w:rsidRPr="00DA75A8" w:rsidRDefault="0091641A" w:rsidP="00F95C32">
      <w:pPr>
        <w:rPr>
          <w:rFonts w:ascii="Arial" w:hAnsi="Arial" w:cs="Arial"/>
          <w:sz w:val="20"/>
          <w:szCs w:val="20"/>
        </w:rPr>
      </w:pPr>
      <w:r w:rsidRPr="00DA75A8">
        <w:rPr>
          <w:rFonts w:ascii="Arial" w:hAnsi="Arial" w:cs="Arial"/>
          <w:sz w:val="20"/>
          <w:szCs w:val="20"/>
        </w:rPr>
        <w:t>Marshall A</w:t>
      </w:r>
      <w:r w:rsidR="00F20F6D" w:rsidRPr="00DA75A8">
        <w:rPr>
          <w:rFonts w:ascii="Arial" w:hAnsi="Arial" w:cs="Arial"/>
          <w:sz w:val="20"/>
          <w:szCs w:val="20"/>
        </w:rPr>
        <w:t xml:space="preserve">, (2018) Boot Camp Military Fitness </w:t>
      </w:r>
      <w:proofErr w:type="gramStart"/>
      <w:r w:rsidR="00F20F6D" w:rsidRPr="00DA75A8">
        <w:rPr>
          <w:rFonts w:ascii="Arial" w:hAnsi="Arial" w:cs="Arial"/>
          <w:sz w:val="20"/>
          <w:szCs w:val="20"/>
        </w:rPr>
        <w:t>Institute :</w:t>
      </w:r>
      <w:proofErr w:type="gramEnd"/>
      <w:r w:rsidR="00F20F6D" w:rsidRPr="00DA75A8">
        <w:rPr>
          <w:rFonts w:ascii="Arial" w:hAnsi="Arial" w:cs="Arial"/>
          <w:sz w:val="20"/>
          <w:szCs w:val="20"/>
        </w:rPr>
        <w:t xml:space="preserve"> UK Armed Forces Feedback Process. (Online) Available at: </w:t>
      </w:r>
      <w:hyperlink r:id="rId27" w:history="1">
        <w:r w:rsidR="00F20F6D" w:rsidRPr="00DA75A8">
          <w:rPr>
            <w:rStyle w:val="Hyperlink"/>
            <w:rFonts w:ascii="Arial" w:hAnsi="Arial" w:cs="Arial"/>
            <w:sz w:val="20"/>
            <w:szCs w:val="20"/>
          </w:rPr>
          <w:t>https://bootcampmilitaryfitnessinstitute.com/2018/12/11/uk-armed-forces-feedback-processes/</w:t>
        </w:r>
      </w:hyperlink>
      <w:r w:rsidR="00F20F6D" w:rsidRPr="00DA75A8">
        <w:rPr>
          <w:rFonts w:ascii="Arial" w:hAnsi="Arial" w:cs="Arial"/>
          <w:sz w:val="20"/>
          <w:szCs w:val="20"/>
        </w:rPr>
        <w:t xml:space="preserve"> (Accessed on: 31 Jan 2022).</w:t>
      </w:r>
    </w:p>
    <w:p w14:paraId="776CB41F" w14:textId="77777777" w:rsidR="0091641A" w:rsidRPr="00DA75A8" w:rsidRDefault="0091641A" w:rsidP="00F95C32">
      <w:pPr>
        <w:rPr>
          <w:rFonts w:ascii="Arial" w:hAnsi="Arial" w:cs="Arial"/>
          <w:sz w:val="20"/>
          <w:szCs w:val="20"/>
        </w:rPr>
      </w:pPr>
    </w:p>
    <w:p w14:paraId="6BBF3EE2" w14:textId="266442C7" w:rsidR="0006079A" w:rsidRPr="00DA75A8" w:rsidRDefault="0006079A" w:rsidP="00F95C32">
      <w:pPr>
        <w:rPr>
          <w:rFonts w:ascii="Arial" w:hAnsi="Arial" w:cs="Arial"/>
          <w:sz w:val="20"/>
          <w:szCs w:val="20"/>
        </w:rPr>
      </w:pPr>
      <w:r w:rsidRPr="00DA75A8">
        <w:rPr>
          <w:rFonts w:ascii="Arial" w:hAnsi="Arial" w:cs="Arial"/>
          <w:sz w:val="20"/>
          <w:szCs w:val="20"/>
        </w:rPr>
        <w:t xml:space="preserve">Ministry of Defence (2010). Gov.uk: Armed forces and Ministry of Defence reform – News </w:t>
      </w:r>
      <w:proofErr w:type="gramStart"/>
      <w:r w:rsidRPr="00DA75A8">
        <w:rPr>
          <w:rFonts w:ascii="Arial" w:hAnsi="Arial" w:cs="Arial"/>
          <w:sz w:val="20"/>
          <w:szCs w:val="20"/>
        </w:rPr>
        <w:t>Story :</w:t>
      </w:r>
      <w:proofErr w:type="gramEnd"/>
      <w:r w:rsidRPr="00DA75A8">
        <w:rPr>
          <w:rFonts w:ascii="Arial" w:hAnsi="Arial" w:cs="Arial"/>
          <w:sz w:val="20"/>
          <w:szCs w:val="20"/>
        </w:rPr>
        <w:t xml:space="preserve"> Money Saving</w:t>
      </w:r>
      <w:r w:rsidR="00300749" w:rsidRPr="00DA75A8">
        <w:rPr>
          <w:rFonts w:ascii="Arial" w:hAnsi="Arial" w:cs="Arial"/>
          <w:sz w:val="20"/>
          <w:szCs w:val="20"/>
        </w:rPr>
        <w:t xml:space="preserve"> Ideas for Defence Honoured. (Online) Available at: </w:t>
      </w:r>
      <w:hyperlink r:id="rId28" w:history="1">
        <w:r w:rsidR="00300749" w:rsidRPr="00DA75A8">
          <w:rPr>
            <w:rStyle w:val="Hyperlink"/>
            <w:rFonts w:ascii="Arial" w:hAnsi="Arial" w:cs="Arial"/>
            <w:sz w:val="20"/>
            <w:szCs w:val="20"/>
          </w:rPr>
          <w:t>https://www.gov.uk/government/news/money-saving-ideas-for-defence-honoured</w:t>
        </w:r>
      </w:hyperlink>
      <w:r w:rsidR="00300749" w:rsidRPr="00DA75A8">
        <w:rPr>
          <w:rFonts w:ascii="Arial" w:hAnsi="Arial" w:cs="Arial"/>
          <w:sz w:val="20"/>
          <w:szCs w:val="20"/>
        </w:rPr>
        <w:t xml:space="preserve"> (Accessed on: 31 Jan 2022)</w:t>
      </w:r>
    </w:p>
    <w:p w14:paraId="786EBF35" w14:textId="77777777" w:rsidR="0006079A" w:rsidRPr="00DA75A8" w:rsidRDefault="0006079A" w:rsidP="00F95C32">
      <w:pPr>
        <w:rPr>
          <w:rFonts w:ascii="Arial" w:hAnsi="Arial" w:cs="Arial"/>
          <w:sz w:val="20"/>
          <w:szCs w:val="20"/>
        </w:rPr>
      </w:pPr>
    </w:p>
    <w:p w14:paraId="32045E6C" w14:textId="5AB9D7BF" w:rsidR="0049132D" w:rsidRPr="00DA75A8" w:rsidRDefault="0049132D" w:rsidP="00F95C32">
      <w:pPr>
        <w:rPr>
          <w:rFonts w:ascii="Arial" w:hAnsi="Arial" w:cs="Arial"/>
          <w:sz w:val="20"/>
          <w:szCs w:val="20"/>
        </w:rPr>
      </w:pPr>
      <w:r w:rsidRPr="00DA75A8">
        <w:rPr>
          <w:rFonts w:ascii="Arial" w:hAnsi="Arial" w:cs="Arial"/>
          <w:sz w:val="20"/>
          <w:szCs w:val="20"/>
        </w:rPr>
        <w:t xml:space="preserve">Morikawa M (2016) 16 Examples of Open Innovation – What Can WE Learn </w:t>
      </w:r>
      <w:proofErr w:type="gramStart"/>
      <w:r w:rsidRPr="00DA75A8">
        <w:rPr>
          <w:rFonts w:ascii="Arial" w:hAnsi="Arial" w:cs="Arial"/>
          <w:sz w:val="20"/>
          <w:szCs w:val="20"/>
        </w:rPr>
        <w:t>From</w:t>
      </w:r>
      <w:proofErr w:type="gramEnd"/>
      <w:r w:rsidRPr="00DA75A8">
        <w:rPr>
          <w:rFonts w:ascii="Arial" w:hAnsi="Arial" w:cs="Arial"/>
          <w:sz w:val="20"/>
          <w:szCs w:val="20"/>
        </w:rPr>
        <w:t xml:space="preserve"> Them. (Online) Available at: </w:t>
      </w:r>
      <w:hyperlink r:id="rId29" w:history="1">
        <w:r w:rsidRPr="00DA75A8">
          <w:rPr>
            <w:rStyle w:val="Hyperlink"/>
            <w:rFonts w:ascii="Arial" w:hAnsi="Arial" w:cs="Arial"/>
            <w:sz w:val="20"/>
            <w:szCs w:val="20"/>
          </w:rPr>
          <w:t>https://www.viima.com/blog/16-examples-of-open-innovation-what-can-we-learn-from-them</w:t>
        </w:r>
      </w:hyperlink>
      <w:r w:rsidRPr="00DA75A8">
        <w:rPr>
          <w:rFonts w:ascii="Arial" w:hAnsi="Arial" w:cs="Arial"/>
          <w:sz w:val="20"/>
          <w:szCs w:val="20"/>
        </w:rPr>
        <w:t xml:space="preserve"> (Accessed on: 31 Jan 2022)</w:t>
      </w:r>
    </w:p>
    <w:p w14:paraId="165162CC" w14:textId="77777777" w:rsidR="00417DD2" w:rsidRPr="00DA75A8" w:rsidRDefault="00417DD2" w:rsidP="00F95C32">
      <w:pPr>
        <w:rPr>
          <w:rFonts w:ascii="Arial" w:hAnsi="Arial" w:cs="Arial"/>
          <w:sz w:val="20"/>
          <w:szCs w:val="20"/>
        </w:rPr>
      </w:pPr>
    </w:p>
    <w:p w14:paraId="67F31861" w14:textId="449FCE65" w:rsidR="001C2762" w:rsidRPr="00DA75A8" w:rsidRDefault="00417DD2" w:rsidP="00AB284D">
      <w:pPr>
        <w:rPr>
          <w:rFonts w:ascii="Arial" w:hAnsi="Arial" w:cs="Arial"/>
          <w:sz w:val="20"/>
          <w:szCs w:val="20"/>
        </w:rPr>
      </w:pPr>
      <w:r w:rsidRPr="00DA75A8">
        <w:rPr>
          <w:rFonts w:ascii="Arial" w:hAnsi="Arial" w:cs="Arial"/>
          <w:sz w:val="20"/>
          <w:szCs w:val="20"/>
        </w:rPr>
        <w:lastRenderedPageBreak/>
        <w:t>ÖBERG, C. and ALEXANDER, A.T., 2019. The openness of open innovation in ecosystems – Integrating innovation and management literature on knowledge linkages. Journal of Innovation &amp; Knowledge, 4(4), pp. 211-218.</w:t>
      </w:r>
    </w:p>
    <w:p w14:paraId="41BDD8C0" w14:textId="77777777" w:rsidR="00417DD2" w:rsidRPr="00DA75A8" w:rsidRDefault="00417DD2" w:rsidP="00AB284D">
      <w:pPr>
        <w:rPr>
          <w:rFonts w:ascii="Arial" w:hAnsi="Arial" w:cs="Arial"/>
          <w:sz w:val="20"/>
          <w:szCs w:val="20"/>
        </w:rPr>
      </w:pPr>
    </w:p>
    <w:p w14:paraId="6F8EBF94" w14:textId="502C7C4E" w:rsidR="00CF7729" w:rsidRPr="00DA75A8" w:rsidRDefault="00CF7729" w:rsidP="00AB284D">
      <w:pPr>
        <w:rPr>
          <w:rFonts w:ascii="Arial" w:hAnsi="Arial" w:cs="Arial"/>
          <w:sz w:val="20"/>
          <w:szCs w:val="20"/>
        </w:rPr>
      </w:pPr>
      <w:r w:rsidRPr="00DA75A8">
        <w:rPr>
          <w:rFonts w:ascii="Arial" w:hAnsi="Arial" w:cs="Arial"/>
          <w:sz w:val="20"/>
          <w:szCs w:val="20"/>
        </w:rPr>
        <w:t>Paul Dughi (</w:t>
      </w:r>
      <w:r w:rsidR="00863CC8" w:rsidRPr="00DA75A8">
        <w:rPr>
          <w:rFonts w:ascii="Arial" w:hAnsi="Arial" w:cs="Arial"/>
          <w:sz w:val="20"/>
          <w:szCs w:val="20"/>
        </w:rPr>
        <w:t xml:space="preserve">2021). A Beginners Guide to Stage-Gate Process. (Online). Available at: </w:t>
      </w:r>
      <w:hyperlink r:id="rId30" w:history="1">
        <w:r w:rsidR="00863CC8" w:rsidRPr="00DA75A8">
          <w:rPr>
            <w:rStyle w:val="Hyperlink"/>
            <w:rFonts w:ascii="Arial" w:hAnsi="Arial" w:cs="Arial"/>
            <w:sz w:val="20"/>
            <w:szCs w:val="20"/>
          </w:rPr>
          <w:t>https://www.fool.com/the-blueprint/stage-gate-process/</w:t>
        </w:r>
      </w:hyperlink>
      <w:r w:rsidR="00863CC8" w:rsidRPr="00DA75A8">
        <w:rPr>
          <w:rFonts w:ascii="Arial" w:hAnsi="Arial" w:cs="Arial"/>
          <w:sz w:val="20"/>
          <w:szCs w:val="20"/>
        </w:rPr>
        <w:t xml:space="preserve"> (Assessed on: 31 Jan 2022).</w:t>
      </w:r>
    </w:p>
    <w:p w14:paraId="55A9A409" w14:textId="67684703" w:rsidR="00AD6848" w:rsidRPr="00DA75A8" w:rsidRDefault="00AD6848" w:rsidP="00AB284D">
      <w:pPr>
        <w:rPr>
          <w:rFonts w:ascii="Arial" w:hAnsi="Arial" w:cs="Arial"/>
          <w:sz w:val="20"/>
          <w:szCs w:val="20"/>
        </w:rPr>
      </w:pPr>
    </w:p>
    <w:p w14:paraId="26793D9F" w14:textId="53373989" w:rsidR="00011F4A" w:rsidRPr="00DA75A8" w:rsidRDefault="00011F4A" w:rsidP="00011F4A">
      <w:pPr>
        <w:rPr>
          <w:rFonts w:ascii="Arial" w:hAnsi="Arial" w:cs="Arial"/>
          <w:sz w:val="20"/>
          <w:szCs w:val="20"/>
        </w:rPr>
      </w:pPr>
      <w:r w:rsidRPr="00DA75A8">
        <w:rPr>
          <w:rFonts w:ascii="Arial" w:hAnsi="Arial" w:cs="Arial"/>
          <w:sz w:val="20"/>
          <w:szCs w:val="20"/>
        </w:rPr>
        <w:t>Richards</w:t>
      </w:r>
      <w:r w:rsidR="005566D5" w:rsidRPr="00DA75A8">
        <w:rPr>
          <w:rFonts w:ascii="Arial" w:hAnsi="Arial" w:cs="Arial"/>
          <w:sz w:val="20"/>
          <w:szCs w:val="20"/>
        </w:rPr>
        <w:t>, R.</w:t>
      </w:r>
      <w:r w:rsidRPr="00DA75A8">
        <w:rPr>
          <w:rFonts w:ascii="Arial" w:hAnsi="Arial" w:cs="Arial"/>
          <w:sz w:val="20"/>
          <w:szCs w:val="20"/>
        </w:rPr>
        <w:t xml:space="preserve"> (2018). Everyday Creativity and the Healthy Mind Dynamic New Paths for Self and Society (1st ed. 2018.). Palgrave Macmillan UK. </w:t>
      </w:r>
      <w:hyperlink r:id="rId31" w:history="1">
        <w:r w:rsidRPr="00DA75A8">
          <w:rPr>
            <w:rStyle w:val="Hyperlink"/>
            <w:rFonts w:ascii="Arial" w:hAnsi="Arial" w:cs="Arial"/>
            <w:sz w:val="20"/>
            <w:szCs w:val="20"/>
          </w:rPr>
          <w:t>https://doi.org/10.1057/978-1-137-55766-7</w:t>
        </w:r>
      </w:hyperlink>
      <w:r w:rsidRPr="00DA75A8">
        <w:rPr>
          <w:rFonts w:ascii="Arial" w:hAnsi="Arial" w:cs="Arial"/>
          <w:sz w:val="20"/>
          <w:szCs w:val="20"/>
        </w:rPr>
        <w:t xml:space="preserve"> </w:t>
      </w:r>
    </w:p>
    <w:p w14:paraId="1E7F1BBF" w14:textId="77777777" w:rsidR="00011F4A" w:rsidRPr="00DA75A8" w:rsidRDefault="00011F4A" w:rsidP="00AB284D">
      <w:pPr>
        <w:rPr>
          <w:rFonts w:ascii="Arial" w:hAnsi="Arial" w:cs="Arial"/>
          <w:sz w:val="20"/>
          <w:szCs w:val="20"/>
        </w:rPr>
      </w:pPr>
    </w:p>
    <w:p w14:paraId="6BDCBD4E" w14:textId="4DA1A291" w:rsidR="002B66B9" w:rsidRPr="00DA75A8" w:rsidRDefault="002B66B9" w:rsidP="00AB284D">
      <w:pPr>
        <w:rPr>
          <w:rFonts w:ascii="Arial" w:hAnsi="Arial" w:cs="Arial"/>
          <w:sz w:val="20"/>
          <w:szCs w:val="20"/>
        </w:rPr>
      </w:pPr>
      <w:r w:rsidRPr="00DA75A8">
        <w:rPr>
          <w:rFonts w:ascii="Arial" w:hAnsi="Arial" w:cs="Arial"/>
          <w:sz w:val="20"/>
          <w:szCs w:val="20"/>
        </w:rPr>
        <w:t>Robert Gerrish (</w:t>
      </w:r>
      <w:r w:rsidR="009F12CC" w:rsidRPr="00DA75A8">
        <w:rPr>
          <w:rFonts w:ascii="Arial" w:hAnsi="Arial" w:cs="Arial"/>
          <w:sz w:val="20"/>
          <w:szCs w:val="20"/>
        </w:rPr>
        <w:t xml:space="preserve">2009). Four Essential Elements of Creativity. (Online) Available at: </w:t>
      </w:r>
      <w:hyperlink r:id="rId32" w:history="1">
        <w:r w:rsidR="009F12CC" w:rsidRPr="00DA75A8">
          <w:rPr>
            <w:rStyle w:val="Hyperlink"/>
            <w:rFonts w:ascii="Arial" w:hAnsi="Arial" w:cs="Arial"/>
            <w:sz w:val="20"/>
            <w:szCs w:val="20"/>
          </w:rPr>
          <w:t>https://www.cbsnews.com/news/four-essential-elements-of-creativity/</w:t>
        </w:r>
      </w:hyperlink>
      <w:r w:rsidR="009F12CC" w:rsidRPr="00DA75A8">
        <w:rPr>
          <w:rFonts w:ascii="Arial" w:hAnsi="Arial" w:cs="Arial"/>
          <w:sz w:val="20"/>
          <w:szCs w:val="20"/>
        </w:rPr>
        <w:t xml:space="preserve"> (Accessed on: 31 Jan 2022)</w:t>
      </w:r>
    </w:p>
    <w:p w14:paraId="447DDE0F" w14:textId="0DE8152C" w:rsidR="002B66B9" w:rsidRPr="00DA75A8" w:rsidRDefault="002B66B9" w:rsidP="00AB284D">
      <w:pPr>
        <w:rPr>
          <w:rFonts w:ascii="Arial" w:hAnsi="Arial" w:cs="Arial"/>
          <w:sz w:val="20"/>
          <w:szCs w:val="20"/>
        </w:rPr>
      </w:pPr>
    </w:p>
    <w:p w14:paraId="1B8102A4" w14:textId="48E31E11" w:rsidR="00E03035" w:rsidRPr="00DA75A8" w:rsidRDefault="00E03035" w:rsidP="00E03035">
      <w:pPr>
        <w:rPr>
          <w:rFonts w:ascii="Arial" w:hAnsi="Arial" w:cs="Arial"/>
          <w:sz w:val="20"/>
          <w:szCs w:val="20"/>
        </w:rPr>
      </w:pPr>
      <w:r w:rsidRPr="00DA75A8">
        <w:rPr>
          <w:rFonts w:ascii="Arial" w:hAnsi="Arial" w:cs="Arial"/>
          <w:sz w:val="20"/>
          <w:szCs w:val="20"/>
        </w:rPr>
        <w:t>Runco</w:t>
      </w:r>
      <w:r w:rsidR="00E0576A" w:rsidRPr="00DA75A8">
        <w:rPr>
          <w:rFonts w:ascii="Arial" w:hAnsi="Arial" w:cs="Arial"/>
          <w:sz w:val="20"/>
          <w:szCs w:val="20"/>
        </w:rPr>
        <w:t>, M.A.</w:t>
      </w:r>
      <w:r w:rsidRPr="00DA75A8">
        <w:rPr>
          <w:rFonts w:ascii="Arial" w:hAnsi="Arial" w:cs="Arial"/>
          <w:sz w:val="20"/>
          <w:szCs w:val="20"/>
        </w:rPr>
        <w:t xml:space="preserve"> (2014). Creativity: theories and </w:t>
      </w:r>
      <w:proofErr w:type="gramStart"/>
      <w:r w:rsidRPr="00DA75A8">
        <w:rPr>
          <w:rFonts w:ascii="Arial" w:hAnsi="Arial" w:cs="Arial"/>
          <w:sz w:val="20"/>
          <w:szCs w:val="20"/>
        </w:rPr>
        <w:t>themes :</w:t>
      </w:r>
      <w:proofErr w:type="gramEnd"/>
      <w:r w:rsidRPr="00DA75A8">
        <w:rPr>
          <w:rFonts w:ascii="Arial" w:hAnsi="Arial" w:cs="Arial"/>
          <w:sz w:val="20"/>
          <w:szCs w:val="20"/>
        </w:rPr>
        <w:t xml:space="preserve"> research, development, and practice (Second edition.). Academic Press.</w:t>
      </w:r>
    </w:p>
    <w:p w14:paraId="5815C328" w14:textId="77777777" w:rsidR="00E03035" w:rsidRPr="00DA75A8" w:rsidRDefault="00E03035" w:rsidP="00AB284D">
      <w:pPr>
        <w:rPr>
          <w:rFonts w:ascii="Arial" w:hAnsi="Arial" w:cs="Arial"/>
          <w:sz w:val="20"/>
          <w:szCs w:val="20"/>
        </w:rPr>
      </w:pPr>
    </w:p>
    <w:p w14:paraId="2555C97B" w14:textId="18E7E35E" w:rsidR="008A176C" w:rsidRPr="00DA75A8" w:rsidRDefault="008A176C" w:rsidP="00AB284D">
      <w:pPr>
        <w:rPr>
          <w:rFonts w:ascii="Arial" w:hAnsi="Arial" w:cs="Arial"/>
          <w:sz w:val="20"/>
          <w:szCs w:val="20"/>
        </w:rPr>
      </w:pPr>
      <w:r w:rsidRPr="00DA75A8">
        <w:rPr>
          <w:rFonts w:ascii="Arial" w:hAnsi="Arial" w:cs="Arial"/>
          <w:sz w:val="20"/>
          <w:szCs w:val="20"/>
        </w:rPr>
        <w:t>S</w:t>
      </w:r>
      <w:r w:rsidR="002B66B9" w:rsidRPr="00DA75A8">
        <w:rPr>
          <w:rFonts w:ascii="Arial" w:hAnsi="Arial" w:cs="Arial"/>
          <w:sz w:val="20"/>
          <w:szCs w:val="20"/>
        </w:rPr>
        <w:t>ternberg</w:t>
      </w:r>
      <w:r w:rsidRPr="00DA75A8">
        <w:rPr>
          <w:rFonts w:ascii="Arial" w:hAnsi="Arial" w:cs="Arial"/>
          <w:sz w:val="20"/>
          <w:szCs w:val="20"/>
        </w:rPr>
        <w:t>, R.J., 1999. A Propulsion Model of Types of Creative Contributions. Review of general psychology, 3(2), pp. 83-100.</w:t>
      </w:r>
    </w:p>
    <w:p w14:paraId="320897BD" w14:textId="77777777" w:rsidR="008A176C" w:rsidRPr="00DA75A8" w:rsidRDefault="008A176C" w:rsidP="00AB284D">
      <w:pPr>
        <w:rPr>
          <w:rFonts w:ascii="Arial" w:hAnsi="Arial" w:cs="Arial"/>
          <w:sz w:val="20"/>
          <w:szCs w:val="20"/>
        </w:rPr>
      </w:pPr>
    </w:p>
    <w:p w14:paraId="695034FA" w14:textId="402EFDBD" w:rsidR="00AD6848" w:rsidRPr="00DA75A8" w:rsidRDefault="00AD6848" w:rsidP="00AB284D">
      <w:pPr>
        <w:rPr>
          <w:rFonts w:ascii="Arial" w:hAnsi="Arial" w:cs="Arial"/>
          <w:sz w:val="20"/>
          <w:szCs w:val="20"/>
        </w:rPr>
      </w:pPr>
      <w:r w:rsidRPr="00DA75A8">
        <w:rPr>
          <w:rFonts w:ascii="Arial" w:hAnsi="Arial" w:cs="Arial"/>
          <w:sz w:val="20"/>
          <w:szCs w:val="20"/>
        </w:rPr>
        <w:t xml:space="preserve">Sternberg. (2017). Whence Creativity? The Journal of Creative </w:t>
      </w:r>
      <w:proofErr w:type="spellStart"/>
      <w:r w:rsidRPr="00DA75A8">
        <w:rPr>
          <w:rFonts w:ascii="Arial" w:hAnsi="Arial" w:cs="Arial"/>
          <w:sz w:val="20"/>
          <w:szCs w:val="20"/>
        </w:rPr>
        <w:t>Behavior</w:t>
      </w:r>
      <w:proofErr w:type="spellEnd"/>
      <w:r w:rsidRPr="00DA75A8">
        <w:rPr>
          <w:rFonts w:ascii="Arial" w:hAnsi="Arial" w:cs="Arial"/>
          <w:sz w:val="20"/>
          <w:szCs w:val="20"/>
        </w:rPr>
        <w:t xml:space="preserve">, 51(4), 289–292. </w:t>
      </w:r>
      <w:hyperlink r:id="rId33" w:history="1">
        <w:r w:rsidRPr="00DA75A8">
          <w:rPr>
            <w:rStyle w:val="Hyperlink"/>
            <w:rFonts w:ascii="Arial" w:hAnsi="Arial" w:cs="Arial"/>
            <w:sz w:val="20"/>
            <w:szCs w:val="20"/>
          </w:rPr>
          <w:t>https://doi.org/10.1002/jocb.199</w:t>
        </w:r>
      </w:hyperlink>
      <w:r w:rsidRPr="00DA75A8">
        <w:rPr>
          <w:rFonts w:ascii="Arial" w:hAnsi="Arial" w:cs="Arial"/>
          <w:sz w:val="20"/>
          <w:szCs w:val="20"/>
        </w:rPr>
        <w:t xml:space="preserve"> </w:t>
      </w:r>
    </w:p>
    <w:p w14:paraId="6A156428" w14:textId="77777777" w:rsidR="00CF7729" w:rsidRPr="00DA75A8" w:rsidRDefault="00CF7729" w:rsidP="00AB284D">
      <w:pPr>
        <w:rPr>
          <w:rFonts w:ascii="Arial" w:hAnsi="Arial" w:cs="Arial"/>
          <w:sz w:val="20"/>
          <w:szCs w:val="20"/>
        </w:rPr>
      </w:pPr>
    </w:p>
    <w:p w14:paraId="30DA0958" w14:textId="77777777" w:rsidR="00F95C32" w:rsidRPr="00DA75A8" w:rsidRDefault="00F95C32" w:rsidP="00F95C32">
      <w:pPr>
        <w:rPr>
          <w:rFonts w:ascii="Arial" w:hAnsi="Arial" w:cs="Arial"/>
          <w:sz w:val="20"/>
          <w:szCs w:val="20"/>
        </w:rPr>
      </w:pPr>
      <w:r w:rsidRPr="00DA75A8">
        <w:rPr>
          <w:rFonts w:ascii="Arial" w:hAnsi="Arial" w:cs="Arial"/>
          <w:sz w:val="20"/>
          <w:szCs w:val="20"/>
        </w:rPr>
        <w:t>Tidd, &amp; Bessant, J. R. (2018). Managing innovation: integrating technological, market and organizational change (Sixth edition.). Wiley.</w:t>
      </w:r>
    </w:p>
    <w:p w14:paraId="0912FD57" w14:textId="77777777" w:rsidR="001C2762" w:rsidRPr="00DA75A8" w:rsidRDefault="001C2762" w:rsidP="00AB284D">
      <w:pPr>
        <w:rPr>
          <w:rFonts w:ascii="Arial" w:hAnsi="Arial" w:cs="Arial"/>
          <w:sz w:val="20"/>
          <w:szCs w:val="20"/>
        </w:rPr>
      </w:pPr>
    </w:p>
    <w:p w14:paraId="06DF5BD7" w14:textId="295A4992" w:rsidR="0030173B" w:rsidRPr="00DA75A8" w:rsidRDefault="0030173B" w:rsidP="003F69D6">
      <w:pPr>
        <w:rPr>
          <w:rFonts w:ascii="Arial" w:hAnsi="Arial" w:cs="Arial"/>
          <w:sz w:val="20"/>
          <w:szCs w:val="20"/>
        </w:rPr>
      </w:pPr>
      <w:r w:rsidRPr="00DA75A8">
        <w:rPr>
          <w:rFonts w:ascii="Arial" w:hAnsi="Arial" w:cs="Arial"/>
          <w:sz w:val="20"/>
          <w:szCs w:val="20"/>
        </w:rPr>
        <w:br w:type="page"/>
      </w:r>
    </w:p>
    <w:p w14:paraId="3B28B415" w14:textId="77777777" w:rsidR="0030173B" w:rsidRPr="00F5686B" w:rsidRDefault="0030173B" w:rsidP="003F69D6">
      <w:pPr>
        <w:rPr>
          <w:rFonts w:ascii="Arial" w:hAnsi="Arial" w:cs="Arial"/>
        </w:rPr>
      </w:pPr>
    </w:p>
    <w:p w14:paraId="7077D594" w14:textId="5F060405" w:rsidR="0009769B" w:rsidRPr="00F5686B" w:rsidRDefault="003F69D6" w:rsidP="0009769B">
      <w:pPr>
        <w:pStyle w:val="Heading2"/>
        <w:rPr>
          <w:rFonts w:ascii="Arial" w:hAnsi="Arial" w:cs="Arial"/>
        </w:rPr>
      </w:pPr>
      <w:r w:rsidRPr="00F5686B">
        <w:rPr>
          <w:rFonts w:ascii="Arial" w:hAnsi="Arial" w:cs="Arial"/>
        </w:rPr>
        <w:t xml:space="preserve"> </w:t>
      </w:r>
      <w:bookmarkStart w:id="8" w:name="_Toc95177798"/>
      <w:r w:rsidR="002049FE" w:rsidRPr="00F5686B">
        <w:rPr>
          <w:rFonts w:ascii="Arial" w:hAnsi="Arial" w:cs="Arial"/>
        </w:rPr>
        <w:t>Appendix 1</w:t>
      </w:r>
      <w:r w:rsidR="0009769B" w:rsidRPr="00F5686B">
        <w:rPr>
          <w:rFonts w:ascii="Arial" w:hAnsi="Arial" w:cs="Arial"/>
        </w:rPr>
        <w:t xml:space="preserve"> Stage - Gate </w:t>
      </w:r>
      <w:r w:rsidR="0072669E">
        <w:rPr>
          <w:rFonts w:ascii="Arial" w:hAnsi="Arial" w:cs="Arial"/>
        </w:rPr>
        <w:t xml:space="preserve">Innovation </w:t>
      </w:r>
      <w:r w:rsidR="0009769B" w:rsidRPr="00F5686B">
        <w:rPr>
          <w:rFonts w:ascii="Arial" w:hAnsi="Arial" w:cs="Arial"/>
        </w:rPr>
        <w:t>Model Process</w:t>
      </w:r>
      <w:bookmarkEnd w:id="8"/>
    </w:p>
    <w:p w14:paraId="61EEA2E2" w14:textId="2A177C38" w:rsidR="002049FE" w:rsidRPr="00F5686B" w:rsidRDefault="002049FE" w:rsidP="003F69D6">
      <w:pPr>
        <w:rPr>
          <w:rFonts w:ascii="Arial" w:hAnsi="Arial" w:cs="Arial"/>
        </w:rPr>
      </w:pPr>
    </w:p>
    <w:p w14:paraId="62B3497B" w14:textId="77777777" w:rsidR="0009769B" w:rsidRPr="00F5686B" w:rsidRDefault="00BD1C12">
      <w:pPr>
        <w:rPr>
          <w:rFonts w:ascii="Arial" w:hAnsi="Arial" w:cs="Arial"/>
        </w:rPr>
      </w:pPr>
      <w:r w:rsidRPr="00F5686B">
        <w:rPr>
          <w:rFonts w:ascii="Arial" w:hAnsi="Arial" w:cs="Arial"/>
          <w:noProof/>
        </w:rPr>
        <w:drawing>
          <wp:inline distT="0" distB="0" distL="0" distR="0" wp14:anchorId="41D0020C" wp14:editId="2F6577F7">
            <wp:extent cx="5158800" cy="3600000"/>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58800" cy="3600000"/>
                    </a:xfrm>
                    <a:prstGeom prst="rect">
                      <a:avLst/>
                    </a:prstGeom>
                    <a:noFill/>
                  </pic:spPr>
                </pic:pic>
              </a:graphicData>
            </a:graphic>
          </wp:inline>
        </w:drawing>
      </w:r>
    </w:p>
    <w:p w14:paraId="62053640" w14:textId="5FA3CBE2" w:rsidR="0030173B" w:rsidRPr="00F5686B" w:rsidRDefault="0009769B">
      <w:pPr>
        <w:rPr>
          <w:rFonts w:ascii="Arial" w:hAnsi="Arial" w:cs="Arial"/>
        </w:rPr>
      </w:pPr>
      <w:r w:rsidRPr="00F5686B">
        <w:rPr>
          <w:rFonts w:ascii="Arial" w:hAnsi="Arial" w:cs="Arial"/>
        </w:rPr>
        <w:t>Source: Cooper R (2011)</w:t>
      </w:r>
      <w:r w:rsidR="0030173B" w:rsidRPr="00F5686B">
        <w:rPr>
          <w:rFonts w:ascii="Arial" w:hAnsi="Arial" w:cs="Arial"/>
        </w:rPr>
        <w:br w:type="page"/>
      </w:r>
    </w:p>
    <w:p w14:paraId="5ABE7B84" w14:textId="77777777" w:rsidR="0030173B" w:rsidRPr="00F5686B" w:rsidRDefault="0030173B" w:rsidP="003F69D6">
      <w:pPr>
        <w:rPr>
          <w:rFonts w:ascii="Arial" w:hAnsi="Arial" w:cs="Arial"/>
        </w:rPr>
      </w:pPr>
    </w:p>
    <w:p w14:paraId="7766DD1E" w14:textId="0B6962DD" w:rsidR="002049FE" w:rsidRDefault="002049FE" w:rsidP="002049FE">
      <w:pPr>
        <w:pStyle w:val="Heading2"/>
        <w:rPr>
          <w:rFonts w:ascii="Arial" w:hAnsi="Arial" w:cs="Arial"/>
        </w:rPr>
      </w:pPr>
      <w:bookmarkStart w:id="9" w:name="_Toc95177799"/>
      <w:r w:rsidRPr="00F5686B">
        <w:rPr>
          <w:rFonts w:ascii="Arial" w:hAnsi="Arial" w:cs="Arial"/>
        </w:rPr>
        <w:t>Appendix 2</w:t>
      </w:r>
      <w:r w:rsidR="0087754C">
        <w:rPr>
          <w:rFonts w:ascii="Arial" w:hAnsi="Arial" w:cs="Arial"/>
        </w:rPr>
        <w:t xml:space="preserve"> Open Innovation Model</w:t>
      </w:r>
      <w:bookmarkEnd w:id="9"/>
    </w:p>
    <w:p w14:paraId="37E3FD5F" w14:textId="407BE666" w:rsidR="00417DD2" w:rsidRDefault="00417DD2" w:rsidP="00417DD2"/>
    <w:p w14:paraId="6C42BC6E" w14:textId="3D9FD1B4" w:rsidR="00417DD2" w:rsidRDefault="00417DD2" w:rsidP="00417DD2">
      <w:r>
        <w:rPr>
          <w:noProof/>
        </w:rPr>
        <w:drawing>
          <wp:inline distT="0" distB="0" distL="0" distR="0" wp14:anchorId="2BBF592F" wp14:editId="2525FE77">
            <wp:extent cx="5715000" cy="2575517"/>
            <wp:effectExtent l="0" t="0" r="0" b="0"/>
            <wp:docPr id="4" name="Picture 4"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monitor, indoor&#10;&#10;Description automatically generated"/>
                    <pic:cNvPicPr/>
                  </pic:nvPicPr>
                  <pic:blipFill rotWithShape="1">
                    <a:blip r:embed="rId35"/>
                    <a:srcRect l="14423" t="18629" r="69801" b="71166"/>
                    <a:stretch/>
                  </pic:blipFill>
                  <pic:spPr bwMode="auto">
                    <a:xfrm>
                      <a:off x="0" y="0"/>
                      <a:ext cx="5715929" cy="2575936"/>
                    </a:xfrm>
                    <a:prstGeom prst="rect">
                      <a:avLst/>
                    </a:prstGeom>
                    <a:ln>
                      <a:noFill/>
                    </a:ln>
                    <a:extLst>
                      <a:ext uri="{53640926-AAD7-44D8-BBD7-CCE9431645EC}">
                        <a14:shadowObscured xmlns:a14="http://schemas.microsoft.com/office/drawing/2010/main"/>
                      </a:ext>
                    </a:extLst>
                  </pic:spPr>
                </pic:pic>
              </a:graphicData>
            </a:graphic>
          </wp:inline>
        </w:drawing>
      </w:r>
    </w:p>
    <w:p w14:paraId="373CC241" w14:textId="30F5059D" w:rsidR="0087754C" w:rsidRDefault="0087754C" w:rsidP="00417DD2"/>
    <w:p w14:paraId="42E5353F" w14:textId="6E388A3A" w:rsidR="0087754C" w:rsidRDefault="0087754C" w:rsidP="00417DD2"/>
    <w:p w14:paraId="0A1BB2D5" w14:textId="63A84E3F" w:rsidR="0087754C" w:rsidRDefault="0087754C" w:rsidP="00417DD2"/>
    <w:p w14:paraId="4ACEC1EB" w14:textId="78F237F3" w:rsidR="0087754C" w:rsidRDefault="0087754C" w:rsidP="00417DD2"/>
    <w:p w14:paraId="7F594E79" w14:textId="20247910" w:rsidR="0087754C" w:rsidRDefault="0087754C" w:rsidP="00417DD2"/>
    <w:p w14:paraId="32450D17" w14:textId="1E1400A0" w:rsidR="0087754C" w:rsidRDefault="0087754C" w:rsidP="00417DD2"/>
    <w:p w14:paraId="0068C8BB" w14:textId="4EE94FCD" w:rsidR="0087754C" w:rsidRDefault="0087754C" w:rsidP="00417DD2"/>
    <w:p w14:paraId="67A74935" w14:textId="4062CBE3" w:rsidR="0087754C" w:rsidRDefault="0087754C" w:rsidP="00417DD2">
      <w:r>
        <w:t>Source: Chesbrough 2012</w:t>
      </w:r>
    </w:p>
    <w:p w14:paraId="29349E81" w14:textId="62B188F0" w:rsidR="00ED72E6" w:rsidRDefault="00ED72E6" w:rsidP="00417DD2"/>
    <w:p w14:paraId="4FDF435E" w14:textId="4328415E" w:rsidR="00ED72E6" w:rsidRDefault="00ED72E6" w:rsidP="00417DD2"/>
    <w:p w14:paraId="7A609347" w14:textId="65FF0CB7" w:rsidR="00ED72E6" w:rsidRDefault="00ED72E6" w:rsidP="00417DD2"/>
    <w:p w14:paraId="0497C77D" w14:textId="4DCCB551" w:rsidR="00ED72E6" w:rsidRDefault="00ED72E6" w:rsidP="00417DD2"/>
    <w:p w14:paraId="4154B307" w14:textId="6964DBC6" w:rsidR="00ED72E6" w:rsidRDefault="00ED72E6" w:rsidP="00417DD2"/>
    <w:p w14:paraId="5D5018AA" w14:textId="64CF1483" w:rsidR="00ED72E6" w:rsidRDefault="00ED72E6" w:rsidP="00417DD2"/>
    <w:p w14:paraId="7752CEDC" w14:textId="3ED6D5FE" w:rsidR="00ED72E6" w:rsidRDefault="00ED72E6" w:rsidP="00417DD2"/>
    <w:p w14:paraId="52DC45B8" w14:textId="676B7284" w:rsidR="00ED72E6" w:rsidRDefault="00ED72E6" w:rsidP="00417DD2"/>
    <w:p w14:paraId="20152785" w14:textId="6699CC91" w:rsidR="00ED72E6" w:rsidRDefault="00ED72E6" w:rsidP="00417DD2"/>
    <w:p w14:paraId="3549B9CF" w14:textId="6869F996" w:rsidR="00ED72E6" w:rsidRDefault="00ED72E6" w:rsidP="00417DD2"/>
    <w:p w14:paraId="4498E2F5" w14:textId="3847A752" w:rsidR="00ED72E6" w:rsidRDefault="00ED72E6" w:rsidP="00417DD2"/>
    <w:p w14:paraId="2FEAD838" w14:textId="5F75B79B" w:rsidR="00ED72E6" w:rsidRDefault="00ED72E6" w:rsidP="00417DD2"/>
    <w:p w14:paraId="4211984A" w14:textId="380C26B3" w:rsidR="00ED72E6" w:rsidRDefault="00ED72E6" w:rsidP="00417DD2"/>
    <w:p w14:paraId="4535765F" w14:textId="2F0AF015" w:rsidR="00ED72E6" w:rsidRDefault="00ED72E6" w:rsidP="00417DD2"/>
    <w:p w14:paraId="51A919BD" w14:textId="5F4D45C5" w:rsidR="00ED72E6" w:rsidRDefault="00ED72E6" w:rsidP="00417DD2"/>
    <w:p w14:paraId="327A75CD" w14:textId="1F060E25" w:rsidR="00ED72E6" w:rsidRDefault="00ED72E6" w:rsidP="00417DD2"/>
    <w:p w14:paraId="46595EA8" w14:textId="6D913C3A" w:rsidR="00ED72E6" w:rsidRDefault="00ED72E6" w:rsidP="00417DD2"/>
    <w:p w14:paraId="77C07E2B" w14:textId="2EB536A0" w:rsidR="00ED72E6" w:rsidRDefault="00ED72E6" w:rsidP="00417DD2"/>
    <w:p w14:paraId="78FD6D77" w14:textId="009CDA57" w:rsidR="00ED72E6" w:rsidRDefault="00ED72E6" w:rsidP="00417DD2"/>
    <w:p w14:paraId="1C70DE26" w14:textId="31072788" w:rsidR="00ED72E6" w:rsidRDefault="00ED72E6" w:rsidP="00417DD2"/>
    <w:p w14:paraId="7A845592" w14:textId="41D3BD55" w:rsidR="00ED72E6" w:rsidRDefault="00ED72E6" w:rsidP="00417DD2"/>
    <w:p w14:paraId="73134EB3" w14:textId="46BF2DA6" w:rsidR="00ED72E6" w:rsidRDefault="00ED72E6" w:rsidP="00417DD2"/>
    <w:p w14:paraId="73BE9184" w14:textId="70E160FF" w:rsidR="00ED72E6" w:rsidRDefault="00ED72E6" w:rsidP="00417DD2"/>
    <w:p w14:paraId="3B91B963" w14:textId="601AEE0D" w:rsidR="00ED72E6" w:rsidRDefault="00ED72E6" w:rsidP="00ED72E6">
      <w:pPr>
        <w:pStyle w:val="Heading2"/>
        <w:rPr>
          <w:rFonts w:ascii="Arial" w:hAnsi="Arial" w:cs="Arial"/>
        </w:rPr>
      </w:pPr>
      <w:bookmarkStart w:id="10" w:name="_Toc95177800"/>
      <w:r w:rsidRPr="00F5686B">
        <w:rPr>
          <w:rFonts w:ascii="Arial" w:hAnsi="Arial" w:cs="Arial"/>
        </w:rPr>
        <w:t xml:space="preserve">Appendix </w:t>
      </w:r>
      <w:r>
        <w:rPr>
          <w:rFonts w:ascii="Arial" w:hAnsi="Arial" w:cs="Arial"/>
        </w:rPr>
        <w:t>3 Ideas Dashboard</w:t>
      </w:r>
      <w:bookmarkEnd w:id="10"/>
    </w:p>
    <w:p w14:paraId="6081E2A1" w14:textId="77777777" w:rsidR="00ED72E6" w:rsidRDefault="00ED72E6" w:rsidP="00ED72E6"/>
    <w:p w14:paraId="71E02841" w14:textId="70E1B49C" w:rsidR="00ED72E6" w:rsidRDefault="00ED72E6" w:rsidP="00ED72E6">
      <w:r>
        <w:rPr>
          <w:noProof/>
        </w:rPr>
        <w:drawing>
          <wp:inline distT="0" distB="0" distL="0" distR="0" wp14:anchorId="1DDABD16" wp14:editId="535B3542">
            <wp:extent cx="5943600" cy="2821940"/>
            <wp:effectExtent l="0" t="0" r="0" b="0"/>
            <wp:docPr id="6" name="Picture 6"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email&#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2821940"/>
                    </a:xfrm>
                    <a:prstGeom prst="rect">
                      <a:avLst/>
                    </a:prstGeom>
                  </pic:spPr>
                </pic:pic>
              </a:graphicData>
            </a:graphic>
          </wp:inline>
        </w:drawing>
      </w:r>
    </w:p>
    <w:p w14:paraId="3F7549CA" w14:textId="77777777" w:rsidR="00ED72E6" w:rsidRDefault="00ED72E6" w:rsidP="00ED72E6"/>
    <w:p w14:paraId="119C8DBF" w14:textId="77777777" w:rsidR="00ED72E6" w:rsidRDefault="00ED72E6" w:rsidP="00ED72E6"/>
    <w:p w14:paraId="3DF6972D" w14:textId="77777777" w:rsidR="00ED72E6" w:rsidRDefault="00ED72E6" w:rsidP="00ED72E6"/>
    <w:p w14:paraId="38127B6E" w14:textId="77777777" w:rsidR="00ED72E6" w:rsidRDefault="00ED72E6" w:rsidP="00ED72E6"/>
    <w:p w14:paraId="3815FBE2" w14:textId="77777777" w:rsidR="00ED72E6" w:rsidRDefault="00ED72E6" w:rsidP="00ED72E6"/>
    <w:p w14:paraId="3E6CED89" w14:textId="77777777" w:rsidR="00ED72E6" w:rsidRDefault="00ED72E6" w:rsidP="00ED72E6"/>
    <w:p w14:paraId="73E171D7" w14:textId="77777777" w:rsidR="00ED72E6" w:rsidRDefault="00ED72E6" w:rsidP="00ED72E6"/>
    <w:p w14:paraId="2AD9337A" w14:textId="2F372CB2" w:rsidR="00ED72E6" w:rsidRDefault="00ED72E6" w:rsidP="00ED72E6">
      <w:r>
        <w:t xml:space="preserve">Source: </w:t>
      </w:r>
      <w:hyperlink r:id="rId37" w:history="1">
        <w:r w:rsidRPr="0039789D">
          <w:rPr>
            <w:rStyle w:val="Hyperlink"/>
          </w:rPr>
          <w:t>https://def-ideas.wazoku.com/dashboard</w:t>
        </w:r>
      </w:hyperlink>
      <w:r>
        <w:t xml:space="preserve"> </w:t>
      </w:r>
    </w:p>
    <w:p w14:paraId="69989839" w14:textId="77777777" w:rsidR="00ED72E6" w:rsidRDefault="00ED72E6" w:rsidP="00ED72E6"/>
    <w:p w14:paraId="1E14B8CC" w14:textId="77777777" w:rsidR="00ED72E6" w:rsidRDefault="00ED72E6" w:rsidP="00ED72E6"/>
    <w:p w14:paraId="1C0227C7" w14:textId="77777777" w:rsidR="00ED72E6" w:rsidRDefault="00ED72E6" w:rsidP="00ED72E6"/>
    <w:p w14:paraId="19BCC394" w14:textId="77777777" w:rsidR="00ED72E6" w:rsidRDefault="00ED72E6" w:rsidP="00ED72E6"/>
    <w:p w14:paraId="79A7C6C6" w14:textId="77777777" w:rsidR="00ED72E6" w:rsidRDefault="00ED72E6" w:rsidP="00ED72E6"/>
    <w:p w14:paraId="34819B1B" w14:textId="77777777" w:rsidR="00ED72E6" w:rsidRDefault="00ED72E6" w:rsidP="00ED72E6"/>
    <w:p w14:paraId="6B283A57" w14:textId="77777777" w:rsidR="00ED72E6" w:rsidRDefault="00ED72E6" w:rsidP="00ED72E6"/>
    <w:p w14:paraId="01530C27" w14:textId="77777777" w:rsidR="00ED72E6" w:rsidRDefault="00ED72E6" w:rsidP="00ED72E6"/>
    <w:p w14:paraId="6A05E10C" w14:textId="77777777" w:rsidR="00ED72E6" w:rsidRDefault="00ED72E6" w:rsidP="00ED72E6"/>
    <w:p w14:paraId="7E9781FE" w14:textId="77777777" w:rsidR="00ED72E6" w:rsidRDefault="00ED72E6" w:rsidP="00ED72E6"/>
    <w:p w14:paraId="1562E383" w14:textId="77777777" w:rsidR="00ED72E6" w:rsidRDefault="00ED72E6" w:rsidP="00ED72E6"/>
    <w:p w14:paraId="0DBEE459" w14:textId="77777777" w:rsidR="00ED72E6" w:rsidRDefault="00ED72E6" w:rsidP="00ED72E6"/>
    <w:p w14:paraId="6F4ACFF2" w14:textId="77777777" w:rsidR="00ED72E6" w:rsidRDefault="00ED72E6" w:rsidP="00ED72E6"/>
    <w:p w14:paraId="241857CC" w14:textId="77777777" w:rsidR="00ED72E6" w:rsidRDefault="00ED72E6" w:rsidP="00ED72E6"/>
    <w:p w14:paraId="54ED01B4" w14:textId="77777777" w:rsidR="00ED72E6" w:rsidRDefault="00ED72E6" w:rsidP="00ED72E6"/>
    <w:p w14:paraId="23673301" w14:textId="77777777" w:rsidR="00ED72E6" w:rsidRDefault="00ED72E6" w:rsidP="00ED72E6"/>
    <w:p w14:paraId="491C7452" w14:textId="77777777" w:rsidR="00ED72E6" w:rsidRDefault="00ED72E6" w:rsidP="00ED72E6"/>
    <w:p w14:paraId="63A74827" w14:textId="77777777" w:rsidR="00ED72E6" w:rsidRDefault="00ED72E6" w:rsidP="00ED72E6"/>
    <w:p w14:paraId="11531425" w14:textId="77777777" w:rsidR="00ED72E6" w:rsidRPr="00417DD2" w:rsidRDefault="00ED72E6" w:rsidP="00417DD2"/>
    <w:sectPr w:rsidR="00ED72E6" w:rsidRPr="00417DD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5E76E11"/>
    <w:multiLevelType w:val="multilevel"/>
    <w:tmpl w:val="BED81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F611CC"/>
    <w:multiLevelType w:val="multilevel"/>
    <w:tmpl w:val="E1BE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F528C2"/>
    <w:multiLevelType w:val="hybridMultilevel"/>
    <w:tmpl w:val="FF5E5084"/>
    <w:lvl w:ilvl="0" w:tplc="0809000F">
      <w:start w:val="1"/>
      <w:numFmt w:val="decimal"/>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09F26C4"/>
    <w:multiLevelType w:val="multilevel"/>
    <w:tmpl w:val="C8C2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CCC18EA"/>
    <w:multiLevelType w:val="multilevel"/>
    <w:tmpl w:val="137CF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EF3FC8"/>
    <w:multiLevelType w:val="hybridMultilevel"/>
    <w:tmpl w:val="13BA2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5"/>
  </w:num>
  <w:num w:numId="3">
    <w:abstractNumId w:val="4"/>
  </w:num>
  <w:num w:numId="4">
    <w:abstractNumId w:val="10"/>
  </w:num>
  <w:num w:numId="5">
    <w:abstractNumId w:val="1"/>
  </w:num>
  <w:num w:numId="6">
    <w:abstractNumId w:val="5"/>
  </w:num>
  <w:num w:numId="7">
    <w:abstractNumId w:val="0"/>
  </w:num>
  <w:num w:numId="8">
    <w:abstractNumId w:val="17"/>
  </w:num>
  <w:num w:numId="9">
    <w:abstractNumId w:val="9"/>
  </w:num>
  <w:num w:numId="10">
    <w:abstractNumId w:val="16"/>
  </w:num>
  <w:num w:numId="11">
    <w:abstractNumId w:val="12"/>
  </w:num>
  <w:num w:numId="12">
    <w:abstractNumId w:val="3"/>
  </w:num>
  <w:num w:numId="13">
    <w:abstractNumId w:val="7"/>
  </w:num>
  <w:num w:numId="14">
    <w:abstractNumId w:val="11"/>
  </w:num>
  <w:num w:numId="15">
    <w:abstractNumId w:val="13"/>
  </w:num>
  <w:num w:numId="16">
    <w:abstractNumId w:val="2"/>
  </w:num>
  <w:num w:numId="17">
    <w:abstractNumId w:val="1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11F4A"/>
    <w:rsid w:val="00012ECB"/>
    <w:rsid w:val="00013FCF"/>
    <w:rsid w:val="00016992"/>
    <w:rsid w:val="000178FF"/>
    <w:rsid w:val="0002008D"/>
    <w:rsid w:val="00021144"/>
    <w:rsid w:val="00044658"/>
    <w:rsid w:val="00045C47"/>
    <w:rsid w:val="000559B9"/>
    <w:rsid w:val="000578CE"/>
    <w:rsid w:val="0006008A"/>
    <w:rsid w:val="0006079A"/>
    <w:rsid w:val="0006096C"/>
    <w:rsid w:val="0006489E"/>
    <w:rsid w:val="00065E82"/>
    <w:rsid w:val="00073CE2"/>
    <w:rsid w:val="0007636D"/>
    <w:rsid w:val="00085AC1"/>
    <w:rsid w:val="0009769B"/>
    <w:rsid w:val="000A116D"/>
    <w:rsid w:val="000A2B5C"/>
    <w:rsid w:val="000A584B"/>
    <w:rsid w:val="000A61C9"/>
    <w:rsid w:val="000B2575"/>
    <w:rsid w:val="000B6126"/>
    <w:rsid w:val="000C1DBB"/>
    <w:rsid w:val="000C504C"/>
    <w:rsid w:val="000C5E1B"/>
    <w:rsid w:val="000C635E"/>
    <w:rsid w:val="000C6B14"/>
    <w:rsid w:val="000D04B0"/>
    <w:rsid w:val="000D2086"/>
    <w:rsid w:val="000D32C3"/>
    <w:rsid w:val="000D48A5"/>
    <w:rsid w:val="000E6306"/>
    <w:rsid w:val="000F6ECF"/>
    <w:rsid w:val="00104A8D"/>
    <w:rsid w:val="001057A5"/>
    <w:rsid w:val="001076A1"/>
    <w:rsid w:val="00110B2C"/>
    <w:rsid w:val="001130F2"/>
    <w:rsid w:val="00114D98"/>
    <w:rsid w:val="00116437"/>
    <w:rsid w:val="001172E7"/>
    <w:rsid w:val="0012225A"/>
    <w:rsid w:val="001230D2"/>
    <w:rsid w:val="00123A1C"/>
    <w:rsid w:val="00124813"/>
    <w:rsid w:val="0013731F"/>
    <w:rsid w:val="00144F44"/>
    <w:rsid w:val="0015027C"/>
    <w:rsid w:val="00151AE2"/>
    <w:rsid w:val="00165652"/>
    <w:rsid w:val="00171842"/>
    <w:rsid w:val="00180F9D"/>
    <w:rsid w:val="00181B88"/>
    <w:rsid w:val="00181CB4"/>
    <w:rsid w:val="0018281C"/>
    <w:rsid w:val="0018284E"/>
    <w:rsid w:val="001828EE"/>
    <w:rsid w:val="001836B1"/>
    <w:rsid w:val="00183B78"/>
    <w:rsid w:val="00184081"/>
    <w:rsid w:val="00196EB3"/>
    <w:rsid w:val="00197AB3"/>
    <w:rsid w:val="001B410C"/>
    <w:rsid w:val="001C2762"/>
    <w:rsid w:val="001D257C"/>
    <w:rsid w:val="001E4F28"/>
    <w:rsid w:val="001E7ED8"/>
    <w:rsid w:val="001F4FF7"/>
    <w:rsid w:val="001F5437"/>
    <w:rsid w:val="002049FE"/>
    <w:rsid w:val="0021380A"/>
    <w:rsid w:val="00213BB8"/>
    <w:rsid w:val="002179A2"/>
    <w:rsid w:val="00222943"/>
    <w:rsid w:val="0022576C"/>
    <w:rsid w:val="002315E0"/>
    <w:rsid w:val="00234816"/>
    <w:rsid w:val="002357A2"/>
    <w:rsid w:val="00236AF5"/>
    <w:rsid w:val="0024454A"/>
    <w:rsid w:val="002454CC"/>
    <w:rsid w:val="00252E68"/>
    <w:rsid w:val="00253BB1"/>
    <w:rsid w:val="00253E03"/>
    <w:rsid w:val="00255FC4"/>
    <w:rsid w:val="00257E8A"/>
    <w:rsid w:val="002612FA"/>
    <w:rsid w:val="002662A9"/>
    <w:rsid w:val="002717FC"/>
    <w:rsid w:val="00273B84"/>
    <w:rsid w:val="00276A31"/>
    <w:rsid w:val="00280358"/>
    <w:rsid w:val="00284720"/>
    <w:rsid w:val="00284BA4"/>
    <w:rsid w:val="00285D09"/>
    <w:rsid w:val="00296FAF"/>
    <w:rsid w:val="002A034A"/>
    <w:rsid w:val="002A58C1"/>
    <w:rsid w:val="002A61E7"/>
    <w:rsid w:val="002A6AEF"/>
    <w:rsid w:val="002B64CD"/>
    <w:rsid w:val="002B66B9"/>
    <w:rsid w:val="002B7854"/>
    <w:rsid w:val="002C4CAC"/>
    <w:rsid w:val="002D19AB"/>
    <w:rsid w:val="002D1B30"/>
    <w:rsid w:val="002E0361"/>
    <w:rsid w:val="002E26B6"/>
    <w:rsid w:val="002F7590"/>
    <w:rsid w:val="00300749"/>
    <w:rsid w:val="0030173B"/>
    <w:rsid w:val="0030202B"/>
    <w:rsid w:val="00304D55"/>
    <w:rsid w:val="00307740"/>
    <w:rsid w:val="00307ACA"/>
    <w:rsid w:val="00311F15"/>
    <w:rsid w:val="00322C2E"/>
    <w:rsid w:val="0032350E"/>
    <w:rsid w:val="00331B7F"/>
    <w:rsid w:val="00331F74"/>
    <w:rsid w:val="00345D79"/>
    <w:rsid w:val="003465AB"/>
    <w:rsid w:val="00352025"/>
    <w:rsid w:val="00367C35"/>
    <w:rsid w:val="00370064"/>
    <w:rsid w:val="00372BA5"/>
    <w:rsid w:val="003777D0"/>
    <w:rsid w:val="003860FB"/>
    <w:rsid w:val="00391011"/>
    <w:rsid w:val="003916A8"/>
    <w:rsid w:val="00394CC3"/>
    <w:rsid w:val="003951F3"/>
    <w:rsid w:val="003A2D1A"/>
    <w:rsid w:val="003B292C"/>
    <w:rsid w:val="003B2988"/>
    <w:rsid w:val="003B602D"/>
    <w:rsid w:val="003B6354"/>
    <w:rsid w:val="003C3B33"/>
    <w:rsid w:val="003C3D26"/>
    <w:rsid w:val="003C4A80"/>
    <w:rsid w:val="003C5E88"/>
    <w:rsid w:val="003C7A7D"/>
    <w:rsid w:val="003D166F"/>
    <w:rsid w:val="003D34E8"/>
    <w:rsid w:val="003E178F"/>
    <w:rsid w:val="003E1D1C"/>
    <w:rsid w:val="003E248A"/>
    <w:rsid w:val="003E3E93"/>
    <w:rsid w:val="003E7B6B"/>
    <w:rsid w:val="003F64EA"/>
    <w:rsid w:val="003F69D6"/>
    <w:rsid w:val="003F6F3F"/>
    <w:rsid w:val="0040017E"/>
    <w:rsid w:val="00401405"/>
    <w:rsid w:val="004037DC"/>
    <w:rsid w:val="00405076"/>
    <w:rsid w:val="004122E7"/>
    <w:rsid w:val="00416193"/>
    <w:rsid w:val="00417DD2"/>
    <w:rsid w:val="0043560D"/>
    <w:rsid w:val="00435EBC"/>
    <w:rsid w:val="00436125"/>
    <w:rsid w:val="00451777"/>
    <w:rsid w:val="004522B4"/>
    <w:rsid w:val="00455C33"/>
    <w:rsid w:val="0046229B"/>
    <w:rsid w:val="00470C01"/>
    <w:rsid w:val="00472A79"/>
    <w:rsid w:val="004737E8"/>
    <w:rsid w:val="0047554A"/>
    <w:rsid w:val="00477F5B"/>
    <w:rsid w:val="00481CB5"/>
    <w:rsid w:val="0048345C"/>
    <w:rsid w:val="0049132D"/>
    <w:rsid w:val="00494881"/>
    <w:rsid w:val="00497EB1"/>
    <w:rsid w:val="004A1E3E"/>
    <w:rsid w:val="004A2043"/>
    <w:rsid w:val="004E3D2B"/>
    <w:rsid w:val="004E4053"/>
    <w:rsid w:val="004E654A"/>
    <w:rsid w:val="004F03CD"/>
    <w:rsid w:val="004F199E"/>
    <w:rsid w:val="004F2722"/>
    <w:rsid w:val="004F73A3"/>
    <w:rsid w:val="0051013F"/>
    <w:rsid w:val="00513050"/>
    <w:rsid w:val="00517B9D"/>
    <w:rsid w:val="005225BF"/>
    <w:rsid w:val="00523E4C"/>
    <w:rsid w:val="0053140D"/>
    <w:rsid w:val="00532FB3"/>
    <w:rsid w:val="0053440E"/>
    <w:rsid w:val="0053465A"/>
    <w:rsid w:val="00535FE7"/>
    <w:rsid w:val="0055370E"/>
    <w:rsid w:val="005566D5"/>
    <w:rsid w:val="00557A96"/>
    <w:rsid w:val="0056093A"/>
    <w:rsid w:val="005626A0"/>
    <w:rsid w:val="005769AE"/>
    <w:rsid w:val="00581866"/>
    <w:rsid w:val="00586056"/>
    <w:rsid w:val="0058698B"/>
    <w:rsid w:val="00586C41"/>
    <w:rsid w:val="0059562E"/>
    <w:rsid w:val="00595D95"/>
    <w:rsid w:val="005964F8"/>
    <w:rsid w:val="00597BC0"/>
    <w:rsid w:val="005A1974"/>
    <w:rsid w:val="005A5F55"/>
    <w:rsid w:val="005C3E93"/>
    <w:rsid w:val="005C634E"/>
    <w:rsid w:val="005C78D3"/>
    <w:rsid w:val="005D1F3B"/>
    <w:rsid w:val="005D5579"/>
    <w:rsid w:val="005E18E8"/>
    <w:rsid w:val="005F06F2"/>
    <w:rsid w:val="005F11B2"/>
    <w:rsid w:val="00611DD5"/>
    <w:rsid w:val="00613BF8"/>
    <w:rsid w:val="00613CAB"/>
    <w:rsid w:val="0061651E"/>
    <w:rsid w:val="00621F83"/>
    <w:rsid w:val="00623F1B"/>
    <w:rsid w:val="0062657F"/>
    <w:rsid w:val="00634AE8"/>
    <w:rsid w:val="006444D4"/>
    <w:rsid w:val="00653EC1"/>
    <w:rsid w:val="006542C1"/>
    <w:rsid w:val="00654C5B"/>
    <w:rsid w:val="0066131F"/>
    <w:rsid w:val="006618FB"/>
    <w:rsid w:val="00664FE7"/>
    <w:rsid w:val="00670824"/>
    <w:rsid w:val="00670D2E"/>
    <w:rsid w:val="00671CBC"/>
    <w:rsid w:val="00675D6D"/>
    <w:rsid w:val="006773FF"/>
    <w:rsid w:val="0068330B"/>
    <w:rsid w:val="00687F0F"/>
    <w:rsid w:val="00691ABE"/>
    <w:rsid w:val="0069331D"/>
    <w:rsid w:val="00696921"/>
    <w:rsid w:val="006A1E0A"/>
    <w:rsid w:val="006A3344"/>
    <w:rsid w:val="006B082F"/>
    <w:rsid w:val="006B1C17"/>
    <w:rsid w:val="006B2157"/>
    <w:rsid w:val="006D22AB"/>
    <w:rsid w:val="00700FEA"/>
    <w:rsid w:val="007074D6"/>
    <w:rsid w:val="00715A8B"/>
    <w:rsid w:val="00715D30"/>
    <w:rsid w:val="007221CC"/>
    <w:rsid w:val="0072669E"/>
    <w:rsid w:val="0073148C"/>
    <w:rsid w:val="00734810"/>
    <w:rsid w:val="0073646A"/>
    <w:rsid w:val="00740421"/>
    <w:rsid w:val="00742577"/>
    <w:rsid w:val="0075131B"/>
    <w:rsid w:val="007513B1"/>
    <w:rsid w:val="00756A0A"/>
    <w:rsid w:val="00757330"/>
    <w:rsid w:val="00760922"/>
    <w:rsid w:val="00763371"/>
    <w:rsid w:val="00767753"/>
    <w:rsid w:val="00774F69"/>
    <w:rsid w:val="00786368"/>
    <w:rsid w:val="007A0F0B"/>
    <w:rsid w:val="007A3713"/>
    <w:rsid w:val="007A7DB8"/>
    <w:rsid w:val="007B25EB"/>
    <w:rsid w:val="007C3978"/>
    <w:rsid w:val="007D1A87"/>
    <w:rsid w:val="007D55C5"/>
    <w:rsid w:val="007D6EFA"/>
    <w:rsid w:val="007E1335"/>
    <w:rsid w:val="007E4DF9"/>
    <w:rsid w:val="007E58AD"/>
    <w:rsid w:val="007E734B"/>
    <w:rsid w:val="007E7869"/>
    <w:rsid w:val="007F15AB"/>
    <w:rsid w:val="007F6D91"/>
    <w:rsid w:val="008138EC"/>
    <w:rsid w:val="00814ADC"/>
    <w:rsid w:val="00825384"/>
    <w:rsid w:val="0083283F"/>
    <w:rsid w:val="008346D5"/>
    <w:rsid w:val="008538CA"/>
    <w:rsid w:val="00853E2D"/>
    <w:rsid w:val="00855DC6"/>
    <w:rsid w:val="00862843"/>
    <w:rsid w:val="00863180"/>
    <w:rsid w:val="00863CC8"/>
    <w:rsid w:val="008647B0"/>
    <w:rsid w:val="00874878"/>
    <w:rsid w:val="0087754C"/>
    <w:rsid w:val="00882426"/>
    <w:rsid w:val="00885114"/>
    <w:rsid w:val="008A0124"/>
    <w:rsid w:val="008A0502"/>
    <w:rsid w:val="008A1155"/>
    <w:rsid w:val="008A176C"/>
    <w:rsid w:val="008A2FBF"/>
    <w:rsid w:val="008B0EDA"/>
    <w:rsid w:val="008B498D"/>
    <w:rsid w:val="008C099C"/>
    <w:rsid w:val="008C0FB0"/>
    <w:rsid w:val="008C2930"/>
    <w:rsid w:val="008C5E14"/>
    <w:rsid w:val="008C7378"/>
    <w:rsid w:val="008E1018"/>
    <w:rsid w:val="008E29F3"/>
    <w:rsid w:val="008E5D8B"/>
    <w:rsid w:val="008E5F57"/>
    <w:rsid w:val="008E6327"/>
    <w:rsid w:val="008F2B5B"/>
    <w:rsid w:val="008F43B5"/>
    <w:rsid w:val="008F5C72"/>
    <w:rsid w:val="00907A69"/>
    <w:rsid w:val="0091641A"/>
    <w:rsid w:val="009331CF"/>
    <w:rsid w:val="009377DB"/>
    <w:rsid w:val="009500C3"/>
    <w:rsid w:val="00950C71"/>
    <w:rsid w:val="00951AC1"/>
    <w:rsid w:val="00955026"/>
    <w:rsid w:val="009556EE"/>
    <w:rsid w:val="00960D5A"/>
    <w:rsid w:val="00962110"/>
    <w:rsid w:val="00964534"/>
    <w:rsid w:val="00964538"/>
    <w:rsid w:val="0096596F"/>
    <w:rsid w:val="00974240"/>
    <w:rsid w:val="00993112"/>
    <w:rsid w:val="009C104A"/>
    <w:rsid w:val="009C55D2"/>
    <w:rsid w:val="009D0524"/>
    <w:rsid w:val="009D79E0"/>
    <w:rsid w:val="009E07CA"/>
    <w:rsid w:val="009F0A1B"/>
    <w:rsid w:val="009F12CC"/>
    <w:rsid w:val="009F1758"/>
    <w:rsid w:val="009F18DE"/>
    <w:rsid w:val="00A0021D"/>
    <w:rsid w:val="00A05A13"/>
    <w:rsid w:val="00A076BE"/>
    <w:rsid w:val="00A10AC4"/>
    <w:rsid w:val="00A30082"/>
    <w:rsid w:val="00A3282A"/>
    <w:rsid w:val="00A3402C"/>
    <w:rsid w:val="00A34547"/>
    <w:rsid w:val="00A3471E"/>
    <w:rsid w:val="00A37532"/>
    <w:rsid w:val="00A41019"/>
    <w:rsid w:val="00A4397C"/>
    <w:rsid w:val="00A43CC0"/>
    <w:rsid w:val="00A45277"/>
    <w:rsid w:val="00A51F56"/>
    <w:rsid w:val="00A56967"/>
    <w:rsid w:val="00A56CC4"/>
    <w:rsid w:val="00A652FD"/>
    <w:rsid w:val="00A816A6"/>
    <w:rsid w:val="00A8493D"/>
    <w:rsid w:val="00A852A4"/>
    <w:rsid w:val="00A8532E"/>
    <w:rsid w:val="00A90A1F"/>
    <w:rsid w:val="00A91384"/>
    <w:rsid w:val="00A92862"/>
    <w:rsid w:val="00A930CB"/>
    <w:rsid w:val="00A976D8"/>
    <w:rsid w:val="00AA6ECD"/>
    <w:rsid w:val="00AB284D"/>
    <w:rsid w:val="00AB4149"/>
    <w:rsid w:val="00AD3630"/>
    <w:rsid w:val="00AD6848"/>
    <w:rsid w:val="00AE1153"/>
    <w:rsid w:val="00AE4CAC"/>
    <w:rsid w:val="00AE79EE"/>
    <w:rsid w:val="00B01C6F"/>
    <w:rsid w:val="00B02818"/>
    <w:rsid w:val="00B220CB"/>
    <w:rsid w:val="00B26C7E"/>
    <w:rsid w:val="00B32BA5"/>
    <w:rsid w:val="00B41A5A"/>
    <w:rsid w:val="00B5019F"/>
    <w:rsid w:val="00B509AA"/>
    <w:rsid w:val="00B51F6C"/>
    <w:rsid w:val="00B52EA9"/>
    <w:rsid w:val="00B5369E"/>
    <w:rsid w:val="00B6475F"/>
    <w:rsid w:val="00B65249"/>
    <w:rsid w:val="00B65F19"/>
    <w:rsid w:val="00B744E6"/>
    <w:rsid w:val="00B81B8B"/>
    <w:rsid w:val="00B8201A"/>
    <w:rsid w:val="00B946C1"/>
    <w:rsid w:val="00BA02B3"/>
    <w:rsid w:val="00BA7305"/>
    <w:rsid w:val="00BB07BE"/>
    <w:rsid w:val="00BB165B"/>
    <w:rsid w:val="00BB18AF"/>
    <w:rsid w:val="00BB21B3"/>
    <w:rsid w:val="00BB2810"/>
    <w:rsid w:val="00BB7AD7"/>
    <w:rsid w:val="00BC1366"/>
    <w:rsid w:val="00BC6656"/>
    <w:rsid w:val="00BC7231"/>
    <w:rsid w:val="00BD1C12"/>
    <w:rsid w:val="00BD3AA5"/>
    <w:rsid w:val="00BD6139"/>
    <w:rsid w:val="00BE39DA"/>
    <w:rsid w:val="00BF2C08"/>
    <w:rsid w:val="00BF4BA1"/>
    <w:rsid w:val="00C00500"/>
    <w:rsid w:val="00C05EB9"/>
    <w:rsid w:val="00C12967"/>
    <w:rsid w:val="00C12CD3"/>
    <w:rsid w:val="00C202D6"/>
    <w:rsid w:val="00C20311"/>
    <w:rsid w:val="00C21214"/>
    <w:rsid w:val="00C30264"/>
    <w:rsid w:val="00C3261E"/>
    <w:rsid w:val="00C34303"/>
    <w:rsid w:val="00C36A1C"/>
    <w:rsid w:val="00C45B09"/>
    <w:rsid w:val="00C53B1A"/>
    <w:rsid w:val="00C53D27"/>
    <w:rsid w:val="00C640ED"/>
    <w:rsid w:val="00C72A0C"/>
    <w:rsid w:val="00C74EB7"/>
    <w:rsid w:val="00C752D0"/>
    <w:rsid w:val="00C80AF8"/>
    <w:rsid w:val="00C82796"/>
    <w:rsid w:val="00C8688B"/>
    <w:rsid w:val="00C9277F"/>
    <w:rsid w:val="00C94691"/>
    <w:rsid w:val="00CA6232"/>
    <w:rsid w:val="00CB4AB0"/>
    <w:rsid w:val="00CC3A7D"/>
    <w:rsid w:val="00CC6920"/>
    <w:rsid w:val="00CD0E8E"/>
    <w:rsid w:val="00CD46B6"/>
    <w:rsid w:val="00CD4E28"/>
    <w:rsid w:val="00CD6DD6"/>
    <w:rsid w:val="00CD79D7"/>
    <w:rsid w:val="00CE32F0"/>
    <w:rsid w:val="00CF5EE6"/>
    <w:rsid w:val="00CF644C"/>
    <w:rsid w:val="00CF7588"/>
    <w:rsid w:val="00CF7729"/>
    <w:rsid w:val="00D01FF9"/>
    <w:rsid w:val="00D03299"/>
    <w:rsid w:val="00D06E1C"/>
    <w:rsid w:val="00D15FF5"/>
    <w:rsid w:val="00D2291D"/>
    <w:rsid w:val="00D229CF"/>
    <w:rsid w:val="00D31177"/>
    <w:rsid w:val="00D450BB"/>
    <w:rsid w:val="00D46E49"/>
    <w:rsid w:val="00D4774E"/>
    <w:rsid w:val="00D500BA"/>
    <w:rsid w:val="00D62B28"/>
    <w:rsid w:val="00D67E1F"/>
    <w:rsid w:val="00D70DB9"/>
    <w:rsid w:val="00D83D32"/>
    <w:rsid w:val="00D8416F"/>
    <w:rsid w:val="00D92486"/>
    <w:rsid w:val="00DA1456"/>
    <w:rsid w:val="00DA3853"/>
    <w:rsid w:val="00DA75A8"/>
    <w:rsid w:val="00DB15ED"/>
    <w:rsid w:val="00DB1B97"/>
    <w:rsid w:val="00DB471F"/>
    <w:rsid w:val="00DB62E1"/>
    <w:rsid w:val="00DC0213"/>
    <w:rsid w:val="00DD3304"/>
    <w:rsid w:val="00DD4935"/>
    <w:rsid w:val="00DE0109"/>
    <w:rsid w:val="00DF157D"/>
    <w:rsid w:val="00DF21D0"/>
    <w:rsid w:val="00E0265D"/>
    <w:rsid w:val="00E03035"/>
    <w:rsid w:val="00E0576A"/>
    <w:rsid w:val="00E1483A"/>
    <w:rsid w:val="00E15ACB"/>
    <w:rsid w:val="00E21FB9"/>
    <w:rsid w:val="00E24560"/>
    <w:rsid w:val="00E42F34"/>
    <w:rsid w:val="00E46738"/>
    <w:rsid w:val="00E62E37"/>
    <w:rsid w:val="00E642D3"/>
    <w:rsid w:val="00E750E6"/>
    <w:rsid w:val="00E763A9"/>
    <w:rsid w:val="00E8024C"/>
    <w:rsid w:val="00E816AF"/>
    <w:rsid w:val="00E82EAC"/>
    <w:rsid w:val="00E86B6B"/>
    <w:rsid w:val="00E871AC"/>
    <w:rsid w:val="00E9251E"/>
    <w:rsid w:val="00E9394F"/>
    <w:rsid w:val="00EA547D"/>
    <w:rsid w:val="00EA64F1"/>
    <w:rsid w:val="00EB1FDF"/>
    <w:rsid w:val="00EB2C74"/>
    <w:rsid w:val="00EB6049"/>
    <w:rsid w:val="00EC0C70"/>
    <w:rsid w:val="00EC64A7"/>
    <w:rsid w:val="00EC674C"/>
    <w:rsid w:val="00ED1B34"/>
    <w:rsid w:val="00ED4E1C"/>
    <w:rsid w:val="00ED5F35"/>
    <w:rsid w:val="00ED615B"/>
    <w:rsid w:val="00ED72E6"/>
    <w:rsid w:val="00EE3350"/>
    <w:rsid w:val="00EE57CF"/>
    <w:rsid w:val="00EE57DD"/>
    <w:rsid w:val="00EF04C5"/>
    <w:rsid w:val="00EF18ED"/>
    <w:rsid w:val="00EF3ED4"/>
    <w:rsid w:val="00F06482"/>
    <w:rsid w:val="00F1125F"/>
    <w:rsid w:val="00F17F67"/>
    <w:rsid w:val="00F20F6D"/>
    <w:rsid w:val="00F21ECF"/>
    <w:rsid w:val="00F334D8"/>
    <w:rsid w:val="00F44BF4"/>
    <w:rsid w:val="00F53EF8"/>
    <w:rsid w:val="00F55648"/>
    <w:rsid w:val="00F5686B"/>
    <w:rsid w:val="00F57B80"/>
    <w:rsid w:val="00F647B2"/>
    <w:rsid w:val="00F75D71"/>
    <w:rsid w:val="00F87DAF"/>
    <w:rsid w:val="00F91B40"/>
    <w:rsid w:val="00F926A6"/>
    <w:rsid w:val="00F95C32"/>
    <w:rsid w:val="00FA35BD"/>
    <w:rsid w:val="00FA3DD1"/>
    <w:rsid w:val="00FA3F78"/>
    <w:rsid w:val="00FA593C"/>
    <w:rsid w:val="00FB42C7"/>
    <w:rsid w:val="00FC4F27"/>
    <w:rsid w:val="00FC5D63"/>
    <w:rsid w:val="00FC5EE9"/>
    <w:rsid w:val="00FC72B5"/>
    <w:rsid w:val="00FD5D52"/>
    <w:rsid w:val="00FE5747"/>
    <w:rsid w:val="00FE63E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CFFFF162-9DE3-45EE-AF87-71FD31BD7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05EB9"/>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4Char">
    <w:name w:val="Heading 4 Char"/>
    <w:basedOn w:val="DefaultParagraphFont"/>
    <w:link w:val="Heading4"/>
    <w:uiPriority w:val="9"/>
    <w:semiHidden/>
    <w:rsid w:val="00C05EB9"/>
    <w:rPr>
      <w:rFonts w:asciiTheme="majorHAnsi" w:eastAsiaTheme="majorEastAsia" w:hAnsiTheme="majorHAnsi" w:cstheme="majorBidi"/>
      <w:i/>
      <w:iCs/>
      <w:color w:val="2E74B5" w:themeColor="accent1" w:themeShade="BF"/>
    </w:rPr>
  </w:style>
  <w:style w:type="character" w:customStyle="1" w:styleId="advancedproofingissue">
    <w:name w:val="advancedproofingissue"/>
    <w:basedOn w:val="DefaultParagraphFont"/>
    <w:rsid w:val="00497EB1"/>
  </w:style>
  <w:style w:type="character" w:styleId="UnresolvedMention">
    <w:name w:val="Unresolved Mention"/>
    <w:basedOn w:val="DefaultParagraphFont"/>
    <w:uiPriority w:val="99"/>
    <w:semiHidden/>
    <w:unhideWhenUsed/>
    <w:rsid w:val="00AB284D"/>
    <w:rPr>
      <w:color w:val="605E5C"/>
      <w:shd w:val="clear" w:color="auto" w:fill="E1DFDD"/>
    </w:rPr>
  </w:style>
  <w:style w:type="character" w:styleId="Strong">
    <w:name w:val="Strong"/>
    <w:basedOn w:val="DefaultParagraphFont"/>
    <w:uiPriority w:val="22"/>
    <w:qFormat/>
    <w:rsid w:val="008B0EDA"/>
    <w:rPr>
      <w:b/>
      <w:bCs/>
    </w:rPr>
  </w:style>
  <w:style w:type="paragraph" w:styleId="NormalWeb">
    <w:name w:val="Normal (Web)"/>
    <w:basedOn w:val="Normal"/>
    <w:uiPriority w:val="99"/>
    <w:semiHidden/>
    <w:unhideWhenUsed/>
    <w:rsid w:val="000D32C3"/>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B66B9"/>
    <w:rPr>
      <w:color w:val="954F72" w:themeColor="followedHyperlink"/>
      <w:u w:val="single"/>
    </w:rPr>
  </w:style>
  <w:style w:type="character" w:styleId="Emphasis">
    <w:name w:val="Emphasis"/>
    <w:basedOn w:val="DefaultParagraphFont"/>
    <w:uiPriority w:val="20"/>
    <w:qFormat/>
    <w:rsid w:val="003235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3462">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4806684">
      <w:bodyDiv w:val="1"/>
      <w:marLeft w:val="0"/>
      <w:marRight w:val="0"/>
      <w:marTop w:val="0"/>
      <w:marBottom w:val="0"/>
      <w:divBdr>
        <w:top w:val="none" w:sz="0" w:space="0" w:color="auto"/>
        <w:left w:val="none" w:sz="0" w:space="0" w:color="auto"/>
        <w:bottom w:val="none" w:sz="0" w:space="0" w:color="auto"/>
        <w:right w:val="none" w:sz="0" w:space="0" w:color="auto"/>
      </w:divBdr>
      <w:divsChild>
        <w:div w:id="85200807">
          <w:marLeft w:val="0"/>
          <w:marRight w:val="0"/>
          <w:marTop w:val="0"/>
          <w:marBottom w:val="0"/>
          <w:divBdr>
            <w:top w:val="none" w:sz="0" w:space="0" w:color="auto"/>
            <w:left w:val="none" w:sz="0" w:space="0" w:color="auto"/>
            <w:bottom w:val="none" w:sz="0" w:space="0" w:color="auto"/>
            <w:right w:val="none" w:sz="0" w:space="0" w:color="auto"/>
          </w:divBdr>
          <w:divsChild>
            <w:div w:id="1208647095">
              <w:marLeft w:val="0"/>
              <w:marRight w:val="0"/>
              <w:marTop w:val="0"/>
              <w:marBottom w:val="0"/>
              <w:divBdr>
                <w:top w:val="none" w:sz="0" w:space="0" w:color="auto"/>
                <w:left w:val="none" w:sz="0" w:space="0" w:color="auto"/>
                <w:bottom w:val="none" w:sz="0" w:space="0" w:color="auto"/>
                <w:right w:val="none" w:sz="0" w:space="0" w:color="auto"/>
              </w:divBdr>
            </w:div>
          </w:divsChild>
        </w:div>
        <w:div w:id="2088531310">
          <w:marLeft w:val="0"/>
          <w:marRight w:val="0"/>
          <w:marTop w:val="0"/>
          <w:marBottom w:val="0"/>
          <w:divBdr>
            <w:top w:val="none" w:sz="0" w:space="0" w:color="auto"/>
            <w:left w:val="none" w:sz="0" w:space="0" w:color="auto"/>
            <w:bottom w:val="none" w:sz="0" w:space="0" w:color="auto"/>
            <w:right w:val="none" w:sz="0" w:space="0" w:color="auto"/>
          </w:divBdr>
        </w:div>
      </w:divsChild>
    </w:div>
    <w:div w:id="881748169">
      <w:bodyDiv w:val="1"/>
      <w:marLeft w:val="0"/>
      <w:marRight w:val="0"/>
      <w:marTop w:val="0"/>
      <w:marBottom w:val="0"/>
      <w:divBdr>
        <w:top w:val="none" w:sz="0" w:space="0" w:color="auto"/>
        <w:left w:val="none" w:sz="0" w:space="0" w:color="auto"/>
        <w:bottom w:val="none" w:sz="0" w:space="0" w:color="auto"/>
        <w:right w:val="none" w:sz="0" w:space="0" w:color="auto"/>
      </w:divBdr>
    </w:div>
    <w:div w:id="1274746617">
      <w:bodyDiv w:val="1"/>
      <w:marLeft w:val="0"/>
      <w:marRight w:val="0"/>
      <w:marTop w:val="0"/>
      <w:marBottom w:val="0"/>
      <w:divBdr>
        <w:top w:val="none" w:sz="0" w:space="0" w:color="auto"/>
        <w:left w:val="none" w:sz="0" w:space="0" w:color="auto"/>
        <w:bottom w:val="none" w:sz="0" w:space="0" w:color="auto"/>
        <w:right w:val="none" w:sz="0" w:space="0" w:color="auto"/>
      </w:divBdr>
    </w:div>
    <w:div w:id="1289124536">
      <w:bodyDiv w:val="1"/>
      <w:marLeft w:val="0"/>
      <w:marRight w:val="0"/>
      <w:marTop w:val="0"/>
      <w:marBottom w:val="0"/>
      <w:divBdr>
        <w:top w:val="none" w:sz="0" w:space="0" w:color="auto"/>
        <w:left w:val="none" w:sz="0" w:space="0" w:color="auto"/>
        <w:bottom w:val="none" w:sz="0" w:space="0" w:color="auto"/>
        <w:right w:val="none" w:sz="0" w:space="0" w:color="auto"/>
      </w:divBdr>
    </w:div>
    <w:div w:id="1328172481">
      <w:bodyDiv w:val="1"/>
      <w:marLeft w:val="0"/>
      <w:marRight w:val="0"/>
      <w:marTop w:val="0"/>
      <w:marBottom w:val="0"/>
      <w:divBdr>
        <w:top w:val="none" w:sz="0" w:space="0" w:color="auto"/>
        <w:left w:val="none" w:sz="0" w:space="0" w:color="auto"/>
        <w:bottom w:val="none" w:sz="0" w:space="0" w:color="auto"/>
        <w:right w:val="none" w:sz="0" w:space="0" w:color="auto"/>
      </w:divBdr>
    </w:div>
    <w:div w:id="135673041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2128894">
      <w:bodyDiv w:val="1"/>
      <w:marLeft w:val="0"/>
      <w:marRight w:val="0"/>
      <w:marTop w:val="0"/>
      <w:marBottom w:val="0"/>
      <w:divBdr>
        <w:top w:val="none" w:sz="0" w:space="0" w:color="auto"/>
        <w:left w:val="none" w:sz="0" w:space="0" w:color="auto"/>
        <w:bottom w:val="none" w:sz="0" w:space="0" w:color="auto"/>
        <w:right w:val="none" w:sz="0" w:space="0" w:color="auto"/>
      </w:divBdr>
    </w:div>
    <w:div w:id="1647317571">
      <w:bodyDiv w:val="1"/>
      <w:marLeft w:val="0"/>
      <w:marRight w:val="0"/>
      <w:marTop w:val="0"/>
      <w:marBottom w:val="0"/>
      <w:divBdr>
        <w:top w:val="none" w:sz="0" w:space="0" w:color="auto"/>
        <w:left w:val="none" w:sz="0" w:space="0" w:color="auto"/>
        <w:bottom w:val="none" w:sz="0" w:space="0" w:color="auto"/>
        <w:right w:val="none" w:sz="0" w:space="0" w:color="auto"/>
      </w:divBdr>
    </w:div>
    <w:div w:id="168928854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7883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dgovuk.sharepoint.com/sites/defnet/Corp/Army/Publications/ACSO_1118.pdf" TargetMode="External"/><Relationship Id="rId18" Type="http://schemas.openxmlformats.org/officeDocument/2006/relationships/hyperlink" Target="https://doi.org/10.1111/jpim.12314" TargetMode="External"/><Relationship Id="rId26" Type="http://schemas.openxmlformats.org/officeDocument/2006/relationships/hyperlink" Target="https://doi.org/10.1111/jpim.12251" TargetMode="External"/><Relationship Id="rId39" Type="http://schemas.openxmlformats.org/officeDocument/2006/relationships/theme" Target="theme/theme1.xml"/><Relationship Id="rId21" Type="http://schemas.openxmlformats.org/officeDocument/2006/relationships/hyperlink" Target="https://www.fguell.com/en/agile-innovation/" TargetMode="External"/><Relationship Id="rId34"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apiumhub.com/tech-blog-barcelona/open-innovation-benefits/" TargetMode="External"/><Relationship Id="rId17" Type="http://schemas.openxmlformats.org/officeDocument/2006/relationships/hyperlink" Target="https://doi.org/10.5437/08956308X5502022" TargetMode="External"/><Relationship Id="rId25" Type="http://schemas.openxmlformats.org/officeDocument/2006/relationships/hyperlink" Target="https://openinnovation.eu/06-12-2011/what-steve-jobs-did-not-do-for-open-innovation/" TargetMode="External"/><Relationship Id="rId33" Type="http://schemas.openxmlformats.org/officeDocument/2006/relationships/hyperlink" Target="https://doi.org/10.1002/jocb.199"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pii/S2444569X18300131?via%3Dihub" TargetMode="External"/><Relationship Id="rId20" Type="http://schemas.openxmlformats.org/officeDocument/2006/relationships/hyperlink" Target="https://doi.org/10.1007/s13132-011-0042-y" TargetMode="External"/><Relationship Id="rId29" Type="http://schemas.openxmlformats.org/officeDocument/2006/relationships/hyperlink" Target="https://www.viima.com/blog/16-examples-of-open-innovation-what-can-we-learn-from-th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br.org/1998/09/how-to-kill-creativity" TargetMode="External"/><Relationship Id="rId24" Type="http://schemas.openxmlformats.org/officeDocument/2006/relationships/hyperlink" Target="https://doi.org/10.1002/j.2162-6057.1998.tb00806.x" TargetMode="External"/><Relationship Id="rId32" Type="http://schemas.openxmlformats.org/officeDocument/2006/relationships/hyperlink" Target="https://www.cbsnews.com/news/four-essential-elements-of-creativity/" TargetMode="External"/><Relationship Id="rId37" Type="http://schemas.openxmlformats.org/officeDocument/2006/relationships/hyperlink" Target="https://def-ideas.wazoku.com/dashboard" TargetMode="External"/><Relationship Id="rId5" Type="http://schemas.openxmlformats.org/officeDocument/2006/relationships/numbering" Target="numbering.xml"/><Relationship Id="rId15" Type="http://schemas.openxmlformats.org/officeDocument/2006/relationships/hyperlink" Target="https://www.researchgate.net/publication/262864879_Open_Innovation_Where_We've_Been_and_Where_We're_Going" TargetMode="External"/><Relationship Id="rId23" Type="http://schemas.openxmlformats.org/officeDocument/2006/relationships/hyperlink" Target="https://search-ebscohost-com.ezproxy.uwtsd.ac.uk/login.aspx?direct=true&amp;db=bth&amp;AN=22440794&amp;site=ehost-live" TargetMode="External"/><Relationship Id="rId28" Type="http://schemas.openxmlformats.org/officeDocument/2006/relationships/hyperlink" Target="https://www.gov.uk/government/news/money-saving-ideas-for-defence-honoured" TargetMode="External"/><Relationship Id="rId36" Type="http://schemas.openxmlformats.org/officeDocument/2006/relationships/image" Target="media/image4.jpeg"/><Relationship Id="rId10" Type="http://schemas.openxmlformats.org/officeDocument/2006/relationships/hyperlink" Target="https://warontherocks.com/2020/12/how-the-army-out-innovated-the-islamic-states-drones/" TargetMode="External"/><Relationship Id="rId19" Type="http://schemas.openxmlformats.org/officeDocument/2006/relationships/hyperlink" Target="https://dx.doi.org/10.4135/9781446213704.n1" TargetMode="External"/><Relationship Id="rId31" Type="http://schemas.openxmlformats.org/officeDocument/2006/relationships/hyperlink" Target="https://doi.org/10.1057/978-1-137-55766-7"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2307/41166175" TargetMode="External"/><Relationship Id="rId22" Type="http://schemas.openxmlformats.org/officeDocument/2006/relationships/hyperlink" Target="https://doi.org/10.1525/cmr.2010.52.3.106" TargetMode="External"/><Relationship Id="rId27" Type="http://schemas.openxmlformats.org/officeDocument/2006/relationships/hyperlink" Target="https://bootcampmilitaryfitnessinstitute.com/2018/12/11/uk-armed-forces-feedback-processes/" TargetMode="External"/><Relationship Id="rId30" Type="http://schemas.openxmlformats.org/officeDocument/2006/relationships/hyperlink" Target="https://www.fool.com/the-blueprint/stage-gate-process/" TargetMode="External"/><Relationship Id="rId35" Type="http://schemas.openxmlformats.org/officeDocument/2006/relationships/image" Target="media/image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5001</Words>
  <Characters>28512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SfWP Assignment template </vt:lpstr>
    </vt:vector>
  </TitlesOfParts>
  <Company/>
  <LinksUpToDate>false</LinksUpToDate>
  <CharactersWithSpaces>33447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dc:title>
  <dc:subject>SFWP Generic Assignment template</dc:subject>
  <dc:creator>Julia Ault</dc:creator>
  <cp:keywords/>
  <dc:description/>
  <cp:lastModifiedBy>Andrew Maund</cp:lastModifiedBy>
  <cp:revision>2</cp:revision>
  <dcterms:created xsi:type="dcterms:W3CDTF">2022-02-14T14:23:00Z</dcterms:created>
  <dcterms:modified xsi:type="dcterms:W3CDTF">2022-02-14T14:23:00Z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