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AE5C5B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F4610">
              <w:rPr>
                <w:b/>
                <w:color w:val="auto"/>
                <w:sz w:val="32"/>
              </w:rPr>
              <w:t>Ieuan Box</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47643F" w:rsidR="005A1BA3" w:rsidRDefault="009F4610" w:rsidP="00340E9A">
            <w:pPr>
              <w:overflowPunct/>
              <w:autoSpaceDE/>
              <w:autoSpaceDN/>
              <w:adjustRightInd/>
              <w:ind w:right="237"/>
              <w:textAlignment w:val="auto"/>
              <w:rPr>
                <w:b/>
                <w:color w:val="auto"/>
                <w:sz w:val="32"/>
              </w:rPr>
            </w:pPr>
            <w:r>
              <w:rPr>
                <w:b/>
                <w:color w:val="auto"/>
                <w:sz w:val="32"/>
              </w:rPr>
              <w:t>2031313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5443A3"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w:t>
      </w:r>
      <w:proofErr w:type="gramStart"/>
      <w:r w:rsidRPr="5848403C">
        <w:rPr>
          <w:rFonts w:eastAsia="Arial"/>
          <w:i/>
          <w:iCs/>
          <w:color w:val="000000" w:themeColor="text1"/>
          <w:sz w:val="24"/>
          <w:szCs w:val="24"/>
        </w:rPr>
        <w:t>particular document</w:t>
      </w:r>
      <w:proofErr w:type="gramEnd"/>
      <w:r w:rsidRPr="5848403C">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13692CED" w14:textId="19008024" w:rsidR="009F4610" w:rsidRDefault="00025650" w:rsidP="009F4610">
      <w:pPr>
        <w:ind w:right="237"/>
        <w:jc w:val="both"/>
        <w:rPr>
          <w:b/>
          <w:sz w:val="24"/>
          <w:szCs w:val="24"/>
        </w:rPr>
      </w:pPr>
      <w:r w:rsidRPr="00025650">
        <w:rPr>
          <w:b/>
          <w:sz w:val="24"/>
          <w:szCs w:val="24"/>
        </w:rPr>
        <w:t>ANSWER:</w:t>
      </w:r>
    </w:p>
    <w:p w14:paraId="43409F99" w14:textId="77777777" w:rsidR="009F4610" w:rsidRPr="009F4610" w:rsidRDefault="009F4610" w:rsidP="009F4610">
      <w:pPr>
        <w:ind w:right="237"/>
        <w:jc w:val="both"/>
        <w:rPr>
          <w:b/>
          <w:sz w:val="24"/>
          <w:szCs w:val="24"/>
        </w:rPr>
      </w:pPr>
    </w:p>
    <w:p w14:paraId="44ED49E7" w14:textId="77777777" w:rsidR="009F4610" w:rsidRDefault="009F4610" w:rsidP="009F4610">
      <w:pPr>
        <w:spacing w:line="360" w:lineRule="auto"/>
        <w:jc w:val="both"/>
        <w:rPr>
          <w:highlight w:val="yellow"/>
        </w:rPr>
      </w:pPr>
      <w:r>
        <w:t xml:space="preserve">Stress is widely recognised as “a condition in which an individual is made anxious by an uncontrollable aversive challenge” (Fink, 2016, p.4). Policing is stressful as it has </w:t>
      </w:r>
      <w:r>
        <w:rPr>
          <w:highlight w:val="white"/>
        </w:rPr>
        <w:t>many occupational stressors and exposures that can lead to increased risk for mental health. Being a police constable on the frontline is incredibly demanding, physically challenging and mentally exhausting. In 2020, a survey undertaken by the Police Federation revealed that 78% of respondents had experienced feelings of stress, low mood or anxiety over the last 12 months (Wellington, 2021), thus it is extremely important that new recruits identify ways to manage work-related stress and build resilience imminently. Resilience is widely defined as “an individual's capacity to successfully overcome setbacks and challenges” (Martin and Marsh, 2008, p.169). A resilient person u</w:t>
      </w:r>
      <w:bookmarkStart w:id="0" w:name="_GoBack"/>
      <w:bookmarkEnd w:id="0"/>
      <w:r>
        <w:rPr>
          <w:highlight w:val="white"/>
        </w:rPr>
        <w:t xml:space="preserve">nderstands how to utilise their skills and strengths to cope and recover from challenges. </w:t>
      </w:r>
    </w:p>
    <w:p w14:paraId="5E38F989" w14:textId="77777777" w:rsidR="009F4610" w:rsidRDefault="009F4610" w:rsidP="009F4610">
      <w:pPr>
        <w:spacing w:line="360" w:lineRule="auto"/>
        <w:jc w:val="both"/>
        <w:rPr>
          <w:highlight w:val="white"/>
        </w:rPr>
      </w:pPr>
    </w:p>
    <w:p w14:paraId="4AC9D5B6" w14:textId="2C4CA373" w:rsidR="009F4610" w:rsidRDefault="009F4610" w:rsidP="009F4610">
      <w:pPr>
        <w:spacing w:line="360" w:lineRule="auto"/>
        <w:jc w:val="both"/>
      </w:pPr>
      <w:r>
        <w:rPr>
          <w:highlight w:val="white"/>
        </w:rPr>
        <w:t>Commencing my tutorship was the first time I had been required to work unsociable hours. Adapting to this work pattern was challenging as it impacted my sleep routine, resulting in stress. I had no consistent sleep pattern which led to feelings of fatigue, forgetfulness and irritability. Subsequently, these feelings contributed to a lack of concentration and productivity whilst at work which Bonnet (1986, p.265) suggests in his resear</w:t>
      </w:r>
      <w:r>
        <w:t xml:space="preserve">ch that there is “a strong link between sleep duration and fatigue to performance and productivity deficits''. This was evident during my tutorship as I was making some minor errors when trying to complete tasks necessary to achieve independent parole status. For example, when I attended my first road traffic offence and needed to complete a </w:t>
      </w:r>
      <w:proofErr w:type="gramStart"/>
      <w:r>
        <w:t>TOR</w:t>
      </w:r>
      <w:proofErr w:type="gramEnd"/>
      <w:r>
        <w:t xml:space="preserve"> I missed out some parts of the form and used the ‘when’ caution twice. After time, I recognised that I needed to establish a better routine and improve the quality of my sleep by factoring in exercise to help improve my performance at work. I opted to join a </w:t>
      </w:r>
      <w:r>
        <w:t>24-hour</w:t>
      </w:r>
      <w:r>
        <w:t xml:space="preserve"> gym and utilise this before I was due to start my shift.  This allowed me time to re-energise, clear my mind and improve my mood before starting on shift. It is argued by </w:t>
      </w:r>
      <w:proofErr w:type="spellStart"/>
      <w:r>
        <w:t>Youngstedt</w:t>
      </w:r>
      <w:proofErr w:type="spellEnd"/>
      <w:r>
        <w:t xml:space="preserve"> (2005, p.360) that “physical activity may be beneficial to the shift worker in improving sleep quality as well as influences their fatigue levels and mediates favourable changes in physiologic functions” which is evident in my experience as scheduling time for exercise before my shift helped me </w:t>
      </w:r>
      <w:r>
        <w:lastRenderedPageBreak/>
        <w:t xml:space="preserve">recharge and feel more alert going into work, resulting in a higher productivity rate and better concentration. </w:t>
      </w:r>
    </w:p>
    <w:p w14:paraId="3C1871E5" w14:textId="77777777" w:rsidR="009F4610" w:rsidRDefault="009F4610" w:rsidP="009F4610">
      <w:pPr>
        <w:spacing w:line="360" w:lineRule="auto"/>
        <w:jc w:val="both"/>
      </w:pPr>
    </w:p>
    <w:p w14:paraId="10D642AC" w14:textId="2963D179" w:rsidR="009F4610" w:rsidRDefault="009F4610" w:rsidP="009F4610">
      <w:pPr>
        <w:spacing w:line="360" w:lineRule="auto"/>
        <w:jc w:val="both"/>
        <w:rPr>
          <w:highlight w:val="white"/>
        </w:rPr>
      </w:pPr>
      <w:r>
        <w:t xml:space="preserve">Establishing a good support network was another crucial strategy I put in place during my tutorship. Police work requires constables to complete a vast amount of paperwork. I would often get frustrated and work oneself up about completing forms I had not done before. I chose not to ask my tutor or others for help as I felt embarrassed about coming across as </w:t>
      </w:r>
      <w:r>
        <w:t>incompetent</w:t>
      </w:r>
      <w:r>
        <w:t>. I found myself taking a considerable amount of time to complete some of the documents and making simple errors that could have been avoided, causing oneself stress. I was placing pressure on oneself and as a result for not asking for support, led to me being called into my Sergeants office. My S</w:t>
      </w:r>
      <w:r>
        <w:t>ergean</w:t>
      </w:r>
      <w:r>
        <w:t xml:space="preserve">t instructed me that I had made some critical errors on some of the MG forms on a case file I had submitted. This caused it to be rejected. </w:t>
      </w:r>
      <w:proofErr w:type="spellStart"/>
      <w:r>
        <w:t>Purba</w:t>
      </w:r>
      <w:proofErr w:type="spellEnd"/>
      <w:r>
        <w:t xml:space="preserve"> and </w:t>
      </w:r>
      <w:proofErr w:type="spellStart"/>
      <w:r>
        <w:t>Demou</w:t>
      </w:r>
      <w:proofErr w:type="spellEnd"/>
      <w:r>
        <w:t xml:space="preserve"> (2019, p.2) identified in their research that “having to complete paperwork was more stressful for police officers than the dangers associated with pursuing criminals'' which was evident during my tutorship as I felt more comfortable and confident with my work on the frontline than with my admin work. After time, I recognised that asking for help is not a weakness. </w:t>
      </w:r>
      <w:proofErr w:type="spellStart"/>
      <w:r>
        <w:rPr>
          <w:highlight w:val="white"/>
        </w:rPr>
        <w:t>Ozbay</w:t>
      </w:r>
      <w:proofErr w:type="spellEnd"/>
      <w:r>
        <w:rPr>
          <w:highlight w:val="white"/>
        </w:rPr>
        <w:t xml:space="preserve"> et al (2007, p.37) propose in their research that “positive social support of high quality can enhance resilience to stress” which complements my experience as the next case file I had to submit, I asked those on my shift more experienced than I if they could talk me through anything I was unsure. They were happy to offer guidance which relieved my anxieties.</w:t>
      </w:r>
    </w:p>
    <w:p w14:paraId="06C88A38" w14:textId="77777777" w:rsidR="009F4610" w:rsidRDefault="009F4610" w:rsidP="009F4610">
      <w:pPr>
        <w:spacing w:line="360" w:lineRule="auto"/>
        <w:jc w:val="both"/>
        <w:rPr>
          <w:highlight w:val="white"/>
        </w:rPr>
      </w:pPr>
    </w:p>
    <w:p w14:paraId="566B2FA1" w14:textId="77777777" w:rsidR="009F4610" w:rsidRDefault="009F4610" w:rsidP="009F4610">
      <w:pPr>
        <w:spacing w:after="160" w:line="360" w:lineRule="auto"/>
        <w:jc w:val="both"/>
        <w:rPr>
          <w:highlight w:val="white"/>
        </w:rPr>
      </w:pPr>
      <w:r>
        <w:t xml:space="preserve">Reflecting on my police constable tutorship has highlighted that work-related stress was apparent during this period. Taking a step back and establishing some practical coping strategies helped me minimise stress and develop resilience. Improving my sleep routine and getting better quality rest was critical due to the demand of working unsociable hours. Factoring in exercise before my shift was significant in reducing stress. It allowed me to create better sleeping habits and organise my time more effectively to help me keep focused during shifts, leading to better performance. Additionally, building a strong support network made up of work colleagues, helped alleviate the pressure and stress caused by the volume of paperwork. Asking for help and guidance has developed my professional knowledge, giving me confidence that I complete the tasks required with greater accuracy.  </w:t>
      </w:r>
    </w:p>
    <w:p w14:paraId="690F108C" w14:textId="77777777" w:rsidR="009F4610" w:rsidRDefault="009F4610" w:rsidP="009F4610">
      <w:pPr>
        <w:spacing w:line="360" w:lineRule="auto"/>
        <w:jc w:val="both"/>
        <w:rPr>
          <w:highlight w:val="white"/>
        </w:rPr>
      </w:pPr>
      <w:r>
        <w:rPr>
          <w:highlight w:val="white"/>
        </w:rPr>
        <w:t>Wordcount: 824</w:t>
      </w:r>
    </w:p>
    <w:p w14:paraId="01FABBA1" w14:textId="77777777" w:rsidR="009F4610" w:rsidRDefault="009F4610" w:rsidP="009F4610">
      <w:pPr>
        <w:spacing w:line="360" w:lineRule="auto"/>
        <w:jc w:val="both"/>
        <w:rPr>
          <w:highlight w:val="white"/>
        </w:rPr>
      </w:pPr>
    </w:p>
    <w:p w14:paraId="0AFCD121" w14:textId="77777777" w:rsidR="009F4610" w:rsidRDefault="009F4610" w:rsidP="009F4610">
      <w:pPr>
        <w:spacing w:line="360" w:lineRule="auto"/>
        <w:jc w:val="both"/>
        <w:rPr>
          <w:highlight w:val="white"/>
        </w:rPr>
      </w:pPr>
      <w:r>
        <w:rPr>
          <w:highlight w:val="white"/>
        </w:rPr>
        <w:t>Bibliography:</w:t>
      </w:r>
    </w:p>
    <w:p w14:paraId="1FEF96F7" w14:textId="77777777" w:rsidR="009F4610" w:rsidRDefault="009F4610" w:rsidP="009F4610">
      <w:pPr>
        <w:spacing w:line="360" w:lineRule="auto"/>
        <w:jc w:val="both"/>
        <w:rPr>
          <w:highlight w:val="white"/>
        </w:rPr>
      </w:pPr>
    </w:p>
    <w:p w14:paraId="457F4023" w14:textId="77777777" w:rsidR="009F4610" w:rsidRDefault="009F4610" w:rsidP="009F4610">
      <w:pPr>
        <w:spacing w:after="160" w:line="360" w:lineRule="auto"/>
        <w:jc w:val="both"/>
        <w:rPr>
          <w:highlight w:val="white"/>
        </w:rPr>
      </w:pPr>
      <w:r>
        <w:rPr>
          <w:highlight w:val="white"/>
        </w:rPr>
        <w:t xml:space="preserve">Bonnet, M. (1986) ‘Performance and sleepiness as a function of frequency and placement of sleep disruption’, </w:t>
      </w:r>
      <w:r>
        <w:rPr>
          <w:i/>
          <w:highlight w:val="white"/>
        </w:rPr>
        <w:t>Psychophysiology,</w:t>
      </w:r>
      <w:r>
        <w:rPr>
          <w:highlight w:val="white"/>
        </w:rPr>
        <w:t xml:space="preserve"> </w:t>
      </w:r>
      <w:r>
        <w:rPr>
          <w:i/>
          <w:highlight w:val="white"/>
        </w:rPr>
        <w:t>23</w:t>
      </w:r>
      <w:r>
        <w:rPr>
          <w:highlight w:val="white"/>
        </w:rPr>
        <w:t>, pp. 263–271.</w:t>
      </w:r>
    </w:p>
    <w:p w14:paraId="3DCC5512" w14:textId="77777777" w:rsidR="009F4610" w:rsidRDefault="009F4610" w:rsidP="009F4610">
      <w:pPr>
        <w:spacing w:after="160" w:line="360" w:lineRule="auto"/>
        <w:jc w:val="both"/>
      </w:pPr>
      <w:r>
        <w:t xml:space="preserve">Fink, G. (2016) ‘Stress, Definitions, Mechanisms and Effects Outlined: Lessons from Anxiety’ in Fink, G. (ed.) </w:t>
      </w:r>
      <w:r>
        <w:rPr>
          <w:i/>
        </w:rPr>
        <w:t xml:space="preserve">Stress: Concepts, Cognition, Emotion and Behaviour. </w:t>
      </w:r>
      <w:r>
        <w:t xml:space="preserve">London: Elsevier Science. </w:t>
      </w:r>
    </w:p>
    <w:p w14:paraId="62E8674F" w14:textId="77777777" w:rsidR="009F4610" w:rsidRDefault="009F4610" w:rsidP="009F4610">
      <w:pPr>
        <w:spacing w:after="160" w:line="360" w:lineRule="auto"/>
        <w:jc w:val="both"/>
      </w:pPr>
      <w:r>
        <w:lastRenderedPageBreak/>
        <w:t xml:space="preserve">Martin, A. and Marsh, H. (2008) ‘Workplace and academic buoyancy: Psychometric assessment and construct validity amongst school personnel and students’, </w:t>
      </w:r>
      <w:r>
        <w:rPr>
          <w:i/>
        </w:rPr>
        <w:t xml:space="preserve">Journal of Psychoeducational </w:t>
      </w:r>
      <w:proofErr w:type="gramStart"/>
      <w:r>
        <w:rPr>
          <w:i/>
        </w:rPr>
        <w:t>Assessment</w:t>
      </w:r>
      <w:r>
        <w:t>,  26</w:t>
      </w:r>
      <w:proofErr w:type="gramEnd"/>
      <w:r>
        <w:t>(2), pp. 168-184.</w:t>
      </w:r>
    </w:p>
    <w:p w14:paraId="08D01E64" w14:textId="77777777" w:rsidR="009F4610" w:rsidRDefault="009F4610" w:rsidP="009F4610">
      <w:pPr>
        <w:spacing w:after="160" w:line="360" w:lineRule="auto"/>
        <w:jc w:val="both"/>
      </w:pPr>
      <w:proofErr w:type="spellStart"/>
      <w:r>
        <w:rPr>
          <w:highlight w:val="white"/>
        </w:rPr>
        <w:t>Ozbay</w:t>
      </w:r>
      <w:proofErr w:type="spellEnd"/>
      <w:r>
        <w:rPr>
          <w:highlight w:val="white"/>
        </w:rPr>
        <w:t xml:space="preserve">, F., Johnson, D., </w:t>
      </w:r>
      <w:proofErr w:type="spellStart"/>
      <w:r>
        <w:rPr>
          <w:highlight w:val="white"/>
        </w:rPr>
        <w:t>Dimoulas</w:t>
      </w:r>
      <w:proofErr w:type="spellEnd"/>
      <w:r>
        <w:rPr>
          <w:highlight w:val="white"/>
        </w:rPr>
        <w:t xml:space="preserve">, E., Morgan, C., Charney, D. and Southwick, S. (2007) ‘Social support and resilience to stress: from neurobiology to clinical practice’, </w:t>
      </w:r>
      <w:r>
        <w:rPr>
          <w:i/>
          <w:highlight w:val="white"/>
        </w:rPr>
        <w:t>Psychiatry,</w:t>
      </w:r>
      <w:r>
        <w:rPr>
          <w:highlight w:val="white"/>
        </w:rPr>
        <w:t xml:space="preserve"> 4(5), pp. 35-40.</w:t>
      </w:r>
    </w:p>
    <w:p w14:paraId="332A89E4" w14:textId="77777777" w:rsidR="009F4610" w:rsidRDefault="009F4610" w:rsidP="009F4610">
      <w:pPr>
        <w:spacing w:after="160" w:line="360" w:lineRule="auto"/>
        <w:jc w:val="both"/>
      </w:pPr>
      <w:proofErr w:type="spellStart"/>
      <w:r>
        <w:rPr>
          <w:highlight w:val="white"/>
        </w:rPr>
        <w:t>Purba</w:t>
      </w:r>
      <w:proofErr w:type="spellEnd"/>
      <w:r>
        <w:rPr>
          <w:highlight w:val="white"/>
        </w:rPr>
        <w:t xml:space="preserve">, A. and </w:t>
      </w:r>
      <w:proofErr w:type="spellStart"/>
      <w:r>
        <w:rPr>
          <w:highlight w:val="white"/>
        </w:rPr>
        <w:t>Demou</w:t>
      </w:r>
      <w:proofErr w:type="spellEnd"/>
      <w:r>
        <w:rPr>
          <w:highlight w:val="white"/>
        </w:rPr>
        <w:t xml:space="preserve">, E. (2019) ‘The relationship between organisational stressors and mental wellbeing within police officers: a systematic review’, </w:t>
      </w:r>
      <w:r>
        <w:rPr>
          <w:i/>
          <w:highlight w:val="white"/>
        </w:rPr>
        <w:t xml:space="preserve">BMC Public Health, </w:t>
      </w:r>
      <w:r>
        <w:rPr>
          <w:highlight w:val="white"/>
        </w:rPr>
        <w:t xml:space="preserve">19 (1), pp. 2-21. </w:t>
      </w:r>
    </w:p>
    <w:p w14:paraId="01F8C613" w14:textId="77777777" w:rsidR="009F4610" w:rsidRDefault="009F4610" w:rsidP="009F4610">
      <w:pPr>
        <w:spacing w:after="160" w:line="360" w:lineRule="auto"/>
        <w:jc w:val="both"/>
      </w:pPr>
      <w:r>
        <w:t xml:space="preserve">Wellington, N. (2021) </w:t>
      </w:r>
      <w:r>
        <w:rPr>
          <w:i/>
        </w:rPr>
        <w:t xml:space="preserve">Research and Policy Support Report: PFEW Officer Demand, Capacity and Welfare Survey 2020, </w:t>
      </w:r>
      <w:r>
        <w:t xml:space="preserve">Available at: </w:t>
      </w:r>
      <w:hyperlink r:id="rId14">
        <w:r>
          <w:rPr>
            <w:u w:val="single"/>
          </w:rPr>
          <w:t>https://www.polfed.org/media/16579/welfaresurveygwent-14-01-21-v10.pdf</w:t>
        </w:r>
      </w:hyperlink>
      <w:r>
        <w:t xml:space="preserve">  (Accessed: 18th March 2022).</w:t>
      </w:r>
    </w:p>
    <w:p w14:paraId="3FD37D00" w14:textId="77777777" w:rsidR="009F4610" w:rsidRDefault="009F4610" w:rsidP="009F4610">
      <w:pPr>
        <w:spacing w:after="160" w:line="360" w:lineRule="auto"/>
        <w:jc w:val="both"/>
      </w:pPr>
      <w:proofErr w:type="spellStart"/>
      <w:r>
        <w:t>Youngstedt</w:t>
      </w:r>
      <w:proofErr w:type="spellEnd"/>
      <w:r>
        <w:t xml:space="preserve">, S. (2005). ‘Effects of Exercise on Sleep’, </w:t>
      </w:r>
      <w:r>
        <w:rPr>
          <w:i/>
        </w:rPr>
        <w:t>Clinics in sports medicine</w:t>
      </w:r>
      <w:r>
        <w:t xml:space="preserve">, 24, pp. 355-365.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bookmarkStart w:id="1" w:name="_Hlk99634410"/>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2CD58631" w14:textId="5C934533" w:rsidR="009F4610" w:rsidRDefault="00450C83" w:rsidP="009F4610">
      <w:pPr>
        <w:ind w:right="237"/>
        <w:jc w:val="both"/>
        <w:rPr>
          <w:b/>
          <w:sz w:val="24"/>
          <w:szCs w:val="24"/>
        </w:rPr>
      </w:pPr>
      <w:r w:rsidRPr="00450C83">
        <w:rPr>
          <w:b/>
          <w:sz w:val="24"/>
          <w:szCs w:val="24"/>
        </w:rPr>
        <w:t>ANSWER:</w:t>
      </w:r>
      <w:bookmarkEnd w:id="1"/>
    </w:p>
    <w:p w14:paraId="18D29763" w14:textId="77777777" w:rsidR="009F4610" w:rsidRPr="009F4610" w:rsidRDefault="009F4610" w:rsidP="009F4610">
      <w:pPr>
        <w:ind w:right="237"/>
        <w:jc w:val="both"/>
        <w:rPr>
          <w:b/>
          <w:sz w:val="24"/>
          <w:szCs w:val="24"/>
        </w:rPr>
      </w:pPr>
    </w:p>
    <w:p w14:paraId="1689C1BF" w14:textId="77777777" w:rsidR="009F4610" w:rsidRDefault="009F4610" w:rsidP="009F4610">
      <w:pPr>
        <w:spacing w:line="360" w:lineRule="auto"/>
        <w:jc w:val="both"/>
        <w:rPr>
          <w:color w:val="333333"/>
        </w:rPr>
      </w:pPr>
      <w:r>
        <w:rPr>
          <w:color w:val="333333"/>
        </w:rPr>
        <w:t xml:space="preserve">Recognising and responding to vulnerability-related risks is one of the duties expected of a Police Constable. College of Policing (2021) guidelines suggest that when attending these types of incidents, communication, clues and curiosity in combination are fundamental. When responding to incidents or gathering information and evidence, constables need to be professionally curious and consider the whole picture of risk. Communication is also critical when interacting with vulnerable people in order to maximise opportunities for disclosure and identify those at risk of harm. In order to reflect on a policing incident involving vulnerability-related risk, I will explore my experience using Gibbs’s 6 stage reflective cycle to identify any strengths, areas for development and further actions. </w:t>
      </w:r>
    </w:p>
    <w:p w14:paraId="3DDA7BDA" w14:textId="77777777" w:rsidR="009F4610" w:rsidRDefault="009F4610" w:rsidP="009F4610">
      <w:pPr>
        <w:spacing w:line="360" w:lineRule="auto"/>
        <w:jc w:val="both"/>
        <w:rPr>
          <w:color w:val="333333"/>
        </w:rPr>
      </w:pPr>
    </w:p>
    <w:p w14:paraId="01CE2E45" w14:textId="77777777" w:rsidR="009F4610" w:rsidRDefault="009F4610" w:rsidP="009F4610">
      <w:pPr>
        <w:spacing w:line="360" w:lineRule="auto"/>
        <w:jc w:val="both"/>
        <w:rPr>
          <w:color w:val="333333"/>
        </w:rPr>
      </w:pPr>
      <w:r>
        <w:rPr>
          <w:color w:val="333333"/>
        </w:rPr>
        <w:t xml:space="preserve">The incident I will be discussing in this commentary came through as an emergency call from a female in distress claiming her grandson was behaving aggressively at her house. Control informed us that </w:t>
      </w:r>
      <w:r>
        <w:rPr>
          <w:color w:val="333333"/>
        </w:rPr>
        <w:lastRenderedPageBreak/>
        <w:t xml:space="preserve">there were difficulties communicating with the female due to a language barrier and were unable to gather any specific details of the incident or persons involved.  However, a disturbance could be heard in the background by control, who also informed us that there had been a previous domestic related incident at the same address. Arriving at the scene, I was greeted by a female who was reluctant to welcome us in as she revealed that she was not the caller and no disturbance had occurred involving her son.  A voice shouting in the background could be heard which prompted the female to allow us entry. Another female, who appeared bedbound, declared herself as the caller. </w:t>
      </w:r>
    </w:p>
    <w:p w14:paraId="5DD1B8E6" w14:textId="77777777" w:rsidR="009F4610" w:rsidRDefault="009F4610" w:rsidP="009F4610">
      <w:pPr>
        <w:spacing w:line="360" w:lineRule="auto"/>
        <w:jc w:val="both"/>
        <w:rPr>
          <w:color w:val="333333"/>
        </w:rPr>
      </w:pPr>
    </w:p>
    <w:p w14:paraId="51AF335C" w14:textId="77777777" w:rsidR="009F4610" w:rsidRDefault="009F4610" w:rsidP="009F4610">
      <w:pPr>
        <w:spacing w:after="160" w:line="360" w:lineRule="auto"/>
        <w:jc w:val="both"/>
        <w:rPr>
          <w:color w:val="333333"/>
        </w:rPr>
      </w:pPr>
      <w:r>
        <w:rPr>
          <w:color w:val="333333"/>
        </w:rPr>
        <w:t xml:space="preserve">Upon communicating with both females, it was apparent that there were relevant cultural, ethnic and language issues which I perceived as associated with Hindu. Both were able to speak </w:t>
      </w:r>
      <w:proofErr w:type="gramStart"/>
      <w:r>
        <w:rPr>
          <w:color w:val="333333"/>
        </w:rPr>
        <w:t>English</w:t>
      </w:r>
      <w:proofErr w:type="gramEnd"/>
      <w:r>
        <w:rPr>
          <w:color w:val="333333"/>
        </w:rPr>
        <w:t xml:space="preserve"> so an interpreter was deemed unnecessary. The female caller pointed upstairs to which we proceeded to make way. There were no persons present upstairs, however in one of the bedrooms </w:t>
      </w:r>
      <w:proofErr w:type="gramStart"/>
      <w:r>
        <w:rPr>
          <w:color w:val="333333"/>
        </w:rPr>
        <w:t>all of</w:t>
      </w:r>
      <w:proofErr w:type="gramEnd"/>
      <w:r>
        <w:rPr>
          <w:color w:val="333333"/>
        </w:rPr>
        <w:t xml:space="preserve"> the furniture had been wrecked and holes in the wall which suggested a domestic had occurred. The female revealed that this was her </w:t>
      </w:r>
      <w:proofErr w:type="spellStart"/>
      <w:proofErr w:type="gramStart"/>
      <w:r>
        <w:rPr>
          <w:color w:val="333333"/>
        </w:rPr>
        <w:t>mothers</w:t>
      </w:r>
      <w:proofErr w:type="spellEnd"/>
      <w:proofErr w:type="gramEnd"/>
      <w:r>
        <w:rPr>
          <w:color w:val="333333"/>
        </w:rPr>
        <w:t xml:space="preserve"> room and that her son had been dismantling the furniture as she had bought some new goods. She denied that the markings in the wall had been done by her son. When both females were asked questions about the offender and the unfolding of the incident by my colleague and I, they kept talking to one another in Hindi. My colleague and I decided to separate the two females. I remained with the caller/grandmother. After some time building rapport with the female, she began to disclose some details about the difficulties she was having with her grandson's behaviour and the strain it was causing her daughter who she was dependent on. </w:t>
      </w:r>
    </w:p>
    <w:p w14:paraId="49523F2A" w14:textId="2C7B5BCB" w:rsidR="009F4610" w:rsidRDefault="009F4610" w:rsidP="009F4610">
      <w:pPr>
        <w:spacing w:after="160" w:line="360" w:lineRule="auto"/>
        <w:jc w:val="both"/>
        <w:rPr>
          <w:color w:val="333333"/>
        </w:rPr>
      </w:pPr>
      <w:r>
        <w:rPr>
          <w:color w:val="333333"/>
        </w:rPr>
        <w:t xml:space="preserve">When dealing with vulnerable people and domestic incidents, effective communication is key as “interaction between the responder and individual is central to helping officers recognise, understand and respond to vulnerability” (College of Policing, 2021). Revisiting this incident, </w:t>
      </w:r>
      <w:proofErr w:type="gramStart"/>
      <w:r>
        <w:rPr>
          <w:color w:val="333333"/>
        </w:rPr>
        <w:t>it is clear that I</w:t>
      </w:r>
      <w:proofErr w:type="gramEnd"/>
      <w:r>
        <w:rPr>
          <w:color w:val="333333"/>
        </w:rPr>
        <w:t xml:space="preserve"> used effective communication skills at pivotal moments to build rapport as well as uncover clues and act curiously. Speaking to the grandmother on her own away from any potential suspects or anyone being complained of, created an environment for autonomous disclosure. By allowing her time to speak and share her feelings through using open style questions to draw out information, I was able to discover that she felt her dependence on her family to care for her may be to blame for her grandson’s behaviour which opened up avenues for discussion. Additionally, by showing I was actively listening to the victims account, I was able to demonstrate understanding and encourage the victim to continue talking as well as show empathy that I had a genuine interest in wanting to help. In my responses, I was honest and open with my advice on how we could best support as well as transparent about what was going to happen next. It is suggested that disclosure is more likely when open-ended opportunities for discussion are created and the responder is generally responsive and expresses empathy (Rhodes et al, 2007, p.621). Employing </w:t>
      </w:r>
      <w:proofErr w:type="gramStart"/>
      <w:r>
        <w:rPr>
          <w:color w:val="333333"/>
        </w:rPr>
        <w:t>both of these</w:t>
      </w:r>
      <w:proofErr w:type="gramEnd"/>
      <w:r>
        <w:rPr>
          <w:color w:val="333333"/>
        </w:rPr>
        <w:t xml:space="preserve"> verbal and non-verbal essential techniques, allowed me to create a safe and trusting environment to identify risk, encourage the disclosure of harm and obtain relevant information to inform appropriate actions.</w:t>
      </w:r>
    </w:p>
    <w:p w14:paraId="734E19ED" w14:textId="77777777" w:rsidR="009F4610" w:rsidRDefault="009F4610" w:rsidP="009F4610">
      <w:pPr>
        <w:spacing w:after="160" w:line="360" w:lineRule="auto"/>
        <w:jc w:val="both"/>
        <w:rPr>
          <w:color w:val="333333"/>
        </w:rPr>
      </w:pPr>
      <w:r>
        <w:rPr>
          <w:color w:val="333333"/>
        </w:rPr>
        <w:t>Domestic Violence (DV) is defined as ​</w:t>
      </w:r>
      <w:proofErr w:type="gramStart"/>
      <w:r>
        <w:rPr>
          <w:color w:val="333333"/>
        </w:rPr>
        <w:t>​”any</w:t>
      </w:r>
      <w:proofErr w:type="gramEnd"/>
      <w:r>
        <w:rPr>
          <w:color w:val="333333"/>
        </w:rPr>
        <w:t xml:space="preserve"> incident or pattern of incidents of threatening behaviour, violence or abuse between … family members” (Gov, 2013). This </w:t>
      </w:r>
      <w:proofErr w:type="gramStart"/>
      <w:r>
        <w:rPr>
          <w:color w:val="333333"/>
        </w:rPr>
        <w:t>particular incident</w:t>
      </w:r>
      <w:proofErr w:type="gramEnd"/>
      <w:r>
        <w:rPr>
          <w:color w:val="333333"/>
        </w:rPr>
        <w:t xml:space="preserve"> involved suspected </w:t>
      </w:r>
      <w:r>
        <w:rPr>
          <w:color w:val="333333"/>
        </w:rPr>
        <w:lastRenderedPageBreak/>
        <w:t xml:space="preserve">familial abuse where the grandmother was a vulnerable adult. A person is considered as vulnerable if, as a result of their situation or circumstances, are unable to take care of or protect themselves from harm. The grandmother disclosed that her grandson frequently acted aggressively, causing destruction to her belongings and property. She called this ‘karma’ for her dependence on family members living in the property. However, this often left the grandmother feeling scared as she was unable to defend herself and without necessities to aid her physical needs. Within Hinduism, karma is believed to be absolute and unchangeable. The idea that one is fated at birth suggests you must simply accept any situation, including DV (Kent, 2009, p.13). The idea that the victim believed this was ‘karma’ concerned me and prompted my professional curiosity to investigate vulnerability related risk further. Reflecting back on this moment, I realise I began to use interrogative language at this point as I was overly </w:t>
      </w:r>
      <w:proofErr w:type="gramStart"/>
      <w:r>
        <w:rPr>
          <w:color w:val="333333"/>
        </w:rPr>
        <w:t>curious</w:t>
      </w:r>
      <w:proofErr w:type="gramEnd"/>
      <w:r>
        <w:rPr>
          <w:color w:val="333333"/>
        </w:rPr>
        <w:t xml:space="preserve"> and this did not help with influencing the grandmother to provide a statement. However, she did consent to completing a DASH, which allowed me to further assess threat and risk and develop a working strategy. This was graded as medium risk meaning there were identifiable indicators of risk of serious harm. </w:t>
      </w:r>
    </w:p>
    <w:p w14:paraId="164599FA" w14:textId="21FAC59A" w:rsidR="009F4610" w:rsidRDefault="009F4610" w:rsidP="009F4610">
      <w:pPr>
        <w:spacing w:after="160" w:line="360" w:lineRule="auto"/>
        <w:jc w:val="both"/>
        <w:rPr>
          <w:color w:val="333333"/>
        </w:rPr>
      </w:pPr>
      <w:r>
        <w:rPr>
          <w:color w:val="333333"/>
        </w:rPr>
        <w:t>Police officers have a statutory responsibility to protect all individuals in need or at risk of abuse (</w:t>
      </w:r>
      <w:hyperlink r:id="rId21">
        <w:r>
          <w:rPr>
            <w:color w:val="333333"/>
          </w:rPr>
          <w:t>ACPO, 2012</w:t>
        </w:r>
      </w:hyperlink>
      <w:r>
        <w:rPr>
          <w:color w:val="333333"/>
        </w:rPr>
        <w:t xml:space="preserve">). After responding to this incident and recognising the vulnerabilities and risks of harm, I determined the most appropriate action to take was to exercise the power to arrest the suspect which was executed by another officer after a successful and thorough handover. My decision was based on objectivity and discretion. Although I felt as though the victim was not in immediate danger, there were many factors I considered that I still felt put her at risk. For example, this was not the first domestic call we had responded to at the address, the </w:t>
      </w:r>
      <w:r>
        <w:rPr>
          <w:color w:val="333333"/>
        </w:rPr>
        <w:t>victim’s</w:t>
      </w:r>
      <w:r>
        <w:rPr>
          <w:color w:val="333333"/>
        </w:rPr>
        <w:t xml:space="preserve"> physical capability would not allow her to defend herself and her perceived cultural beliefs signified inescapability. Watching back my body worn footage confirmed this as well as speaking to my colleague who spoke to the mother at the scene who also revealed she was fearful of her son's actions. Moreover, appropriate safeguarding referrals were also made to the local authority  as it is important that the police response is adequate and that a multi-agency response results in those in need receiving the support they require (</w:t>
      </w:r>
      <w:hyperlink r:id="rId22">
        <w:r>
          <w:rPr>
            <w:color w:val="333333"/>
          </w:rPr>
          <w:t>Boulton et al, 2017</w:t>
        </w:r>
      </w:hyperlink>
      <w:r>
        <w:rPr>
          <w:color w:val="333333"/>
        </w:rPr>
        <w:t>, p.73). I submitted a PPN to ensure the grandmother would receive some care going forward to alleviate the pressures and dependence on family members. When dealing with this incident, I believe I acted responsibly, objectively and with integrity to achieve the safety, security and wellbeing of the victim involved.</w:t>
      </w:r>
    </w:p>
    <w:p w14:paraId="0730CF7C" w14:textId="77777777" w:rsidR="009F4610" w:rsidRDefault="009F4610" w:rsidP="009F4610">
      <w:pPr>
        <w:spacing w:after="160" w:line="360" w:lineRule="auto"/>
        <w:jc w:val="both"/>
        <w:rPr>
          <w:color w:val="333333"/>
        </w:rPr>
      </w:pPr>
      <w:r>
        <w:rPr>
          <w:color w:val="333333"/>
        </w:rPr>
        <w:t xml:space="preserve">Reflecting on this specific incident has taught me that a person’s cultural background, in combination with their personal vulnerabilities, may create significant barriers in them seeking help from DV. Building rapport through effective communication is vital for autonomous disclosure. Investing time for curiosity, acting on clues and using discretion is key in domestic situations in order to carefully assess the risk and </w:t>
      </w:r>
      <w:proofErr w:type="gramStart"/>
      <w:r>
        <w:rPr>
          <w:color w:val="333333"/>
        </w:rPr>
        <w:t>take action</w:t>
      </w:r>
      <w:proofErr w:type="gramEnd"/>
      <w:r>
        <w:rPr>
          <w:color w:val="333333"/>
        </w:rPr>
        <w:t xml:space="preserve">. In my experience, asking questions and keeping an open mind allowed me to decide and deliver the most appropriate response. </w:t>
      </w:r>
      <w:proofErr w:type="gramStart"/>
      <w:r>
        <w:rPr>
          <w:color w:val="333333"/>
        </w:rPr>
        <w:t>With this in mind, it</w:t>
      </w:r>
      <w:proofErr w:type="gramEnd"/>
      <w:r>
        <w:rPr>
          <w:color w:val="333333"/>
        </w:rPr>
        <w:t xml:space="preserve"> is also important for me to acknowledge what did not go well in order to improve. In this case, my professional curiosity around the cultural influence on the incident did not effectively encourage the victim to want to disclose the incident formally </w:t>
      </w:r>
      <w:r>
        <w:rPr>
          <w:color w:val="333333"/>
        </w:rPr>
        <w:lastRenderedPageBreak/>
        <w:t>in a statement. In the future, I will consider other effective communication techniques, such as paraphrasing, to check my understanding and build a better relationship.</w:t>
      </w:r>
    </w:p>
    <w:p w14:paraId="76947C58" w14:textId="77777777" w:rsidR="009F4610" w:rsidRDefault="009F4610" w:rsidP="009F4610">
      <w:pPr>
        <w:spacing w:after="160" w:line="360" w:lineRule="auto"/>
        <w:jc w:val="both"/>
        <w:rPr>
          <w:color w:val="333333"/>
        </w:rPr>
      </w:pPr>
      <w:r>
        <w:rPr>
          <w:color w:val="333333"/>
        </w:rPr>
        <w:t>Word count: 1375</w:t>
      </w:r>
    </w:p>
    <w:p w14:paraId="397333EE" w14:textId="77777777" w:rsidR="009F4610" w:rsidRDefault="009F4610" w:rsidP="009F4610">
      <w:pPr>
        <w:spacing w:after="160" w:line="360" w:lineRule="auto"/>
        <w:jc w:val="both"/>
        <w:rPr>
          <w:color w:val="333333"/>
        </w:rPr>
      </w:pPr>
      <w:r>
        <w:rPr>
          <w:color w:val="333333"/>
        </w:rPr>
        <w:t>Bibliography:</w:t>
      </w:r>
    </w:p>
    <w:p w14:paraId="139C03F6" w14:textId="77777777" w:rsidR="009F4610" w:rsidRDefault="009F4610" w:rsidP="009F4610">
      <w:pPr>
        <w:spacing w:after="160" w:line="360" w:lineRule="auto"/>
        <w:jc w:val="both"/>
        <w:rPr>
          <w:color w:val="333333"/>
        </w:rPr>
      </w:pPr>
      <w:r>
        <w:rPr>
          <w:color w:val="333333"/>
        </w:rPr>
        <w:t xml:space="preserve">Association of Chief Police Officers (2012) </w:t>
      </w:r>
      <w:r>
        <w:rPr>
          <w:i/>
          <w:color w:val="333333"/>
        </w:rPr>
        <w:t xml:space="preserve">Safeguarding and Investigating the Abuse of Vulnerable Adults. </w:t>
      </w:r>
      <w:r>
        <w:rPr>
          <w:color w:val="333333"/>
        </w:rPr>
        <w:t xml:space="preserve">Available at: </w:t>
      </w:r>
      <w:hyperlink r:id="rId23">
        <w:r>
          <w:rPr>
            <w:color w:val="1155CC"/>
            <w:u w:val="single"/>
          </w:rPr>
          <w:t>https://library.college.police.uk/docs/acpo/vulnerable-adults-2012.pdf</w:t>
        </w:r>
      </w:hyperlink>
      <w:r>
        <w:rPr>
          <w:color w:val="333333"/>
        </w:rPr>
        <w:t xml:space="preserve"> (Accessed: 31st March 2022). </w:t>
      </w:r>
    </w:p>
    <w:p w14:paraId="6350A751" w14:textId="77777777" w:rsidR="009F4610" w:rsidRDefault="009F4610" w:rsidP="009F4610">
      <w:pPr>
        <w:spacing w:after="160" w:line="360" w:lineRule="auto"/>
        <w:jc w:val="both"/>
        <w:rPr>
          <w:color w:val="333333"/>
        </w:rPr>
      </w:pPr>
      <w:r>
        <w:rPr>
          <w:color w:val="333333"/>
        </w:rPr>
        <w:t xml:space="preserve">Boulton, L., McManus, M. and Metcalfe, L. (2017) ‘Calls for police service: Understanding the demand profile and the UK police response’, </w:t>
      </w:r>
      <w:r>
        <w:rPr>
          <w:i/>
          <w:color w:val="333333"/>
        </w:rPr>
        <w:t xml:space="preserve">The Police Journal: Theory, Practice and Principles, </w:t>
      </w:r>
      <w:r>
        <w:rPr>
          <w:color w:val="333333"/>
        </w:rPr>
        <w:t xml:space="preserve">90(1), pp. 70-85. </w:t>
      </w:r>
    </w:p>
    <w:p w14:paraId="282FBC0C" w14:textId="77777777" w:rsidR="009F4610" w:rsidRDefault="009F4610" w:rsidP="009F4610">
      <w:pPr>
        <w:spacing w:after="160" w:line="360" w:lineRule="auto"/>
        <w:jc w:val="both"/>
        <w:rPr>
          <w:color w:val="333333"/>
        </w:rPr>
      </w:pPr>
      <w:r>
        <w:rPr>
          <w:color w:val="333333"/>
        </w:rPr>
        <w:t xml:space="preserve">College of Policing (2021) </w:t>
      </w:r>
      <w:r>
        <w:rPr>
          <w:i/>
          <w:color w:val="333333"/>
        </w:rPr>
        <w:t xml:space="preserve">Recognising and Responding to Vulnerability-Related Risks. </w:t>
      </w:r>
      <w:r>
        <w:rPr>
          <w:color w:val="333333"/>
        </w:rPr>
        <w:t xml:space="preserve">Available at: </w:t>
      </w:r>
      <w:hyperlink r:id="rId24">
        <w:r>
          <w:rPr>
            <w:color w:val="1155CC"/>
            <w:u w:val="single"/>
          </w:rPr>
          <w:t>https://assets.college.police.uk/s3fs-public/2021-11/Recognising-responding-vulnerability-related-risks-guidelines.pdf</w:t>
        </w:r>
      </w:hyperlink>
      <w:r>
        <w:rPr>
          <w:color w:val="333333"/>
        </w:rPr>
        <w:t xml:space="preserve"> (Accessed: 30th March 2022). </w:t>
      </w:r>
    </w:p>
    <w:p w14:paraId="4A4DE83C" w14:textId="77777777" w:rsidR="009F4610" w:rsidRDefault="009F4610" w:rsidP="009F4610">
      <w:pPr>
        <w:spacing w:after="160" w:line="360" w:lineRule="auto"/>
        <w:jc w:val="both"/>
        <w:rPr>
          <w:color w:val="333333"/>
        </w:rPr>
      </w:pPr>
      <w:r>
        <w:rPr>
          <w:color w:val="333333"/>
        </w:rPr>
        <w:t xml:space="preserve">Gov (2013) </w:t>
      </w:r>
      <w:r>
        <w:rPr>
          <w:i/>
          <w:color w:val="333333"/>
        </w:rPr>
        <w:t xml:space="preserve">New Government Domestic Violence and Abuse Definition. </w:t>
      </w:r>
      <w:r>
        <w:rPr>
          <w:color w:val="333333"/>
        </w:rPr>
        <w:t xml:space="preserve">Available at: </w:t>
      </w:r>
      <w:hyperlink r:id="rId25">
        <w:r>
          <w:rPr>
            <w:color w:val="1155CC"/>
            <w:u w:val="single"/>
          </w:rPr>
          <w:t>https://www.gov.uk/government/publications/new-government-domestic-violence-and-abuse-definition/circular-0032013-new-government-domestic-violence-and-abuse-definition</w:t>
        </w:r>
      </w:hyperlink>
      <w:r>
        <w:rPr>
          <w:color w:val="333333"/>
        </w:rPr>
        <w:t xml:space="preserve"> (Accessed: 30th March 2022). </w:t>
      </w:r>
    </w:p>
    <w:p w14:paraId="29D31167" w14:textId="77777777" w:rsidR="009F4610" w:rsidRDefault="009F4610" w:rsidP="009F4610">
      <w:pPr>
        <w:spacing w:after="160" w:line="360" w:lineRule="auto"/>
        <w:jc w:val="both"/>
        <w:rPr>
          <w:color w:val="333333"/>
        </w:rPr>
      </w:pPr>
      <w:r>
        <w:rPr>
          <w:color w:val="333333"/>
        </w:rPr>
        <w:t xml:space="preserve">Kent, E. (2009) ‘What’s written on the forehead will never fail: karma, fate, and </w:t>
      </w:r>
      <w:proofErr w:type="spellStart"/>
      <w:r>
        <w:rPr>
          <w:color w:val="333333"/>
        </w:rPr>
        <w:t>headwriting</w:t>
      </w:r>
      <w:proofErr w:type="spellEnd"/>
      <w:r>
        <w:rPr>
          <w:color w:val="333333"/>
        </w:rPr>
        <w:t xml:space="preserve"> in Indian folktales</w:t>
      </w:r>
      <w:proofErr w:type="gramStart"/>
      <w:r>
        <w:rPr>
          <w:color w:val="333333"/>
        </w:rPr>
        <w:t xml:space="preserve">’,  </w:t>
      </w:r>
      <w:r>
        <w:rPr>
          <w:i/>
          <w:color w:val="333333"/>
        </w:rPr>
        <w:t>Asian</w:t>
      </w:r>
      <w:proofErr w:type="gramEnd"/>
      <w:r>
        <w:rPr>
          <w:i/>
          <w:color w:val="333333"/>
        </w:rPr>
        <w:t xml:space="preserve"> Ethnology</w:t>
      </w:r>
      <w:r>
        <w:rPr>
          <w:color w:val="333333"/>
        </w:rPr>
        <w:t xml:space="preserve">, 68(1), pp. 1-26. </w:t>
      </w:r>
    </w:p>
    <w:p w14:paraId="214F5A76" w14:textId="77777777" w:rsidR="009F4610" w:rsidRDefault="009F4610" w:rsidP="009F4610">
      <w:pPr>
        <w:spacing w:after="160" w:line="360" w:lineRule="auto"/>
        <w:jc w:val="both"/>
        <w:rPr>
          <w:color w:val="333333"/>
        </w:rPr>
      </w:pPr>
      <w:r>
        <w:rPr>
          <w:color w:val="333333"/>
        </w:rPr>
        <w:t xml:space="preserve">Rhodes, K., Frankel, R., Levinthal, N., </w:t>
      </w:r>
      <w:proofErr w:type="spellStart"/>
      <w:r>
        <w:rPr>
          <w:color w:val="333333"/>
        </w:rPr>
        <w:t>Prevoveaum</w:t>
      </w:r>
      <w:proofErr w:type="spellEnd"/>
      <w:r>
        <w:rPr>
          <w:color w:val="333333"/>
        </w:rPr>
        <w:t xml:space="preserve">, E., Bailey, J. and Levinson, W. (2007) </w:t>
      </w:r>
      <w:r>
        <w:rPr>
          <w:color w:val="303030"/>
          <w:highlight w:val="white"/>
        </w:rPr>
        <w:t xml:space="preserve">‘You're not a victim of domestic violence, are you? Provider patient communication about domestic violence’, </w:t>
      </w:r>
      <w:r>
        <w:rPr>
          <w:i/>
          <w:color w:val="303030"/>
          <w:highlight w:val="white"/>
        </w:rPr>
        <w:t>Annals of Internal Medicine</w:t>
      </w:r>
      <w:r>
        <w:rPr>
          <w:color w:val="303030"/>
          <w:highlight w:val="white"/>
        </w:rPr>
        <w:t xml:space="preserve">, </w:t>
      </w:r>
      <w:r>
        <w:rPr>
          <w:i/>
          <w:color w:val="303030"/>
          <w:highlight w:val="white"/>
        </w:rPr>
        <w:t>147</w:t>
      </w:r>
      <w:r>
        <w:rPr>
          <w:color w:val="303030"/>
          <w:highlight w:val="white"/>
        </w:rPr>
        <w:t xml:space="preserve">(9), pp. 620-627.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0797331D" w14:textId="701CEDF9" w:rsidR="00025650" w:rsidRDefault="00711A70" w:rsidP="00340E9A">
      <w:pPr>
        <w:ind w:right="237"/>
        <w:jc w:val="both"/>
        <w:rPr>
          <w:b/>
          <w:sz w:val="24"/>
          <w:szCs w:val="24"/>
        </w:rPr>
      </w:pPr>
      <w:r w:rsidRPr="00450C83">
        <w:rPr>
          <w:b/>
          <w:sz w:val="24"/>
          <w:szCs w:val="24"/>
        </w:rPr>
        <w:t>ANSWER:</w:t>
      </w:r>
    </w:p>
    <w:p w14:paraId="20E26996" w14:textId="28F96A59" w:rsidR="009F4610" w:rsidRDefault="009F4610" w:rsidP="00340E9A">
      <w:pPr>
        <w:ind w:right="237"/>
        <w:jc w:val="both"/>
        <w:rPr>
          <w:b/>
          <w:sz w:val="24"/>
          <w:szCs w:val="24"/>
        </w:rPr>
      </w:pPr>
    </w:p>
    <w:p w14:paraId="1B165BB5" w14:textId="77777777" w:rsidR="005443A3" w:rsidRDefault="005443A3" w:rsidP="005443A3">
      <w:pPr>
        <w:spacing w:after="160" w:line="360" w:lineRule="auto"/>
        <w:ind w:right="237"/>
        <w:jc w:val="both"/>
        <w:rPr>
          <w:color w:val="333333"/>
        </w:rPr>
      </w:pPr>
      <w:r>
        <w:rPr>
          <w:color w:val="333333"/>
        </w:rPr>
        <w:t xml:space="preserve">Investigation is a core duty of policing which includes conducting interviews with victims, witnesses and suspects. Police guidelines instruct constables to use ​​the PEACE model to manage the interview process which comprises of five stages: Preparation and planning; engage and explain; account, clarification, challenge; closure; and evaluation. The aim of PEACE is to enable interviewers to obtain accurate, relevant, and complete accounts from those being interviewed as well as to ensure those accounts are admissible as evidence (Clarke et al, 2011, p.153). In order to reflect on a policing incident in which I played a role in with an offender/service user/victim and applied the PEACE model during the interview, I will apply Driscoll’s what? model. Using the model will allow me to understand why I made certain decisions, what I have learnt from the experience and what new insights have I gained. </w:t>
      </w:r>
    </w:p>
    <w:p w14:paraId="43C8F017" w14:textId="77777777" w:rsidR="005443A3" w:rsidRDefault="005443A3" w:rsidP="005443A3">
      <w:pPr>
        <w:spacing w:after="160" w:line="360" w:lineRule="auto"/>
        <w:ind w:right="237"/>
        <w:jc w:val="both"/>
        <w:rPr>
          <w:color w:val="333333"/>
        </w:rPr>
      </w:pPr>
      <w:bookmarkStart w:id="2" w:name="_doks2futj4sj" w:colFirst="0" w:colLast="0"/>
      <w:bookmarkEnd w:id="2"/>
      <w:r>
        <w:rPr>
          <w:color w:val="333333"/>
        </w:rPr>
        <w:t xml:space="preserve">The incident in question involves a suspect interview that I undertook for the offence of harassment without fear of violence. We received a call from a female victim who stated that her brother is at her address and is banging the door outside. She requested that she needed police assistance immediately as she was </w:t>
      </w:r>
      <w:proofErr w:type="gramStart"/>
      <w:r>
        <w:rPr>
          <w:color w:val="333333"/>
        </w:rPr>
        <w:t>frightened</w:t>
      </w:r>
      <w:proofErr w:type="gramEnd"/>
      <w:r>
        <w:rPr>
          <w:color w:val="333333"/>
        </w:rPr>
        <w:t xml:space="preserve"> he might get into the property. We attended the call as an emergency response. Upon arrival at the address I could not see any disturbance. However, after </w:t>
      </w:r>
      <w:r>
        <w:rPr>
          <w:color w:val="333333"/>
        </w:rPr>
        <w:lastRenderedPageBreak/>
        <w:t xml:space="preserve">entering the address and speaking with the victim she confirmed that her brother left minutes before we arrived. Knowing that the safety of the victim was currently handled, I used this opportunity to ascertain what had happened. The victim disclosed that her brother has been constantly harassing her for sums of money. She went on to explain that on this occasion he was demanding to borrow £20 to which she ignored his request. He then went on to send her 48 text messages and attempted to call her phone 12 times.  As a result of her not replying, her brother turned up at the address where he proceeded to bang and kick the door. The victim stated that this had become a regular occurrence and she was willing to provide a statement to stop this happening again. Another family member who was at the property at the time was also willing to provide a statement. The victim also confirmed she would provide us with screenshots of messages and call logs from the brother which was submitted as evidence. As a result, my colleague and I then went on to complete arrest enquiries and later that day located and arrested the suspect under suspicion of harassment where he was later interviewed by myself and bailed under CPS advice. There were no relevant cultural, ethnicity or language issues relating to either party involved in this incident. </w:t>
      </w:r>
    </w:p>
    <w:p w14:paraId="0EAF8B2F" w14:textId="77777777" w:rsidR="005443A3" w:rsidRDefault="005443A3" w:rsidP="005443A3">
      <w:pPr>
        <w:spacing w:after="160" w:line="360" w:lineRule="auto"/>
        <w:jc w:val="both"/>
      </w:pPr>
      <w:r>
        <w:t xml:space="preserve">The first element of the PEACE model is planning and preparation which is crucial in order to identify the key issues and objectives. </w:t>
      </w:r>
      <w:r>
        <w:rPr>
          <w:color w:val="333333"/>
        </w:rPr>
        <w:t xml:space="preserve">Every interview must be prepared with the needs of the investigation in mind. With regards to this incident, </w:t>
      </w:r>
      <w:r>
        <w:t xml:space="preserve">I prepared by ensuring that I obtained screenshot images of the alleged harassment from the victim through a police system named ‘NICE INVESTIGATE’ to be able to use as evidence in the interview. The suspect's phone was also seized and </w:t>
      </w:r>
      <w:proofErr w:type="spellStart"/>
      <w:r>
        <w:t>XRY’d</w:t>
      </w:r>
      <w:proofErr w:type="spellEnd"/>
      <w:r>
        <w:t xml:space="preserve"> to confirm the data. Gathering both forms of evidence was necessary and provided us with vital material </w:t>
      </w:r>
      <w:r>
        <w:rPr>
          <w:color w:val="333333"/>
        </w:rPr>
        <w:t xml:space="preserve">to establish the accuracy of the matter under investigation. The evidence, in combination with reviewing statements from the victim and witness, allowed me to draft an interview plan which summarised the aim of an interview and provided a framework for questioning whilst allowing time to provide flexibility to conduct the interview professionally and effectively. It was also determined at this point that no special measures were needed for this interview. I felt confident at this point that I had carefully </w:t>
      </w:r>
      <w:r>
        <w:rPr>
          <w:color w:val="333333"/>
          <w:highlight w:val="white"/>
        </w:rPr>
        <w:t>reviewed the case and gathered all the relevant information for the interview.</w:t>
      </w:r>
    </w:p>
    <w:p w14:paraId="7F7B41F8" w14:textId="77777777" w:rsidR="005443A3" w:rsidRDefault="005443A3" w:rsidP="005443A3">
      <w:pPr>
        <w:spacing w:after="160" w:line="360" w:lineRule="auto"/>
        <w:jc w:val="both"/>
        <w:rPr>
          <w:color w:val="333333"/>
        </w:rPr>
      </w:pPr>
      <w:r>
        <w:rPr>
          <w:color w:val="333333"/>
        </w:rPr>
        <w:t xml:space="preserve">The second principle of the PEACE model is to ‘Engage and explain’ with the person I am interviewing. This part of the model is vitally important as it was the first </w:t>
      </w:r>
      <w:proofErr w:type="gramStart"/>
      <w:r>
        <w:rPr>
          <w:color w:val="333333"/>
        </w:rPr>
        <w:t>step</w:t>
      </w:r>
      <w:proofErr w:type="gramEnd"/>
      <w:r>
        <w:rPr>
          <w:color w:val="333333"/>
        </w:rPr>
        <w:t xml:space="preserve"> I had towards encouraging the interviewee to engage in any dialogue. Due to the </w:t>
      </w:r>
      <w:r>
        <w:rPr>
          <w:color w:val="333333"/>
          <w:highlight w:val="white"/>
        </w:rPr>
        <w:t xml:space="preserve">severity of the case, certain legal rights needed to be conveyed first. I then proceeded to set out the objectives for the interview and the expectations that provide adequate context to the intent and process of the interview. This allowed me to create an appropriate environment for the encouragement of sharing information. </w:t>
      </w:r>
      <w:r>
        <w:rPr>
          <w:color w:val="333333"/>
        </w:rPr>
        <w:t>People are more likely to give accurate information if they trust the professionalism of the interviewer. The interviewee should be treated fairly and in accordance with legislative guidelines (College of Policing, 2013). I believe I provided the interviewee with clear and definitive expectations whilst reassuring him that he will not be interrupted when recalling his version of events. The interviewee confirmed this by nods of the head.</w:t>
      </w:r>
    </w:p>
    <w:p w14:paraId="369EB444" w14:textId="77777777" w:rsidR="005443A3" w:rsidRDefault="005443A3" w:rsidP="005443A3">
      <w:pPr>
        <w:spacing w:after="160" w:line="360" w:lineRule="auto"/>
        <w:jc w:val="both"/>
        <w:rPr>
          <w:color w:val="333333"/>
        </w:rPr>
      </w:pPr>
      <w:r>
        <w:rPr>
          <w:color w:val="333333"/>
        </w:rPr>
        <w:t xml:space="preserve">The next step of the PACE model is account, clarification and challenge which starts to focus on matters more comprehensively.  This allowed the interviewee time to provide his own account of what happened. Using tactical communication skills helped me build rapport with the interviewee. I was able </w:t>
      </w:r>
      <w:r>
        <w:rPr>
          <w:color w:val="333333"/>
        </w:rPr>
        <w:lastRenderedPageBreak/>
        <w:t xml:space="preserve">to identify different topics within the interview which allowed me to control the conversation whilst showing an interest in his account. During this period, I took time to note down the interviewee’s account and review everything. I then selected a topic and began to ask probing questions to seek clarification and challenge any responses I wanted to obtain a greater understanding about. Although my questions were probing and did allow me to gather some relevant facts, I feel that I could have strategically presented my questions and topics better to build the case. The College of Policing (2013) proposes that “although the interviewer may ask a wide range of questions, the interviewing style must not be unfair or oppressive”. </w:t>
      </w:r>
      <w:proofErr w:type="gramStart"/>
      <w:r>
        <w:rPr>
          <w:color w:val="333333"/>
        </w:rPr>
        <w:t>Reflecting back</w:t>
      </w:r>
      <w:proofErr w:type="gramEnd"/>
      <w:r>
        <w:rPr>
          <w:color w:val="333333"/>
        </w:rPr>
        <w:t xml:space="preserve"> on this interview has highlighted that when challenging the interviewee on some topics, I tended to use mainly forced-choice or specific-closed questions which may have actually confused the interviewee or prevented them from giving a full and accurate account. Persistence with employing open-ended questions may have been more beneficial to expand on the knowledge and information already obtained. </w:t>
      </w:r>
    </w:p>
    <w:p w14:paraId="01766136" w14:textId="77777777" w:rsidR="005443A3" w:rsidRDefault="005443A3" w:rsidP="005443A3">
      <w:pPr>
        <w:spacing w:after="160" w:line="360" w:lineRule="auto"/>
        <w:jc w:val="both"/>
        <w:rPr>
          <w:color w:val="333333"/>
        </w:rPr>
      </w:pPr>
      <w:r>
        <w:rPr>
          <w:color w:val="333333"/>
        </w:rPr>
        <w:t xml:space="preserve">Closure is the next stage of PEACE. This essentially allowed me to ask the suspect if there was anything that he would like to add or clarify from the dialogue during the interview. In this instance, there were no further questions from either </w:t>
      </w:r>
      <w:proofErr w:type="gramStart"/>
      <w:r>
        <w:rPr>
          <w:color w:val="333333"/>
        </w:rPr>
        <w:t>participants</w:t>
      </w:r>
      <w:proofErr w:type="gramEnd"/>
      <w:r>
        <w:rPr>
          <w:color w:val="333333"/>
        </w:rPr>
        <w:t xml:space="preserve"> but the opportunity was exercised to ensure good practice and not end the interview abruptly. As a result of this, I then informed the suspect that this was the end of the interview and that I would be stopping the interview at the specific time. I then moved onto the final stage of the PEACE model which is ‘Evaluate’. By evaluating all the necessary information received from the interview, it allowed me to give a clear and precise account of everything that had been disclosed. This allowed me to discuss everything that was said with the Custody Sergeant with confidence that the information I was passing along was accurate. This part of the process is also hugely important and why I find using this model useful as ultimately the Custody Sergeant has the final decision on what will happen next based on one's retrieval of information from the investigation. </w:t>
      </w:r>
    </w:p>
    <w:p w14:paraId="357BF330" w14:textId="77777777" w:rsidR="005443A3" w:rsidRDefault="005443A3" w:rsidP="005443A3">
      <w:pPr>
        <w:spacing w:after="160" w:line="360" w:lineRule="auto"/>
        <w:jc w:val="both"/>
        <w:rPr>
          <w:color w:val="333333"/>
          <w:highlight w:val="white"/>
        </w:rPr>
      </w:pPr>
      <w:r>
        <w:t xml:space="preserve">This final part of the model also allowed me to evaluate myself as the interviewer. This interview was significantly better than previous ones I conducted. Planning and preparation </w:t>
      </w:r>
      <w:proofErr w:type="gramStart"/>
      <w:r>
        <w:t>was</w:t>
      </w:r>
      <w:proofErr w:type="gramEnd"/>
      <w:r>
        <w:t xml:space="preserve"> exercised well which allowed me to go into the interview feeling confident and determined. I was able to follow the cycle of PEACE relatively smoothly throughout the interview which was confirmed by the </w:t>
      </w:r>
      <w:proofErr w:type="gramStart"/>
      <w:r>
        <w:t>amount</w:t>
      </w:r>
      <w:proofErr w:type="gramEnd"/>
      <w:r>
        <w:t xml:space="preserve"> of topics I was able to cover and the amount of relevant information I was able to obtain for the investigation. However, it is important for me to note going forward that I need to better understand how to strategically </w:t>
      </w:r>
      <w:r>
        <w:rPr>
          <w:color w:val="333333"/>
          <w:highlight w:val="white"/>
        </w:rPr>
        <w:t>structure and execute my case by recognising when to employ the most relevant question style when responding and probing.</w:t>
      </w:r>
    </w:p>
    <w:p w14:paraId="6F2D5679" w14:textId="77777777" w:rsidR="005443A3" w:rsidRDefault="005443A3" w:rsidP="005443A3">
      <w:pPr>
        <w:spacing w:after="160" w:line="360" w:lineRule="auto"/>
        <w:jc w:val="both"/>
        <w:rPr>
          <w:rFonts w:ascii="Calibri" w:eastAsia="Calibri" w:hAnsi="Calibri" w:cs="Calibri"/>
        </w:rPr>
      </w:pPr>
      <w:r>
        <w:rPr>
          <w:color w:val="333333"/>
          <w:highlight w:val="white"/>
        </w:rPr>
        <w:t>Word count: 1358</w:t>
      </w:r>
    </w:p>
    <w:p w14:paraId="395B43B0" w14:textId="77777777" w:rsidR="005443A3" w:rsidRDefault="005443A3" w:rsidP="005443A3"/>
    <w:p w14:paraId="7D4087C8" w14:textId="77777777" w:rsidR="005443A3" w:rsidRDefault="005443A3" w:rsidP="005443A3">
      <w:r>
        <w:t xml:space="preserve">Bibliography: </w:t>
      </w:r>
    </w:p>
    <w:p w14:paraId="2FA6037C" w14:textId="77777777" w:rsidR="005443A3" w:rsidRDefault="005443A3" w:rsidP="005443A3"/>
    <w:p w14:paraId="0EE08165" w14:textId="77777777" w:rsidR="005443A3" w:rsidRDefault="005443A3" w:rsidP="005443A3">
      <w:r>
        <w:t xml:space="preserve">Clarke, C., Milne, R. and Bull, R. (2011) ‘Interviewing Suspects of Crime: The Impact of PEACE Training, Supervision and the Presence of a Legal Advisor’, </w:t>
      </w:r>
      <w:r>
        <w:rPr>
          <w:i/>
        </w:rPr>
        <w:t xml:space="preserve">Journal of Investigative Psychology and Offender </w:t>
      </w:r>
      <w:proofErr w:type="gramStart"/>
      <w:r>
        <w:rPr>
          <w:i/>
        </w:rPr>
        <w:t xml:space="preserve">Profiling, </w:t>
      </w:r>
      <w:r>
        <w:t xml:space="preserve"> 8</w:t>
      </w:r>
      <w:proofErr w:type="gramEnd"/>
      <w:r>
        <w:t xml:space="preserve">(2), pp. 149-162. </w:t>
      </w:r>
    </w:p>
    <w:p w14:paraId="55D0AEE5" w14:textId="77777777" w:rsidR="005443A3" w:rsidRDefault="005443A3" w:rsidP="005443A3"/>
    <w:p w14:paraId="41D271AA" w14:textId="77777777" w:rsidR="005443A3" w:rsidRDefault="005443A3" w:rsidP="005443A3">
      <w:r>
        <w:lastRenderedPageBreak/>
        <w:t xml:space="preserve">College of Policing (2013) </w:t>
      </w:r>
      <w:r>
        <w:rPr>
          <w:i/>
        </w:rPr>
        <w:t xml:space="preserve">Investigative Interviewing. </w:t>
      </w:r>
      <w:r>
        <w:t xml:space="preserve">Available at: </w:t>
      </w:r>
      <w:hyperlink r:id="rId26">
        <w:r>
          <w:rPr>
            <w:color w:val="1155CC"/>
            <w:u w:val="single"/>
          </w:rPr>
          <w:t>https://www.app.college.police.uk/app-content/investigations/investigative-interviewing/</w:t>
        </w:r>
      </w:hyperlink>
      <w:r>
        <w:t xml:space="preserve"> (Accessed: 16th April 2022). </w:t>
      </w:r>
    </w:p>
    <w:p w14:paraId="03719D6C" w14:textId="77777777" w:rsidR="009F4610" w:rsidRPr="009F4610" w:rsidRDefault="009F4610" w:rsidP="00340E9A">
      <w:pPr>
        <w:ind w:right="237"/>
        <w:jc w:val="both"/>
        <w:rPr>
          <w:b/>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A23AB81" w14:textId="77777777" w:rsidR="009F4610" w:rsidRDefault="009F4610" w:rsidP="009F4610">
      <w:pPr>
        <w:spacing w:line="360" w:lineRule="auto"/>
        <w:jc w:val="both"/>
        <w:rPr>
          <w:color w:val="1F2025"/>
        </w:rPr>
      </w:pPr>
      <w:r>
        <w:rPr>
          <w:color w:val="1F2025"/>
          <w:highlight w:val="white"/>
        </w:rPr>
        <w:t xml:space="preserve">Anti-social behaviour (ASB) is deemed as “behaviour by a person which causes, or is likely to cause, harassment, alarm or distress to persons not of the same household” (Gov, 2003). ASB is unacceptable, frequent and persistent behaviour that can have a detrimental impact on communities and victims. More specifically, the night-time economy is often linked to issues around ASB which often result in negative perceptions (Gov, 2019). Police constables have a responsibility to understand what is driving the ASB in question, the impact it is having, and to determine the most appropriate response. Police training and guidelines suggest that one of the most effective ways to address ASB is by working closely with other </w:t>
      </w:r>
      <w:r>
        <w:rPr>
          <w:color w:val="1F2025"/>
          <w:highlight w:val="white"/>
        </w:rPr>
        <w:lastRenderedPageBreak/>
        <w:t xml:space="preserve">local professionals to find long term sustainable solutions whilst immediate </w:t>
      </w:r>
      <w:proofErr w:type="gramStart"/>
      <w:r>
        <w:rPr>
          <w:color w:val="1F2025"/>
          <w:highlight w:val="white"/>
        </w:rPr>
        <w:t>short term</w:t>
      </w:r>
      <w:proofErr w:type="gramEnd"/>
      <w:r>
        <w:rPr>
          <w:color w:val="1F2025"/>
          <w:highlight w:val="white"/>
        </w:rPr>
        <w:t xml:space="preserve"> respite is in place. </w:t>
      </w:r>
      <w:r>
        <w:rPr>
          <w:color w:val="1F2025"/>
        </w:rPr>
        <w:t xml:space="preserve">In order to reflect on a policing incident involving ASB which I played a role in, I will use Driscoll’s Model to trigger my understanding of the experience through the ‘what?’ questions.  </w:t>
      </w:r>
    </w:p>
    <w:p w14:paraId="75776BE5" w14:textId="77777777" w:rsidR="009F4610" w:rsidRDefault="009F4610" w:rsidP="009F4610">
      <w:pPr>
        <w:spacing w:line="360" w:lineRule="auto"/>
        <w:jc w:val="both"/>
        <w:rPr>
          <w:color w:val="1F2025"/>
        </w:rPr>
      </w:pPr>
    </w:p>
    <w:p w14:paraId="01732FF3" w14:textId="77777777" w:rsidR="009F4610" w:rsidRDefault="009F4610" w:rsidP="009F4610">
      <w:pPr>
        <w:shd w:val="clear" w:color="auto" w:fill="FFFFFF"/>
        <w:spacing w:after="420" w:line="360" w:lineRule="auto"/>
        <w:jc w:val="both"/>
        <w:rPr>
          <w:color w:val="1F2025"/>
        </w:rPr>
      </w:pPr>
      <w:r>
        <w:rPr>
          <w:color w:val="1F2025"/>
        </w:rPr>
        <w:t xml:space="preserve">The incident I will be discussing in this commentary was one which I received from control during City Safe parole. There had been a number of calls made that night as well as over the past few days concerning a large group of youths congregating outside one of the local pubs which also happened to be on one of the busiest streets in the locality for the </w:t>
      </w:r>
      <w:proofErr w:type="gramStart"/>
      <w:r>
        <w:rPr>
          <w:color w:val="1F2025"/>
        </w:rPr>
        <w:t>night time</w:t>
      </w:r>
      <w:proofErr w:type="gramEnd"/>
      <w:r>
        <w:rPr>
          <w:color w:val="1F2025"/>
        </w:rPr>
        <w:t xml:space="preserve"> economy. Upon arriving at the scene, some of the group were still in the area. My colleague and I were approached by a female victim who stated that members of the group had verbally abused her. She also disclosed that she had seen some of the group inhaling a substance from a small, silver canister (believed to be Nitrous Oxide) and had thrown the empties at the windows. There were no relevant cultural, ethnicity and language issues when speaking to the victim or apparent amongst the group. I recorded the details of the incident in my Electronic Pocket Notebook. Using professional judgement, we decided to ask the group to disperse the area to offer immediate relief. After some persistence, retaliation, and encouragement from within the group, they all began to move on. The victim felt she felt she could not continue her night and would be going home as it made her feel uneasy. She also raised concerns that she felt this may be recurring and would not be returning in a hurry. I reassured her that we would be looking into the matter further and a greater police presence will be seen in the area over the coming days. </w:t>
      </w:r>
    </w:p>
    <w:p w14:paraId="3B032537" w14:textId="77777777" w:rsidR="009F4610" w:rsidRDefault="009F4610" w:rsidP="009F4610">
      <w:pPr>
        <w:shd w:val="clear" w:color="auto" w:fill="FFFFFF"/>
        <w:spacing w:after="420" w:line="360" w:lineRule="auto"/>
        <w:jc w:val="both"/>
        <w:rPr>
          <w:color w:val="1F2025"/>
        </w:rPr>
      </w:pPr>
      <w:r>
        <w:rPr>
          <w:color w:val="1F2025"/>
        </w:rPr>
        <w:t>ASB can have a significant impact in communities due to the disregard for community wellbeing.</w:t>
      </w:r>
      <w:r>
        <w:rPr>
          <w:color w:val="1F2025"/>
          <w:highlight w:val="white"/>
        </w:rPr>
        <w:t xml:space="preserve"> People's experience of ASB can lead to feelings of fear and anxiety within the locality which can disrupt their quality of life (Victim Support, 2022). </w:t>
      </w:r>
      <w:r>
        <w:rPr>
          <w:color w:val="1F2025"/>
        </w:rPr>
        <w:t xml:space="preserve">This was the case with the incident in question as the victim disclosed to me that the </w:t>
      </w:r>
      <w:proofErr w:type="gramStart"/>
      <w:r>
        <w:rPr>
          <w:color w:val="1F2025"/>
        </w:rPr>
        <w:t>behaviour</w:t>
      </w:r>
      <w:proofErr w:type="gramEnd"/>
      <w:r>
        <w:rPr>
          <w:color w:val="1F2025"/>
        </w:rPr>
        <w:t xml:space="preserve"> she had witnessed had made her feel uncomfortable, causing her to end her night promptly. The ASB, Crime and Policing Act 2014 provides police and local authorities with a range of powers to respond to ASB. The best possible response to this incident at the time was to disperse the remainder of the group in order to offer immediate relief. This was a discretionary decision after considering the number of youths outnumbered the number of </w:t>
      </w:r>
      <w:proofErr w:type="gramStart"/>
      <w:r>
        <w:rPr>
          <w:color w:val="1F2025"/>
        </w:rPr>
        <w:t>officers</w:t>
      </w:r>
      <w:proofErr w:type="gramEnd"/>
      <w:r>
        <w:rPr>
          <w:color w:val="1F2025"/>
        </w:rPr>
        <w:t xml:space="preserve"> present and the number of alcohol infused members of the public around. I feel that this was appropriate at the time to avoid causing any commotion or further upset amongst the </w:t>
      </w:r>
      <w:proofErr w:type="gramStart"/>
      <w:r>
        <w:rPr>
          <w:color w:val="1F2025"/>
        </w:rPr>
        <w:t>night time</w:t>
      </w:r>
      <w:proofErr w:type="gramEnd"/>
      <w:r>
        <w:rPr>
          <w:color w:val="1F2025"/>
        </w:rPr>
        <w:t xml:space="preserve"> economy. I felt apprehensive at this </w:t>
      </w:r>
      <w:proofErr w:type="gramStart"/>
      <w:r>
        <w:rPr>
          <w:color w:val="1F2025"/>
        </w:rPr>
        <w:t>particular moment</w:t>
      </w:r>
      <w:proofErr w:type="gramEnd"/>
      <w:r>
        <w:rPr>
          <w:color w:val="1F2025"/>
        </w:rPr>
        <w:t xml:space="preserve"> as I was aware of the busyness of the area and conscious of the situation escalating should others, who may be intoxicated, get involved and act adversely</w:t>
      </w:r>
      <w:r>
        <w:rPr>
          <w:color w:val="1F2025"/>
          <w:highlight w:val="white"/>
        </w:rPr>
        <w:t xml:space="preserve">. </w:t>
      </w:r>
      <w:r>
        <w:rPr>
          <w:color w:val="1F2025"/>
        </w:rPr>
        <w:t xml:space="preserve"> Although the victim felt that she could not continue with her night, she did feel that the dispersal made her feel safe enough to be able to wait outside for her transportation home. This made me feel satisfied that we had dealt with the incident in an appropriate manner by listening to her needs and offering her reassurance of her personal safety. </w:t>
      </w:r>
    </w:p>
    <w:p w14:paraId="02B781B5" w14:textId="77777777" w:rsidR="009F4610" w:rsidRDefault="009F4610" w:rsidP="009F4610">
      <w:pPr>
        <w:shd w:val="clear" w:color="auto" w:fill="FFFFFF"/>
        <w:spacing w:after="420" w:line="360" w:lineRule="auto"/>
        <w:jc w:val="both"/>
        <w:rPr>
          <w:color w:val="1F2025"/>
        </w:rPr>
      </w:pPr>
      <w:r>
        <w:rPr>
          <w:color w:val="1F2025"/>
        </w:rPr>
        <w:t xml:space="preserve">When responding to ASB, police constables are encouraged to consider the effect that the behaviour in question is having on the lives of those subject to it recognising, for example, the debilitating impact that persistent or repeated ASB can have on its victims, and the cumulative impact if that behaviour </w:t>
      </w:r>
      <w:r>
        <w:rPr>
          <w:color w:val="1F2025"/>
        </w:rPr>
        <w:lastRenderedPageBreak/>
        <w:t xml:space="preserve">persists over a period of time (Gov, 2021). Dealing with such a wide range of behaviours means that responsibility for handling ASB is shared between </w:t>
      </w:r>
      <w:proofErr w:type="gramStart"/>
      <w:r>
        <w:rPr>
          <w:color w:val="1F2025"/>
        </w:rPr>
        <w:t>a number of</w:t>
      </w:r>
      <w:proofErr w:type="gramEnd"/>
      <w:r>
        <w:rPr>
          <w:color w:val="1F2025"/>
        </w:rPr>
        <w:t xml:space="preserve"> agencies, particularly the Police and Local Authorities. With regards to the incident in question, my initial and immediate response was to informally disperse the group from the area which did control the problem at the time. However, I did feel a sense of disappointment after leaving the scene given the fact that the victim feared this would happen again and would not be engaging in activities in the local </w:t>
      </w:r>
      <w:proofErr w:type="gramStart"/>
      <w:r>
        <w:rPr>
          <w:color w:val="1F2025"/>
        </w:rPr>
        <w:t>night time</w:t>
      </w:r>
      <w:proofErr w:type="gramEnd"/>
      <w:r>
        <w:rPr>
          <w:color w:val="1F2025"/>
        </w:rPr>
        <w:t xml:space="preserve"> economy again soon. I also believed that we may also not be as fortunate in the future that the group would be as compliant. During the remainder of my patrol on City Safe that evening, I chose to use the time to speak to others in the area who shared a similar view. Collecting data and dialogue from the wider community was necessary to develop a proportionate action plan going forward. </w:t>
      </w:r>
    </w:p>
    <w:p w14:paraId="54F7A9B6" w14:textId="77777777" w:rsidR="009F4610" w:rsidRDefault="009F4610" w:rsidP="009F4610">
      <w:pPr>
        <w:shd w:val="clear" w:color="auto" w:fill="FFFFFF"/>
        <w:spacing w:after="420" w:line="360" w:lineRule="auto"/>
        <w:jc w:val="both"/>
        <w:rPr>
          <w:color w:val="1F2025"/>
        </w:rPr>
      </w:pPr>
      <w:r>
        <w:rPr>
          <w:color w:val="1F2025"/>
        </w:rPr>
        <w:t>Police constables are encouraged to tackle crime and disorder using the Problem-oriented policing (POP) approach. POP can be described in the context of the OSARA (objective, scanning, analysis, response, assessment) model of problem solving (</w:t>
      </w:r>
      <w:proofErr w:type="spellStart"/>
      <w:r>
        <w:rPr>
          <w:color w:val="1F2025"/>
        </w:rPr>
        <w:t>Liegh</w:t>
      </w:r>
      <w:proofErr w:type="spellEnd"/>
      <w:r>
        <w:rPr>
          <w:color w:val="1F2025"/>
        </w:rPr>
        <w:t xml:space="preserve"> et al, 1996, p.17). Constables working within a problem-solving framework have widely adopted the ‘OSARA’ model as a useful tool to utilise in their work to reduce ASB. The first element of the model known as ‘scanning’ can highlight recurring problems of concern, identify consequences and determine the frequency of the issue. With regards to this incident, I undertook a quick scanning exercise shortly after the incident during my City Safe Patrol which allowed me to understand the public perception of the issue of youth gatherings in the locality. Afterwards, I looked at local data already available as well as spoke to others on shift to see if they had responded to any similar ASB incidents in the area. I also recalled control informing me that they had received </w:t>
      </w:r>
      <w:proofErr w:type="gramStart"/>
      <w:r>
        <w:rPr>
          <w:color w:val="1F2025"/>
        </w:rPr>
        <w:t>a number of</w:t>
      </w:r>
      <w:proofErr w:type="gramEnd"/>
      <w:r>
        <w:rPr>
          <w:color w:val="1F2025"/>
        </w:rPr>
        <w:t xml:space="preserve"> calls regarding youths gathering and causing nuisance behaviour in the area recently. The analysis element of OSARA requires constables to gather information and intelligence to identify underlying causes of the problem. It was at this point I uncovered that the nuisance behaviour was particularly persistent in the area during school holidays and weekends, fuelled by underage drinking or psychoactive substance use. With this in mind, I used my professional judgement to select the best course of action to establish trust and improve the quality of life for those engaging in </w:t>
      </w:r>
      <w:proofErr w:type="gramStart"/>
      <w:r>
        <w:rPr>
          <w:color w:val="1F2025"/>
        </w:rPr>
        <w:t>night time</w:t>
      </w:r>
      <w:proofErr w:type="gramEnd"/>
      <w:r>
        <w:rPr>
          <w:color w:val="1F2025"/>
        </w:rPr>
        <w:t xml:space="preserve"> economy activities. </w:t>
      </w:r>
    </w:p>
    <w:p w14:paraId="3C36845C" w14:textId="77777777" w:rsidR="009F4610" w:rsidRDefault="009F4610" w:rsidP="009F4610">
      <w:pPr>
        <w:shd w:val="clear" w:color="auto" w:fill="FFFFFF"/>
        <w:spacing w:after="420" w:line="360" w:lineRule="auto"/>
        <w:jc w:val="both"/>
        <w:rPr>
          <w:color w:val="1F2025"/>
        </w:rPr>
      </w:pPr>
      <w:r>
        <w:rPr>
          <w:color w:val="1F2025"/>
        </w:rPr>
        <w:t xml:space="preserve">The response element of OSARA is ​​to develop and implement tailored activities to address the causes of the problem. Subsequently, I felt the best action going forward was a neighbourhood policing approach. This approach supports officers working in neighbourhood teams and allows them to focus on problem solving and early prevention (College of Policing, 2022). In addition, support with partners was also considered and councils were instructed to closely watch CCTV on that </w:t>
      </w:r>
      <w:proofErr w:type="gramStart"/>
      <w:r>
        <w:rPr>
          <w:color w:val="1F2025"/>
        </w:rPr>
        <w:t>particular street</w:t>
      </w:r>
      <w:proofErr w:type="gramEnd"/>
      <w:r>
        <w:rPr>
          <w:color w:val="1F2025"/>
        </w:rPr>
        <w:t xml:space="preserve">, especially during weekends and school holidays. I also put in a request for social media posts to be circulated aimed at parents in the local area to encourage their children not to gather in specified areas. I believe these actions were necessary and reflected my responsibility as a constable to act in the best interest of society whilst remaining impartial and transparent. Soon after, I informed the victim that this was the action we were taking to tackle the ASB to which she was grateful for and felt reassured that a greater police presence gave her confidence that she could have a more enjoyable time out in the </w:t>
      </w:r>
      <w:r>
        <w:rPr>
          <w:color w:val="1F2025"/>
        </w:rPr>
        <w:lastRenderedPageBreak/>
        <w:t xml:space="preserve">future. ​​Feeling informed about police activities is associated with more positive perceptions of police effectiveness and community engagement (Bradford et al, 2009, p.22). With regards to this incident, I believe this was the case as a decision had been made which </w:t>
      </w:r>
      <w:r>
        <w:rPr>
          <w:color w:val="1F2025"/>
          <w:highlight w:val="white"/>
        </w:rPr>
        <w:t>addressed an issue affecting the well-being of the community and increased a sense of trust and confidence in the police that we take accountability for finding the best possible solution.</w:t>
      </w:r>
    </w:p>
    <w:p w14:paraId="128094B7" w14:textId="77777777" w:rsidR="009F4610" w:rsidRDefault="009F4610" w:rsidP="009F4610">
      <w:pPr>
        <w:shd w:val="clear" w:color="auto" w:fill="FFFFFF"/>
        <w:spacing w:after="420" w:line="360" w:lineRule="auto"/>
        <w:jc w:val="both"/>
        <w:rPr>
          <w:color w:val="1F2025"/>
        </w:rPr>
      </w:pPr>
      <w:r>
        <w:rPr>
          <w:color w:val="1F2025"/>
        </w:rPr>
        <w:t xml:space="preserve">The final element of OSARA assessment which is the measurement of the impact of the response to test if it had the desired effect and to make changes to the response if required. Conducting ongoing assessments during City Safe revealed that there had been a decline in young people congregating in the area and people had felt more confident going out again, therefore the objective was achieved. </w:t>
      </w:r>
      <w:proofErr w:type="spellStart"/>
      <w:r>
        <w:rPr>
          <w:color w:val="1F2025"/>
        </w:rPr>
        <w:t>Yesburg</w:t>
      </w:r>
      <w:proofErr w:type="spellEnd"/>
      <w:r>
        <w:rPr>
          <w:color w:val="1F2025"/>
        </w:rPr>
        <w:t xml:space="preserve"> and Bradford (2021, p.421) suggests in their research that “neighbourhood policing has </w:t>
      </w:r>
      <w:r>
        <w:rPr>
          <w:color w:val="1F2025"/>
          <w:highlight w:val="white"/>
        </w:rPr>
        <w:t xml:space="preserve">been shown to reduce public perceptions of disorder and improve feelings of safety” which can be argued in this case as the action plan was ultimately successful in achieving less reports of nuisance behaviour in the area and gathering of youths. It was not deemed necessary to put in a formal dispersal order request in this instance </w:t>
      </w:r>
      <w:r>
        <w:rPr>
          <w:color w:val="1F2025"/>
        </w:rPr>
        <w:t xml:space="preserve">as visible patrols met public expectations. Although exercising my discretionary judgement was received well by the majority in the community, it is important for one to understand the situation and impact of the decisions made from those affected by it, in this case, the youths. Millie et al (2005, p.9) argue in their research that “the context of youthful misbehaviour is changing and as a result people are more likely to perceive young people's behaviour as anti-social and to worry about it”. </w:t>
      </w:r>
      <w:proofErr w:type="gramStart"/>
      <w:r>
        <w:rPr>
          <w:color w:val="1F2025"/>
        </w:rPr>
        <w:t>In essence, this</w:t>
      </w:r>
      <w:proofErr w:type="gramEnd"/>
      <w:r>
        <w:rPr>
          <w:color w:val="1F2025"/>
        </w:rPr>
        <w:t xml:space="preserve"> can create issues of bias in communities against youths and attract reports of young people simply ‘hanging around’ which in itself is not necessarily anti-social. Thus, police practices and decision making needs to be impartial and give equal consideration to both sides. Looking back, I believe I acted fairly throughout this incident by </w:t>
      </w:r>
      <w:r>
        <w:rPr>
          <w:color w:val="1F2025"/>
          <w:shd w:val="clear" w:color="auto" w:fill="FFFFF6"/>
        </w:rPr>
        <w:t xml:space="preserve">actively listening to people's opinions, treating everyone fairly when responding promptly and communicating with everyone well to deliver the relevant message to all. Assessing the situation both during and afterwards allowed me to develop a clear rationale for my decisions and actions. </w:t>
      </w:r>
    </w:p>
    <w:p w14:paraId="69D5FB68" w14:textId="77777777" w:rsidR="009F4610" w:rsidRDefault="009F4610" w:rsidP="009F4610">
      <w:pPr>
        <w:shd w:val="clear" w:color="auto" w:fill="FFFFFF"/>
        <w:spacing w:after="420" w:line="360" w:lineRule="auto"/>
        <w:jc w:val="both"/>
        <w:rPr>
          <w:color w:val="1F2025"/>
        </w:rPr>
      </w:pPr>
      <w:r>
        <w:rPr>
          <w:color w:val="1F2025"/>
        </w:rPr>
        <w:t xml:space="preserve">I believe this incident has taught me a great deal about how ASB can impact the local community, especially with regards to the </w:t>
      </w:r>
      <w:proofErr w:type="gramStart"/>
      <w:r>
        <w:rPr>
          <w:color w:val="1F2025"/>
        </w:rPr>
        <w:t>night time</w:t>
      </w:r>
      <w:proofErr w:type="gramEnd"/>
      <w:r>
        <w:rPr>
          <w:color w:val="1F2025"/>
        </w:rPr>
        <w:t xml:space="preserve"> economy. It is important to give victims and witnesses a chance to be heard as this allows time to establish the context of the behaviour. This incident made me realise that </w:t>
      </w:r>
      <w:r>
        <w:rPr>
          <w:color w:val="1F2025"/>
          <w:highlight w:val="white"/>
        </w:rPr>
        <w:t xml:space="preserve">careful consideration must be given when deciding the best course of action, especially where youths are involved amongst those enjoying the </w:t>
      </w:r>
      <w:proofErr w:type="gramStart"/>
      <w:r>
        <w:rPr>
          <w:color w:val="1F2025"/>
          <w:highlight w:val="white"/>
        </w:rPr>
        <w:t>night time</w:t>
      </w:r>
      <w:proofErr w:type="gramEnd"/>
      <w:r>
        <w:rPr>
          <w:color w:val="1F2025"/>
          <w:highlight w:val="white"/>
        </w:rPr>
        <w:t xml:space="preserve"> economy, as they are a group often deemed as problematic regardless of their actual behaviour. </w:t>
      </w:r>
      <w:r>
        <w:rPr>
          <w:color w:val="1F2025"/>
        </w:rPr>
        <w:t xml:space="preserve">Although the response to this incident was </w:t>
      </w:r>
      <w:proofErr w:type="gramStart"/>
      <w:r>
        <w:rPr>
          <w:color w:val="1F2025"/>
        </w:rPr>
        <w:t>fairly simple</w:t>
      </w:r>
      <w:proofErr w:type="gramEnd"/>
      <w:r>
        <w:rPr>
          <w:color w:val="1F2025"/>
        </w:rPr>
        <w:t xml:space="preserve"> and straightforward, it is important for me to recognise that an incident like this could easily occur again and not every response will be unproblematic. In order to develop my </w:t>
      </w:r>
      <w:proofErr w:type="gramStart"/>
      <w:r>
        <w:rPr>
          <w:color w:val="1F2025"/>
        </w:rPr>
        <w:t>practice</w:t>
      </w:r>
      <w:proofErr w:type="gramEnd"/>
      <w:r>
        <w:rPr>
          <w:color w:val="1F2025"/>
        </w:rPr>
        <w:t xml:space="preserve"> I will continue to measure and collect data relating to ASB during City Safe to expose oneself to other issues and understand how and when it is necessary to use alternative powers.</w:t>
      </w:r>
    </w:p>
    <w:p w14:paraId="511AB732" w14:textId="77777777" w:rsidR="009F4610" w:rsidRDefault="009F4610" w:rsidP="009F4610">
      <w:pPr>
        <w:spacing w:line="360" w:lineRule="auto"/>
        <w:jc w:val="both"/>
        <w:rPr>
          <w:color w:val="1F2025"/>
          <w:highlight w:val="white"/>
        </w:rPr>
      </w:pPr>
      <w:r>
        <w:rPr>
          <w:color w:val="1F2025"/>
          <w:highlight w:val="white"/>
        </w:rPr>
        <w:t>Word count: 1917</w:t>
      </w:r>
    </w:p>
    <w:p w14:paraId="08F2E105" w14:textId="77777777" w:rsidR="009F4610" w:rsidRDefault="009F4610" w:rsidP="009F4610">
      <w:pPr>
        <w:spacing w:line="360" w:lineRule="auto"/>
        <w:jc w:val="both"/>
        <w:rPr>
          <w:color w:val="1F2025"/>
          <w:highlight w:val="white"/>
        </w:rPr>
      </w:pPr>
    </w:p>
    <w:p w14:paraId="68AF26D9" w14:textId="77777777" w:rsidR="009F4610" w:rsidRDefault="009F4610" w:rsidP="009F4610">
      <w:pPr>
        <w:spacing w:line="360" w:lineRule="auto"/>
        <w:jc w:val="both"/>
        <w:rPr>
          <w:color w:val="1F2025"/>
          <w:highlight w:val="white"/>
        </w:rPr>
      </w:pPr>
      <w:r>
        <w:rPr>
          <w:color w:val="1F2025"/>
          <w:highlight w:val="white"/>
        </w:rPr>
        <w:lastRenderedPageBreak/>
        <w:t xml:space="preserve">Bibliography: </w:t>
      </w:r>
    </w:p>
    <w:p w14:paraId="22724F37" w14:textId="77777777" w:rsidR="009F4610" w:rsidRDefault="009F4610" w:rsidP="009F4610">
      <w:pPr>
        <w:spacing w:line="360" w:lineRule="auto"/>
        <w:jc w:val="both"/>
        <w:rPr>
          <w:color w:val="1F2025"/>
          <w:highlight w:val="white"/>
        </w:rPr>
      </w:pPr>
    </w:p>
    <w:p w14:paraId="1655B88A" w14:textId="77777777" w:rsidR="009F4610" w:rsidRDefault="009F4610" w:rsidP="009F4610">
      <w:pPr>
        <w:spacing w:line="360" w:lineRule="auto"/>
        <w:jc w:val="both"/>
        <w:rPr>
          <w:color w:val="1F2025"/>
          <w:highlight w:val="white"/>
        </w:rPr>
      </w:pPr>
      <w:r>
        <w:rPr>
          <w:color w:val="333333"/>
          <w:highlight w:val="white"/>
        </w:rPr>
        <w:t xml:space="preserve">Bradford, B., Jackson, J. and Stanko, E. (2009) ‘Contact and confidence: revisiting the impact of public encounters with the police’, </w:t>
      </w:r>
      <w:r>
        <w:rPr>
          <w:i/>
          <w:color w:val="333333"/>
          <w:highlight w:val="white"/>
        </w:rPr>
        <w:t>Policing and Society</w:t>
      </w:r>
      <w:r>
        <w:rPr>
          <w:color w:val="333333"/>
          <w:highlight w:val="white"/>
        </w:rPr>
        <w:t>, 19 (1), pp. 20-46.</w:t>
      </w:r>
    </w:p>
    <w:p w14:paraId="71954B84" w14:textId="77777777" w:rsidR="009F4610" w:rsidRDefault="009F4610" w:rsidP="009F4610">
      <w:pPr>
        <w:spacing w:line="360" w:lineRule="auto"/>
        <w:jc w:val="both"/>
        <w:rPr>
          <w:color w:val="1F2025"/>
          <w:highlight w:val="white"/>
        </w:rPr>
      </w:pPr>
    </w:p>
    <w:p w14:paraId="077EE870" w14:textId="77777777" w:rsidR="009F4610" w:rsidRDefault="009F4610" w:rsidP="009F4610">
      <w:pPr>
        <w:spacing w:line="360" w:lineRule="auto"/>
        <w:jc w:val="both"/>
        <w:rPr>
          <w:color w:val="1F2025"/>
          <w:highlight w:val="white"/>
        </w:rPr>
      </w:pPr>
      <w:r>
        <w:rPr>
          <w:color w:val="333333"/>
          <w:highlight w:val="white"/>
        </w:rPr>
        <w:t xml:space="preserve">College of Policing (2022) </w:t>
      </w:r>
      <w:r>
        <w:rPr>
          <w:i/>
          <w:color w:val="333333"/>
          <w:highlight w:val="white"/>
        </w:rPr>
        <w:t xml:space="preserve">Using the community trigger to address anti-social behaviour, </w:t>
      </w:r>
      <w:r>
        <w:rPr>
          <w:color w:val="333333"/>
          <w:highlight w:val="white"/>
        </w:rPr>
        <w:t xml:space="preserve">Available at: </w:t>
      </w:r>
      <w:hyperlink r:id="rId27">
        <w:r>
          <w:rPr>
            <w:color w:val="1155CC"/>
            <w:highlight w:val="white"/>
            <w:u w:val="single"/>
          </w:rPr>
          <w:t>https://www.college.police.uk/article/using-community-trigger-address-anti-social-behaviour</w:t>
        </w:r>
      </w:hyperlink>
      <w:r>
        <w:rPr>
          <w:color w:val="333333"/>
          <w:highlight w:val="white"/>
        </w:rPr>
        <w:t xml:space="preserve">, (Accessed: 12th April 2022). </w:t>
      </w:r>
    </w:p>
    <w:p w14:paraId="2AA7D04E" w14:textId="77777777" w:rsidR="009F4610" w:rsidRDefault="009F4610" w:rsidP="009F4610">
      <w:pPr>
        <w:spacing w:line="360" w:lineRule="auto"/>
        <w:jc w:val="both"/>
        <w:rPr>
          <w:color w:val="1F2025"/>
          <w:highlight w:val="white"/>
        </w:rPr>
      </w:pPr>
    </w:p>
    <w:p w14:paraId="02EEFBFC" w14:textId="77777777" w:rsidR="009F4610" w:rsidRDefault="009F4610" w:rsidP="009F4610">
      <w:pPr>
        <w:spacing w:line="360" w:lineRule="auto"/>
        <w:jc w:val="both"/>
        <w:rPr>
          <w:color w:val="333333"/>
          <w:highlight w:val="white"/>
        </w:rPr>
      </w:pPr>
      <w:r>
        <w:rPr>
          <w:color w:val="1F2025"/>
          <w:highlight w:val="white"/>
        </w:rPr>
        <w:t xml:space="preserve">Gov (2003) </w:t>
      </w:r>
      <w:r>
        <w:rPr>
          <w:i/>
          <w:color w:val="1F2025"/>
          <w:highlight w:val="white"/>
        </w:rPr>
        <w:t xml:space="preserve">Defining and Measuring Anti-social Behaviour, </w:t>
      </w:r>
      <w:r>
        <w:rPr>
          <w:color w:val="1F2025"/>
          <w:highlight w:val="white"/>
        </w:rPr>
        <w:t xml:space="preserve">Available at: </w:t>
      </w:r>
      <w:hyperlink r:id="rId28">
        <w:r>
          <w:rPr>
            <w:color w:val="1155CC"/>
            <w:highlight w:val="white"/>
            <w:u w:val="single"/>
          </w:rPr>
          <w:t>https://assets.publishing.service.gov.uk/government/uploads/system/uploads/attachment_data/file/116655/dpr26.pdf</w:t>
        </w:r>
      </w:hyperlink>
      <w:r>
        <w:rPr>
          <w:color w:val="1F2025"/>
          <w:highlight w:val="white"/>
        </w:rPr>
        <w:t xml:space="preserve">, (Accessed: 10th April 2022). </w:t>
      </w:r>
    </w:p>
    <w:p w14:paraId="25459624" w14:textId="77777777" w:rsidR="009F4610" w:rsidRDefault="009F4610" w:rsidP="009F4610">
      <w:pPr>
        <w:spacing w:line="360" w:lineRule="auto"/>
        <w:jc w:val="both"/>
        <w:rPr>
          <w:color w:val="333333"/>
          <w:highlight w:val="white"/>
        </w:rPr>
      </w:pPr>
    </w:p>
    <w:p w14:paraId="799DA145" w14:textId="77777777" w:rsidR="009F4610" w:rsidRDefault="009F4610" w:rsidP="009F4610">
      <w:pPr>
        <w:spacing w:line="360" w:lineRule="auto"/>
        <w:jc w:val="both"/>
        <w:rPr>
          <w:color w:val="333333"/>
          <w:highlight w:val="white"/>
        </w:rPr>
      </w:pPr>
      <w:r>
        <w:rPr>
          <w:color w:val="333333"/>
          <w:highlight w:val="white"/>
        </w:rPr>
        <w:t xml:space="preserve">Gov (2019) </w:t>
      </w:r>
      <w:r>
        <w:rPr>
          <w:i/>
          <w:color w:val="333333"/>
          <w:highlight w:val="white"/>
        </w:rPr>
        <w:t xml:space="preserve">Approaches to Managing the Night Time Economy, </w:t>
      </w:r>
      <w:r>
        <w:rPr>
          <w:color w:val="333333"/>
          <w:highlight w:val="white"/>
        </w:rPr>
        <w:t xml:space="preserve">Available at: </w:t>
      </w:r>
      <w:hyperlink r:id="rId29">
        <w:r>
          <w:rPr>
            <w:color w:val="1155CC"/>
            <w:highlight w:val="white"/>
            <w:u w:val="single"/>
          </w:rPr>
          <w:t>https://www.local.gov.uk/sites/default/files/documents/10.40%20Approaches%20to%20managing%20the%20night-time%20economy%20-%20case%20studies_v04_2.pdf</w:t>
        </w:r>
      </w:hyperlink>
      <w:r>
        <w:rPr>
          <w:color w:val="333333"/>
          <w:highlight w:val="white"/>
        </w:rPr>
        <w:t xml:space="preserve">, (Accessed: 10th April 2022). </w:t>
      </w:r>
    </w:p>
    <w:p w14:paraId="2F40BBC5" w14:textId="77777777" w:rsidR="009F4610" w:rsidRDefault="009F4610" w:rsidP="009F4610">
      <w:pPr>
        <w:spacing w:line="360" w:lineRule="auto"/>
        <w:jc w:val="both"/>
        <w:rPr>
          <w:color w:val="333333"/>
          <w:highlight w:val="white"/>
        </w:rPr>
      </w:pPr>
    </w:p>
    <w:p w14:paraId="61703707" w14:textId="77777777" w:rsidR="009F4610" w:rsidRDefault="009F4610" w:rsidP="009F4610">
      <w:pPr>
        <w:spacing w:line="360" w:lineRule="auto"/>
        <w:jc w:val="both"/>
        <w:rPr>
          <w:color w:val="333333"/>
          <w:highlight w:val="white"/>
        </w:rPr>
      </w:pPr>
      <w:r>
        <w:rPr>
          <w:color w:val="333333"/>
          <w:highlight w:val="white"/>
        </w:rPr>
        <w:t xml:space="preserve">Gov (2021) </w:t>
      </w:r>
      <w:r>
        <w:rPr>
          <w:i/>
          <w:color w:val="333333"/>
          <w:highlight w:val="white"/>
        </w:rPr>
        <w:t xml:space="preserve">Anti-social Behaviour, Crime and Policing Act 2014: Anti-social behaviour powers, Statutory guidance for frontline professionals, </w:t>
      </w:r>
      <w:r>
        <w:rPr>
          <w:color w:val="333333"/>
          <w:highlight w:val="white"/>
        </w:rPr>
        <w:t xml:space="preserve">Available at: </w:t>
      </w:r>
      <w:hyperlink r:id="rId30">
        <w:r>
          <w:rPr>
            <w:color w:val="1155CC"/>
            <w:highlight w:val="white"/>
            <w:u w:val="single"/>
          </w:rPr>
          <w:t>https://assets.publishing.service.gov.uk/government/uploads/system/uploads/attachment_data/file/956143/ASB_Statutory_Guidance.pdf</w:t>
        </w:r>
      </w:hyperlink>
      <w:r>
        <w:rPr>
          <w:color w:val="333333"/>
          <w:highlight w:val="white"/>
        </w:rPr>
        <w:t xml:space="preserve">, (Accessed: 12th April 2022). </w:t>
      </w:r>
    </w:p>
    <w:p w14:paraId="28FBE5CE" w14:textId="77777777" w:rsidR="009F4610" w:rsidRDefault="009F4610" w:rsidP="009F4610">
      <w:pPr>
        <w:spacing w:line="360" w:lineRule="auto"/>
        <w:jc w:val="both"/>
        <w:rPr>
          <w:color w:val="333333"/>
          <w:highlight w:val="white"/>
        </w:rPr>
      </w:pPr>
    </w:p>
    <w:p w14:paraId="62ABD6A4" w14:textId="77777777" w:rsidR="009F4610" w:rsidRDefault="009F4610" w:rsidP="009F4610">
      <w:pPr>
        <w:spacing w:line="360" w:lineRule="auto"/>
        <w:jc w:val="both"/>
        <w:rPr>
          <w:color w:val="333333"/>
          <w:highlight w:val="white"/>
        </w:rPr>
      </w:pPr>
      <w:r>
        <w:rPr>
          <w:color w:val="333333"/>
          <w:highlight w:val="white"/>
        </w:rPr>
        <w:t xml:space="preserve">Leigh, A., Read, T. and Tilley, N. (1996) </w:t>
      </w:r>
      <w:r>
        <w:rPr>
          <w:i/>
          <w:color w:val="333333"/>
          <w:highlight w:val="white"/>
        </w:rPr>
        <w:t>Problem-Oriented Policing: Brit Pop,</w:t>
      </w:r>
      <w:r>
        <w:rPr>
          <w:color w:val="333333"/>
          <w:highlight w:val="white"/>
        </w:rPr>
        <w:t xml:space="preserve"> Home Office Crime Detection and Prevention Series Paper 75, London: Home Office.</w:t>
      </w:r>
    </w:p>
    <w:p w14:paraId="7556445E" w14:textId="77777777" w:rsidR="009F4610" w:rsidRDefault="009F4610" w:rsidP="009F4610">
      <w:pPr>
        <w:spacing w:line="360" w:lineRule="auto"/>
        <w:jc w:val="both"/>
        <w:rPr>
          <w:color w:val="333333"/>
          <w:highlight w:val="white"/>
        </w:rPr>
      </w:pPr>
    </w:p>
    <w:p w14:paraId="0989AE7B" w14:textId="77777777" w:rsidR="009F4610" w:rsidRDefault="009F4610" w:rsidP="009F4610">
      <w:pPr>
        <w:spacing w:line="360" w:lineRule="auto"/>
        <w:jc w:val="both"/>
        <w:rPr>
          <w:color w:val="333333"/>
          <w:highlight w:val="white"/>
        </w:rPr>
      </w:pPr>
      <w:r>
        <w:rPr>
          <w:color w:val="333333"/>
          <w:highlight w:val="white"/>
        </w:rPr>
        <w:t xml:space="preserve">Millie, A., Jacobson, J., McDonald, E. and Hough, M. (2005) </w:t>
      </w:r>
      <w:r>
        <w:rPr>
          <w:i/>
          <w:color w:val="333333"/>
          <w:highlight w:val="white"/>
        </w:rPr>
        <w:t>Anti-social behaviour strategies: finding a balance</w:t>
      </w:r>
      <w:r>
        <w:rPr>
          <w:color w:val="333333"/>
          <w:highlight w:val="white"/>
        </w:rPr>
        <w:t>. Bristol: The Policy Press.</w:t>
      </w:r>
    </w:p>
    <w:p w14:paraId="01F7608E" w14:textId="77777777" w:rsidR="009F4610" w:rsidRDefault="009F4610" w:rsidP="009F4610">
      <w:pPr>
        <w:spacing w:line="360" w:lineRule="auto"/>
        <w:jc w:val="both"/>
        <w:rPr>
          <w:color w:val="333333"/>
          <w:highlight w:val="white"/>
        </w:rPr>
      </w:pPr>
    </w:p>
    <w:p w14:paraId="0A3FE016" w14:textId="77777777" w:rsidR="009F4610" w:rsidRDefault="009F4610" w:rsidP="009F4610">
      <w:pPr>
        <w:spacing w:line="360" w:lineRule="auto"/>
        <w:jc w:val="both"/>
        <w:rPr>
          <w:color w:val="333333"/>
          <w:highlight w:val="white"/>
        </w:rPr>
      </w:pPr>
      <w:r>
        <w:rPr>
          <w:color w:val="333333"/>
          <w:highlight w:val="white"/>
        </w:rPr>
        <w:t xml:space="preserve">Victim Support (2022) </w:t>
      </w:r>
      <w:r>
        <w:rPr>
          <w:i/>
          <w:color w:val="333333"/>
          <w:highlight w:val="white"/>
        </w:rPr>
        <w:t xml:space="preserve">Antisocial Behaviour, </w:t>
      </w:r>
      <w:r>
        <w:rPr>
          <w:color w:val="333333"/>
          <w:highlight w:val="white"/>
        </w:rPr>
        <w:t>Available at:</w:t>
      </w:r>
      <w:r>
        <w:rPr>
          <w:i/>
          <w:color w:val="333333"/>
          <w:highlight w:val="white"/>
        </w:rPr>
        <w:t xml:space="preserve"> </w:t>
      </w:r>
      <w:hyperlink r:id="rId31">
        <w:r>
          <w:rPr>
            <w:color w:val="1155CC"/>
            <w:highlight w:val="white"/>
            <w:u w:val="single"/>
          </w:rPr>
          <w:t>https://www.victimsupport.org.uk/crime-info/types-crime/antisocial-behaviour/</w:t>
        </w:r>
      </w:hyperlink>
      <w:r>
        <w:rPr>
          <w:color w:val="333333"/>
          <w:highlight w:val="white"/>
        </w:rPr>
        <w:t xml:space="preserve">, (Accessed: 11th April 2022). </w:t>
      </w:r>
    </w:p>
    <w:p w14:paraId="4F845DD2" w14:textId="77777777" w:rsidR="009F4610" w:rsidRDefault="009F4610" w:rsidP="009F4610">
      <w:pPr>
        <w:spacing w:line="360" w:lineRule="auto"/>
        <w:jc w:val="both"/>
        <w:rPr>
          <w:color w:val="333333"/>
          <w:highlight w:val="white"/>
        </w:rPr>
      </w:pPr>
    </w:p>
    <w:p w14:paraId="24102A1B" w14:textId="77777777" w:rsidR="009F4610" w:rsidRDefault="009F4610" w:rsidP="009F4610">
      <w:pPr>
        <w:spacing w:line="360" w:lineRule="auto"/>
        <w:jc w:val="both"/>
        <w:rPr>
          <w:color w:val="333333"/>
          <w:highlight w:val="white"/>
        </w:rPr>
      </w:pPr>
      <w:proofErr w:type="spellStart"/>
      <w:r>
        <w:rPr>
          <w:color w:val="333333"/>
          <w:highlight w:val="white"/>
        </w:rPr>
        <w:t>Yesburg</w:t>
      </w:r>
      <w:proofErr w:type="spellEnd"/>
      <w:r>
        <w:rPr>
          <w:color w:val="333333"/>
          <w:highlight w:val="white"/>
        </w:rPr>
        <w:t xml:space="preserve">, J. and Bradford, B. (2021) ‘Policing and collective efficacy: A rapid evidence assessment’, </w:t>
      </w:r>
      <w:r>
        <w:rPr>
          <w:i/>
          <w:color w:val="333333"/>
          <w:highlight w:val="white"/>
        </w:rPr>
        <w:t xml:space="preserve">International Journal of Police Science and Management, </w:t>
      </w:r>
      <w:r>
        <w:rPr>
          <w:color w:val="333333"/>
          <w:highlight w:val="white"/>
        </w:rPr>
        <w:t xml:space="preserve">23 (4), pp. 417-430.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3C2083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F4610">
        <w:rPr>
          <w:rFonts w:eastAsia="Arial"/>
          <w:color w:val="000000" w:themeColor="text1"/>
          <w:sz w:val="24"/>
          <w:szCs w:val="24"/>
        </w:rPr>
        <w:t>I.BOX</w:t>
      </w:r>
      <w:r w:rsidRPr="5848403C">
        <w:rPr>
          <w:rFonts w:eastAsia="Arial"/>
          <w:color w:val="000000" w:themeColor="text1"/>
          <w:sz w:val="24"/>
          <w:szCs w:val="24"/>
        </w:rPr>
        <w:t xml:space="preserve"> (Learner</w:t>
      </w:r>
      <w:r w:rsidR="009F4610">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24A0B16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9F4610">
        <w:rPr>
          <w:rFonts w:eastAsia="Arial"/>
          <w:color w:val="000000" w:themeColor="text1"/>
          <w:sz w:val="24"/>
          <w:szCs w:val="24"/>
        </w:rPr>
        <w:t>20/04/2022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EC701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F4610">
        <w:rPr>
          <w:rFonts w:eastAsia="Arial"/>
          <w:color w:val="000000" w:themeColor="text1"/>
          <w:sz w:val="24"/>
          <w:szCs w:val="24"/>
        </w:rPr>
        <w:t>I.BOX</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6440F66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9F4610">
        <w:rPr>
          <w:rFonts w:eastAsia="Arial"/>
          <w:color w:val="000000" w:themeColor="text1"/>
          <w:sz w:val="24"/>
          <w:szCs w:val="24"/>
        </w:rPr>
        <w:t>20/04/2022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430ED" w14:textId="77777777" w:rsidR="00E91B0B" w:rsidRDefault="00E91B0B">
      <w:r>
        <w:separator/>
      </w:r>
    </w:p>
  </w:endnote>
  <w:endnote w:type="continuationSeparator" w:id="0">
    <w:p w14:paraId="654DF0E0" w14:textId="77777777" w:rsidR="00E91B0B" w:rsidRDefault="00E91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0609D" w14:textId="77777777" w:rsidR="00431D6C" w:rsidRDefault="00431D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D1AB9" w14:textId="77777777" w:rsidR="00431D6C" w:rsidRDefault="00431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6AB48" w14:textId="77777777" w:rsidR="00E91B0B" w:rsidRDefault="00E91B0B">
      <w:r>
        <w:separator/>
      </w:r>
    </w:p>
  </w:footnote>
  <w:footnote w:type="continuationSeparator" w:id="0">
    <w:p w14:paraId="609E8B89" w14:textId="77777777" w:rsidR="00E91B0B" w:rsidRDefault="00E91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2E1A6" w14:textId="77777777" w:rsidR="00431D6C" w:rsidRDefault="00431D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44F76" w14:textId="77777777" w:rsidR="00431D6C" w:rsidRDefault="00431D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8FC31" w14:textId="77777777" w:rsidR="00431D6C" w:rsidRDefault="00431D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1D6C"/>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43A3"/>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4610"/>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65255"/>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B0B"/>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app.college.police.uk/app-content/investigations/investigative-interviewing/" TargetMode="External"/><Relationship Id="rId3" Type="http://schemas.openxmlformats.org/officeDocument/2006/relationships/customXml" Target="../customXml/item3.xml"/><Relationship Id="rId21" Type="http://schemas.openxmlformats.org/officeDocument/2006/relationships/hyperlink" Target="https://journals.sagepub.com/doi/full/10.1177/0032258X1983614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gov.uk/government/publications/new-government-domestic-violence-and-abuse-definition/circular-0032013-new-government-domestic-violence-and-abuse-defini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local.gov.uk/sites/default/files/documents/10.40%20Approaches%20to%20managing%20the%20night-time%20economy%20-%20case%20studies_v04_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11/Recognising-responding-vulnerability-related-risks-guidelines.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library.college.police.uk/docs/acpo/vulnerable-adults-2012.pdf" TargetMode="External"/><Relationship Id="rId28" Type="http://schemas.openxmlformats.org/officeDocument/2006/relationships/hyperlink" Target="https://assets.publishing.service.gov.uk/government/uploads/system/uploads/attachment_data/file/116655/dpr26.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victimsupport.org.uk/crime-info/types-crime/antisocial-behaviou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fed.org/media/16579/welfaresurveygwent-14-01-21-v10.pdf" TargetMode="External"/><Relationship Id="rId22" Type="http://schemas.openxmlformats.org/officeDocument/2006/relationships/hyperlink" Target="https://journals.sagepub.com/doi/full/10.1177/0032258X19836144" TargetMode="External"/><Relationship Id="rId27" Type="http://schemas.openxmlformats.org/officeDocument/2006/relationships/hyperlink" Target="https://www.college.police.uk/article/using-community-trigger-address-anti-social-behaviour" TargetMode="External"/><Relationship Id="rId30" Type="http://schemas.openxmlformats.org/officeDocument/2006/relationships/hyperlink" Target="https://assets.publishing.service.gov.uk/government/uploads/system/uploads/attachment_data/file/956143/ASB_Statutory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0" ma:contentTypeDescription="Create a new document." ma:contentTypeScope="" ma:versionID="9defef81e5fc9c2b5c0f8e1b6d669a38">
  <xsd:schema xmlns:xsd="http://www.w3.org/2001/XMLSchema" xmlns:xs="http://www.w3.org/2001/XMLSchema" xmlns:p="http://schemas.microsoft.com/office/2006/metadata/properties" xmlns:ns3="f9dd6bd1-dff7-48c4-b272-387be775c48c" targetNamespace="http://schemas.microsoft.com/office/2006/metadata/properties" ma:root="true" ma:fieldsID="5aee76d554fd2faa4286eebb9903a6b0"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9dd6bd1-dff7-48c4-b272-387be775c48c"/>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BCEEF45-5A86-497A-87CC-818D50AF1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48D19C-19A5-4354-9275-4FDF7E16B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7750</Words>
  <Characters>44873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Box, Ieuan</cp:lastModifiedBy>
  <cp:revision>2</cp:revision>
  <cp:lastPrinted>2019-09-26T14:40:00Z</cp:lastPrinted>
  <dcterms:created xsi:type="dcterms:W3CDTF">2022-04-20T22:18:00Z</dcterms:created>
  <dcterms:modified xsi:type="dcterms:W3CDTF">2022-04-20T22:18:00Z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2022-03-31T14:27:11Z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5c0f241f-8067-4bcb-b1e4-2dcb485a7a81</vt:lpwstr>
  </property>
  <property fmtid="{D5CDD505-2E9C-101B-9397-08002B2CF9AE}" pid="9" name="MSIP_Label_f2acd28b-79a3-4a0f-b0ff-4b75658b1549_ContentBits">
    <vt:lpwstr>0</vt:lpwstr>
  </property>
</Properties>
</file>