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4286E" w14:textId="58F3B853" w:rsidR="0076692B" w:rsidRPr="0074648E" w:rsidRDefault="0076692B" w:rsidP="0076692B">
      <w:pPr>
        <w:spacing w:line="259" w:lineRule="auto"/>
        <w:jc w:val="left"/>
        <w:rPr>
          <w:rFonts w:cs="Arial"/>
        </w:rPr>
      </w:pPr>
      <w:r w:rsidRPr="0074648E">
        <w:rPr>
          <w:rFonts w:cs="Arial"/>
          <w:noProof/>
        </w:rPr>
        <w:drawing>
          <wp:anchor distT="0" distB="0" distL="114300" distR="114300" simplePos="0" relativeHeight="251658240" behindDoc="1" locked="0" layoutInCell="1" allowOverlap="1" wp14:anchorId="4B12E735" wp14:editId="7EC6ECA4">
            <wp:simplePos x="0" y="0"/>
            <wp:positionH relativeFrom="column">
              <wp:posOffset>2183765</wp:posOffset>
            </wp:positionH>
            <wp:positionV relativeFrom="paragraph">
              <wp:posOffset>13335</wp:posOffset>
            </wp:positionV>
            <wp:extent cx="1809750" cy="723900"/>
            <wp:effectExtent l="0" t="0" r="0" b="0"/>
            <wp:wrapNone/>
            <wp:docPr id="2104790262" name="Picture 210479026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9FC05B" w14:textId="73C49E24" w:rsidR="0076692B" w:rsidRPr="0074648E" w:rsidRDefault="0076692B" w:rsidP="0076692B">
      <w:pPr>
        <w:spacing w:line="259" w:lineRule="auto"/>
        <w:jc w:val="left"/>
        <w:rPr>
          <w:rFonts w:cs="Arial"/>
        </w:rPr>
      </w:pPr>
    </w:p>
    <w:p w14:paraId="2AA325F9" w14:textId="24E6DAEB" w:rsidR="0076692B" w:rsidRPr="0074648E" w:rsidRDefault="0076692B" w:rsidP="0076692B">
      <w:pPr>
        <w:spacing w:line="259" w:lineRule="auto"/>
        <w:jc w:val="left"/>
        <w:rPr>
          <w:rFonts w:cs="Arial"/>
        </w:rPr>
      </w:pPr>
    </w:p>
    <w:p w14:paraId="4FF47CCD" w14:textId="77777777" w:rsidR="0076692B" w:rsidRPr="0074648E" w:rsidRDefault="0076692B" w:rsidP="0076692B">
      <w:pPr>
        <w:spacing w:line="259" w:lineRule="auto"/>
        <w:jc w:val="center"/>
        <w:rPr>
          <w:rFonts w:cs="Arial"/>
        </w:rPr>
      </w:pPr>
      <w:r w:rsidRPr="0074648E">
        <w:rPr>
          <w:rFonts w:cs="Arial"/>
        </w:rPr>
        <w:t xml:space="preserve">Programme Name: </w:t>
      </w:r>
      <w:r w:rsidRPr="0074648E">
        <w:rPr>
          <w:rFonts w:cs="Arial"/>
          <w:sz w:val="22"/>
        </w:rPr>
        <w:t>Master of Business Administration</w:t>
      </w:r>
    </w:p>
    <w:p w14:paraId="716498EA" w14:textId="633E03B5" w:rsidR="0076692B" w:rsidRPr="0074648E" w:rsidRDefault="0076692B" w:rsidP="0076692B">
      <w:pPr>
        <w:spacing w:line="259" w:lineRule="auto"/>
        <w:jc w:val="center"/>
        <w:rPr>
          <w:rFonts w:cs="Arial"/>
        </w:rPr>
      </w:pPr>
      <w:r w:rsidRPr="0074648E">
        <w:rPr>
          <w:rFonts w:cs="Arial"/>
        </w:rPr>
        <w:t xml:space="preserve">Module Code: </w:t>
      </w:r>
      <w:r w:rsidRPr="0076692B">
        <w:rPr>
          <w:rFonts w:cs="Arial"/>
          <w:sz w:val="22"/>
        </w:rPr>
        <w:t>LCMB7034</w:t>
      </w:r>
    </w:p>
    <w:p w14:paraId="3B4B3E0C" w14:textId="77AC47F4" w:rsidR="0076692B" w:rsidRPr="0074648E" w:rsidRDefault="0076692B" w:rsidP="0076692B">
      <w:pPr>
        <w:spacing w:line="259" w:lineRule="auto"/>
        <w:jc w:val="center"/>
        <w:rPr>
          <w:rFonts w:cs="Arial"/>
          <w:sz w:val="22"/>
        </w:rPr>
      </w:pPr>
      <w:r w:rsidRPr="0074648E">
        <w:rPr>
          <w:rFonts w:cs="Arial"/>
        </w:rPr>
        <w:t xml:space="preserve">Module Title: </w:t>
      </w:r>
      <w:r w:rsidRPr="0076692B">
        <w:rPr>
          <w:rFonts w:cs="Arial"/>
          <w:szCs w:val="24"/>
        </w:rPr>
        <w:t>International Business Concepts</w:t>
      </w:r>
    </w:p>
    <w:p w14:paraId="59995CE8" w14:textId="77777777" w:rsidR="0076692B" w:rsidRDefault="0076692B" w:rsidP="0076692B">
      <w:pPr>
        <w:spacing w:line="259" w:lineRule="auto"/>
        <w:jc w:val="center"/>
        <w:rPr>
          <w:rFonts w:cs="Arial"/>
        </w:rPr>
      </w:pPr>
      <w:r w:rsidRPr="0074648E">
        <w:rPr>
          <w:rFonts w:cs="Arial"/>
        </w:rPr>
        <w:t xml:space="preserve">Title: </w:t>
      </w:r>
      <w:r w:rsidRPr="0076692B">
        <w:rPr>
          <w:rFonts w:cs="Arial"/>
        </w:rPr>
        <w:t>China’s Electric Vehicle Industry and a Critical Evaluation of Tesla China</w:t>
      </w:r>
    </w:p>
    <w:p w14:paraId="7752044D" w14:textId="4217A402" w:rsidR="0076692B" w:rsidRPr="0074648E" w:rsidRDefault="0076692B" w:rsidP="0076692B">
      <w:pPr>
        <w:spacing w:line="259" w:lineRule="auto"/>
        <w:jc w:val="center"/>
        <w:rPr>
          <w:rFonts w:cs="Arial"/>
        </w:rPr>
      </w:pPr>
      <w:r w:rsidRPr="0074648E">
        <w:rPr>
          <w:rFonts w:cs="Arial"/>
        </w:rPr>
        <w:t xml:space="preserve">Lecturer Name: </w:t>
      </w:r>
      <w:r w:rsidRPr="0076692B">
        <w:rPr>
          <w:rFonts w:cs="Arial"/>
          <w:sz w:val="22"/>
        </w:rPr>
        <w:t>Dr Robert Ejike Udeogu</w:t>
      </w:r>
    </w:p>
    <w:p w14:paraId="207BFF3A" w14:textId="75DDA6EB" w:rsidR="0076692B" w:rsidRPr="0074648E" w:rsidRDefault="0076692B" w:rsidP="0076692B">
      <w:pPr>
        <w:spacing w:line="259" w:lineRule="auto"/>
        <w:jc w:val="center"/>
        <w:rPr>
          <w:rFonts w:cs="Arial"/>
        </w:rPr>
      </w:pPr>
      <w:r w:rsidRPr="0074648E">
        <w:rPr>
          <w:rFonts w:cs="Arial"/>
        </w:rPr>
        <w:t>Student Name:</w:t>
      </w:r>
      <w:r>
        <w:rPr>
          <w:rFonts w:cs="Arial"/>
        </w:rPr>
        <w:t xml:space="preserve"> Sharaf Uddin</w:t>
      </w:r>
    </w:p>
    <w:p w14:paraId="0297DABD" w14:textId="30715C85" w:rsidR="0076692B" w:rsidRPr="0076692B" w:rsidRDefault="0076692B" w:rsidP="0076692B">
      <w:pPr>
        <w:spacing w:line="259" w:lineRule="auto"/>
        <w:jc w:val="center"/>
        <w:rPr>
          <w:rFonts w:cs="Arial"/>
        </w:rPr>
      </w:pPr>
      <w:r w:rsidRPr="0074648E">
        <w:rPr>
          <w:rFonts w:cs="Arial"/>
        </w:rPr>
        <w:t>Student ID:</w:t>
      </w:r>
      <w:r>
        <w:rPr>
          <w:rFonts w:cs="Arial"/>
        </w:rPr>
        <w:t xml:space="preserve"> 2438922</w:t>
      </w:r>
    </w:p>
    <w:p w14:paraId="59E9F552" w14:textId="77777777" w:rsidR="0076692B" w:rsidRDefault="0076692B">
      <w:pPr>
        <w:jc w:val="center"/>
        <w:rPr>
          <w:rFonts w:cs="Arial"/>
          <w:b/>
          <w:color w:val="1F4E5F"/>
          <w:sz w:val="40"/>
        </w:rPr>
      </w:pPr>
    </w:p>
    <w:p w14:paraId="19F864CA" w14:textId="16AF30A5" w:rsidR="00632E09" w:rsidRPr="00AE1380" w:rsidRDefault="00000000">
      <w:pPr>
        <w:jc w:val="center"/>
        <w:rPr>
          <w:rFonts w:cs="Arial"/>
        </w:rPr>
      </w:pPr>
      <w:r w:rsidRPr="00AE1380">
        <w:rPr>
          <w:rFonts w:cs="Arial"/>
          <w:b/>
          <w:color w:val="1F4E5F"/>
          <w:sz w:val="40"/>
        </w:rPr>
        <w:t>International Business Report</w:t>
      </w:r>
    </w:p>
    <w:p w14:paraId="693F5DA4" w14:textId="77777777" w:rsidR="00632E09" w:rsidRPr="00AE1380" w:rsidRDefault="00000000">
      <w:pPr>
        <w:jc w:val="center"/>
        <w:rPr>
          <w:rFonts w:cs="Arial"/>
        </w:rPr>
      </w:pPr>
      <w:r w:rsidRPr="00AE1380">
        <w:rPr>
          <w:rFonts w:cs="Arial"/>
          <w:b/>
          <w:color w:val="163A47"/>
          <w:sz w:val="36"/>
        </w:rPr>
        <w:t>China’s Electric Vehicle Industry and a Critical Evaluation of Tesla China</w:t>
      </w:r>
    </w:p>
    <w:p w14:paraId="3EF848A0" w14:textId="77777777" w:rsidR="00632E09" w:rsidRPr="00AE1380" w:rsidRDefault="00000000">
      <w:pPr>
        <w:jc w:val="center"/>
        <w:rPr>
          <w:rFonts w:cs="Arial"/>
        </w:rPr>
      </w:pPr>
      <w:r w:rsidRPr="00AE1380">
        <w:rPr>
          <w:rFonts w:cs="Arial"/>
          <w:i/>
          <w:color w:val="5C6B73"/>
          <w:sz w:val="22"/>
        </w:rPr>
        <w:t>LCMB7034 International Business Concepts</w:t>
      </w:r>
    </w:p>
    <w:tbl>
      <w:tblPr>
        <w:tblStyle w:val="TableGrid"/>
        <w:tblW w:w="0" w:type="auto"/>
        <w:jc w:val="center"/>
        <w:tblLook w:val="04A0" w:firstRow="1" w:lastRow="0" w:firstColumn="1" w:lastColumn="0" w:noHBand="0" w:noVBand="1"/>
      </w:tblPr>
      <w:tblGrid>
        <w:gridCol w:w="4873"/>
        <w:gridCol w:w="4873"/>
      </w:tblGrid>
      <w:tr w:rsidR="00632E09" w:rsidRPr="00FE0A93" w14:paraId="7B2B04F5" w14:textId="77777777">
        <w:trPr>
          <w:jc w:val="center"/>
        </w:trPr>
        <w:tc>
          <w:tcPr>
            <w:tcW w:w="4873" w:type="dxa"/>
            <w:shd w:val="clear" w:color="auto" w:fill="DCEFE9"/>
            <w:tcMar>
              <w:top w:w="90" w:type="dxa"/>
              <w:left w:w="90" w:type="dxa"/>
              <w:bottom w:w="90" w:type="dxa"/>
              <w:right w:w="90" w:type="dxa"/>
            </w:tcMar>
            <w:vAlign w:val="center"/>
          </w:tcPr>
          <w:p w14:paraId="5606F91E" w14:textId="77777777" w:rsidR="00632E09" w:rsidRPr="00FE0A93" w:rsidRDefault="00000000">
            <w:pPr>
              <w:rPr>
                <w:rFonts w:cs="Arial"/>
                <w:szCs w:val="28"/>
              </w:rPr>
            </w:pPr>
            <w:r w:rsidRPr="00FE0A93">
              <w:rPr>
                <w:rFonts w:cs="Arial"/>
                <w:b/>
                <w:szCs w:val="28"/>
              </w:rPr>
              <w:t>Country</w:t>
            </w:r>
          </w:p>
        </w:tc>
        <w:tc>
          <w:tcPr>
            <w:tcW w:w="4873" w:type="dxa"/>
            <w:tcMar>
              <w:top w:w="90" w:type="dxa"/>
              <w:left w:w="90" w:type="dxa"/>
              <w:bottom w:w="90" w:type="dxa"/>
              <w:right w:w="90" w:type="dxa"/>
            </w:tcMar>
            <w:vAlign w:val="center"/>
          </w:tcPr>
          <w:p w14:paraId="648FC951" w14:textId="77777777" w:rsidR="00632E09" w:rsidRPr="00FE0A93" w:rsidRDefault="00000000">
            <w:pPr>
              <w:rPr>
                <w:rFonts w:cs="Arial"/>
                <w:szCs w:val="28"/>
              </w:rPr>
            </w:pPr>
            <w:r w:rsidRPr="00FE0A93">
              <w:rPr>
                <w:rFonts w:cs="Arial"/>
                <w:szCs w:val="28"/>
              </w:rPr>
              <w:t>China</w:t>
            </w:r>
          </w:p>
        </w:tc>
      </w:tr>
      <w:tr w:rsidR="00632E09" w:rsidRPr="00FE0A93" w14:paraId="5C966DF8" w14:textId="77777777">
        <w:trPr>
          <w:jc w:val="center"/>
        </w:trPr>
        <w:tc>
          <w:tcPr>
            <w:tcW w:w="4873" w:type="dxa"/>
            <w:shd w:val="clear" w:color="auto" w:fill="DCEFE9"/>
            <w:tcMar>
              <w:top w:w="90" w:type="dxa"/>
              <w:left w:w="90" w:type="dxa"/>
              <w:bottom w:w="90" w:type="dxa"/>
              <w:right w:w="90" w:type="dxa"/>
            </w:tcMar>
            <w:vAlign w:val="center"/>
          </w:tcPr>
          <w:p w14:paraId="3C6A37B8" w14:textId="77777777" w:rsidR="00632E09" w:rsidRPr="00FE0A93" w:rsidRDefault="00000000">
            <w:pPr>
              <w:rPr>
                <w:rFonts w:cs="Arial"/>
                <w:szCs w:val="28"/>
              </w:rPr>
            </w:pPr>
            <w:r w:rsidRPr="00FE0A93">
              <w:rPr>
                <w:rFonts w:cs="Arial"/>
                <w:b/>
                <w:szCs w:val="28"/>
              </w:rPr>
              <w:t>Industry</w:t>
            </w:r>
          </w:p>
        </w:tc>
        <w:tc>
          <w:tcPr>
            <w:tcW w:w="4873" w:type="dxa"/>
            <w:tcMar>
              <w:top w:w="90" w:type="dxa"/>
              <w:left w:w="90" w:type="dxa"/>
              <w:bottom w:w="90" w:type="dxa"/>
              <w:right w:w="90" w:type="dxa"/>
            </w:tcMar>
            <w:vAlign w:val="center"/>
          </w:tcPr>
          <w:p w14:paraId="51E86C7A" w14:textId="77777777" w:rsidR="00632E09" w:rsidRPr="00FE0A93" w:rsidRDefault="00000000">
            <w:pPr>
              <w:rPr>
                <w:rFonts w:cs="Arial"/>
                <w:szCs w:val="28"/>
              </w:rPr>
            </w:pPr>
            <w:r w:rsidRPr="00FE0A93">
              <w:rPr>
                <w:rFonts w:cs="Arial"/>
                <w:szCs w:val="28"/>
              </w:rPr>
              <w:t>Electric vehicles / new energy vehicles</w:t>
            </w:r>
          </w:p>
        </w:tc>
      </w:tr>
      <w:tr w:rsidR="00632E09" w:rsidRPr="00FE0A93" w14:paraId="5E5E352F" w14:textId="77777777">
        <w:trPr>
          <w:jc w:val="center"/>
        </w:trPr>
        <w:tc>
          <w:tcPr>
            <w:tcW w:w="4873" w:type="dxa"/>
            <w:shd w:val="clear" w:color="auto" w:fill="DCEFE9"/>
            <w:tcMar>
              <w:top w:w="90" w:type="dxa"/>
              <w:left w:w="90" w:type="dxa"/>
              <w:bottom w:w="90" w:type="dxa"/>
              <w:right w:w="90" w:type="dxa"/>
            </w:tcMar>
            <w:vAlign w:val="center"/>
          </w:tcPr>
          <w:p w14:paraId="1205A148" w14:textId="77777777" w:rsidR="00632E09" w:rsidRPr="00FE0A93" w:rsidRDefault="00000000">
            <w:pPr>
              <w:rPr>
                <w:rFonts w:cs="Arial"/>
                <w:szCs w:val="28"/>
              </w:rPr>
            </w:pPr>
            <w:r w:rsidRPr="00FE0A93">
              <w:rPr>
                <w:rFonts w:cs="Arial"/>
                <w:b/>
                <w:szCs w:val="28"/>
              </w:rPr>
              <w:t>Chosen foreign MNC</w:t>
            </w:r>
          </w:p>
        </w:tc>
        <w:tc>
          <w:tcPr>
            <w:tcW w:w="4873" w:type="dxa"/>
            <w:tcMar>
              <w:top w:w="90" w:type="dxa"/>
              <w:left w:w="90" w:type="dxa"/>
              <w:bottom w:w="90" w:type="dxa"/>
              <w:right w:w="90" w:type="dxa"/>
            </w:tcMar>
            <w:vAlign w:val="center"/>
          </w:tcPr>
          <w:p w14:paraId="7D0906FE" w14:textId="77777777" w:rsidR="00632E09" w:rsidRPr="00FE0A93" w:rsidRDefault="00000000">
            <w:pPr>
              <w:rPr>
                <w:rFonts w:cs="Arial"/>
                <w:szCs w:val="28"/>
              </w:rPr>
            </w:pPr>
            <w:r w:rsidRPr="00FE0A93">
              <w:rPr>
                <w:rFonts w:cs="Arial"/>
                <w:szCs w:val="28"/>
              </w:rPr>
              <w:t>Tesla China</w:t>
            </w:r>
          </w:p>
        </w:tc>
      </w:tr>
      <w:tr w:rsidR="00632E09" w:rsidRPr="00FE0A93" w14:paraId="5AB154BB" w14:textId="77777777">
        <w:trPr>
          <w:jc w:val="center"/>
        </w:trPr>
        <w:tc>
          <w:tcPr>
            <w:tcW w:w="4873" w:type="dxa"/>
            <w:shd w:val="clear" w:color="auto" w:fill="DCEFE9"/>
            <w:tcMar>
              <w:top w:w="90" w:type="dxa"/>
              <w:left w:w="90" w:type="dxa"/>
              <w:bottom w:w="90" w:type="dxa"/>
              <w:right w:w="90" w:type="dxa"/>
            </w:tcMar>
            <w:vAlign w:val="center"/>
          </w:tcPr>
          <w:p w14:paraId="5F2B301A" w14:textId="77777777" w:rsidR="00632E09" w:rsidRPr="00FE0A93" w:rsidRDefault="00000000">
            <w:pPr>
              <w:rPr>
                <w:rFonts w:cs="Arial"/>
                <w:szCs w:val="28"/>
              </w:rPr>
            </w:pPr>
            <w:r w:rsidRPr="00FE0A93">
              <w:rPr>
                <w:rFonts w:cs="Arial"/>
                <w:b/>
                <w:szCs w:val="28"/>
              </w:rPr>
              <w:t>Reflective model</w:t>
            </w:r>
          </w:p>
        </w:tc>
        <w:tc>
          <w:tcPr>
            <w:tcW w:w="4873" w:type="dxa"/>
            <w:tcMar>
              <w:top w:w="90" w:type="dxa"/>
              <w:left w:w="90" w:type="dxa"/>
              <w:bottom w:w="90" w:type="dxa"/>
              <w:right w:w="90" w:type="dxa"/>
            </w:tcMar>
            <w:vAlign w:val="center"/>
          </w:tcPr>
          <w:p w14:paraId="16E14218" w14:textId="77777777" w:rsidR="00632E09" w:rsidRPr="00FE0A93" w:rsidRDefault="00000000">
            <w:pPr>
              <w:rPr>
                <w:rFonts w:cs="Arial"/>
                <w:szCs w:val="28"/>
              </w:rPr>
            </w:pPr>
            <w:r w:rsidRPr="00FE0A93">
              <w:rPr>
                <w:rFonts w:cs="Arial"/>
                <w:szCs w:val="28"/>
              </w:rPr>
              <w:t>Gibbs reflective cycle</w:t>
            </w:r>
          </w:p>
        </w:tc>
      </w:tr>
      <w:tr w:rsidR="00632E09" w:rsidRPr="00FE0A93" w14:paraId="4D8571EA" w14:textId="77777777">
        <w:trPr>
          <w:jc w:val="center"/>
        </w:trPr>
        <w:tc>
          <w:tcPr>
            <w:tcW w:w="4873" w:type="dxa"/>
            <w:shd w:val="clear" w:color="auto" w:fill="DCEFE9"/>
            <w:tcMar>
              <w:top w:w="90" w:type="dxa"/>
              <w:left w:w="90" w:type="dxa"/>
              <w:bottom w:w="90" w:type="dxa"/>
              <w:right w:w="90" w:type="dxa"/>
            </w:tcMar>
            <w:vAlign w:val="center"/>
          </w:tcPr>
          <w:p w14:paraId="600C64BF" w14:textId="77777777" w:rsidR="00632E09" w:rsidRPr="00FE0A93" w:rsidRDefault="00000000">
            <w:pPr>
              <w:rPr>
                <w:rFonts w:cs="Arial"/>
                <w:szCs w:val="28"/>
              </w:rPr>
            </w:pPr>
            <w:r w:rsidRPr="00FE0A93">
              <w:rPr>
                <w:rFonts w:cs="Arial"/>
                <w:b/>
                <w:szCs w:val="28"/>
              </w:rPr>
              <w:t>Approximate main-body word count</w:t>
            </w:r>
          </w:p>
        </w:tc>
        <w:tc>
          <w:tcPr>
            <w:tcW w:w="4873" w:type="dxa"/>
            <w:tcMar>
              <w:top w:w="90" w:type="dxa"/>
              <w:left w:w="90" w:type="dxa"/>
              <w:bottom w:w="90" w:type="dxa"/>
              <w:right w:w="90" w:type="dxa"/>
            </w:tcMar>
            <w:vAlign w:val="center"/>
          </w:tcPr>
          <w:p w14:paraId="5681D2EB" w14:textId="77777777" w:rsidR="00632E09" w:rsidRPr="00FE0A93" w:rsidRDefault="00000000">
            <w:pPr>
              <w:rPr>
                <w:rFonts w:cs="Arial"/>
                <w:szCs w:val="28"/>
              </w:rPr>
            </w:pPr>
            <w:r w:rsidRPr="00FE0A93">
              <w:rPr>
                <w:rFonts w:cs="Arial"/>
                <w:szCs w:val="28"/>
              </w:rPr>
              <w:t>5,230</w:t>
            </w:r>
          </w:p>
        </w:tc>
      </w:tr>
    </w:tbl>
    <w:p w14:paraId="25DF2118" w14:textId="77777777" w:rsidR="00632E09" w:rsidRDefault="00000000">
      <w:r>
        <w:br w:type="page"/>
      </w:r>
    </w:p>
    <w:p w14:paraId="24E402B5" w14:textId="77777777" w:rsidR="00473E08" w:rsidRDefault="00473E08">
      <w:pPr>
        <w:pStyle w:val="Heading1"/>
        <w:sectPr w:rsidR="00473E08" w:rsidSect="00473E08">
          <w:pgSz w:w="12240" w:h="15840" w:code="1"/>
          <w:pgMar w:top="1195" w:right="1253" w:bottom="1138" w:left="1253" w:header="720" w:footer="720" w:gutter="0"/>
          <w:cols w:space="720"/>
          <w:vAlign w:val="center"/>
          <w:docGrid w:linePitch="360"/>
        </w:sectPr>
      </w:pPr>
    </w:p>
    <w:sdt>
      <w:sdtPr>
        <w:rPr>
          <w:rFonts w:eastAsiaTheme="minorEastAsia" w:cstheme="minorBidi"/>
          <w:b w:val="0"/>
          <w:bCs w:val="0"/>
          <w:color w:val="auto"/>
          <w:sz w:val="24"/>
          <w:szCs w:val="22"/>
        </w:rPr>
        <w:id w:val="1068388153"/>
        <w:docPartObj>
          <w:docPartGallery w:val="Table of Contents"/>
          <w:docPartUnique/>
        </w:docPartObj>
      </w:sdtPr>
      <w:sdtEndPr>
        <w:rPr>
          <w:noProof/>
        </w:rPr>
      </w:sdtEndPr>
      <w:sdtContent>
        <w:p w14:paraId="31F4D45D" w14:textId="1E33BC6B" w:rsidR="00473E08" w:rsidRDefault="00473E08">
          <w:pPr>
            <w:pStyle w:val="TOCHeading"/>
          </w:pPr>
          <w:r>
            <w:t>Table of Contents</w:t>
          </w:r>
        </w:p>
        <w:p w14:paraId="0EA0A616" w14:textId="57A5B4D7" w:rsidR="00473E08" w:rsidRDefault="00473E08">
          <w:pPr>
            <w:pStyle w:val="TOC1"/>
            <w:tabs>
              <w:tab w:val="right" w:leader="dot" w:pos="9736"/>
            </w:tabs>
            <w:rPr>
              <w:noProof/>
            </w:rPr>
          </w:pPr>
          <w:r>
            <w:fldChar w:fldCharType="begin"/>
          </w:r>
          <w:r>
            <w:instrText xml:space="preserve"> TOC \o "1-3" \h \z \u </w:instrText>
          </w:r>
          <w:r>
            <w:fldChar w:fldCharType="separate"/>
          </w:r>
          <w:hyperlink w:anchor="_Toc223998476" w:history="1">
            <w:r w:rsidRPr="005551F0">
              <w:rPr>
                <w:rStyle w:val="Hyperlink"/>
                <w:noProof/>
              </w:rPr>
              <w:t>Section 1. International business report</w:t>
            </w:r>
            <w:r>
              <w:rPr>
                <w:noProof/>
                <w:webHidden/>
              </w:rPr>
              <w:tab/>
            </w:r>
            <w:r>
              <w:rPr>
                <w:noProof/>
                <w:webHidden/>
              </w:rPr>
              <w:fldChar w:fldCharType="begin"/>
            </w:r>
            <w:r>
              <w:rPr>
                <w:noProof/>
                <w:webHidden/>
              </w:rPr>
              <w:instrText xml:space="preserve"> PAGEREF _Toc223998476 \h </w:instrText>
            </w:r>
            <w:r>
              <w:rPr>
                <w:noProof/>
                <w:webHidden/>
              </w:rPr>
            </w:r>
            <w:r>
              <w:rPr>
                <w:noProof/>
                <w:webHidden/>
              </w:rPr>
              <w:fldChar w:fldCharType="separate"/>
            </w:r>
            <w:r>
              <w:rPr>
                <w:noProof/>
                <w:webHidden/>
              </w:rPr>
              <w:t>3</w:t>
            </w:r>
            <w:r>
              <w:rPr>
                <w:noProof/>
                <w:webHidden/>
              </w:rPr>
              <w:fldChar w:fldCharType="end"/>
            </w:r>
          </w:hyperlink>
        </w:p>
        <w:p w14:paraId="441065AB" w14:textId="2119D3CD" w:rsidR="00473E08" w:rsidRDefault="00473E08">
          <w:pPr>
            <w:pStyle w:val="TOC1"/>
            <w:tabs>
              <w:tab w:val="right" w:leader="dot" w:pos="9736"/>
            </w:tabs>
            <w:rPr>
              <w:noProof/>
            </w:rPr>
          </w:pPr>
          <w:hyperlink w:anchor="_Toc223998477" w:history="1">
            <w:r w:rsidRPr="005551F0">
              <w:rPr>
                <w:rStyle w:val="Hyperlink"/>
                <w:noProof/>
              </w:rPr>
              <w:t>1. Introduction</w:t>
            </w:r>
            <w:r>
              <w:rPr>
                <w:noProof/>
                <w:webHidden/>
              </w:rPr>
              <w:tab/>
            </w:r>
            <w:r>
              <w:rPr>
                <w:noProof/>
                <w:webHidden/>
              </w:rPr>
              <w:fldChar w:fldCharType="begin"/>
            </w:r>
            <w:r>
              <w:rPr>
                <w:noProof/>
                <w:webHidden/>
              </w:rPr>
              <w:instrText xml:space="preserve"> PAGEREF _Toc223998477 \h </w:instrText>
            </w:r>
            <w:r>
              <w:rPr>
                <w:noProof/>
                <w:webHidden/>
              </w:rPr>
            </w:r>
            <w:r>
              <w:rPr>
                <w:noProof/>
                <w:webHidden/>
              </w:rPr>
              <w:fldChar w:fldCharType="separate"/>
            </w:r>
            <w:r>
              <w:rPr>
                <w:noProof/>
                <w:webHidden/>
              </w:rPr>
              <w:t>3</w:t>
            </w:r>
            <w:r>
              <w:rPr>
                <w:noProof/>
                <w:webHidden/>
              </w:rPr>
              <w:fldChar w:fldCharType="end"/>
            </w:r>
          </w:hyperlink>
        </w:p>
        <w:p w14:paraId="44193C7E" w14:textId="676DDFDE" w:rsidR="00473E08" w:rsidRDefault="00473E08">
          <w:pPr>
            <w:pStyle w:val="TOC1"/>
            <w:tabs>
              <w:tab w:val="right" w:leader="dot" w:pos="9736"/>
            </w:tabs>
            <w:rPr>
              <w:noProof/>
            </w:rPr>
          </w:pPr>
          <w:hyperlink w:anchor="_Toc223998478" w:history="1">
            <w:r w:rsidRPr="005551F0">
              <w:rPr>
                <w:rStyle w:val="Hyperlink"/>
                <w:noProof/>
              </w:rPr>
              <w:t>2. Industry and country overview</w:t>
            </w:r>
            <w:r>
              <w:rPr>
                <w:noProof/>
                <w:webHidden/>
              </w:rPr>
              <w:tab/>
            </w:r>
            <w:r>
              <w:rPr>
                <w:noProof/>
                <w:webHidden/>
              </w:rPr>
              <w:fldChar w:fldCharType="begin"/>
            </w:r>
            <w:r>
              <w:rPr>
                <w:noProof/>
                <w:webHidden/>
              </w:rPr>
              <w:instrText xml:space="preserve"> PAGEREF _Toc223998478 \h </w:instrText>
            </w:r>
            <w:r>
              <w:rPr>
                <w:noProof/>
                <w:webHidden/>
              </w:rPr>
            </w:r>
            <w:r>
              <w:rPr>
                <w:noProof/>
                <w:webHidden/>
              </w:rPr>
              <w:fldChar w:fldCharType="separate"/>
            </w:r>
            <w:r>
              <w:rPr>
                <w:noProof/>
                <w:webHidden/>
              </w:rPr>
              <w:t>3</w:t>
            </w:r>
            <w:r>
              <w:rPr>
                <w:noProof/>
                <w:webHidden/>
              </w:rPr>
              <w:fldChar w:fldCharType="end"/>
            </w:r>
          </w:hyperlink>
        </w:p>
        <w:p w14:paraId="173292C8" w14:textId="0CA50BC0" w:rsidR="00473E08" w:rsidRDefault="00473E08">
          <w:pPr>
            <w:pStyle w:val="TOC1"/>
            <w:tabs>
              <w:tab w:val="right" w:leader="dot" w:pos="9736"/>
            </w:tabs>
            <w:rPr>
              <w:noProof/>
            </w:rPr>
          </w:pPr>
          <w:hyperlink w:anchor="_Toc223998479" w:history="1">
            <w:r w:rsidRPr="005551F0">
              <w:rPr>
                <w:rStyle w:val="Hyperlink"/>
                <w:noProof/>
              </w:rPr>
              <w:t>3. Porter’s Diamond Model and China’s EV competitiveness</w:t>
            </w:r>
            <w:r>
              <w:rPr>
                <w:noProof/>
                <w:webHidden/>
              </w:rPr>
              <w:tab/>
            </w:r>
            <w:r>
              <w:rPr>
                <w:noProof/>
                <w:webHidden/>
              </w:rPr>
              <w:fldChar w:fldCharType="begin"/>
            </w:r>
            <w:r>
              <w:rPr>
                <w:noProof/>
                <w:webHidden/>
              </w:rPr>
              <w:instrText xml:space="preserve"> PAGEREF _Toc223998479 \h </w:instrText>
            </w:r>
            <w:r>
              <w:rPr>
                <w:noProof/>
                <w:webHidden/>
              </w:rPr>
            </w:r>
            <w:r>
              <w:rPr>
                <w:noProof/>
                <w:webHidden/>
              </w:rPr>
              <w:fldChar w:fldCharType="separate"/>
            </w:r>
            <w:r>
              <w:rPr>
                <w:noProof/>
                <w:webHidden/>
              </w:rPr>
              <w:t>7</w:t>
            </w:r>
            <w:r>
              <w:rPr>
                <w:noProof/>
                <w:webHidden/>
              </w:rPr>
              <w:fldChar w:fldCharType="end"/>
            </w:r>
          </w:hyperlink>
        </w:p>
        <w:p w14:paraId="0A35B071" w14:textId="1E078CC7" w:rsidR="00473E08" w:rsidRDefault="00473E08">
          <w:pPr>
            <w:pStyle w:val="TOC1"/>
            <w:tabs>
              <w:tab w:val="right" w:leader="dot" w:pos="9736"/>
            </w:tabs>
            <w:rPr>
              <w:noProof/>
            </w:rPr>
          </w:pPr>
          <w:hyperlink w:anchor="_Toc223998480" w:history="1">
            <w:r w:rsidRPr="005551F0">
              <w:rPr>
                <w:rStyle w:val="Hyperlink"/>
                <w:noProof/>
              </w:rPr>
              <w:t>4. Critical evaluation of Tesla China</w:t>
            </w:r>
            <w:r>
              <w:rPr>
                <w:noProof/>
                <w:webHidden/>
              </w:rPr>
              <w:tab/>
            </w:r>
            <w:r>
              <w:rPr>
                <w:noProof/>
                <w:webHidden/>
              </w:rPr>
              <w:fldChar w:fldCharType="begin"/>
            </w:r>
            <w:r>
              <w:rPr>
                <w:noProof/>
                <w:webHidden/>
              </w:rPr>
              <w:instrText xml:space="preserve"> PAGEREF _Toc223998480 \h </w:instrText>
            </w:r>
            <w:r>
              <w:rPr>
                <w:noProof/>
                <w:webHidden/>
              </w:rPr>
            </w:r>
            <w:r>
              <w:rPr>
                <w:noProof/>
                <w:webHidden/>
              </w:rPr>
              <w:fldChar w:fldCharType="separate"/>
            </w:r>
            <w:r>
              <w:rPr>
                <w:noProof/>
                <w:webHidden/>
              </w:rPr>
              <w:t>9</w:t>
            </w:r>
            <w:r>
              <w:rPr>
                <w:noProof/>
                <w:webHidden/>
              </w:rPr>
              <w:fldChar w:fldCharType="end"/>
            </w:r>
          </w:hyperlink>
        </w:p>
        <w:p w14:paraId="48BE91DA" w14:textId="65DCBAA1" w:rsidR="00473E08" w:rsidRDefault="00473E08">
          <w:pPr>
            <w:pStyle w:val="TOC1"/>
            <w:tabs>
              <w:tab w:val="right" w:leader="dot" w:pos="9736"/>
            </w:tabs>
            <w:rPr>
              <w:noProof/>
            </w:rPr>
          </w:pPr>
          <w:hyperlink w:anchor="_Toc223998481" w:history="1">
            <w:r w:rsidRPr="005551F0">
              <w:rPr>
                <w:rStyle w:val="Hyperlink"/>
                <w:noProof/>
              </w:rPr>
              <w:t>5. Conclusion</w:t>
            </w:r>
            <w:r>
              <w:rPr>
                <w:noProof/>
                <w:webHidden/>
              </w:rPr>
              <w:tab/>
            </w:r>
            <w:r>
              <w:rPr>
                <w:noProof/>
                <w:webHidden/>
              </w:rPr>
              <w:fldChar w:fldCharType="begin"/>
            </w:r>
            <w:r>
              <w:rPr>
                <w:noProof/>
                <w:webHidden/>
              </w:rPr>
              <w:instrText xml:space="preserve"> PAGEREF _Toc223998481 \h </w:instrText>
            </w:r>
            <w:r>
              <w:rPr>
                <w:noProof/>
                <w:webHidden/>
              </w:rPr>
            </w:r>
            <w:r>
              <w:rPr>
                <w:noProof/>
                <w:webHidden/>
              </w:rPr>
              <w:fldChar w:fldCharType="separate"/>
            </w:r>
            <w:r>
              <w:rPr>
                <w:noProof/>
                <w:webHidden/>
              </w:rPr>
              <w:t>14</w:t>
            </w:r>
            <w:r>
              <w:rPr>
                <w:noProof/>
                <w:webHidden/>
              </w:rPr>
              <w:fldChar w:fldCharType="end"/>
            </w:r>
          </w:hyperlink>
        </w:p>
        <w:p w14:paraId="51EE37E1" w14:textId="2E661499" w:rsidR="00473E08" w:rsidRDefault="00473E08">
          <w:pPr>
            <w:pStyle w:val="TOC1"/>
            <w:tabs>
              <w:tab w:val="right" w:leader="dot" w:pos="9736"/>
            </w:tabs>
            <w:rPr>
              <w:noProof/>
            </w:rPr>
          </w:pPr>
          <w:hyperlink w:anchor="_Toc223998482" w:history="1">
            <w:r w:rsidRPr="005551F0">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_Toc223998482 \h </w:instrText>
            </w:r>
            <w:r>
              <w:rPr>
                <w:noProof/>
                <w:webHidden/>
              </w:rPr>
            </w:r>
            <w:r>
              <w:rPr>
                <w:noProof/>
                <w:webHidden/>
              </w:rPr>
              <w:fldChar w:fldCharType="separate"/>
            </w:r>
            <w:r>
              <w:rPr>
                <w:noProof/>
                <w:webHidden/>
              </w:rPr>
              <w:t>15</w:t>
            </w:r>
            <w:r>
              <w:rPr>
                <w:noProof/>
                <w:webHidden/>
              </w:rPr>
              <w:fldChar w:fldCharType="end"/>
            </w:r>
          </w:hyperlink>
        </w:p>
        <w:p w14:paraId="3AE28ADB" w14:textId="7A70E3DB" w:rsidR="00473E08" w:rsidRDefault="00473E08">
          <w:pPr>
            <w:pStyle w:val="TOC1"/>
            <w:tabs>
              <w:tab w:val="right" w:leader="dot" w:pos="9736"/>
            </w:tabs>
            <w:rPr>
              <w:noProof/>
            </w:rPr>
          </w:pPr>
          <w:hyperlink w:anchor="_Toc223998483" w:history="1">
            <w:r w:rsidRPr="005551F0">
              <w:rPr>
                <w:rStyle w:val="Hyperlink"/>
                <w:noProof/>
              </w:rPr>
              <w:t>References</w:t>
            </w:r>
            <w:r>
              <w:rPr>
                <w:noProof/>
                <w:webHidden/>
              </w:rPr>
              <w:tab/>
            </w:r>
            <w:r>
              <w:rPr>
                <w:noProof/>
                <w:webHidden/>
              </w:rPr>
              <w:fldChar w:fldCharType="begin"/>
            </w:r>
            <w:r>
              <w:rPr>
                <w:noProof/>
                <w:webHidden/>
              </w:rPr>
              <w:instrText xml:space="preserve"> PAGEREF _Toc223998483 \h </w:instrText>
            </w:r>
            <w:r>
              <w:rPr>
                <w:noProof/>
                <w:webHidden/>
              </w:rPr>
            </w:r>
            <w:r>
              <w:rPr>
                <w:noProof/>
                <w:webHidden/>
              </w:rPr>
              <w:fldChar w:fldCharType="separate"/>
            </w:r>
            <w:r>
              <w:rPr>
                <w:noProof/>
                <w:webHidden/>
              </w:rPr>
              <w:t>17</w:t>
            </w:r>
            <w:r>
              <w:rPr>
                <w:noProof/>
                <w:webHidden/>
              </w:rPr>
              <w:fldChar w:fldCharType="end"/>
            </w:r>
          </w:hyperlink>
        </w:p>
        <w:p w14:paraId="1883B580" w14:textId="57E24311" w:rsidR="00473E08" w:rsidRDefault="00473E08">
          <w:r>
            <w:rPr>
              <w:b/>
              <w:bCs/>
              <w:noProof/>
            </w:rPr>
            <w:fldChar w:fldCharType="end"/>
          </w:r>
        </w:p>
      </w:sdtContent>
    </w:sdt>
    <w:p w14:paraId="241C76BB" w14:textId="77777777" w:rsidR="00473E08" w:rsidRDefault="00473E08">
      <w:pPr>
        <w:spacing w:line="276" w:lineRule="auto"/>
        <w:jc w:val="left"/>
        <w:rPr>
          <w:rFonts w:eastAsiaTheme="majorEastAsia" w:cstheme="majorBidi"/>
          <w:b/>
          <w:bCs/>
          <w:color w:val="1F4E5F"/>
          <w:sz w:val="32"/>
          <w:szCs w:val="28"/>
        </w:rPr>
      </w:pPr>
      <w:r>
        <w:br w:type="page"/>
      </w:r>
    </w:p>
    <w:p w14:paraId="7C056896" w14:textId="31FBCE0C" w:rsidR="00632E09" w:rsidRDefault="00000000">
      <w:pPr>
        <w:pStyle w:val="Heading1"/>
      </w:pPr>
      <w:bookmarkStart w:id="0" w:name="_Toc223998476"/>
      <w:r>
        <w:lastRenderedPageBreak/>
        <w:t>Section 1. International business report</w:t>
      </w:r>
      <w:bookmarkEnd w:id="0"/>
    </w:p>
    <w:p w14:paraId="768A3EA5" w14:textId="77777777" w:rsidR="00632E09" w:rsidRDefault="00000000">
      <w:pPr>
        <w:pStyle w:val="Heading1"/>
        <w:spacing w:after="140"/>
      </w:pPr>
      <w:bookmarkStart w:id="1" w:name="_Toc223998477"/>
      <w:r>
        <w:t>1. Introduction</w:t>
      </w:r>
      <w:bookmarkEnd w:id="1"/>
    </w:p>
    <w:p w14:paraId="30923F65" w14:textId="2820980D" w:rsidR="00632E09" w:rsidRDefault="00AE1380" w:rsidP="00AE1380">
      <w:pPr>
        <w:spacing w:after="140"/>
      </w:pPr>
      <w:r w:rsidRPr="00AE1380">
        <w:t>This report assesses the competitiveness of electric vehicle industry in China and the business opportunities Tesla China has in the market. China is the largest new energy vehicle market in the world and one of the most strategically significant sites in the production, consumption, and supply-chain building and charging infrastructure of electric-vehicles. The report introduces the dimension and configuration of the Chinese EV market in the first section and ranks the key domestic and foreign companies in the market. It then uses the Diamond Model of Porter to evaluate the pillars of the competitive advantage of China. The last analytical part is a critical assessment of Tesla China as a foreign multinational company with attention to political, economic, legal, and cultural aspects of influencing the market attractiveness and operating risk. The main point is that China is still very appealing due to its size, the depth of infrastructure and ecosystem, yet it is also one of the most challenging EV markets in the world due to its competition, the direction of policies and consumer expectations that change rapidly</w:t>
      </w:r>
      <w:r>
        <w:t>.</w:t>
      </w:r>
    </w:p>
    <w:p w14:paraId="7596DE7A" w14:textId="77777777" w:rsidR="00632E09" w:rsidRDefault="00000000">
      <w:pPr>
        <w:pStyle w:val="Heading1"/>
        <w:spacing w:after="140"/>
      </w:pPr>
      <w:bookmarkStart w:id="2" w:name="_Toc223998478"/>
      <w:r>
        <w:t>2. Industry and country overview</w:t>
      </w:r>
      <w:bookmarkEnd w:id="2"/>
    </w:p>
    <w:p w14:paraId="6E2C765F" w14:textId="77777777" w:rsidR="00AE1380" w:rsidRDefault="00AE1380" w:rsidP="00AE1380">
      <w:pPr>
        <w:spacing w:after="140"/>
      </w:pPr>
      <w:r>
        <w:t>The electric vehicle business of China can be viewed in the wider context of new energy vehicles, which in the Chinese policy and market framework encompasses battery-electric vehicles, plug-in hybrids and fuel-cell vehicles. In the context of this report, the battery-electric segment is the fundamental area of interest since it is the competitive area Tesla is involved in most directly. Nonetheless, the wider NEV group is important since the Chinese competitors, like BYD and Geely, compete under both pure-electric and plug-in hybrid platform, which influences the price structures, scale economics and consumer choice.</w:t>
      </w:r>
    </w:p>
    <w:p w14:paraId="3AC60C2E" w14:textId="77777777" w:rsidR="00AE1380" w:rsidRDefault="00AE1380" w:rsidP="00AE1380">
      <w:pPr>
        <w:spacing w:after="140"/>
      </w:pPr>
      <w:r>
        <w:t xml:space="preserve">As of the end of 2024, it was estimated that there are 31.4 million new energy vehicles used in China, and that the new NEVs registered in 2024 number about 11.25 million. China alone reported 5.62 million NEVs in the first half of 2025 which constituted 44.97 per cent of all new automobile registrations in the first half of 2025. As of June 2025, the stock of NEV in the Chinese roads was 36.89 million. These numbers indicate not only rapid increase but </w:t>
      </w:r>
      <w:r>
        <w:lastRenderedPageBreak/>
        <w:t>also a significant transformation of the mass-market whereby electric mobility is not something marginal anymore. The industry is economically important as it connects consumer demand, advanced manufacturing, batteries, chips, software, power electronics, charging networks and export capacity into a single national-level industrial ecosystem.</w:t>
      </w:r>
    </w:p>
    <w:p w14:paraId="5ACE0951" w14:textId="77777777" w:rsidR="00AE1380" w:rsidRDefault="00AE1380" w:rsidP="00AE1380">
      <w:pPr>
        <w:spacing w:after="140"/>
      </w:pPr>
      <w:r>
        <w:t xml:space="preserve">The EV sector in China is also a strategic consideration since the infrastructure that supports it has developed at a very fast pace. As of the end of March 2025, the number of charging infrastructure facilities in the country was almost 13.75 million, with 3.9 million public and 9.85 million </w:t>
      </w:r>
      <w:proofErr w:type="gramStart"/>
      <w:r>
        <w:t>private</w:t>
      </w:r>
      <w:proofErr w:type="gramEnd"/>
      <w:r>
        <w:t xml:space="preserve">. This density of infrastructure is important in developing the market since it </w:t>
      </w:r>
      <w:proofErr w:type="spellStart"/>
      <w:r>
        <w:t>minimises</w:t>
      </w:r>
      <w:proofErr w:type="spellEnd"/>
      <w:r>
        <w:t xml:space="preserve"> consumer range anxiety, promotes rapid adoption and strengthens the commercial appeal of EV ownership as compared to its internal-combustion competitors.</w:t>
      </w:r>
    </w:p>
    <w:p w14:paraId="2D4842A4" w14:textId="77777777" w:rsidR="00AE1380" w:rsidRDefault="00AE1380" w:rsidP="00AE1380">
      <w:pPr>
        <w:spacing w:after="140"/>
      </w:pPr>
      <w:r>
        <w:t>The level of rivalry is very high. The volume end of the market is dominated by domestic firms whereas foreign firms have to operate in an environment where price war, new features and fast model development is the order of the day. BYD is the biggest player and Geely, SAIC-GM-Wuling, Changan, Li Auto and Xiaomi EV have also helped to create a fragmented yet strong domestic sector. Tesla is no longer as significant but no longer has the symbolic or competitive distance that it used to have. BYD controlled 23.2 per cent of the NEV market in China in November 2025, Geely 13.0 per cent, SAIC-GM-Wuling 7.3 per cent and Tesla 5.5 per cent. Tesla recorded a market share of 4.6 per cent in the fifth position in January to November 2025. These numbers are important as they highlight the fact that Tesla is not a dominant player but it is operating on a solid ground.</w:t>
      </w:r>
    </w:p>
    <w:p w14:paraId="48315BBA" w14:textId="77777777" w:rsidR="00AE1380" w:rsidRDefault="00AE1380" w:rsidP="00AE1380">
      <w:pPr>
        <w:spacing w:after="140"/>
      </w:pPr>
      <w:r>
        <w:t>The industry is experiencing a strategic divergence trend as indicated by relative positioning. BYD also competes with strong vertical integration, wide product line and strong price-value positioning. Geely has been boosted by multi brand structure and speedy technology scaling. SAIC-GM-Wuling is powerful in the cheaper urban mobility. Xiaomi EV has been able to use the credibility of consumer-electronics and digital branding to attract attention within a short time. The situation of Tesla is different. It also competes based on brand equity, software image, premium-adjacent positioning, manufacturing efficiency and the global position of the Model 3 and Model Y, and not the broadest product portfolio or the lowest price point.</w:t>
      </w:r>
    </w:p>
    <w:p w14:paraId="60428E17" w14:textId="0AE537F2" w:rsidR="00632E09" w:rsidRDefault="00AE1380" w:rsidP="00AE1380">
      <w:pPr>
        <w:spacing w:after="140"/>
      </w:pPr>
      <w:r>
        <w:lastRenderedPageBreak/>
        <w:t>There are still vital structural advantages of Tesla in China. Shanghai is a hub of manufacturing and export, and in September 2024, the Shanghai Gigafactory of Tesla made over one million vehicle exports. It is also evident in the Tesla 2024 annual report that production in China is essentially a strategic move since it will reduce transportation costs, and will assist in curbing tariff risks. However, Tesla has become comparatively difficult due to the emergence of Chinese rivals who are now equal or better on multiple aspects that are significant to this sector: charging rate, in-car features, value pricing, model range and fast features update. What it means is that Tesla is a much more visible, yet still credible, yet no longer uniquely advantaged, market.</w:t>
      </w:r>
    </w:p>
    <w:p w14:paraId="7451F0CD" w14:textId="77777777" w:rsidR="00632E09" w:rsidRDefault="00000000">
      <w:pPr>
        <w:jc w:val="center"/>
      </w:pPr>
      <w:r>
        <w:rPr>
          <w:noProof/>
        </w:rPr>
        <w:drawing>
          <wp:inline distT="0" distB="0" distL="0" distR="0" wp14:anchorId="01EB3907" wp14:editId="37F778FE">
            <wp:extent cx="5394960" cy="33476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nev_stock.png"/>
                    <pic:cNvPicPr/>
                  </pic:nvPicPr>
                  <pic:blipFill>
                    <a:blip r:embed="rId8"/>
                    <a:stretch>
                      <a:fillRect/>
                    </a:stretch>
                  </pic:blipFill>
                  <pic:spPr>
                    <a:xfrm>
                      <a:off x="0" y="0"/>
                      <a:ext cx="5394960" cy="3347698"/>
                    </a:xfrm>
                    <a:prstGeom prst="rect">
                      <a:avLst/>
                    </a:prstGeom>
                  </pic:spPr>
                </pic:pic>
              </a:graphicData>
            </a:graphic>
          </wp:inline>
        </w:drawing>
      </w:r>
    </w:p>
    <w:p w14:paraId="068FF09F" w14:textId="77777777" w:rsidR="00632E09" w:rsidRPr="00AE1380" w:rsidRDefault="00000000" w:rsidP="00AE1380">
      <w:pPr>
        <w:jc w:val="center"/>
        <w:rPr>
          <w:i/>
          <w:iCs/>
          <w:sz w:val="22"/>
          <w:szCs w:val="20"/>
        </w:rPr>
      </w:pPr>
      <w:r w:rsidRPr="00AE1380">
        <w:rPr>
          <w:i/>
          <w:iCs/>
          <w:sz w:val="22"/>
          <w:szCs w:val="20"/>
        </w:rPr>
        <w:t>Figure 1. China new energy vehicles in use, end-2024 and end-June 2025</w:t>
      </w:r>
    </w:p>
    <w:p w14:paraId="5B0EB8E2" w14:textId="77777777" w:rsidR="00632E09" w:rsidRPr="00AE1380" w:rsidRDefault="00000000" w:rsidP="00AE1380">
      <w:pPr>
        <w:jc w:val="center"/>
        <w:rPr>
          <w:sz w:val="20"/>
          <w:szCs w:val="20"/>
        </w:rPr>
      </w:pPr>
      <w:r w:rsidRPr="00AE1380">
        <w:rPr>
          <w:sz w:val="22"/>
          <w:szCs w:val="20"/>
        </w:rPr>
        <w:t>Source: State Council / Ministry of Public Security statistics (2025a; 2025b).</w:t>
      </w:r>
    </w:p>
    <w:p w14:paraId="5ED7ADFC" w14:textId="77777777" w:rsidR="00632E09" w:rsidRDefault="00000000">
      <w:pPr>
        <w:jc w:val="center"/>
      </w:pPr>
      <w:r>
        <w:rPr>
          <w:noProof/>
        </w:rPr>
        <w:lastRenderedPageBreak/>
        <w:drawing>
          <wp:inline distT="0" distB="0" distL="0" distR="0" wp14:anchorId="2BE96BA3" wp14:editId="34D32202">
            <wp:extent cx="5394960" cy="33476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charging_mix.png"/>
                    <pic:cNvPicPr/>
                  </pic:nvPicPr>
                  <pic:blipFill>
                    <a:blip r:embed="rId9"/>
                    <a:stretch>
                      <a:fillRect/>
                    </a:stretch>
                  </pic:blipFill>
                  <pic:spPr>
                    <a:xfrm>
                      <a:off x="0" y="0"/>
                      <a:ext cx="5394960" cy="3347698"/>
                    </a:xfrm>
                    <a:prstGeom prst="rect">
                      <a:avLst/>
                    </a:prstGeom>
                  </pic:spPr>
                </pic:pic>
              </a:graphicData>
            </a:graphic>
          </wp:inline>
        </w:drawing>
      </w:r>
    </w:p>
    <w:p w14:paraId="133A8E5E" w14:textId="77777777" w:rsidR="00632E09" w:rsidRPr="00AE1380" w:rsidRDefault="00000000" w:rsidP="00AE1380">
      <w:pPr>
        <w:jc w:val="center"/>
        <w:rPr>
          <w:i/>
          <w:iCs/>
          <w:sz w:val="22"/>
          <w:szCs w:val="20"/>
        </w:rPr>
      </w:pPr>
      <w:r w:rsidRPr="00AE1380">
        <w:rPr>
          <w:i/>
          <w:iCs/>
          <w:sz w:val="22"/>
          <w:szCs w:val="20"/>
        </w:rPr>
        <w:t>Figure 2. China charging infrastructure composition, end-March 2025</w:t>
      </w:r>
    </w:p>
    <w:p w14:paraId="48745C41" w14:textId="77777777" w:rsidR="00632E09" w:rsidRPr="00AE1380" w:rsidRDefault="00000000" w:rsidP="00AE1380">
      <w:pPr>
        <w:jc w:val="center"/>
        <w:rPr>
          <w:sz w:val="22"/>
          <w:szCs w:val="20"/>
        </w:rPr>
      </w:pPr>
      <w:r w:rsidRPr="00AE1380">
        <w:rPr>
          <w:sz w:val="22"/>
          <w:szCs w:val="20"/>
        </w:rPr>
        <w:t>Source: State Council / National Energy Administration data (2025c).</w:t>
      </w:r>
    </w:p>
    <w:p w14:paraId="3303F49E" w14:textId="36EED348" w:rsidR="00632E09" w:rsidRDefault="00000000">
      <w:pPr>
        <w:spacing w:after="140"/>
        <w:ind w:firstLine="283"/>
      </w:pPr>
      <w:r w:rsidRPr="00AE1380">
        <w:rPr>
          <w:b/>
          <w:bCs/>
        </w:rPr>
        <w:t>Table 1</w:t>
      </w:r>
      <w:r w:rsidR="00AE1380" w:rsidRPr="00AE1380">
        <w:rPr>
          <w:b/>
          <w:bCs/>
        </w:rPr>
        <w:t>.</w:t>
      </w:r>
      <w:r w:rsidR="00AE1380">
        <w:t xml:space="preserve"> Summary of </w:t>
      </w:r>
      <w:r>
        <w:t>the relative positioning of selected companies in the industry.</w:t>
      </w:r>
    </w:p>
    <w:tbl>
      <w:tblPr>
        <w:tblStyle w:val="TableGridLight"/>
        <w:tblW w:w="0" w:type="auto"/>
        <w:jc w:val="center"/>
        <w:tblLook w:val="04A0" w:firstRow="1" w:lastRow="0" w:firstColumn="1" w:lastColumn="0" w:noHBand="0" w:noVBand="1"/>
      </w:tblPr>
      <w:tblGrid>
        <w:gridCol w:w="1247"/>
        <w:gridCol w:w="1814"/>
        <w:gridCol w:w="1474"/>
        <w:gridCol w:w="2268"/>
        <w:gridCol w:w="2268"/>
      </w:tblGrid>
      <w:tr w:rsidR="00632E09" w:rsidRPr="00AE1380" w14:paraId="733CFFFD" w14:textId="77777777" w:rsidTr="00AE1380">
        <w:trPr>
          <w:jc w:val="center"/>
        </w:trPr>
        <w:tc>
          <w:tcPr>
            <w:tcW w:w="1247" w:type="dxa"/>
          </w:tcPr>
          <w:p w14:paraId="39CC246B" w14:textId="77777777" w:rsidR="00632E09" w:rsidRPr="00AE1380" w:rsidRDefault="00000000" w:rsidP="00AE1380">
            <w:pPr>
              <w:rPr>
                <w:b/>
                <w:bCs/>
                <w:szCs w:val="24"/>
              </w:rPr>
            </w:pPr>
            <w:r w:rsidRPr="00AE1380">
              <w:rPr>
                <w:b/>
                <w:bCs/>
                <w:szCs w:val="24"/>
              </w:rPr>
              <w:t>Firm</w:t>
            </w:r>
          </w:p>
        </w:tc>
        <w:tc>
          <w:tcPr>
            <w:tcW w:w="1814" w:type="dxa"/>
          </w:tcPr>
          <w:p w14:paraId="679E0099" w14:textId="77777777" w:rsidR="00632E09" w:rsidRPr="00AE1380" w:rsidRDefault="00000000" w:rsidP="00AE1380">
            <w:pPr>
              <w:rPr>
                <w:b/>
                <w:bCs/>
                <w:szCs w:val="24"/>
              </w:rPr>
            </w:pPr>
            <w:r w:rsidRPr="00AE1380">
              <w:rPr>
                <w:b/>
                <w:bCs/>
                <w:szCs w:val="24"/>
              </w:rPr>
              <w:t>Core strategic logic</w:t>
            </w:r>
          </w:p>
        </w:tc>
        <w:tc>
          <w:tcPr>
            <w:tcW w:w="1474" w:type="dxa"/>
          </w:tcPr>
          <w:p w14:paraId="3389E4B8" w14:textId="77777777" w:rsidR="00632E09" w:rsidRPr="00AE1380" w:rsidRDefault="00000000" w:rsidP="00AE1380">
            <w:pPr>
              <w:rPr>
                <w:b/>
                <w:bCs/>
                <w:szCs w:val="24"/>
              </w:rPr>
            </w:pPr>
            <w:r w:rsidRPr="00AE1380">
              <w:rPr>
                <w:b/>
                <w:bCs/>
                <w:szCs w:val="24"/>
              </w:rPr>
              <w:t>Primary segment</w:t>
            </w:r>
          </w:p>
        </w:tc>
        <w:tc>
          <w:tcPr>
            <w:tcW w:w="2268" w:type="dxa"/>
          </w:tcPr>
          <w:p w14:paraId="4C183957" w14:textId="77777777" w:rsidR="00632E09" w:rsidRPr="00AE1380" w:rsidRDefault="00000000" w:rsidP="00AE1380">
            <w:pPr>
              <w:rPr>
                <w:b/>
                <w:bCs/>
                <w:szCs w:val="24"/>
              </w:rPr>
            </w:pPr>
            <w:r w:rsidRPr="00AE1380">
              <w:rPr>
                <w:b/>
                <w:bCs/>
                <w:szCs w:val="24"/>
              </w:rPr>
              <w:t>Relative strengths</w:t>
            </w:r>
          </w:p>
        </w:tc>
        <w:tc>
          <w:tcPr>
            <w:tcW w:w="2268" w:type="dxa"/>
          </w:tcPr>
          <w:p w14:paraId="585C97EB" w14:textId="77777777" w:rsidR="00632E09" w:rsidRPr="00AE1380" w:rsidRDefault="00000000" w:rsidP="00AE1380">
            <w:pPr>
              <w:rPr>
                <w:b/>
                <w:bCs/>
                <w:szCs w:val="24"/>
              </w:rPr>
            </w:pPr>
            <w:r w:rsidRPr="00AE1380">
              <w:rPr>
                <w:b/>
                <w:bCs/>
                <w:szCs w:val="24"/>
              </w:rPr>
              <w:t>Relative vulnerabilities</w:t>
            </w:r>
          </w:p>
        </w:tc>
      </w:tr>
      <w:tr w:rsidR="00632E09" w:rsidRPr="00AE1380" w14:paraId="2767D109" w14:textId="77777777" w:rsidTr="00AE1380">
        <w:trPr>
          <w:jc w:val="center"/>
        </w:trPr>
        <w:tc>
          <w:tcPr>
            <w:tcW w:w="1247" w:type="dxa"/>
          </w:tcPr>
          <w:p w14:paraId="06358327" w14:textId="77777777" w:rsidR="00632E09" w:rsidRPr="00AE1380" w:rsidRDefault="00000000" w:rsidP="00AE1380">
            <w:pPr>
              <w:rPr>
                <w:szCs w:val="24"/>
              </w:rPr>
            </w:pPr>
            <w:r w:rsidRPr="00AE1380">
              <w:rPr>
                <w:szCs w:val="24"/>
              </w:rPr>
              <w:t>BYD</w:t>
            </w:r>
          </w:p>
        </w:tc>
        <w:tc>
          <w:tcPr>
            <w:tcW w:w="1814" w:type="dxa"/>
          </w:tcPr>
          <w:p w14:paraId="4DF5148F" w14:textId="77777777" w:rsidR="00632E09" w:rsidRPr="00AE1380" w:rsidRDefault="00000000" w:rsidP="00AE1380">
            <w:pPr>
              <w:rPr>
                <w:szCs w:val="24"/>
              </w:rPr>
            </w:pPr>
            <w:r w:rsidRPr="00AE1380">
              <w:rPr>
                <w:szCs w:val="24"/>
              </w:rPr>
              <w:t>Vertical integration and broad NEV portfolio</w:t>
            </w:r>
          </w:p>
        </w:tc>
        <w:tc>
          <w:tcPr>
            <w:tcW w:w="1474" w:type="dxa"/>
          </w:tcPr>
          <w:p w14:paraId="4E227DED" w14:textId="77777777" w:rsidR="00632E09" w:rsidRPr="00AE1380" w:rsidRDefault="00000000" w:rsidP="00AE1380">
            <w:pPr>
              <w:rPr>
                <w:szCs w:val="24"/>
              </w:rPr>
            </w:pPr>
            <w:r w:rsidRPr="00AE1380">
              <w:rPr>
                <w:szCs w:val="24"/>
              </w:rPr>
              <w:t>Mass market to premium</w:t>
            </w:r>
          </w:p>
        </w:tc>
        <w:tc>
          <w:tcPr>
            <w:tcW w:w="2268" w:type="dxa"/>
          </w:tcPr>
          <w:p w14:paraId="1C45CDFC" w14:textId="77777777" w:rsidR="00632E09" w:rsidRPr="00AE1380" w:rsidRDefault="00000000" w:rsidP="00AE1380">
            <w:pPr>
              <w:rPr>
                <w:szCs w:val="24"/>
              </w:rPr>
            </w:pPr>
            <w:r w:rsidRPr="00AE1380">
              <w:rPr>
                <w:szCs w:val="24"/>
              </w:rPr>
              <w:t>Scale, batteries, pricing, product breadth</w:t>
            </w:r>
          </w:p>
        </w:tc>
        <w:tc>
          <w:tcPr>
            <w:tcW w:w="2268" w:type="dxa"/>
          </w:tcPr>
          <w:p w14:paraId="3CFBEAB4" w14:textId="77777777" w:rsidR="00632E09" w:rsidRPr="00AE1380" w:rsidRDefault="00000000" w:rsidP="00AE1380">
            <w:pPr>
              <w:rPr>
                <w:szCs w:val="24"/>
              </w:rPr>
            </w:pPr>
            <w:r w:rsidRPr="00AE1380">
              <w:rPr>
                <w:szCs w:val="24"/>
              </w:rPr>
              <w:t>Margin pressure in a value-driven market</w:t>
            </w:r>
          </w:p>
        </w:tc>
      </w:tr>
      <w:tr w:rsidR="00632E09" w:rsidRPr="00AE1380" w14:paraId="4153C282" w14:textId="77777777" w:rsidTr="00AE1380">
        <w:trPr>
          <w:jc w:val="center"/>
        </w:trPr>
        <w:tc>
          <w:tcPr>
            <w:tcW w:w="1247" w:type="dxa"/>
          </w:tcPr>
          <w:p w14:paraId="54CB1159" w14:textId="77777777" w:rsidR="00632E09" w:rsidRPr="00AE1380" w:rsidRDefault="00000000" w:rsidP="00AE1380">
            <w:pPr>
              <w:rPr>
                <w:szCs w:val="24"/>
              </w:rPr>
            </w:pPr>
            <w:r w:rsidRPr="00AE1380">
              <w:rPr>
                <w:szCs w:val="24"/>
              </w:rPr>
              <w:t>Geely</w:t>
            </w:r>
          </w:p>
        </w:tc>
        <w:tc>
          <w:tcPr>
            <w:tcW w:w="1814" w:type="dxa"/>
          </w:tcPr>
          <w:p w14:paraId="0D655D53" w14:textId="77777777" w:rsidR="00632E09" w:rsidRPr="00AE1380" w:rsidRDefault="00000000" w:rsidP="00AE1380">
            <w:pPr>
              <w:rPr>
                <w:szCs w:val="24"/>
              </w:rPr>
            </w:pPr>
            <w:r w:rsidRPr="00AE1380">
              <w:rPr>
                <w:szCs w:val="24"/>
              </w:rPr>
              <w:t>Multi-brand expansion and rapid tech scaling</w:t>
            </w:r>
          </w:p>
        </w:tc>
        <w:tc>
          <w:tcPr>
            <w:tcW w:w="1474" w:type="dxa"/>
          </w:tcPr>
          <w:p w14:paraId="04B9F267" w14:textId="77777777" w:rsidR="00632E09" w:rsidRPr="00AE1380" w:rsidRDefault="00000000" w:rsidP="00AE1380">
            <w:pPr>
              <w:rPr>
                <w:szCs w:val="24"/>
              </w:rPr>
            </w:pPr>
            <w:r w:rsidRPr="00AE1380">
              <w:rPr>
                <w:szCs w:val="24"/>
              </w:rPr>
              <w:t>Mid-market and premium</w:t>
            </w:r>
          </w:p>
        </w:tc>
        <w:tc>
          <w:tcPr>
            <w:tcW w:w="2268" w:type="dxa"/>
          </w:tcPr>
          <w:p w14:paraId="6C950433" w14:textId="77777777" w:rsidR="00632E09" w:rsidRPr="00AE1380" w:rsidRDefault="00000000" w:rsidP="00AE1380">
            <w:pPr>
              <w:rPr>
                <w:szCs w:val="24"/>
              </w:rPr>
            </w:pPr>
            <w:r w:rsidRPr="00AE1380">
              <w:rPr>
                <w:szCs w:val="24"/>
              </w:rPr>
              <w:t>Growth momentum, brand architecture, smart features</w:t>
            </w:r>
          </w:p>
        </w:tc>
        <w:tc>
          <w:tcPr>
            <w:tcW w:w="2268" w:type="dxa"/>
          </w:tcPr>
          <w:p w14:paraId="2BCF0DDE" w14:textId="77777777" w:rsidR="00632E09" w:rsidRPr="00AE1380" w:rsidRDefault="00000000" w:rsidP="00AE1380">
            <w:pPr>
              <w:rPr>
                <w:szCs w:val="24"/>
              </w:rPr>
            </w:pPr>
            <w:r w:rsidRPr="00AE1380">
              <w:rPr>
                <w:szCs w:val="24"/>
              </w:rPr>
              <w:t>Less iconic global EV identity than Tesla</w:t>
            </w:r>
          </w:p>
        </w:tc>
      </w:tr>
      <w:tr w:rsidR="00632E09" w:rsidRPr="00AE1380" w14:paraId="1D5A5814" w14:textId="77777777" w:rsidTr="00AE1380">
        <w:trPr>
          <w:jc w:val="center"/>
        </w:trPr>
        <w:tc>
          <w:tcPr>
            <w:tcW w:w="1247" w:type="dxa"/>
          </w:tcPr>
          <w:p w14:paraId="4559CC4B" w14:textId="77777777" w:rsidR="00632E09" w:rsidRPr="00AE1380" w:rsidRDefault="00000000" w:rsidP="00AE1380">
            <w:pPr>
              <w:rPr>
                <w:szCs w:val="24"/>
              </w:rPr>
            </w:pPr>
            <w:r w:rsidRPr="00AE1380">
              <w:rPr>
                <w:szCs w:val="24"/>
              </w:rPr>
              <w:t>SAIC-GM-Wuling</w:t>
            </w:r>
          </w:p>
        </w:tc>
        <w:tc>
          <w:tcPr>
            <w:tcW w:w="1814" w:type="dxa"/>
          </w:tcPr>
          <w:p w14:paraId="20FF35A3" w14:textId="77777777" w:rsidR="00632E09" w:rsidRPr="00AE1380" w:rsidRDefault="00000000" w:rsidP="00AE1380">
            <w:pPr>
              <w:rPr>
                <w:szCs w:val="24"/>
              </w:rPr>
            </w:pPr>
            <w:r w:rsidRPr="00AE1380">
              <w:rPr>
                <w:szCs w:val="24"/>
              </w:rPr>
              <w:t>Affordable urban mobility</w:t>
            </w:r>
          </w:p>
        </w:tc>
        <w:tc>
          <w:tcPr>
            <w:tcW w:w="1474" w:type="dxa"/>
          </w:tcPr>
          <w:p w14:paraId="79B96044" w14:textId="77777777" w:rsidR="00632E09" w:rsidRPr="00AE1380" w:rsidRDefault="00000000" w:rsidP="00AE1380">
            <w:pPr>
              <w:rPr>
                <w:szCs w:val="24"/>
              </w:rPr>
            </w:pPr>
            <w:r w:rsidRPr="00AE1380">
              <w:rPr>
                <w:szCs w:val="24"/>
              </w:rPr>
              <w:t xml:space="preserve">Entry-level and </w:t>
            </w:r>
            <w:proofErr w:type="gramStart"/>
            <w:r w:rsidRPr="00AE1380">
              <w:rPr>
                <w:szCs w:val="24"/>
              </w:rPr>
              <w:t>mini EV</w:t>
            </w:r>
            <w:proofErr w:type="gramEnd"/>
          </w:p>
        </w:tc>
        <w:tc>
          <w:tcPr>
            <w:tcW w:w="2268" w:type="dxa"/>
          </w:tcPr>
          <w:p w14:paraId="57AEF76E" w14:textId="77777777" w:rsidR="00632E09" w:rsidRPr="00AE1380" w:rsidRDefault="00000000" w:rsidP="00AE1380">
            <w:pPr>
              <w:rPr>
                <w:szCs w:val="24"/>
              </w:rPr>
            </w:pPr>
            <w:r w:rsidRPr="00AE1380">
              <w:rPr>
                <w:szCs w:val="24"/>
              </w:rPr>
              <w:t>Low-cost volume, local reach</w:t>
            </w:r>
          </w:p>
        </w:tc>
        <w:tc>
          <w:tcPr>
            <w:tcW w:w="2268" w:type="dxa"/>
          </w:tcPr>
          <w:p w14:paraId="6E5711FF" w14:textId="77777777" w:rsidR="00632E09" w:rsidRPr="00AE1380" w:rsidRDefault="00000000" w:rsidP="00AE1380">
            <w:pPr>
              <w:rPr>
                <w:szCs w:val="24"/>
              </w:rPr>
            </w:pPr>
            <w:r w:rsidRPr="00AE1380">
              <w:rPr>
                <w:szCs w:val="24"/>
              </w:rPr>
              <w:t>Thin margins and less premium appeal</w:t>
            </w:r>
          </w:p>
        </w:tc>
      </w:tr>
      <w:tr w:rsidR="00632E09" w:rsidRPr="00AE1380" w14:paraId="428B25E1" w14:textId="77777777" w:rsidTr="00AE1380">
        <w:trPr>
          <w:jc w:val="center"/>
        </w:trPr>
        <w:tc>
          <w:tcPr>
            <w:tcW w:w="1247" w:type="dxa"/>
          </w:tcPr>
          <w:p w14:paraId="2DF1B53C" w14:textId="77777777" w:rsidR="00632E09" w:rsidRPr="00AE1380" w:rsidRDefault="00000000" w:rsidP="00AE1380">
            <w:pPr>
              <w:rPr>
                <w:szCs w:val="24"/>
              </w:rPr>
            </w:pPr>
            <w:r w:rsidRPr="00AE1380">
              <w:rPr>
                <w:szCs w:val="24"/>
              </w:rPr>
              <w:lastRenderedPageBreak/>
              <w:t>Tesla China</w:t>
            </w:r>
          </w:p>
        </w:tc>
        <w:tc>
          <w:tcPr>
            <w:tcW w:w="1814" w:type="dxa"/>
          </w:tcPr>
          <w:p w14:paraId="2CC27A97" w14:textId="77777777" w:rsidR="00632E09" w:rsidRPr="00AE1380" w:rsidRDefault="00000000" w:rsidP="00AE1380">
            <w:pPr>
              <w:rPr>
                <w:szCs w:val="24"/>
              </w:rPr>
            </w:pPr>
            <w:r w:rsidRPr="00AE1380">
              <w:rPr>
                <w:szCs w:val="24"/>
              </w:rPr>
              <w:t>Focused BEV line-up with strong brand and export role</w:t>
            </w:r>
          </w:p>
        </w:tc>
        <w:tc>
          <w:tcPr>
            <w:tcW w:w="1474" w:type="dxa"/>
          </w:tcPr>
          <w:p w14:paraId="3BE5CABF" w14:textId="77777777" w:rsidR="00632E09" w:rsidRPr="00AE1380" w:rsidRDefault="00000000" w:rsidP="00AE1380">
            <w:pPr>
              <w:rPr>
                <w:szCs w:val="24"/>
              </w:rPr>
            </w:pPr>
            <w:r w:rsidRPr="00AE1380">
              <w:rPr>
                <w:szCs w:val="24"/>
              </w:rPr>
              <w:t>Upper mass / premium-adjacent</w:t>
            </w:r>
          </w:p>
        </w:tc>
        <w:tc>
          <w:tcPr>
            <w:tcW w:w="2268" w:type="dxa"/>
          </w:tcPr>
          <w:p w14:paraId="799FDDB2" w14:textId="77777777" w:rsidR="00632E09" w:rsidRPr="00AE1380" w:rsidRDefault="00000000" w:rsidP="00AE1380">
            <w:pPr>
              <w:rPr>
                <w:szCs w:val="24"/>
              </w:rPr>
            </w:pPr>
            <w:r w:rsidRPr="00AE1380">
              <w:rPr>
                <w:szCs w:val="24"/>
              </w:rPr>
              <w:t>Manufacturing efficiency, brand prestige, export base</w:t>
            </w:r>
          </w:p>
        </w:tc>
        <w:tc>
          <w:tcPr>
            <w:tcW w:w="2268" w:type="dxa"/>
          </w:tcPr>
          <w:p w14:paraId="0508ED7A" w14:textId="77777777" w:rsidR="00632E09" w:rsidRPr="00AE1380" w:rsidRDefault="00000000" w:rsidP="00AE1380">
            <w:pPr>
              <w:rPr>
                <w:szCs w:val="24"/>
              </w:rPr>
            </w:pPr>
            <w:r w:rsidRPr="00AE1380">
              <w:rPr>
                <w:szCs w:val="24"/>
              </w:rPr>
              <w:t>Narrower portfolio, pricing pressure, policy sensitivity</w:t>
            </w:r>
          </w:p>
        </w:tc>
      </w:tr>
    </w:tbl>
    <w:p w14:paraId="6F390A4B" w14:textId="77777777" w:rsidR="00632E09" w:rsidRDefault="00000000">
      <w:pPr>
        <w:pStyle w:val="Heading1"/>
        <w:spacing w:after="140"/>
      </w:pPr>
      <w:bookmarkStart w:id="3" w:name="_Toc223998479"/>
      <w:r>
        <w:t>3. Porter’s Diamond Model and China’s EV competitiveness</w:t>
      </w:r>
      <w:bookmarkEnd w:id="3"/>
    </w:p>
    <w:p w14:paraId="1248F80B" w14:textId="77777777" w:rsidR="00AE1380" w:rsidRDefault="00AE1380" w:rsidP="00AE1380">
      <w:pPr>
        <w:spacing w:after="140"/>
      </w:pPr>
      <w:r>
        <w:t xml:space="preserve">Porters diamond can offer some insights as to why the Chinese EV industry has become competitive in the world but it cannot work mechanically in isolation. The strength of China is not pegged on a single variable. It is a product of the combination of market size, production capacity, government subsidies, infrastructural development, stiff domestic competition and a high level of interdependence among allied industries. The criticism of the single-diamond model by Rugman and Verbeke holds, since the success of EV in China is also determined by the national factors, as well as by the export orientation, multi-national </w:t>
      </w:r>
      <w:proofErr w:type="spellStart"/>
      <w:r>
        <w:t>connexions</w:t>
      </w:r>
      <w:proofErr w:type="spellEnd"/>
      <w:r>
        <w:t xml:space="preserve"> and technology inflow. However, the diamond is still applicable to the </w:t>
      </w:r>
      <w:proofErr w:type="spellStart"/>
      <w:r>
        <w:t>organisation</w:t>
      </w:r>
      <w:proofErr w:type="spellEnd"/>
      <w:r>
        <w:t xml:space="preserve"> of the analysis.</w:t>
      </w:r>
    </w:p>
    <w:p w14:paraId="14606782" w14:textId="77777777" w:rsidR="00AE1380" w:rsidRDefault="00AE1380" w:rsidP="00AE1380">
      <w:pPr>
        <w:spacing w:after="140"/>
      </w:pPr>
      <w:r>
        <w:t xml:space="preserve">The factor conditions are very high. China is a combination of large-scale industrial capacity, a rich source of labour, developed electronics and battery supply chains, urban infrastructure and large network of charging. The industrial policy of the state has also been </w:t>
      </w:r>
      <w:proofErr w:type="spellStart"/>
      <w:r>
        <w:t>channelling</w:t>
      </w:r>
      <w:proofErr w:type="spellEnd"/>
      <w:r>
        <w:t xml:space="preserve"> resources in the development of advanced manufacturing, battery development and deployment of infrastructure. Low cost is not merely the outcome. Instead, China provides a set of manufacturability, supplier profundity, and scope of infrastructure that competitors can hardly equal. In its 2024 annual report, Tesla itself affirms that it has a strategic value in manufacturing in China to cut on transport and manufacturing expenses.</w:t>
      </w:r>
    </w:p>
    <w:p w14:paraId="516FB1D4" w14:textId="77777777" w:rsidR="00AE1380" w:rsidRDefault="00AE1380" w:rsidP="00AE1380">
      <w:pPr>
        <w:spacing w:after="140"/>
      </w:pPr>
      <w:r>
        <w:t xml:space="preserve">The conditions of demand are also strong. China has the largest market in the world and one of the most dynamic markets in terms of consumer expectations. Customers are technology savvy, very sensitive to price and are becoming more sensitive to software functionality, battery life, charging rate and intelligent-cabin experiences. This is important in terms of competitiveness since advanced domestic demand will compel the firms to upgrade at a high pace. The fact that the share of NEVs in total new vehicles registered is 44.97 per cent in the first half of 2025 indicates that the market is not a niche but </w:t>
      </w:r>
      <w:r>
        <w:lastRenderedPageBreak/>
        <w:t xml:space="preserve">mainstream. Those companies which are unable to adjust to rapid changes in demand fall out of </w:t>
      </w:r>
      <w:proofErr w:type="spellStart"/>
      <w:r>
        <w:t>favour</w:t>
      </w:r>
      <w:proofErr w:type="spellEnd"/>
      <w:r>
        <w:t xml:space="preserve"> within a very short time.</w:t>
      </w:r>
    </w:p>
    <w:p w14:paraId="4505F66B" w14:textId="77777777" w:rsidR="00AE1380" w:rsidRDefault="00AE1380" w:rsidP="00AE1380">
      <w:pPr>
        <w:spacing w:after="140"/>
      </w:pPr>
      <w:r>
        <w:t xml:space="preserve">The related and supporting industries are one of the key sources of advantage. Chinese battery producers, electronics suppliers, charging-network providers, software developers and logistics providers strengthen the competitiveness of EV in China. The infrastructure alone was almost 13.75 million facilities in March 2025. The charging points were available on highways in 98 per cent of service areas which enhances practical usability and purchase confidence. Such support on a system level enables automakers to develop more quickly and </w:t>
      </w:r>
      <w:proofErr w:type="spellStart"/>
      <w:r>
        <w:t>commercialise</w:t>
      </w:r>
      <w:proofErr w:type="spellEnd"/>
      <w:r>
        <w:t xml:space="preserve"> in large scale.</w:t>
      </w:r>
    </w:p>
    <w:p w14:paraId="10CB5000" w14:textId="77777777" w:rsidR="00AE1380" w:rsidRDefault="00AE1380" w:rsidP="00AE1380">
      <w:pPr>
        <w:spacing w:after="140"/>
      </w:pPr>
      <w:r>
        <w:t>The best aspect of the Chinese diamond may be firm strategy, structure and rivalry. Competition is also fierce, unremitting and technologically imperative. Domestic companies keep updating models, squeeze pricing and introducing features in a manner that keeps everyone in the game trying to get better. In March 2026, Reuters also reported that China is pushing the market to a more value-focused model following alarm over the devastating price wars, but the same report also highlighted the speed at which the leadership can change. Competition in China is hence a productivity mechanism. Individual firms are hurting, but industry competitiveness in general is enhanced.</w:t>
      </w:r>
    </w:p>
    <w:p w14:paraId="62C8BD68" w14:textId="77777777" w:rsidR="00AE1380" w:rsidRDefault="00AE1380" w:rsidP="00AE1380">
      <w:pPr>
        <w:spacing w:after="140"/>
      </w:pPr>
      <w:r>
        <w:t xml:space="preserve">The government is still central, as facilitator and </w:t>
      </w:r>
      <w:proofErr w:type="spellStart"/>
      <w:r>
        <w:t>coercor</w:t>
      </w:r>
      <w:proofErr w:type="spellEnd"/>
      <w:r>
        <w:t>. Local and national governments have facilitated EV demand by providing trade-in subsidies and infrastructure investment as well as influencing standards, incentives and industrial orientation. An example of this is the subsidies of up to 15,000 yuan provided through the replacement policy of Shanghai in 2025. Meanwhile, the governmental intervention brings about ambiguity since assistance structures, taxation and industrial anticipations may fluctuate. The lapse of certain tax benefits and the fact that the state does not want extreme price wars indicates that companies cannot count on the policy continuity.</w:t>
      </w:r>
    </w:p>
    <w:p w14:paraId="035456DF" w14:textId="73859884" w:rsidR="00632E09" w:rsidRDefault="00AE1380" w:rsidP="00AE1380">
      <w:pPr>
        <w:spacing w:after="140"/>
      </w:pPr>
      <w:r>
        <w:t xml:space="preserve">Altogether, it can be concluded that the Diamond by Porter implies that the Chinese EV edge can be considered as a systemic rather than an incidental one. Scale, infrastructure, supply chains and rivalry complement each other. The main weakness is that the same system generates immeasurable competitive pressure, i.e. the industry competitive advantage is not a guarantee of success to a single firm. This is a critical distinction in the case of Tesla. China is among the most suitable locations in the globe to manufacture and </w:t>
      </w:r>
      <w:r>
        <w:lastRenderedPageBreak/>
        <w:t>market EVs, as well as among the most challenging locations where to maintain differentiation.</w:t>
      </w:r>
    </w:p>
    <w:p w14:paraId="55954D33" w14:textId="77777777" w:rsidR="00632E09" w:rsidRDefault="00000000">
      <w:pPr>
        <w:jc w:val="center"/>
      </w:pPr>
      <w:r>
        <w:rPr>
          <w:noProof/>
        </w:rPr>
        <w:drawing>
          <wp:inline distT="0" distB="0" distL="0" distR="0" wp14:anchorId="22CC7FBE" wp14:editId="1A4D6DC6">
            <wp:extent cx="5394960" cy="32369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market_share.png"/>
                    <pic:cNvPicPr/>
                  </pic:nvPicPr>
                  <pic:blipFill>
                    <a:blip r:embed="rId10"/>
                    <a:stretch>
                      <a:fillRect/>
                    </a:stretch>
                  </pic:blipFill>
                  <pic:spPr>
                    <a:xfrm>
                      <a:off x="0" y="0"/>
                      <a:ext cx="5394960" cy="3236976"/>
                    </a:xfrm>
                    <a:prstGeom prst="rect">
                      <a:avLst/>
                    </a:prstGeom>
                  </pic:spPr>
                </pic:pic>
              </a:graphicData>
            </a:graphic>
          </wp:inline>
        </w:drawing>
      </w:r>
    </w:p>
    <w:p w14:paraId="5BBF9377" w14:textId="77777777" w:rsidR="00632E09" w:rsidRPr="00AE1380" w:rsidRDefault="00000000" w:rsidP="00AE1380">
      <w:pPr>
        <w:jc w:val="center"/>
        <w:rPr>
          <w:i/>
          <w:iCs/>
          <w:sz w:val="22"/>
        </w:rPr>
      </w:pPr>
      <w:r w:rsidRPr="00AE1380">
        <w:rPr>
          <w:i/>
          <w:iCs/>
          <w:sz w:val="22"/>
        </w:rPr>
        <w:t>Figure 3. Selected brands’ share of China’s NEV market, November 2025</w:t>
      </w:r>
    </w:p>
    <w:p w14:paraId="5F892953" w14:textId="77777777" w:rsidR="00632E09" w:rsidRPr="00AE1380" w:rsidRDefault="00000000" w:rsidP="00AE1380">
      <w:pPr>
        <w:jc w:val="center"/>
        <w:rPr>
          <w:sz w:val="22"/>
        </w:rPr>
      </w:pPr>
      <w:r w:rsidRPr="00AE1380">
        <w:rPr>
          <w:sz w:val="22"/>
        </w:rPr>
        <w:t>Source: CPCA-based market ranking reported by CnEVPost (2025a).</w:t>
      </w:r>
    </w:p>
    <w:p w14:paraId="2C0340FA" w14:textId="77777777" w:rsidR="00632E09" w:rsidRDefault="00000000">
      <w:pPr>
        <w:pStyle w:val="Heading1"/>
        <w:spacing w:after="140"/>
      </w:pPr>
      <w:bookmarkStart w:id="4" w:name="_Toc223998480"/>
      <w:r>
        <w:t>4. Critical evaluation of Tesla China</w:t>
      </w:r>
      <w:bookmarkEnd w:id="4"/>
    </w:p>
    <w:p w14:paraId="38FBBA32" w14:textId="77777777" w:rsidR="00AE1380" w:rsidRDefault="00AE1380" w:rsidP="00AE1380">
      <w:pPr>
        <w:spacing w:after="140"/>
      </w:pPr>
      <w:r>
        <w:t xml:space="preserve">Tesla is an appropriate focal foreign multinational as its operation in China is at the crossroads of the local market competition and the global strategic integration. Gigafactory Shanghai is a domestic manufacturing station as well as a manufacturing and export hub. The company enjoys the first-mover status in the foreign EV brands, the familiar image of the premium technology and a comparatively straightforward business model consisting of the Model 3 and Model Y. </w:t>
      </w:r>
      <w:proofErr w:type="gramStart"/>
      <w:r>
        <w:t>However</w:t>
      </w:r>
      <w:proofErr w:type="gramEnd"/>
      <w:r>
        <w:t xml:space="preserve"> these strengths are presently accompanied by tougher competition, political ambiguity and shifting consumer tastes.</w:t>
      </w:r>
    </w:p>
    <w:p w14:paraId="2C22E8CE" w14:textId="77777777" w:rsidR="00AE1380" w:rsidRDefault="00AE1380" w:rsidP="00AE1380">
      <w:pPr>
        <w:spacing w:after="140"/>
      </w:pPr>
      <w:r>
        <w:t xml:space="preserve">Politically, China is still appealing since EVs correspond to the national industrial priorities, </w:t>
      </w:r>
      <w:proofErr w:type="spellStart"/>
      <w:r>
        <w:t>decarbonisation</w:t>
      </w:r>
      <w:proofErr w:type="spellEnd"/>
      <w:r>
        <w:t xml:space="preserve"> objectives and advanced-manufacturing visions. This alignment has been beneficial to Tesla in the past, especially with Shanghai </w:t>
      </w:r>
      <w:proofErr w:type="spellStart"/>
      <w:r>
        <w:t>favouring</w:t>
      </w:r>
      <w:proofErr w:type="spellEnd"/>
      <w:r>
        <w:t xml:space="preserve"> production and land-use deals. According to Tesla annual report, the government of Shanghai has offered incentives relating to the investments made in terms of eligible capital and the company must satisfy </w:t>
      </w:r>
      <w:r>
        <w:lastRenderedPageBreak/>
        <w:t xml:space="preserve">the cumulative capital-expenditure and annual tax-revenue objectives. These arrangements </w:t>
      </w:r>
      <w:proofErr w:type="spellStart"/>
      <w:r>
        <w:t>emphasise</w:t>
      </w:r>
      <w:proofErr w:type="spellEnd"/>
      <w:r>
        <w:t xml:space="preserve"> a political economy where the foreign investment is open to welcome when it helps in the development of the locality. The same logic however implies that Tesla is not in a politically neutral environment but an operation that is under performance expectations.</w:t>
      </w:r>
    </w:p>
    <w:p w14:paraId="5249FC1B" w14:textId="77777777" w:rsidR="00AE1380" w:rsidRDefault="00AE1380" w:rsidP="00AE1380">
      <w:pPr>
        <w:spacing w:after="140"/>
      </w:pPr>
      <w:r>
        <w:t xml:space="preserve">Attractiveness in politics is thus conditional. China is desiring foreign companies that enhance industrial capacity, improve quality and meet more policy objectives. The contribution by Tesla in the increase of domestic production capacity and export has enabled Tesla to gain a significant base of operation. Yet political </w:t>
      </w:r>
      <w:proofErr w:type="spellStart"/>
      <w:r>
        <w:t>favour</w:t>
      </w:r>
      <w:proofErr w:type="spellEnd"/>
      <w:r>
        <w:t xml:space="preserve"> is not to be supposed forever. The domestic champions can be encouraged more vigorously over time by the industrial policy, especially when the local companies are technologically up to date. It implies that Tesla will have to maintain its legitimacy by investing, paying taxes, and providing high-quality employment and engaging in the ecosystem instead of solely using the brand prestige.</w:t>
      </w:r>
    </w:p>
    <w:p w14:paraId="7B596668" w14:textId="02389E6C" w:rsidR="00AE1380" w:rsidRDefault="00AE1380" w:rsidP="00AE1380">
      <w:pPr>
        <w:spacing w:after="140"/>
      </w:pPr>
      <w:r>
        <w:t>The economic situations are still persuasive due to size. The EV market in China has mass demand, a growing infrastructure, and a dense supply chain which is sufficient to enable efficiency. According to the 2024 annual report, Tesla has manufacturing in China which assists in reducing transportation and manufacturing expenses and mitigates against the adverse tariffs. This is a huge strength in a capital-intensive industry. Gigafactory Shanghai also enhances the regional export logic of Tesla, as seen through the one-millionth vehicle export of the plant in 2024.</w:t>
      </w:r>
    </w:p>
    <w:p w14:paraId="2FBA9260" w14:textId="77777777" w:rsidR="00AE1380" w:rsidRDefault="00AE1380" w:rsidP="00AE1380">
      <w:pPr>
        <w:spacing w:after="140"/>
      </w:pPr>
      <w:r>
        <w:t xml:space="preserve">Marginal pressure however balances economic attractiveness. Chinese EV market is now very value sensitive. In March 2026, Reuters stated that the market was </w:t>
      </w:r>
      <w:proofErr w:type="spellStart"/>
      <w:r>
        <w:t>characterised</w:t>
      </w:r>
      <w:proofErr w:type="spellEnd"/>
      <w:r>
        <w:t xml:space="preserve"> as value-based, and companies were pressured to abandon destructive price wars without compromising the needs of the customers who demanded advanced functionality at competitive prices. The lack of product variety in Tesla exposes it more when competitors are expanding the product range or squeezing prices across several segments simultaneously. Chinese buyers are becoming more and more focused on the comparison of EVs not only in terms of range and design, but integrated software, in-cabin interfaces and charging performance. The domestic competitors have grown very strong on these dimensions.</w:t>
      </w:r>
    </w:p>
    <w:p w14:paraId="238E4A9D" w14:textId="77777777" w:rsidR="00AE1380" w:rsidRDefault="00AE1380" w:rsidP="00AE1380">
      <w:pPr>
        <w:spacing w:after="140"/>
      </w:pPr>
      <w:r>
        <w:lastRenderedPageBreak/>
        <w:t>The fact is supported by competition statistics. The March 2025 Tesla sales of 78,828 China-made EVs were compared with BYD (371,419 NEVs) and Geely (119,696). By the end of 2025, Tesla was no longer leading a bigger group of local players in the Chinese NEV market. This does not imply failure. Tesla remains a major player. It does not mean that China ceases to be a market where foreign technology leadership can guarantee a better performance in terms of volume. Success in economics requires more and more constant change, not just the size of production.</w:t>
      </w:r>
    </w:p>
    <w:p w14:paraId="24D1256E" w14:textId="28AB9E0E" w:rsidR="00AE1380" w:rsidRDefault="00AE1380" w:rsidP="00AE1380">
      <w:pPr>
        <w:spacing w:after="140"/>
      </w:pPr>
      <w:r>
        <w:t xml:space="preserve">Legal and regulatory are combined. On the positive, China has come up with a more defined industrial regime of NEVs, infrastructure and other incentives. The market size is big; regulations are more </w:t>
      </w:r>
      <w:proofErr w:type="spellStart"/>
      <w:r>
        <w:t>institutionalised</w:t>
      </w:r>
      <w:proofErr w:type="spellEnd"/>
      <w:r>
        <w:t xml:space="preserve"> and EV policy guidelines have been widely </w:t>
      </w:r>
      <w:proofErr w:type="spellStart"/>
      <w:r>
        <w:t>favourable</w:t>
      </w:r>
      <w:proofErr w:type="spellEnd"/>
      <w:r>
        <w:t xml:space="preserve">. Tesla is enjoying a regulatory environment where the uptake of EV has become the norm, particularly in large cities. Nevertheless, there is still legal exposure. Several risks that foreign companies in China have to deal with are data governance, cybersecurity, local content expectations, and changing standards and platform-related compliance. Although the compliance burden may not be significant where there </w:t>
      </w:r>
      <w:proofErr w:type="gramStart"/>
      <w:r>
        <w:t>is</w:t>
      </w:r>
      <w:proofErr w:type="gramEnd"/>
      <w:r>
        <w:t xml:space="preserve"> no formal legal prohibition, ambiguity and administrative discretion can be a problem.</w:t>
      </w:r>
    </w:p>
    <w:p w14:paraId="0695AFE0" w14:textId="77777777" w:rsidR="00AE1380" w:rsidRDefault="00AE1380" w:rsidP="00AE1380">
      <w:pPr>
        <w:spacing w:after="140"/>
      </w:pPr>
      <w:r>
        <w:t>The salience of legal and regulatory issues in Tesla is due to the fact that the current competition in EVs is more data-intensive as the business model of Tesla is becoming more and more data-intensive. Cars are tracking their operations, software is upgraded on a regular basis and connected features are in a strategic position. The legal environment may influence the functionality of products, storage methods and feature implementation speed in a market like China where digital sovereignty and data protection are taken seriously. Tesla has to then consider legal risk not as an external consideration but as a component of product and operating design.</w:t>
      </w:r>
    </w:p>
    <w:p w14:paraId="3788DFB8" w14:textId="77777777" w:rsidR="00AE1380" w:rsidRDefault="00AE1380" w:rsidP="00AE1380">
      <w:pPr>
        <w:spacing w:after="140"/>
      </w:pPr>
      <w:r>
        <w:t xml:space="preserve">It is also important with regards to cultural factors. The distance framework proposed by Ghemawat can be applied in this case as it helps managers to remember that the competitive distance can be not only geographical and economic but also administrative and cultural. Tesla had a good aspirational brand when it entered China, and this brand was initially fitting when it was targeting consumers with quality, innovation and status. However, Chinese EV buyers are now more assertive and less respectful to foreign brands. The new cultural demands have been in </w:t>
      </w:r>
      <w:proofErr w:type="spellStart"/>
      <w:r>
        <w:t>favour</w:t>
      </w:r>
      <w:proofErr w:type="spellEnd"/>
      <w:r>
        <w:t xml:space="preserve"> of fast iterations, online richness, </w:t>
      </w:r>
      <w:r>
        <w:lastRenderedPageBreak/>
        <w:t xml:space="preserve">convenience and high value-for-money offerings. Domestic companies tend to be more in touch with those tastes since they update models faster and </w:t>
      </w:r>
      <w:proofErr w:type="spellStart"/>
      <w:r>
        <w:t>localise</w:t>
      </w:r>
      <w:proofErr w:type="spellEnd"/>
      <w:r>
        <w:t xml:space="preserve"> features more aggressively.</w:t>
      </w:r>
    </w:p>
    <w:p w14:paraId="18FB6A4A" w14:textId="77777777" w:rsidR="00AE1380" w:rsidRDefault="00AE1380" w:rsidP="00AE1380">
      <w:pPr>
        <w:spacing w:after="140"/>
      </w:pPr>
      <w:r>
        <w:t xml:space="preserve">The cultural lens provided by Hofstede may be of little use in offering a general tendency, however, the argument presented by McSweeney is noteworthy. China is not a national-culture profile that can be flattened, particularly in a market this technologically moving and regionally diverse as electric vehicles. The more practical conclusion is practical and not essentialist: Tesla needs to </w:t>
      </w:r>
      <w:proofErr w:type="spellStart"/>
      <w:r>
        <w:t>localise</w:t>
      </w:r>
      <w:proofErr w:type="spellEnd"/>
      <w:r>
        <w:t xml:space="preserve"> to living consumer </w:t>
      </w:r>
      <w:proofErr w:type="spellStart"/>
      <w:r>
        <w:t>behaviour</w:t>
      </w:r>
      <w:proofErr w:type="spellEnd"/>
      <w:r>
        <w:t xml:space="preserve"> and not abstract cultural stereotypes. China has a cultural fit based on the speed of products, relatability, and sensitivity to digital lifestyle.</w:t>
      </w:r>
    </w:p>
    <w:p w14:paraId="00296790" w14:textId="77777777" w:rsidR="00AE1380" w:rsidRDefault="00AE1380" w:rsidP="00AE1380">
      <w:pPr>
        <w:spacing w:after="140"/>
      </w:pPr>
      <w:r>
        <w:t xml:space="preserve">The internal strength of Tesla is still considerable. It enjoys a globally </w:t>
      </w:r>
      <w:proofErr w:type="spellStart"/>
      <w:r>
        <w:t>recognised</w:t>
      </w:r>
      <w:proofErr w:type="spellEnd"/>
      <w:r>
        <w:t xml:space="preserve"> brand, it has a large volume production factory in Shanghai, it has credibility to export, it has process efficiency and good product identity. Availability to produce at local level and export to regional level enhances resilience of the company strategies. Its simplified product architecture is also capable of supporting operating discipline. However, Tesla is also starting to show its flaws in China: a smaller range of products, slower diversification of prices and an operating narrative that may not seem as exciting as competitors unveiling new models regularly or creating a splash with battery and charging upgrades.</w:t>
      </w:r>
    </w:p>
    <w:p w14:paraId="4F76A826" w14:textId="77777777" w:rsidR="00AE1380" w:rsidRDefault="00AE1380" w:rsidP="00AE1380">
      <w:pPr>
        <w:spacing w:after="140"/>
      </w:pPr>
      <w:r>
        <w:t>The overall appeal of the market can then be assessed as high and conditional. In the case of Tesla, China is appealing due to the following factors: scale, depth of supply, infrastructure, efficiency of production and the persistence of demand. This is dangerous since there is contested leadership, policymaking and domestic opponents are no longer followers but agenda-setters. Local responsiveness and speed that is sometimes not easily maintained by large multinational firms is necessary in order to be successful. Tesla China does not face an entry problem. It is maintained relevancy in a situation of constant competitive squeeze.</w:t>
      </w:r>
    </w:p>
    <w:p w14:paraId="60B5D99C" w14:textId="161D936C" w:rsidR="00632E09" w:rsidRDefault="00AE1380" w:rsidP="00AE1380">
      <w:pPr>
        <w:spacing w:after="140"/>
      </w:pPr>
      <w:r>
        <w:t xml:space="preserve">A balanced verdict will be that Tesla China is still strategically useful to the parent company despite its domestic market share being </w:t>
      </w:r>
      <w:proofErr w:type="spellStart"/>
      <w:r>
        <w:t>pressurised</w:t>
      </w:r>
      <w:proofErr w:type="spellEnd"/>
      <w:r>
        <w:t xml:space="preserve">. The Shanghai operation is not just important in terms of Chinese sales, but also learning, cost efficiency and supply in the region. However, the ultimate success will be determined by the ability of Tesla to maintain brand differentiation and be more responsive to Chinese demands in terms of affordability, </w:t>
      </w:r>
      <w:r>
        <w:lastRenderedPageBreak/>
        <w:t xml:space="preserve">software, ease of charging and product recharge. China is still among the most significant markets of Tesla, yet it is among the most obvious challenges as to whether the company can compete in the environment where foreignness does not provide much natural </w:t>
      </w:r>
      <w:proofErr w:type="spellStart"/>
      <w:r>
        <w:t>defence</w:t>
      </w:r>
      <w:proofErr w:type="spellEnd"/>
      <w:r>
        <w:t>.</w:t>
      </w:r>
    </w:p>
    <w:p w14:paraId="3B6A288A" w14:textId="77777777" w:rsidR="00632E09" w:rsidRDefault="00000000">
      <w:pPr>
        <w:jc w:val="center"/>
      </w:pPr>
      <w:r>
        <w:rPr>
          <w:noProof/>
        </w:rPr>
        <w:drawing>
          <wp:inline distT="0" distB="0" distL="0" distR="0" wp14:anchorId="2778FEED" wp14:editId="67D89433">
            <wp:extent cx="5394960" cy="323697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registrations.png"/>
                    <pic:cNvPicPr/>
                  </pic:nvPicPr>
                  <pic:blipFill>
                    <a:blip r:embed="rId11"/>
                    <a:stretch>
                      <a:fillRect/>
                    </a:stretch>
                  </pic:blipFill>
                  <pic:spPr>
                    <a:xfrm>
                      <a:off x="0" y="0"/>
                      <a:ext cx="5394960" cy="3236976"/>
                    </a:xfrm>
                    <a:prstGeom prst="rect">
                      <a:avLst/>
                    </a:prstGeom>
                  </pic:spPr>
                </pic:pic>
              </a:graphicData>
            </a:graphic>
          </wp:inline>
        </w:drawing>
      </w:r>
    </w:p>
    <w:p w14:paraId="72A1FB10" w14:textId="77777777" w:rsidR="00632E09" w:rsidRPr="00AE1380" w:rsidRDefault="00000000">
      <w:pPr>
        <w:jc w:val="center"/>
        <w:rPr>
          <w:sz w:val="28"/>
          <w:szCs w:val="24"/>
        </w:rPr>
      </w:pPr>
      <w:r w:rsidRPr="00AE1380">
        <w:rPr>
          <w:i/>
          <w:sz w:val="22"/>
          <w:szCs w:val="24"/>
        </w:rPr>
        <w:t>Figure 4. China NEV registrations in 2024 and the first half of 2025</w:t>
      </w:r>
    </w:p>
    <w:p w14:paraId="4B299936" w14:textId="77777777" w:rsidR="00632E09" w:rsidRDefault="00000000" w:rsidP="00AE1380">
      <w:pPr>
        <w:jc w:val="center"/>
      </w:pPr>
      <w:r>
        <w:t>Source: State Council / Ministry of Public Security statistics (2025a; 2025b).</w:t>
      </w:r>
    </w:p>
    <w:p w14:paraId="15E784F6" w14:textId="77777777" w:rsidR="00632E09" w:rsidRDefault="00000000" w:rsidP="00AE1380">
      <w:r w:rsidRPr="00AE1380">
        <w:rPr>
          <w:b/>
          <w:bCs/>
        </w:rPr>
        <w:t>Table 2.</w:t>
      </w:r>
      <w:r>
        <w:t xml:space="preserve"> Summary of market-attractiveness factors for Tesla China</w:t>
      </w:r>
    </w:p>
    <w:tbl>
      <w:tblPr>
        <w:tblStyle w:val="TableGridLight"/>
        <w:tblW w:w="0" w:type="auto"/>
        <w:jc w:val="center"/>
        <w:tblLook w:val="04A0" w:firstRow="1" w:lastRow="0" w:firstColumn="1" w:lastColumn="0" w:noHBand="0" w:noVBand="1"/>
      </w:tblPr>
      <w:tblGrid>
        <w:gridCol w:w="3249"/>
        <w:gridCol w:w="3249"/>
        <w:gridCol w:w="3249"/>
      </w:tblGrid>
      <w:tr w:rsidR="00632E09" w:rsidRPr="00AE1380" w14:paraId="260433C9" w14:textId="77777777" w:rsidTr="00AE1380">
        <w:trPr>
          <w:jc w:val="center"/>
        </w:trPr>
        <w:tc>
          <w:tcPr>
            <w:tcW w:w="3249" w:type="dxa"/>
          </w:tcPr>
          <w:p w14:paraId="6DE48AC3" w14:textId="77777777" w:rsidR="00632E09" w:rsidRPr="00AE1380" w:rsidRDefault="00000000" w:rsidP="00AE1380">
            <w:pPr>
              <w:rPr>
                <w:b/>
                <w:bCs/>
                <w:szCs w:val="24"/>
              </w:rPr>
            </w:pPr>
            <w:r w:rsidRPr="00AE1380">
              <w:rPr>
                <w:b/>
                <w:bCs/>
                <w:szCs w:val="24"/>
              </w:rPr>
              <w:t>Dimension</w:t>
            </w:r>
          </w:p>
        </w:tc>
        <w:tc>
          <w:tcPr>
            <w:tcW w:w="3249" w:type="dxa"/>
          </w:tcPr>
          <w:p w14:paraId="73AC39EC" w14:textId="77777777" w:rsidR="00632E09" w:rsidRPr="00AE1380" w:rsidRDefault="00000000" w:rsidP="00AE1380">
            <w:pPr>
              <w:rPr>
                <w:b/>
                <w:bCs/>
                <w:szCs w:val="24"/>
              </w:rPr>
            </w:pPr>
            <w:r w:rsidRPr="00AE1380">
              <w:rPr>
                <w:b/>
                <w:bCs/>
                <w:szCs w:val="24"/>
              </w:rPr>
              <w:t>Key opportunity</w:t>
            </w:r>
          </w:p>
        </w:tc>
        <w:tc>
          <w:tcPr>
            <w:tcW w:w="3249" w:type="dxa"/>
          </w:tcPr>
          <w:p w14:paraId="3136FFE8" w14:textId="77777777" w:rsidR="00632E09" w:rsidRPr="00AE1380" w:rsidRDefault="00000000" w:rsidP="00AE1380">
            <w:pPr>
              <w:rPr>
                <w:b/>
                <w:bCs/>
                <w:szCs w:val="24"/>
              </w:rPr>
            </w:pPr>
            <w:r w:rsidRPr="00AE1380">
              <w:rPr>
                <w:b/>
                <w:bCs/>
                <w:szCs w:val="24"/>
              </w:rPr>
              <w:t>Key risk</w:t>
            </w:r>
          </w:p>
        </w:tc>
      </w:tr>
      <w:tr w:rsidR="00632E09" w:rsidRPr="00AE1380" w14:paraId="5F8B3253" w14:textId="77777777" w:rsidTr="00AE1380">
        <w:trPr>
          <w:jc w:val="center"/>
        </w:trPr>
        <w:tc>
          <w:tcPr>
            <w:tcW w:w="3249" w:type="dxa"/>
          </w:tcPr>
          <w:p w14:paraId="0A436AF5" w14:textId="77777777" w:rsidR="00632E09" w:rsidRPr="00AE1380" w:rsidRDefault="00000000" w:rsidP="00AE1380">
            <w:pPr>
              <w:rPr>
                <w:szCs w:val="24"/>
              </w:rPr>
            </w:pPr>
            <w:r w:rsidRPr="00AE1380">
              <w:rPr>
                <w:szCs w:val="24"/>
              </w:rPr>
              <w:t>Political</w:t>
            </w:r>
          </w:p>
        </w:tc>
        <w:tc>
          <w:tcPr>
            <w:tcW w:w="3249" w:type="dxa"/>
          </w:tcPr>
          <w:p w14:paraId="576AF0AD" w14:textId="77777777" w:rsidR="00632E09" w:rsidRPr="00AE1380" w:rsidRDefault="00000000" w:rsidP="00AE1380">
            <w:pPr>
              <w:rPr>
                <w:szCs w:val="24"/>
              </w:rPr>
            </w:pPr>
            <w:r w:rsidRPr="00AE1380">
              <w:rPr>
                <w:szCs w:val="24"/>
              </w:rPr>
              <w:t>Alignment with industrial upgrading and green mobility priorities</w:t>
            </w:r>
          </w:p>
        </w:tc>
        <w:tc>
          <w:tcPr>
            <w:tcW w:w="3249" w:type="dxa"/>
          </w:tcPr>
          <w:p w14:paraId="3C9FF51D" w14:textId="77777777" w:rsidR="00632E09" w:rsidRPr="00AE1380" w:rsidRDefault="00000000" w:rsidP="00AE1380">
            <w:pPr>
              <w:rPr>
                <w:szCs w:val="24"/>
              </w:rPr>
            </w:pPr>
            <w:r w:rsidRPr="00AE1380">
              <w:rPr>
                <w:szCs w:val="24"/>
              </w:rPr>
              <w:t>Policy support is conditional and may increasingly favour domestic champions</w:t>
            </w:r>
          </w:p>
        </w:tc>
      </w:tr>
      <w:tr w:rsidR="00632E09" w:rsidRPr="00AE1380" w14:paraId="61DBF8C7" w14:textId="77777777" w:rsidTr="00AE1380">
        <w:trPr>
          <w:jc w:val="center"/>
        </w:trPr>
        <w:tc>
          <w:tcPr>
            <w:tcW w:w="3249" w:type="dxa"/>
          </w:tcPr>
          <w:p w14:paraId="7A167D5B" w14:textId="77777777" w:rsidR="00632E09" w:rsidRPr="00AE1380" w:rsidRDefault="00000000" w:rsidP="00AE1380">
            <w:pPr>
              <w:rPr>
                <w:szCs w:val="24"/>
              </w:rPr>
            </w:pPr>
            <w:r w:rsidRPr="00AE1380">
              <w:rPr>
                <w:szCs w:val="24"/>
              </w:rPr>
              <w:t>Economic</w:t>
            </w:r>
          </w:p>
        </w:tc>
        <w:tc>
          <w:tcPr>
            <w:tcW w:w="3249" w:type="dxa"/>
          </w:tcPr>
          <w:p w14:paraId="4BD3F8C7" w14:textId="77777777" w:rsidR="00632E09" w:rsidRPr="00AE1380" w:rsidRDefault="00000000" w:rsidP="00AE1380">
            <w:pPr>
              <w:rPr>
                <w:szCs w:val="24"/>
              </w:rPr>
            </w:pPr>
            <w:r w:rsidRPr="00AE1380">
              <w:rPr>
                <w:szCs w:val="24"/>
              </w:rPr>
              <w:t>Largest EV demand base, mature supply chains, export platform</w:t>
            </w:r>
          </w:p>
        </w:tc>
        <w:tc>
          <w:tcPr>
            <w:tcW w:w="3249" w:type="dxa"/>
          </w:tcPr>
          <w:p w14:paraId="1DFBD9B7" w14:textId="77777777" w:rsidR="00632E09" w:rsidRPr="00AE1380" w:rsidRDefault="00000000" w:rsidP="00AE1380">
            <w:pPr>
              <w:rPr>
                <w:szCs w:val="24"/>
              </w:rPr>
            </w:pPr>
            <w:r w:rsidRPr="00AE1380">
              <w:rPr>
                <w:szCs w:val="24"/>
              </w:rPr>
              <w:t>Value-driven pricing pressure and narrowing foreign-brand premium</w:t>
            </w:r>
          </w:p>
        </w:tc>
      </w:tr>
      <w:tr w:rsidR="00632E09" w:rsidRPr="00AE1380" w14:paraId="67A0C589" w14:textId="77777777" w:rsidTr="00AE1380">
        <w:trPr>
          <w:jc w:val="center"/>
        </w:trPr>
        <w:tc>
          <w:tcPr>
            <w:tcW w:w="3249" w:type="dxa"/>
          </w:tcPr>
          <w:p w14:paraId="4EE3C614" w14:textId="77777777" w:rsidR="00632E09" w:rsidRPr="00AE1380" w:rsidRDefault="00000000" w:rsidP="00AE1380">
            <w:pPr>
              <w:rPr>
                <w:szCs w:val="24"/>
              </w:rPr>
            </w:pPr>
            <w:r w:rsidRPr="00AE1380">
              <w:rPr>
                <w:szCs w:val="24"/>
              </w:rPr>
              <w:t>Legal</w:t>
            </w:r>
          </w:p>
        </w:tc>
        <w:tc>
          <w:tcPr>
            <w:tcW w:w="3249" w:type="dxa"/>
          </w:tcPr>
          <w:p w14:paraId="1332DAAA" w14:textId="77777777" w:rsidR="00632E09" w:rsidRPr="00AE1380" w:rsidRDefault="00000000" w:rsidP="00AE1380">
            <w:pPr>
              <w:rPr>
                <w:szCs w:val="24"/>
              </w:rPr>
            </w:pPr>
            <w:r w:rsidRPr="00AE1380">
              <w:rPr>
                <w:szCs w:val="24"/>
              </w:rPr>
              <w:t>Institutionalisation of NEV rules and infrastructure support</w:t>
            </w:r>
          </w:p>
        </w:tc>
        <w:tc>
          <w:tcPr>
            <w:tcW w:w="3249" w:type="dxa"/>
          </w:tcPr>
          <w:p w14:paraId="20FB66BB" w14:textId="77777777" w:rsidR="00632E09" w:rsidRPr="00AE1380" w:rsidRDefault="00000000" w:rsidP="00AE1380">
            <w:pPr>
              <w:rPr>
                <w:szCs w:val="24"/>
              </w:rPr>
            </w:pPr>
            <w:r w:rsidRPr="00AE1380">
              <w:rPr>
                <w:szCs w:val="24"/>
              </w:rPr>
              <w:t>Data, cybersecurity and compliance expectations can constrain flexibility</w:t>
            </w:r>
          </w:p>
        </w:tc>
      </w:tr>
      <w:tr w:rsidR="00632E09" w:rsidRPr="00AE1380" w14:paraId="3EBD5245" w14:textId="77777777" w:rsidTr="00AE1380">
        <w:trPr>
          <w:jc w:val="center"/>
        </w:trPr>
        <w:tc>
          <w:tcPr>
            <w:tcW w:w="3249" w:type="dxa"/>
          </w:tcPr>
          <w:p w14:paraId="1DC6FC0D" w14:textId="77777777" w:rsidR="00632E09" w:rsidRPr="00AE1380" w:rsidRDefault="00000000" w:rsidP="00AE1380">
            <w:pPr>
              <w:rPr>
                <w:szCs w:val="24"/>
              </w:rPr>
            </w:pPr>
            <w:r w:rsidRPr="00AE1380">
              <w:rPr>
                <w:szCs w:val="24"/>
              </w:rPr>
              <w:t>Cultural</w:t>
            </w:r>
          </w:p>
        </w:tc>
        <w:tc>
          <w:tcPr>
            <w:tcW w:w="3249" w:type="dxa"/>
          </w:tcPr>
          <w:p w14:paraId="75C04C0C" w14:textId="77777777" w:rsidR="00632E09" w:rsidRPr="00AE1380" w:rsidRDefault="00000000" w:rsidP="00AE1380">
            <w:pPr>
              <w:rPr>
                <w:szCs w:val="24"/>
              </w:rPr>
            </w:pPr>
            <w:r w:rsidRPr="00AE1380">
              <w:rPr>
                <w:szCs w:val="24"/>
              </w:rPr>
              <w:t xml:space="preserve">Large consumer base </w:t>
            </w:r>
            <w:r w:rsidRPr="00AE1380">
              <w:rPr>
                <w:szCs w:val="24"/>
              </w:rPr>
              <w:lastRenderedPageBreak/>
              <w:t>receptive to innovation and digital mobility</w:t>
            </w:r>
          </w:p>
        </w:tc>
        <w:tc>
          <w:tcPr>
            <w:tcW w:w="3249" w:type="dxa"/>
          </w:tcPr>
          <w:p w14:paraId="6D325394" w14:textId="77777777" w:rsidR="00632E09" w:rsidRPr="00AE1380" w:rsidRDefault="00000000" w:rsidP="00AE1380">
            <w:pPr>
              <w:rPr>
                <w:szCs w:val="24"/>
              </w:rPr>
            </w:pPr>
            <w:r w:rsidRPr="00AE1380">
              <w:rPr>
                <w:szCs w:val="24"/>
              </w:rPr>
              <w:lastRenderedPageBreak/>
              <w:t xml:space="preserve">Fast-changing tastes reward </w:t>
            </w:r>
            <w:r w:rsidRPr="00AE1380">
              <w:rPr>
                <w:szCs w:val="24"/>
              </w:rPr>
              <w:lastRenderedPageBreak/>
              <w:t>local adaptation and rapid model refresh</w:t>
            </w:r>
          </w:p>
        </w:tc>
      </w:tr>
    </w:tbl>
    <w:p w14:paraId="000A0480" w14:textId="77777777" w:rsidR="00632E09" w:rsidRDefault="00000000">
      <w:pPr>
        <w:pStyle w:val="Heading1"/>
        <w:spacing w:after="140"/>
      </w:pPr>
      <w:bookmarkStart w:id="5" w:name="_Toc223998481"/>
      <w:r>
        <w:lastRenderedPageBreak/>
        <w:t>5. Conclusion</w:t>
      </w:r>
      <w:bookmarkEnd w:id="5"/>
    </w:p>
    <w:p w14:paraId="1B5B5767" w14:textId="2D739A85" w:rsidR="00632E09" w:rsidRDefault="00AE1380" w:rsidP="00AE1380">
      <w:pPr>
        <w:spacing w:after="140"/>
      </w:pPr>
      <w:r w:rsidRPr="00AE1380">
        <w:t xml:space="preserve">The scale, infrastructure, supply chain, policy support and domestic rivalry in China make its electric vehicle industry globally competitive as they support each other. Porters Diamond indicates that the advantage that China has is highly systemic: the conditions of factors are high, demand is highly developed, the related industries are concentrated and the competition is abnormally strong. This is very appealing to the EV operations of the country, yet it also renders competitive advantage hard to maintain at the firm level. Tesla China is also strategically significant since local manufacturing reduces the cost, Shanghai is a significant export base, and the Chinese market still presents a huge demand. Meanwhile, the company is confronted with a market where the domestic companies are taking more and more control to determine the rate of innovation, the line of price and consumer anticipation. The last implication is the most significant one: Tesla will not have as high chances of success in China as the first-mover, and its future relies more on further </w:t>
      </w:r>
      <w:proofErr w:type="spellStart"/>
      <w:r w:rsidRPr="00AE1380">
        <w:t>localisation</w:t>
      </w:r>
      <w:proofErr w:type="spellEnd"/>
      <w:r w:rsidRPr="00AE1380">
        <w:t>, the ability to respond to competition and stay legitimate with the government. China is both a potential opportunity platform and a pressure test, it is both the best place in the world to build and sell EVs, but also the most challenging in which to be a unique brand</w:t>
      </w:r>
      <w:r>
        <w:t>.</w:t>
      </w:r>
    </w:p>
    <w:p w14:paraId="1A34C70A" w14:textId="77777777" w:rsidR="00632E09" w:rsidRDefault="00000000">
      <w:r>
        <w:br w:type="page"/>
      </w:r>
    </w:p>
    <w:p w14:paraId="75C489B8" w14:textId="77777777" w:rsidR="00632E09" w:rsidRDefault="00000000">
      <w:pPr>
        <w:pStyle w:val="Heading1"/>
        <w:spacing w:after="140"/>
      </w:pPr>
      <w:bookmarkStart w:id="6" w:name="_Toc223998482"/>
      <w:r>
        <w:lastRenderedPageBreak/>
        <w:t>Section 2. Reflective account using Gibbs’ reflective cycle</w:t>
      </w:r>
      <w:bookmarkEnd w:id="6"/>
    </w:p>
    <w:p w14:paraId="03E8A69D" w14:textId="77777777" w:rsidR="00AE1380" w:rsidRDefault="00AE1380" w:rsidP="00AE1380">
      <w:r w:rsidRPr="00AE1380">
        <w:rPr>
          <w:b/>
          <w:bCs/>
        </w:rPr>
        <w:t>Description</w:t>
      </w:r>
      <w:r>
        <w:t>. This started with the selection of the topic. I desired a pair of countries and industries, with sufficient evidence in the public, to enable good Level 7 analysis, and with adequate strategic tension, to prevent the generation of a descriptive report. The electric vehicle sector in China and Tesla China met the two requirements. The subject provided official data, company announcements, current media reporting and an apparent foreign multinational target company. It was also appropriate to the module since it related strategy, institutions, culture, regulation and international competition within a single integrated case.</w:t>
      </w:r>
    </w:p>
    <w:p w14:paraId="0F4C836B" w14:textId="77777777" w:rsidR="00AE1380" w:rsidRDefault="00AE1380" w:rsidP="00AE1380">
      <w:r w:rsidRPr="00AE1380">
        <w:rPr>
          <w:b/>
          <w:bCs/>
        </w:rPr>
        <w:t>Feelings</w:t>
      </w:r>
      <w:r>
        <w:t xml:space="preserve">. The first thing that I was sure about was the topicality of the industry and the second one was the danger of overload of information. The dynamics of the Chinese EV market are shifting rapidly, and there was a risk that the report might turn into a collection of facts and not a logical argument. I also knew that Tesla can take highly </w:t>
      </w:r>
      <w:proofErr w:type="spellStart"/>
      <w:r>
        <w:t>polarised</w:t>
      </w:r>
      <w:proofErr w:type="spellEnd"/>
      <w:r>
        <w:t xml:space="preserve"> criticism, and that this led me to avoid writing a laudatory or a dismissive report. My goal turned to construct a balanced analysis that should have identified the appeal of the market and the challenge of functioning successfully in it.</w:t>
      </w:r>
    </w:p>
    <w:p w14:paraId="055A640F" w14:textId="77777777" w:rsidR="00AE1380" w:rsidRDefault="00AE1380" w:rsidP="00AE1380">
      <w:r w:rsidRPr="00AE1380">
        <w:rPr>
          <w:b/>
          <w:bCs/>
        </w:rPr>
        <w:t>Evaluation</w:t>
      </w:r>
      <w:r>
        <w:t xml:space="preserve">. Triangulation of sources was the best part of the research process. The official Chinese statistics provided scale and infrastructure information, Tesla annual report explains the strategic importance of the Chinese manufacturing, Reuters reports were useful in capturing live competitive and policy events and the theoretical framework was provided by the academic literature. This mixture enhanced the authenticity of the report since there was no pre-eminence of a type of source. The bad thing was that not all useful information about the market-share could be obtained easily out of the official English-language </w:t>
      </w:r>
      <w:proofErr w:type="gramStart"/>
      <w:r>
        <w:t>sources,</w:t>
      </w:r>
      <w:proofErr w:type="gramEnd"/>
      <w:r>
        <w:t xml:space="preserve"> therefore I needed to resort to CPCA-based reporting via the specialist coverage of the industry. That necessitated more care in interpreting the figures.</w:t>
      </w:r>
    </w:p>
    <w:p w14:paraId="77BD5229" w14:textId="77777777" w:rsidR="00AE1380" w:rsidRDefault="00AE1380" w:rsidP="00AE1380">
      <w:r w:rsidRPr="00AE1380">
        <w:rPr>
          <w:b/>
          <w:bCs/>
        </w:rPr>
        <w:t>Analysis</w:t>
      </w:r>
      <w:r>
        <w:t xml:space="preserve">. The process of report writing supported the necessity to shift to judgement rather than description. The expansion of the EV market in China was fairly simple to explain, yet the evaluation had to involve a more challenging question, namely, why has the market become so global, and what will it imply to a foreign multinational like Tesla? Porters Diamond was useful since it compelled me to </w:t>
      </w:r>
      <w:proofErr w:type="spellStart"/>
      <w:r>
        <w:t>analyse</w:t>
      </w:r>
      <w:proofErr w:type="spellEnd"/>
      <w:r>
        <w:t xml:space="preserve"> competitiveness as a system. Simultaneously, the Rugman and Verbeke reproach also prompted me to remember that </w:t>
      </w:r>
      <w:r>
        <w:lastRenderedPageBreak/>
        <w:t>national advantage is not a sufficient factor to explain multinational success. This made me not be too strict with the model.</w:t>
      </w:r>
    </w:p>
    <w:p w14:paraId="3505F05F" w14:textId="77777777" w:rsidR="00AE1380" w:rsidRDefault="00AE1380" w:rsidP="00AE1380">
      <w:r>
        <w:t>A second learning point in terms of analysis was market attractiveness. China is admittedly initially imposing due to the scale, infrastructure and the depth of supply chain. Nonetheless, as soon as the political, legal and cultural aspects were considered, the situation became more conditional. Rivalry and dependence on policies are also enhanced by the same environment that bolsters the demand. This was more apparent in the Tesla section. My conclusion was that market attractiveness is a dynamic rating rather than a fixed rating of opportunity and difficulty of operation.</w:t>
      </w:r>
    </w:p>
    <w:p w14:paraId="3FE3418E" w14:textId="7A391C8E" w:rsidR="00AE1380" w:rsidRDefault="00AE1380" w:rsidP="00AE1380">
      <w:r>
        <w:t xml:space="preserve">The other lesson learnt through cultural analysis. I would have used Hofstede as a mere explanatory tool but the critique by McSweeney has illuminated the risk of overstating national-culture structures. This led me to a more </w:t>
      </w:r>
      <w:proofErr w:type="spellStart"/>
      <w:r>
        <w:t>practise</w:t>
      </w:r>
      <w:proofErr w:type="spellEnd"/>
      <w:r>
        <w:t xml:space="preserve">-based conception of cultural fit whereby cultural fit is perceived in terms of observed consumer </w:t>
      </w:r>
      <w:proofErr w:type="spellStart"/>
      <w:r>
        <w:t>behaviour</w:t>
      </w:r>
      <w:proofErr w:type="spellEnd"/>
      <w:r>
        <w:t xml:space="preserve">, </w:t>
      </w:r>
      <w:proofErr w:type="spellStart"/>
      <w:r>
        <w:t>localisation</w:t>
      </w:r>
      <w:proofErr w:type="spellEnd"/>
      <w:r>
        <w:t xml:space="preserve"> and digital demands as opposed to predetermined national characteristics. Such a change made the report more quality as it was closer to the truth of the fast-changing market.</w:t>
      </w:r>
    </w:p>
    <w:p w14:paraId="0C56C4A6" w14:textId="77777777" w:rsidR="00AE1380" w:rsidRDefault="00AE1380" w:rsidP="00AE1380">
      <w:r w:rsidRPr="00AE1380">
        <w:rPr>
          <w:b/>
          <w:bCs/>
        </w:rPr>
        <w:t>Conclusion</w:t>
      </w:r>
      <w:r>
        <w:t>. The report has managed to create one clear focus: China is among the most appealing EV markets in the globe, but in fact, it is appealing because it is challenging. The research process also equipped me with better knowledge on how to integrate academic models with live business evidence. The area in which the process could have been more successful was access to more primary Chinese-language material in the industry, which could have provided more depth on the competitor analysis.</w:t>
      </w:r>
    </w:p>
    <w:p w14:paraId="1749030A" w14:textId="77C2C288" w:rsidR="00632E09" w:rsidRDefault="00AE1380" w:rsidP="00AE1380">
      <w:r w:rsidRPr="00AE1380">
        <w:rPr>
          <w:b/>
          <w:bCs/>
        </w:rPr>
        <w:t>Action</w:t>
      </w:r>
      <w:r>
        <w:t xml:space="preserve"> </w:t>
      </w:r>
      <w:r w:rsidRPr="00AE1380">
        <w:rPr>
          <w:b/>
          <w:bCs/>
        </w:rPr>
        <w:t>plan.</w:t>
      </w:r>
      <w:r>
        <w:t xml:space="preserve"> To conduct the next international business research, I would begin by creating a more formal evidence map prior to writing, classify the sources according to their theoretical relevance, data quality and date. I would also increase the element of comparison above especially in market analysis where there are numerous operating competitors. Lastly, I would still employ reflective frameworks like Gibbs to make the research process more transparent, since the use of reflection allowed me to determine not only what I discovered, but how I made judgements in situations of incomplete and moving information.</w:t>
      </w:r>
      <w:r>
        <w:br w:type="page"/>
      </w:r>
    </w:p>
    <w:p w14:paraId="670641F0" w14:textId="77777777" w:rsidR="00632E09" w:rsidRDefault="00000000">
      <w:pPr>
        <w:pStyle w:val="Heading1"/>
        <w:spacing w:after="140"/>
      </w:pPr>
      <w:bookmarkStart w:id="7" w:name="_Toc223998483"/>
      <w:r>
        <w:lastRenderedPageBreak/>
        <w:t>References</w:t>
      </w:r>
      <w:bookmarkEnd w:id="7"/>
    </w:p>
    <w:p w14:paraId="6C0D757F" w14:textId="77777777" w:rsidR="00AE1380" w:rsidRPr="00AE1380" w:rsidRDefault="00AE1380" w:rsidP="00AE1380">
      <w:pPr>
        <w:spacing w:before="160"/>
      </w:pPr>
      <w:proofErr w:type="spellStart"/>
      <w:r w:rsidRPr="00AE1380">
        <w:t>CnEVPost</w:t>
      </w:r>
      <w:proofErr w:type="spellEnd"/>
      <w:r w:rsidRPr="00AE1380">
        <w:t xml:space="preserve"> (2025a) ‘Automakers’ share of China’s NEV market in Nov: BYD leads with 23.2%, Tesla 5th with 5.5%’, 9 December. Available at: </w:t>
      </w:r>
      <w:hyperlink r:id="rId12" w:history="1">
        <w:r w:rsidRPr="00AE1380">
          <w:rPr>
            <w:rStyle w:val="Hyperlink"/>
          </w:rPr>
          <w:t>https://cnevpost.com/2025/12/09/automakers-share-china-nev-market-nov-2025/</w:t>
        </w:r>
      </w:hyperlink>
      <w:r w:rsidRPr="00AE1380">
        <w:t xml:space="preserve"> (Accessed: 9 March 2026).</w:t>
      </w:r>
    </w:p>
    <w:p w14:paraId="5B6182AB" w14:textId="77777777" w:rsidR="00AE1380" w:rsidRPr="00AE1380" w:rsidRDefault="00AE1380" w:rsidP="00AE1380">
      <w:pPr>
        <w:spacing w:before="160"/>
      </w:pPr>
      <w:r w:rsidRPr="00AE1380">
        <w:t xml:space="preserve">Ghemawat, P. (2001) ‘Distance still matters: the hard reality of global expansion’, </w:t>
      </w:r>
      <w:r w:rsidRPr="00AE1380">
        <w:rPr>
          <w:i/>
          <w:iCs/>
        </w:rPr>
        <w:t>Harvard Business Review</w:t>
      </w:r>
      <w:r w:rsidRPr="00AE1380">
        <w:t>, 79(8), pp. 137-147.</w:t>
      </w:r>
    </w:p>
    <w:p w14:paraId="46DECBF0" w14:textId="77777777" w:rsidR="00AE1380" w:rsidRPr="00AE1380" w:rsidRDefault="00AE1380" w:rsidP="00AE1380">
      <w:pPr>
        <w:spacing w:before="160"/>
      </w:pPr>
      <w:r w:rsidRPr="00AE1380">
        <w:t xml:space="preserve">Gibbs, G. (1988) </w:t>
      </w:r>
      <w:r w:rsidRPr="00AE1380">
        <w:rPr>
          <w:i/>
          <w:iCs/>
        </w:rPr>
        <w:t>Learning by doing: a guide to teaching and learning methods</w:t>
      </w:r>
      <w:r w:rsidRPr="00AE1380">
        <w:t>. Oxford: Further Education Unit, Oxford Polytechnic.</w:t>
      </w:r>
    </w:p>
    <w:p w14:paraId="6C428CA7" w14:textId="77777777" w:rsidR="00AE1380" w:rsidRPr="00AE1380" w:rsidRDefault="00AE1380" w:rsidP="00AE1380">
      <w:pPr>
        <w:spacing w:before="160"/>
      </w:pPr>
      <w:r w:rsidRPr="00AE1380">
        <w:t xml:space="preserve">McSweeney, B. (2002) ‘Hofstede’s model of national cultural differences and their consequences: a triumph of faith, a failure of analysis’, </w:t>
      </w:r>
      <w:r w:rsidRPr="00AE1380">
        <w:rPr>
          <w:i/>
          <w:iCs/>
        </w:rPr>
        <w:t>Human Relations</w:t>
      </w:r>
      <w:r w:rsidRPr="00AE1380">
        <w:t>, 55(1), pp. 89-118.</w:t>
      </w:r>
    </w:p>
    <w:p w14:paraId="501AD409" w14:textId="77777777" w:rsidR="00AE1380" w:rsidRPr="00AE1380" w:rsidRDefault="00AE1380" w:rsidP="00AE1380">
      <w:pPr>
        <w:spacing w:before="160"/>
      </w:pPr>
      <w:r w:rsidRPr="00AE1380">
        <w:t xml:space="preserve">Porter, M.E. (1990) </w:t>
      </w:r>
      <w:r w:rsidRPr="00AE1380">
        <w:rPr>
          <w:i/>
          <w:iCs/>
        </w:rPr>
        <w:t>The competitive advantage of nations</w:t>
      </w:r>
      <w:r w:rsidRPr="00AE1380">
        <w:t>. New York: Free Press.</w:t>
      </w:r>
    </w:p>
    <w:p w14:paraId="3045305E" w14:textId="77777777" w:rsidR="00AE1380" w:rsidRPr="00AE1380" w:rsidRDefault="00AE1380" w:rsidP="00AE1380">
      <w:pPr>
        <w:spacing w:before="160"/>
      </w:pPr>
      <w:r w:rsidRPr="00AE1380">
        <w:t xml:space="preserve">Reuters (2026a) ‘BYD unveils faster-charging Blade Battery to revive China sales’, 5 March. Available at: </w:t>
      </w:r>
      <w:hyperlink r:id="rId13" w:history="1">
        <w:r w:rsidRPr="00AE1380">
          <w:rPr>
            <w:rStyle w:val="Hyperlink"/>
          </w:rPr>
          <w:t>https://www.reuters.com/world/asia-pacific/byd-launches-new-generation-blade-battery-with-rapid-charging-cold-environments-2026-03-05/</w:t>
        </w:r>
      </w:hyperlink>
      <w:r w:rsidRPr="00AE1380">
        <w:t xml:space="preserve"> (Accessed: 9 March 2026).</w:t>
      </w:r>
    </w:p>
    <w:p w14:paraId="695D4A7B" w14:textId="77777777" w:rsidR="00AE1380" w:rsidRPr="00AE1380" w:rsidRDefault="00AE1380" w:rsidP="00AE1380">
      <w:pPr>
        <w:spacing w:before="160"/>
      </w:pPr>
      <w:r w:rsidRPr="00AE1380">
        <w:t xml:space="preserve">Reuters (2026b) ‘China lithium prices tumble as weak EV sales, Middle East war cloud demand outlook’, 3 March. Available at: </w:t>
      </w:r>
      <w:hyperlink r:id="rId14" w:history="1">
        <w:r w:rsidRPr="00AE1380">
          <w:rPr>
            <w:rStyle w:val="Hyperlink"/>
          </w:rPr>
          <w:t>https://www.reuters.com/world/asia-pacific/china-lithium-prices-tumble-weak-ev-sales-middle-east-war-cloud-demand-outlook-2026-03-03/</w:t>
        </w:r>
      </w:hyperlink>
      <w:r w:rsidRPr="00AE1380">
        <w:t xml:space="preserve"> (Accessed: 9 March 2026).</w:t>
      </w:r>
    </w:p>
    <w:p w14:paraId="3AFF43B3" w14:textId="77777777" w:rsidR="00AE1380" w:rsidRPr="00AE1380" w:rsidRDefault="00AE1380" w:rsidP="00AE1380">
      <w:pPr>
        <w:spacing w:before="160"/>
      </w:pPr>
      <w:r w:rsidRPr="00AE1380">
        <w:t xml:space="preserve">Rugman, A.M. and Verbeke, A. (1993) ‘Foreign subsidiaries and multinational strategic management: an extension and correction of Porter’s single diamond framework’, </w:t>
      </w:r>
      <w:r w:rsidRPr="00AE1380">
        <w:rPr>
          <w:i/>
          <w:iCs/>
        </w:rPr>
        <w:t>Management International Review</w:t>
      </w:r>
      <w:r w:rsidRPr="00AE1380">
        <w:t>, 33(2), pp. 71-84.</w:t>
      </w:r>
    </w:p>
    <w:p w14:paraId="6DD4FCE5" w14:textId="77777777" w:rsidR="00AE1380" w:rsidRPr="00AE1380" w:rsidRDefault="00AE1380" w:rsidP="00AE1380">
      <w:pPr>
        <w:spacing w:before="160"/>
      </w:pPr>
      <w:r w:rsidRPr="00AE1380">
        <w:t xml:space="preserve">Shanghai Municipal People’s Government (2024) </w:t>
      </w:r>
      <w:r w:rsidRPr="00AE1380">
        <w:rPr>
          <w:i/>
          <w:iCs/>
        </w:rPr>
        <w:t>Tesla Shanghai surpasses 1 million EV exports</w:t>
      </w:r>
      <w:r w:rsidRPr="00AE1380">
        <w:t xml:space="preserve">. Available at: </w:t>
      </w:r>
      <w:hyperlink r:id="rId15" w:history="1">
        <w:r w:rsidRPr="00AE1380">
          <w:rPr>
            <w:rStyle w:val="Hyperlink"/>
          </w:rPr>
          <w:t>https://english.shanghai.gov.cn/en-Latest-WhatsNew/20241001/ca8a56faa48440afaa550af841182738.html</w:t>
        </w:r>
      </w:hyperlink>
      <w:r w:rsidRPr="00AE1380">
        <w:t xml:space="preserve"> (Accessed: 9 March 2026).</w:t>
      </w:r>
    </w:p>
    <w:p w14:paraId="1EF6D95A" w14:textId="77777777" w:rsidR="00AE1380" w:rsidRPr="00AE1380" w:rsidRDefault="00AE1380" w:rsidP="00AE1380">
      <w:pPr>
        <w:spacing w:before="160"/>
      </w:pPr>
      <w:r w:rsidRPr="00AE1380">
        <w:lastRenderedPageBreak/>
        <w:t xml:space="preserve">Shanghai Municipal People’s Government (2025) </w:t>
      </w:r>
      <w:r w:rsidRPr="00AE1380">
        <w:rPr>
          <w:i/>
          <w:iCs/>
        </w:rPr>
        <w:t>Shanghai raises subsidies in its new round of car replacement policy</w:t>
      </w:r>
      <w:r w:rsidRPr="00AE1380">
        <w:t xml:space="preserve">. Available at: </w:t>
      </w:r>
      <w:hyperlink r:id="rId16" w:history="1">
        <w:r w:rsidRPr="00AE1380">
          <w:rPr>
            <w:rStyle w:val="Hyperlink"/>
          </w:rPr>
          <w:t>https://www.shio.gov.cn/TrueCMS/shxwbgs/voices/content/20250213231642109.htm</w:t>
        </w:r>
      </w:hyperlink>
      <w:r w:rsidRPr="00AE1380">
        <w:t xml:space="preserve"> (Accessed: 9 March 2026).</w:t>
      </w:r>
    </w:p>
    <w:p w14:paraId="7EFD046B" w14:textId="77777777" w:rsidR="00AE1380" w:rsidRPr="00AE1380" w:rsidRDefault="00AE1380" w:rsidP="00AE1380">
      <w:pPr>
        <w:spacing w:before="160"/>
      </w:pPr>
      <w:r w:rsidRPr="00AE1380">
        <w:t xml:space="preserve">State Council of the People’s Republic of China (2025a) </w:t>
      </w:r>
      <w:r w:rsidRPr="00AE1380">
        <w:rPr>
          <w:i/>
          <w:iCs/>
        </w:rPr>
        <w:t xml:space="preserve">China’s new energy vehicle registrations hit record 5.62 </w:t>
      </w:r>
      <w:proofErr w:type="spellStart"/>
      <w:r w:rsidRPr="00AE1380">
        <w:rPr>
          <w:i/>
          <w:iCs/>
        </w:rPr>
        <w:t>mln</w:t>
      </w:r>
      <w:proofErr w:type="spellEnd"/>
      <w:r w:rsidRPr="00AE1380">
        <w:rPr>
          <w:i/>
          <w:iCs/>
        </w:rPr>
        <w:t xml:space="preserve"> in H1 2025</w:t>
      </w:r>
      <w:r w:rsidRPr="00AE1380">
        <w:t xml:space="preserve">. Available at: </w:t>
      </w:r>
      <w:hyperlink r:id="rId17" w:history="1">
        <w:r w:rsidRPr="00AE1380">
          <w:rPr>
            <w:rStyle w:val="Hyperlink"/>
          </w:rPr>
          <w:t>https://english.www.gov.cn/archive/statistics/202507/14/content_WS6874b990c6d0868f4e8f4226.html</w:t>
        </w:r>
      </w:hyperlink>
      <w:r w:rsidRPr="00AE1380">
        <w:t xml:space="preserve"> (Accessed: 9 March 2026).</w:t>
      </w:r>
    </w:p>
    <w:p w14:paraId="4B9F7BF3" w14:textId="77777777" w:rsidR="00AE1380" w:rsidRPr="00AE1380" w:rsidRDefault="00AE1380" w:rsidP="00AE1380">
      <w:pPr>
        <w:spacing w:before="160"/>
      </w:pPr>
      <w:r w:rsidRPr="00AE1380">
        <w:t xml:space="preserve">State Council of the People’s Republic of China (2025b) </w:t>
      </w:r>
      <w:r w:rsidRPr="00AE1380">
        <w:rPr>
          <w:i/>
          <w:iCs/>
        </w:rPr>
        <w:t>New energy vehicles in use in China exceed 30 million</w:t>
      </w:r>
      <w:r w:rsidRPr="00AE1380">
        <w:t xml:space="preserve">. Available at: </w:t>
      </w:r>
      <w:hyperlink r:id="rId18" w:history="1">
        <w:r w:rsidRPr="00AE1380">
          <w:rPr>
            <w:rStyle w:val="Hyperlink"/>
          </w:rPr>
          <w:t>https://english.www.gov.cn/archive/statistics/202501/17/content_WS678a06e4c6d0868f4e8eee8a.html</w:t>
        </w:r>
      </w:hyperlink>
      <w:r w:rsidRPr="00AE1380">
        <w:t xml:space="preserve"> (Accessed: 9 March 2026).</w:t>
      </w:r>
    </w:p>
    <w:p w14:paraId="4062F584" w14:textId="77777777" w:rsidR="00AE1380" w:rsidRPr="00AE1380" w:rsidRDefault="00AE1380" w:rsidP="00AE1380">
      <w:pPr>
        <w:spacing w:before="160"/>
      </w:pPr>
      <w:r w:rsidRPr="00AE1380">
        <w:t xml:space="preserve">State Council of the People’s Republic of China (2025c) </w:t>
      </w:r>
      <w:r w:rsidRPr="00AE1380">
        <w:rPr>
          <w:i/>
          <w:iCs/>
        </w:rPr>
        <w:t>China sees 47.6-pct rise in NEV charging infrastructure facilities</w:t>
      </w:r>
      <w:r w:rsidRPr="00AE1380">
        <w:t xml:space="preserve">. Available at: </w:t>
      </w:r>
      <w:hyperlink r:id="rId19" w:history="1">
        <w:r w:rsidRPr="00AE1380">
          <w:rPr>
            <w:rStyle w:val="Hyperlink"/>
          </w:rPr>
          <w:t>https://english.www.gov.cn/archive/statistics/202505/03/content_WS6815b388c6d0868f4e8f2449.html</w:t>
        </w:r>
      </w:hyperlink>
      <w:r w:rsidRPr="00AE1380">
        <w:t xml:space="preserve"> (Accessed: 9 March 2026).</w:t>
      </w:r>
    </w:p>
    <w:p w14:paraId="2F71936F" w14:textId="77777777" w:rsidR="00AE1380" w:rsidRPr="00AE1380" w:rsidRDefault="00AE1380" w:rsidP="00AE1380">
      <w:pPr>
        <w:spacing w:before="160"/>
      </w:pPr>
      <w:r w:rsidRPr="00AE1380">
        <w:t xml:space="preserve">Tesla Investor Relations (2026) </w:t>
      </w:r>
      <w:r w:rsidRPr="00AE1380">
        <w:rPr>
          <w:i/>
          <w:iCs/>
        </w:rPr>
        <w:t>Investor relations</w:t>
      </w:r>
      <w:r w:rsidRPr="00AE1380">
        <w:t xml:space="preserve">. Available at: </w:t>
      </w:r>
      <w:hyperlink r:id="rId20" w:history="1">
        <w:r w:rsidRPr="00AE1380">
          <w:rPr>
            <w:rStyle w:val="Hyperlink"/>
          </w:rPr>
          <w:t>https://ir.tesla.com/</w:t>
        </w:r>
      </w:hyperlink>
      <w:r w:rsidRPr="00AE1380">
        <w:t xml:space="preserve"> (Accessed: 9 March 2026).</w:t>
      </w:r>
    </w:p>
    <w:p w14:paraId="3331D1EE" w14:textId="77777777" w:rsidR="00AE1380" w:rsidRPr="00AE1380" w:rsidRDefault="00AE1380" w:rsidP="00AE1380">
      <w:pPr>
        <w:spacing w:before="160"/>
      </w:pPr>
      <w:r w:rsidRPr="00AE1380">
        <w:t xml:space="preserve">Tesla, Inc. (2025) </w:t>
      </w:r>
      <w:r w:rsidRPr="00AE1380">
        <w:rPr>
          <w:i/>
          <w:iCs/>
        </w:rPr>
        <w:t>Annual report 2024</w:t>
      </w:r>
      <w:r w:rsidRPr="00AE1380">
        <w:t xml:space="preserve">. Available at: </w:t>
      </w:r>
      <w:hyperlink r:id="rId21" w:history="1">
        <w:r w:rsidRPr="00AE1380">
          <w:rPr>
            <w:rStyle w:val="Hyperlink"/>
          </w:rPr>
          <w:t>https://ir.tesla.com/_flysystem/s3/sec/000162828025003063/tsla-20241231-gen.pdf</w:t>
        </w:r>
      </w:hyperlink>
      <w:r w:rsidRPr="00AE1380">
        <w:t xml:space="preserve"> (Accessed: 9 March 2026).</w:t>
      </w:r>
    </w:p>
    <w:p w14:paraId="10D62236" w14:textId="7C09744F" w:rsidR="00632E09" w:rsidRDefault="00632E09">
      <w:pPr>
        <w:spacing w:before="160"/>
      </w:pPr>
    </w:p>
    <w:sectPr w:rsidR="00632E09" w:rsidSect="00034616">
      <w:pgSz w:w="12240" w:h="15840"/>
      <w:pgMar w:top="1191" w:right="1247" w:bottom="1134" w:left="124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19602652">
    <w:abstractNumId w:val="8"/>
  </w:num>
  <w:num w:numId="2" w16cid:durableId="1329021834">
    <w:abstractNumId w:val="6"/>
  </w:num>
  <w:num w:numId="3" w16cid:durableId="420763413">
    <w:abstractNumId w:val="5"/>
  </w:num>
  <w:num w:numId="4" w16cid:durableId="401023079">
    <w:abstractNumId w:val="4"/>
  </w:num>
  <w:num w:numId="5" w16cid:durableId="2083212330">
    <w:abstractNumId w:val="7"/>
  </w:num>
  <w:num w:numId="6" w16cid:durableId="310447078">
    <w:abstractNumId w:val="3"/>
  </w:num>
  <w:num w:numId="7" w16cid:durableId="529999490">
    <w:abstractNumId w:val="2"/>
  </w:num>
  <w:num w:numId="8" w16cid:durableId="270623763">
    <w:abstractNumId w:val="1"/>
  </w:num>
  <w:num w:numId="9" w16cid:durableId="919870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4765A"/>
    <w:rsid w:val="0029639D"/>
    <w:rsid w:val="00326F90"/>
    <w:rsid w:val="00473E08"/>
    <w:rsid w:val="00632E09"/>
    <w:rsid w:val="0076692B"/>
    <w:rsid w:val="00AA1D8D"/>
    <w:rsid w:val="00AC734F"/>
    <w:rsid w:val="00AE1380"/>
    <w:rsid w:val="00B47730"/>
    <w:rsid w:val="00B736AB"/>
    <w:rsid w:val="00CB0664"/>
    <w:rsid w:val="00FC693F"/>
    <w:rsid w:val="00FE0A9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39EA05"/>
  <w14:defaultImageDpi w14:val="300"/>
  <w15:docId w15:val="{E178A9B5-9877-4A05-A018-D4FB738FD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380"/>
    <w:pPr>
      <w:spacing w:line="360" w:lineRule="auto"/>
      <w:jc w:val="both"/>
    </w:pPr>
    <w:rPr>
      <w:rFonts w:ascii="Arial" w:hAnsi="Arial"/>
      <w:sz w:val="24"/>
    </w:rPr>
  </w:style>
  <w:style w:type="paragraph" w:styleId="Heading1">
    <w:name w:val="heading 1"/>
    <w:basedOn w:val="Normal"/>
    <w:next w:val="Normal"/>
    <w:link w:val="Heading1Char"/>
    <w:uiPriority w:val="9"/>
    <w:qFormat/>
    <w:rsid w:val="00AE1380"/>
    <w:pPr>
      <w:keepNext/>
      <w:keepLines/>
      <w:spacing w:before="480" w:after="0"/>
      <w:outlineLvl w:val="0"/>
    </w:pPr>
    <w:rPr>
      <w:rFonts w:eastAsiaTheme="majorEastAsia" w:cstheme="majorBidi"/>
      <w:b/>
      <w:bCs/>
      <w:color w:val="1F4E5F"/>
      <w:sz w:val="32"/>
      <w:szCs w:val="28"/>
    </w:rPr>
  </w:style>
  <w:style w:type="paragraph" w:styleId="Heading2">
    <w:name w:val="heading 2"/>
    <w:basedOn w:val="Normal"/>
    <w:next w:val="Normal"/>
    <w:link w:val="Heading2Char"/>
    <w:uiPriority w:val="9"/>
    <w:unhideWhenUsed/>
    <w:qFormat/>
    <w:rsid w:val="00AE1380"/>
    <w:pPr>
      <w:keepNext/>
      <w:keepLines/>
      <w:spacing w:before="200" w:after="0"/>
      <w:outlineLvl w:val="1"/>
    </w:pPr>
    <w:rPr>
      <w:rFonts w:eastAsiaTheme="majorEastAsia" w:cstheme="majorBidi"/>
      <w:b/>
      <w:bCs/>
      <w:color w:val="2F5D50"/>
      <w:sz w:val="28"/>
      <w:szCs w:val="26"/>
    </w:rPr>
  </w:style>
  <w:style w:type="paragraph" w:styleId="Heading3">
    <w:name w:val="heading 3"/>
    <w:basedOn w:val="Normal"/>
    <w:next w:val="Normal"/>
    <w:link w:val="Heading3Char"/>
    <w:uiPriority w:val="9"/>
    <w:unhideWhenUsed/>
    <w:qFormat/>
    <w:rsid w:val="00AE1380"/>
    <w:pPr>
      <w:keepNext/>
      <w:keepLines/>
      <w:spacing w:before="200" w:after="0"/>
      <w:outlineLvl w:val="2"/>
    </w:pPr>
    <w:rPr>
      <w:rFonts w:eastAsiaTheme="majorEastAsia" w:cstheme="majorBidi"/>
      <w:b/>
      <w:bCs/>
      <w:i/>
      <w:color w:val="2F5D5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AE1380"/>
    <w:rPr>
      <w:rFonts w:ascii="Arial" w:eastAsiaTheme="majorEastAsia" w:hAnsi="Arial" w:cstheme="majorBidi"/>
      <w:b/>
      <w:bCs/>
      <w:color w:val="1F4E5F"/>
      <w:sz w:val="32"/>
      <w:szCs w:val="28"/>
    </w:rPr>
  </w:style>
  <w:style w:type="character" w:customStyle="1" w:styleId="Heading2Char">
    <w:name w:val="Heading 2 Char"/>
    <w:basedOn w:val="DefaultParagraphFont"/>
    <w:link w:val="Heading2"/>
    <w:uiPriority w:val="9"/>
    <w:rsid w:val="00AE1380"/>
    <w:rPr>
      <w:rFonts w:ascii="Arial" w:eastAsiaTheme="majorEastAsia" w:hAnsi="Arial" w:cstheme="majorBidi"/>
      <w:b/>
      <w:bCs/>
      <w:color w:val="2F5D50"/>
      <w:sz w:val="28"/>
      <w:szCs w:val="26"/>
    </w:rPr>
  </w:style>
  <w:style w:type="character" w:customStyle="1" w:styleId="Heading3Char">
    <w:name w:val="Heading 3 Char"/>
    <w:basedOn w:val="DefaultParagraphFont"/>
    <w:link w:val="Heading3"/>
    <w:uiPriority w:val="9"/>
    <w:rsid w:val="00AE1380"/>
    <w:rPr>
      <w:rFonts w:ascii="Arial" w:eastAsiaTheme="majorEastAsia" w:hAnsi="Arial" w:cstheme="majorBidi"/>
      <w:b/>
      <w:bCs/>
      <w:i/>
      <w:color w:val="2F5D50"/>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F4E5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5C6B73"/>
      <w:spacing w:val="15"/>
      <w:sz w:val="22"/>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TableGridLight">
    <w:name w:val="Grid Table Light"/>
    <w:basedOn w:val="TableNormal"/>
    <w:uiPriority w:val="99"/>
    <w:rsid w:val="00AE138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99"/>
    <w:rsid w:val="00AE138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AE1380"/>
    <w:rPr>
      <w:color w:val="0000FF" w:themeColor="hyperlink"/>
      <w:u w:val="single"/>
    </w:rPr>
  </w:style>
  <w:style w:type="character" w:styleId="UnresolvedMention">
    <w:name w:val="Unresolved Mention"/>
    <w:basedOn w:val="DefaultParagraphFont"/>
    <w:uiPriority w:val="99"/>
    <w:semiHidden/>
    <w:unhideWhenUsed/>
    <w:rsid w:val="00AE1380"/>
    <w:rPr>
      <w:color w:val="605E5C"/>
      <w:shd w:val="clear" w:color="auto" w:fill="E1DFDD"/>
    </w:rPr>
  </w:style>
  <w:style w:type="paragraph" w:styleId="TOC1">
    <w:name w:val="toc 1"/>
    <w:basedOn w:val="Normal"/>
    <w:next w:val="Normal"/>
    <w:autoRedefine/>
    <w:uiPriority w:val="39"/>
    <w:unhideWhenUsed/>
    <w:rsid w:val="00473E0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uters.com/world/asia-pacific/byd-launches-new-generation-blade-battery-with-rapid-charging-cold-environments-2026-03-05/" TargetMode="External"/><Relationship Id="rId18" Type="http://schemas.openxmlformats.org/officeDocument/2006/relationships/hyperlink" Target="https://english.www.gov.cn/archive/statistics/202501/17/content_WS678a06e4c6d0868f4e8eee8a.html" TargetMode="External"/><Relationship Id="rId3" Type="http://schemas.openxmlformats.org/officeDocument/2006/relationships/styles" Target="styles.xml"/><Relationship Id="rId21" Type="http://schemas.openxmlformats.org/officeDocument/2006/relationships/hyperlink" Target="https://ir.tesla.com/_flysystem/s3/sec/000162828025003063/tsla-20241231-gen.pdf" TargetMode="External"/><Relationship Id="rId7" Type="http://schemas.openxmlformats.org/officeDocument/2006/relationships/image" Target="cid:image001.png@01D0EA4A.2BD679A0" TargetMode="External"/><Relationship Id="rId12" Type="http://schemas.openxmlformats.org/officeDocument/2006/relationships/hyperlink" Target="https://cnevpost.com/2025/12/09/automakers-share-china-nev-market-nov-2025/" TargetMode="External"/><Relationship Id="rId17" Type="http://schemas.openxmlformats.org/officeDocument/2006/relationships/hyperlink" Target="https://english.www.gov.cn/archive/statistics/202507/14/content_WS6874b990c6d0868f4e8f4226.html" TargetMode="External"/><Relationship Id="rId2" Type="http://schemas.openxmlformats.org/officeDocument/2006/relationships/numbering" Target="numbering.xml"/><Relationship Id="rId16" Type="http://schemas.openxmlformats.org/officeDocument/2006/relationships/hyperlink" Target="https://www.shio.gov.cn/TrueCMS/shxwbgs/voices/content/20250213231642109.htm" TargetMode="External"/><Relationship Id="rId20" Type="http://schemas.openxmlformats.org/officeDocument/2006/relationships/hyperlink" Target="https://ir.tesla.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english.shanghai.gov.cn/en-Latest-WhatsNew/20241001/ca8a56faa48440afaa550af841182738.html"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english.www.gov.cn/archive/statistics/202505/03/content_WS6815b388c6d0868f4e8f2449.html"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reuters.com/world/asia-pacific/china-lithium-prices-tumble-weak-ev-sales-middle-east-war-cloud-demand-outlook-2026-03-0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18</Pages>
  <Words>5153</Words>
  <Characters>28190</Characters>
  <Application>Microsoft Office Word</Application>
  <DocSecurity>0</DocSecurity>
  <Lines>1761</Lines>
  <Paragraphs>833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32510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MD SAIFUDDIN</cp:lastModifiedBy>
  <cp:revision>5</cp:revision>
  <dcterms:created xsi:type="dcterms:W3CDTF">2013-12-23T23:15:00Z</dcterms:created>
  <dcterms:modified xsi:type="dcterms:W3CDTF">2026-03-15T22:53:00Z</dcterms:modified>
  <cp:category/>
</cp:coreProperties>
</file>