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57" w:lineRule="auto"/>
        <w:jc w:val="center"/>
        <w:rPr>
          <w:rFonts w:ascii="Calibri" w:hAnsi="Calibri" w:eastAsia="Calibri" w:cs="Calibri"/>
          <w:color w:val="000000" w:themeColor="text1"/>
          <w:sz w:val="24"/>
          <w:szCs w:val="24"/>
          <w14:textFill>
            <w14:solidFill>
              <w14:schemeClr w14:val="tx1"/>
            </w14:solidFill>
          </w14:textFill>
        </w:rPr>
      </w:pPr>
      <w:bookmarkStart w:id="4" w:name="_GoBack"/>
      <w:r>
        <w:rPr>
          <w:rFonts w:ascii="Calibri" w:hAnsi="Calibri" w:eastAsia="Calibri" w:cs="Calibri"/>
          <w:b/>
          <w:bCs/>
          <w:color w:val="000000" w:themeColor="text1"/>
          <w:sz w:val="24"/>
          <w:szCs w:val="24"/>
          <w14:textFill>
            <w14:solidFill>
              <w14:schemeClr w14:val="tx1"/>
            </w14:solidFill>
          </w14:textFill>
        </w:rPr>
        <w:t>Learner</w:t>
      </w:r>
      <w:r>
        <w:rPr>
          <w:rFonts w:ascii="Calibri" w:hAnsi="Calibri" w:eastAsia="Calibri" w:cs="Calibri"/>
          <w:color w:val="000000" w:themeColor="text1"/>
          <w:sz w:val="24"/>
          <w:szCs w:val="24"/>
          <w14:textFill>
            <w14:solidFill>
              <w14:schemeClr w14:val="tx1"/>
            </w14:solidFill>
          </w14:textFill>
        </w:rPr>
        <w:t xml:space="preserve"> – Mrs. Sian Louise White</w:t>
      </w:r>
    </w:p>
    <w:bookmarkEnd w:id="4"/>
    <w:p>
      <w:pPr>
        <w:spacing w:line="257" w:lineRule="auto"/>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Number</w:t>
      </w:r>
      <w:r>
        <w:rPr>
          <w:rFonts w:ascii="Calibri" w:hAnsi="Calibri" w:eastAsia="Calibri" w:cs="Calibri"/>
          <w:color w:val="000000" w:themeColor="text1"/>
          <w:sz w:val="24"/>
          <w:szCs w:val="24"/>
          <w14:textFill>
            <w14:solidFill>
              <w14:schemeClr w14:val="tx1"/>
            </w14:solidFill>
          </w14:textFill>
        </w:rPr>
        <w:t xml:space="preserve"> – 86455928</w:t>
      </w:r>
    </w:p>
    <w:p>
      <w:pPr>
        <w:spacing w:line="257" w:lineRule="auto"/>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 xml:space="preserve">Unit </w:t>
      </w:r>
      <w:r>
        <w:rPr>
          <w:rFonts w:ascii="Calibri" w:hAnsi="Calibri" w:eastAsia="Calibri" w:cs="Calibri"/>
          <w:color w:val="000000" w:themeColor="text1"/>
          <w:sz w:val="24"/>
          <w:szCs w:val="24"/>
          <w14:textFill>
            <w14:solidFill>
              <w14:schemeClr w14:val="tx1"/>
            </w14:solidFill>
          </w14:textFill>
        </w:rPr>
        <w:t>– 5CO02</w:t>
      </w:r>
    </w:p>
    <w:p>
      <w:pPr>
        <w:spacing w:line="257" w:lineRule="auto"/>
        <w:jc w:val="center"/>
        <w:rPr>
          <w:rFonts w:ascii="Arial" w:hAnsi="Arial" w:eastAsia="Arial" w:cs="Arial"/>
          <w:color w:val="000000" w:themeColor="text1"/>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Assessment ID</w:t>
      </w:r>
      <w:r>
        <w:rPr>
          <w:rFonts w:ascii="Calibri" w:hAnsi="Calibri" w:eastAsia="Calibri" w:cs="Calibri"/>
          <w:color w:val="000000" w:themeColor="text1"/>
          <w:sz w:val="24"/>
          <w:szCs w:val="24"/>
          <w14:textFill>
            <w14:solidFill>
              <w14:schemeClr w14:val="tx1"/>
            </w14:solidFill>
          </w14:textFill>
        </w:rPr>
        <w:t xml:space="preserve"> – </w:t>
      </w:r>
      <w:r>
        <w:rPr>
          <w:rFonts w:ascii="Arial" w:hAnsi="Arial" w:eastAsia="Arial" w:cs="Arial"/>
          <w:color w:val="000000" w:themeColor="text1"/>
          <w14:textFill>
            <w14:solidFill>
              <w14:schemeClr w14:val="tx1"/>
            </w14:solidFill>
          </w14:textFill>
        </w:rPr>
        <w:t>CIPD_5CO02_23_01</w:t>
      </w:r>
    </w:p>
    <w:p>
      <w:pPr>
        <w:spacing w:line="257" w:lineRule="auto"/>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Total word count (Excluding reference criteria titles)</w:t>
      </w:r>
      <w:r>
        <w:rPr>
          <w:rFonts w:ascii="Calibri" w:hAnsi="Calibri" w:eastAsia="Calibri" w:cs="Calibri"/>
          <w:color w:val="000000" w:themeColor="text1"/>
          <w:sz w:val="24"/>
          <w:szCs w:val="24"/>
          <w14:textFill>
            <w14:solidFill>
              <w14:schemeClr w14:val="tx1"/>
            </w14:solidFill>
          </w14:textFill>
        </w:rPr>
        <w:t xml:space="preserve"> Section 1 – 2590 words Section 2 –</w:t>
      </w:r>
    </w:p>
    <w:p>
      <w:pPr>
        <w:spacing w:line="257" w:lineRule="auto"/>
        <w:jc w:val="center"/>
        <w:rPr>
          <w:rFonts w:hint="default" w:ascii="Calibri" w:hAnsi="Calibri" w:eastAsia="Calibri" w:cs="Calibri"/>
          <w:color w:val="000000" w:themeColor="text1"/>
          <w:sz w:val="24"/>
          <w:szCs w:val="24"/>
          <w:lang w:val="en-US"/>
          <w14:textFill>
            <w14:solidFill>
              <w14:schemeClr w14:val="tx1"/>
            </w14:solidFill>
          </w14:textFill>
        </w:rPr>
      </w:pPr>
      <w:r>
        <w:rPr>
          <w:rFonts w:ascii="Calibri" w:hAnsi="Calibri" w:eastAsia="Calibri" w:cs="Calibri"/>
          <w:strike/>
          <w:dstrike w:val="0"/>
          <w:color w:val="000000" w:themeColor="text1"/>
          <w:sz w:val="24"/>
          <w:szCs w:val="24"/>
          <w14:textFill>
            <w14:solidFill>
              <w14:schemeClr w14:val="tx1"/>
            </w14:solidFill>
          </w14:textFill>
        </w:rPr>
        <w:t xml:space="preserve">1608 </w:t>
      </w:r>
      <w:r>
        <w:rPr>
          <w:rFonts w:hint="default" w:ascii="Calibri" w:hAnsi="Calibri" w:eastAsia="Calibri" w:cs="Calibri"/>
          <w:color w:val="000000" w:themeColor="text1"/>
          <w:sz w:val="24"/>
          <w:szCs w:val="24"/>
          <w:lang w:val="en-US"/>
          <w14:textFill>
            <w14:solidFill>
              <w14:schemeClr w14:val="tx1"/>
            </w14:solidFill>
          </w14:textFill>
        </w:rPr>
        <w:t xml:space="preserve">1498 </w:t>
      </w:r>
      <w:r>
        <w:rPr>
          <w:rFonts w:ascii="Calibri" w:hAnsi="Calibri" w:eastAsia="Calibri" w:cs="Calibri"/>
          <w:color w:val="000000" w:themeColor="text1"/>
          <w:sz w:val="24"/>
          <w:szCs w:val="24"/>
          <w14:textFill>
            <w14:solidFill>
              <w14:schemeClr w14:val="tx1"/>
            </w14:solidFill>
          </w14:textFill>
        </w:rPr>
        <w:t xml:space="preserve">words Total words </w:t>
      </w:r>
      <w:r>
        <w:rPr>
          <w:rFonts w:ascii="Calibri" w:hAnsi="Calibri" w:eastAsia="Calibri" w:cs="Calibri"/>
          <w:strike/>
          <w:dstrike w:val="0"/>
          <w:color w:val="000000" w:themeColor="text1"/>
          <w:sz w:val="24"/>
          <w:szCs w:val="24"/>
          <w14:textFill>
            <w14:solidFill>
              <w14:schemeClr w14:val="tx1"/>
            </w14:solidFill>
          </w14:textFill>
        </w:rPr>
        <w:t>4198</w:t>
      </w:r>
      <w:r>
        <w:rPr>
          <w:rFonts w:hint="default" w:ascii="Calibri" w:hAnsi="Calibri" w:eastAsia="Calibri" w:cs="Calibri"/>
          <w:strike/>
          <w:dstrike w:val="0"/>
          <w:color w:val="000000" w:themeColor="text1"/>
          <w:sz w:val="24"/>
          <w:szCs w:val="24"/>
          <w:lang w:val="en-US"/>
          <w14:textFill>
            <w14:solidFill>
              <w14:schemeClr w14:val="tx1"/>
            </w14:solidFill>
          </w14:textFill>
        </w:rPr>
        <w:t xml:space="preserve"> </w:t>
      </w:r>
      <w:r>
        <w:rPr>
          <w:rFonts w:hint="default" w:ascii="Calibri" w:hAnsi="Calibri" w:eastAsia="Calibri" w:cs="Calibri"/>
          <w:strike w:val="0"/>
          <w:dstrike w:val="0"/>
          <w:color w:val="000000" w:themeColor="text1"/>
          <w:sz w:val="24"/>
          <w:szCs w:val="24"/>
          <w:lang w:val="en-US"/>
          <w14:textFill>
            <w14:solidFill>
              <w14:schemeClr w14:val="tx1"/>
            </w14:solidFill>
          </w14:textFill>
        </w:rPr>
        <w:t>4088</w:t>
      </w:r>
    </w:p>
    <w:p/>
    <w:p/>
    <w:p>
      <w:pPr>
        <w:rPr>
          <w:rFonts w:ascii="Georgia" w:hAnsi="Georgia" w:eastAsia="Georgia" w:cs="Georgia"/>
          <w:i/>
          <w:iCs/>
          <w:sz w:val="48"/>
          <w:szCs w:val="48"/>
          <w:u w:val="single"/>
        </w:rPr>
      </w:pPr>
      <w:r>
        <w:rPr>
          <w:rFonts w:ascii="Georgia" w:hAnsi="Georgia" w:eastAsia="Georgia" w:cs="Georgia"/>
          <w:i/>
          <w:iCs/>
          <w:sz w:val="48"/>
          <w:szCs w:val="48"/>
          <w:u w:val="single"/>
        </w:rPr>
        <w:t xml:space="preserve">Section One </w:t>
      </w:r>
    </w:p>
    <w:p>
      <w:pPr>
        <w:rPr>
          <w:rFonts w:ascii="Georgia" w:hAnsi="Georgia" w:eastAsia="Georgia" w:cs="Georgia"/>
          <w:i/>
          <w:iCs/>
          <w:sz w:val="48"/>
          <w:szCs w:val="48"/>
          <w:u w:val="single"/>
        </w:rPr>
      </w:pPr>
      <w:r>
        <w:rPr>
          <w:rFonts w:ascii="Georgia" w:hAnsi="Georgia" w:eastAsia="Georgia" w:cs="Georgia"/>
          <w:i/>
          <w:iCs/>
          <w:sz w:val="48"/>
          <w:szCs w:val="48"/>
          <w:u w:val="single"/>
        </w:rPr>
        <w:t xml:space="preserve">Evidence Based Practice Report </w:t>
      </w:r>
    </w:p>
    <w:p>
      <w:pPr>
        <w:rPr>
          <w:rFonts w:ascii="Georgia" w:hAnsi="Georgia" w:eastAsia="Georgia" w:cs="Georgia"/>
          <w:i/>
          <w:iCs/>
          <w:sz w:val="48"/>
          <w:szCs w:val="48"/>
          <w:u w:val="single"/>
        </w:rPr>
      </w:pPr>
      <w:r>
        <w:rPr>
          <w:rFonts w:ascii="Georgia" w:hAnsi="Georgia" w:eastAsia="Georgia" w:cs="Georgia"/>
          <w:i/>
          <w:iCs/>
          <w:sz w:val="48"/>
          <w:szCs w:val="48"/>
          <w:u w:val="single"/>
        </w:rPr>
        <w:t xml:space="preserve">By Sian White </w:t>
      </w:r>
    </w:p>
    <w:p>
      <w:pPr>
        <w:rPr>
          <w:rFonts w:ascii="Georgia" w:hAnsi="Georgia" w:eastAsia="Georgia" w:cs="Georgia"/>
          <w:i/>
          <w:iCs/>
          <w:sz w:val="24"/>
          <w:szCs w:val="24"/>
        </w:rPr>
      </w:pPr>
      <w:r>
        <w:rPr>
          <w:rFonts w:ascii="Georgia" w:hAnsi="Georgia" w:eastAsia="Georgia" w:cs="Georgia"/>
          <w:i/>
          <w:iCs/>
          <w:sz w:val="24"/>
          <w:szCs w:val="24"/>
        </w:rPr>
        <w:t xml:space="preserve"> 29</w:t>
      </w:r>
      <w:r>
        <w:rPr>
          <w:rFonts w:ascii="Georgia" w:hAnsi="Georgia" w:eastAsia="Georgia" w:cs="Georgia"/>
          <w:i/>
          <w:iCs/>
          <w:sz w:val="24"/>
          <w:szCs w:val="24"/>
          <w:vertAlign w:val="superscript"/>
        </w:rPr>
        <w:t>th</w:t>
      </w:r>
      <w:r>
        <w:rPr>
          <w:rFonts w:ascii="Georgia" w:hAnsi="Georgia" w:eastAsia="Georgia" w:cs="Georgia"/>
          <w:i/>
          <w:iCs/>
          <w:sz w:val="24"/>
          <w:szCs w:val="24"/>
        </w:rPr>
        <w:t xml:space="preserve"> November 2023 </w:t>
      </w:r>
    </w:p>
    <w:p>
      <w:pPr>
        <w:rPr>
          <w:rFonts w:ascii="Calibri" w:hAnsi="Calibri" w:eastAsia="Calibri" w:cs="Calibri"/>
          <w:sz w:val="24"/>
          <w:szCs w:val="24"/>
        </w:rPr>
      </w:pPr>
      <w:r>
        <w:rPr>
          <w:sz w:val="24"/>
          <w:szCs w:val="24"/>
        </w:rPr>
        <w:t>(AC 1.1)</w:t>
      </w:r>
    </w:p>
    <w:p>
      <w:pPr>
        <w:rPr>
          <w:rFonts w:eastAsiaTheme="minorEastAsia"/>
          <w:sz w:val="24"/>
          <w:szCs w:val="24"/>
        </w:rPr>
      </w:pPr>
      <w:r>
        <w:rPr>
          <w:rFonts w:eastAsiaTheme="minorEastAsia"/>
          <w:color w:val="202020"/>
          <w:sz w:val="24"/>
          <w:szCs w:val="24"/>
        </w:rPr>
        <w:t>Evidence-based practice is, quite simply, taking an evidence-based approach to your work, using the right data and the right information in a structured way, to inform the decisions you make and the work that you do, because it leads to better outcomes.</w:t>
      </w:r>
      <w:r>
        <w:rPr>
          <w:rFonts w:eastAsiaTheme="minorEastAsia"/>
          <w:sz w:val="24"/>
          <w:szCs w:val="24"/>
        </w:rPr>
        <w:t xml:space="preserve"> CIPD (2023) </w:t>
      </w:r>
    </w:p>
    <w:p>
      <w:pPr>
        <w:rPr>
          <w:rFonts w:ascii="Calibri" w:hAnsi="Calibri" w:eastAsia="Calibri" w:cs="Calibri"/>
          <w:sz w:val="24"/>
          <w:szCs w:val="24"/>
        </w:rPr>
      </w:pPr>
      <w:r>
        <w:rPr>
          <w:rFonts w:ascii="Calibri" w:hAnsi="Calibri" w:eastAsia="Calibri" w:cs="Calibri"/>
          <w:sz w:val="24"/>
          <w:szCs w:val="24"/>
        </w:rPr>
        <w:t>One commonly used approach is group discussions. This approach can be particularly effective when seeking to identify gaps in skills across the business. One effective method involves conducting group discussions among employees. By involving employees in this process, you can tap into their knowledge, experiences, and insights. This approach allows for a more inclusive and comprehensive understanding of the skills gaps within your organisation.</w:t>
      </w:r>
    </w:p>
    <w:p>
      <w:pPr>
        <w:rPr>
          <w:rFonts w:ascii="Calibri" w:hAnsi="Calibri" w:eastAsia="Calibri" w:cs="Calibri"/>
          <w:sz w:val="24"/>
          <w:szCs w:val="24"/>
        </w:rPr>
      </w:pPr>
      <w:r>
        <w:rPr>
          <w:rFonts w:ascii="Calibri" w:hAnsi="Calibri" w:eastAsia="Calibri" w:cs="Calibri"/>
          <w:sz w:val="24"/>
          <w:szCs w:val="24"/>
        </w:rPr>
        <w:t>To gather evidence through group discussions, you can ask employees to provide recommendations regarding the need for up-skilling. This can provide valuable insights into the areas employees perceive as lacking in their own skill set or the skills of their colleagues. By considering the recommendations put forward by employees, you can proactively develop and implement effective training and development programs.</w:t>
      </w:r>
    </w:p>
    <w:p>
      <w:pPr>
        <w:rPr>
          <w:rFonts w:ascii="Calibri" w:hAnsi="Calibri" w:eastAsia="Calibri" w:cs="Calibri"/>
          <w:sz w:val="24"/>
          <w:szCs w:val="24"/>
        </w:rPr>
      </w:pPr>
      <w:r>
        <w:rPr>
          <w:rFonts w:ascii="Calibri" w:hAnsi="Calibri" w:eastAsia="Calibri" w:cs="Calibri"/>
          <w:sz w:val="24"/>
          <w:szCs w:val="24"/>
        </w:rPr>
        <w:t>One scenario where staff surveys can be particularly valuable is when there is a decline in well-being, highlighted due to an increase in sickness absence. This may indicate an underlying issue that requires further investigation. By conducting a staff survey, you can gain a deeper understanding of potential causes and identify potential solutions.</w:t>
      </w:r>
    </w:p>
    <w:p>
      <w:pPr>
        <w:rPr>
          <w:rFonts w:ascii="Calibri" w:hAnsi="Calibri" w:eastAsia="Calibri" w:cs="Calibri"/>
          <w:sz w:val="24"/>
          <w:szCs w:val="24"/>
        </w:rPr>
      </w:pPr>
      <w:r>
        <w:rPr>
          <w:rFonts w:ascii="Calibri" w:hAnsi="Calibri" w:eastAsia="Calibri" w:cs="Calibri"/>
          <w:sz w:val="24"/>
          <w:szCs w:val="24"/>
        </w:rPr>
        <w:t>For example, if the survey results indicate that a recent change in the shift pattern has resulted in increased call volumes, leading to pressure from managers to agree to overtime, you can use the evidence gathered from the surveys to determine if this change was effective or if it needs to be reversed.</w:t>
      </w:r>
    </w:p>
    <w:p>
      <w:pPr>
        <w:rPr>
          <w:rFonts w:ascii="Calibri" w:hAnsi="Calibri" w:eastAsia="Calibri" w:cs="Calibri"/>
          <w:sz w:val="24"/>
          <w:szCs w:val="24"/>
        </w:rPr>
      </w:pPr>
      <w:r>
        <w:rPr>
          <w:rFonts w:ascii="Calibri" w:hAnsi="Calibri" w:eastAsia="Calibri" w:cs="Calibri"/>
          <w:sz w:val="24"/>
          <w:szCs w:val="24"/>
        </w:rPr>
        <w:t xml:space="preserve">A traditional approach to decision making is personal experience, professional experience, and traditions. These approaches may lead to misguided and biased decisions as they are based on opinions. Whereas evidence-based practice emphasises the importance of utilising information from various sources to make more informed decisions. By conducting critical evaluations of the quality and relevance of the evidence used, you can ensure that the decisions are made from reliable sources. This evaluation process involves considering factors such as study design, sample size, data collection methods, and potential biases. By adhering to this approach, you can make evidence-based decisions that promote effective management practices and positive outcomes. CIPD (2023) </w:t>
      </w:r>
    </w:p>
    <w:p>
      <w:pPr>
        <w:rPr>
          <w:rFonts w:eastAsiaTheme="minorEastAsia"/>
          <w:sz w:val="24"/>
          <w:szCs w:val="24"/>
        </w:rPr>
      </w:pPr>
      <w:r>
        <w:rPr>
          <w:rFonts w:ascii="Calibri" w:hAnsi="Calibri" w:eastAsia="Calibri" w:cs="Calibri"/>
          <w:sz w:val="24"/>
          <w:szCs w:val="24"/>
        </w:rPr>
        <w:t>Rob Briner (2023) states by adhering to the principles, you can avoid fads and instead identify important business-relevant issues and implement only those practices which are most likely to help. By embracing these principles, you can make evidence-based decisions that drive positive outcomes for your employees and the overall success of your organisation and ensure your</w:t>
      </w:r>
      <w:r>
        <w:rPr>
          <w:rFonts w:eastAsiaTheme="minorEastAsia"/>
          <w:sz w:val="24"/>
          <w:szCs w:val="24"/>
        </w:rPr>
        <w:t xml:space="preserve"> decision-making is grounded in reliable evidence from multiple sources. (Armstrong and Taylor 2023)</w:t>
      </w:r>
    </w:p>
    <w:p>
      <w:pPr>
        <w:rPr>
          <w:rFonts w:ascii="Calibri" w:hAnsi="Calibri" w:eastAsia="Calibri" w:cs="Calibri"/>
          <w:sz w:val="24"/>
          <w:szCs w:val="24"/>
        </w:rPr>
      </w:pPr>
    </w:p>
    <w:p>
      <w:pPr>
        <w:rPr>
          <w:rFonts w:ascii="Calibri" w:hAnsi="Calibri" w:eastAsia="Calibri" w:cs="Calibri"/>
          <w:sz w:val="24"/>
          <w:szCs w:val="24"/>
        </w:rPr>
      </w:pPr>
      <w:r>
        <w:rPr>
          <w:sz w:val="24"/>
          <w:szCs w:val="24"/>
        </w:rPr>
        <w:t>(AC 1.2)</w:t>
      </w:r>
    </w:p>
    <w:p>
      <w:pPr>
        <w:spacing w:after="0"/>
        <w:rPr>
          <w:rFonts w:ascii="Calibri" w:hAnsi="Calibri" w:eastAsia="Calibri" w:cs="Calibri"/>
          <w:sz w:val="24"/>
          <w:szCs w:val="24"/>
        </w:rPr>
      </w:pPr>
      <w:r>
        <w:rPr>
          <w:rFonts w:ascii="Calibri" w:hAnsi="Calibri" w:eastAsia="Calibri" w:cs="Calibri"/>
          <w:sz w:val="24"/>
          <w:szCs w:val="24"/>
        </w:rPr>
        <w:t>An analysis tool that you could use to recognise and diagnose issues, opportunities, and challenges is SWOT analysis. It could help you identify your internal strengths and weaknesses, as well as external opportunities and threats. It could also nudge your organisation to look beyond the present to anticipate potential future scenarios.</w:t>
      </w:r>
    </w:p>
    <w:p>
      <w:pPr>
        <w:spacing w:after="0"/>
        <w:rPr>
          <w:rFonts w:ascii="Calibri" w:hAnsi="Calibri" w:eastAsia="Calibri" w:cs="Calibri"/>
          <w:sz w:val="24"/>
          <w:szCs w:val="24"/>
        </w:rPr>
      </w:pPr>
    </w:p>
    <w:p>
      <w:pPr>
        <w:spacing w:after="0"/>
        <w:rPr>
          <w:rFonts w:ascii="Calibri" w:hAnsi="Calibri" w:eastAsia="Calibri" w:cs="Calibri"/>
          <w:sz w:val="24"/>
          <w:szCs w:val="24"/>
        </w:rPr>
      </w:pPr>
      <w:r>
        <w:rPr>
          <w:rFonts w:ascii="Calibri" w:hAnsi="Calibri" w:eastAsia="Calibri" w:cs="Calibri"/>
          <w:sz w:val="24"/>
          <w:szCs w:val="24"/>
        </w:rPr>
        <w:t>You could use swot analysis if two departments were merging, by examining the strengths and weaknesses of each department, you could evaluate their compatibility to decide whether it would be a productive partnership. Additionally, conducting the internal analysis of the merger could help identify opportunities and threats, helping to ensure successful integration.</w:t>
      </w:r>
    </w:p>
    <w:p>
      <w:pPr>
        <w:spacing w:after="0"/>
        <w:rPr>
          <w:rFonts w:ascii="Calibri" w:hAnsi="Calibri" w:eastAsia="Calibri" w:cs="Calibri"/>
          <w:sz w:val="24"/>
          <w:szCs w:val="24"/>
        </w:rPr>
      </w:pPr>
    </w:p>
    <w:p>
      <w:pPr>
        <w:spacing w:after="0"/>
        <w:rPr>
          <w:rFonts w:eastAsiaTheme="minorEastAsia"/>
          <w:color w:val="202020"/>
          <w:sz w:val="24"/>
          <w:szCs w:val="24"/>
        </w:rPr>
      </w:pPr>
      <w:r>
        <w:rPr>
          <w:rFonts w:ascii="Calibri" w:hAnsi="Calibri" w:eastAsia="Calibri" w:cs="Calibri"/>
          <w:sz w:val="24"/>
          <w:szCs w:val="24"/>
        </w:rPr>
        <w:t xml:space="preserve">Conducting a SWOT analysis enables organisations to gain a comprehensive understanding of their current position, identify areas for improvement, and make informed decisions about future strategies, resources, capabilities, and potential risks, enabling you to adapt and grow in a rapidly changing business environment. </w:t>
      </w:r>
      <w:r>
        <w:rPr>
          <w:rFonts w:eastAsiaTheme="minorEastAsia"/>
          <w:color w:val="202020"/>
          <w:sz w:val="24"/>
          <w:szCs w:val="24"/>
        </w:rPr>
        <w:t>CIPD (2023)</w:t>
      </w:r>
    </w:p>
    <w:p>
      <w:pPr>
        <w:spacing w:after="0"/>
        <w:rPr>
          <w:rFonts w:eastAsiaTheme="minorEastAsia"/>
          <w:color w:val="202020"/>
          <w:sz w:val="24"/>
          <w:szCs w:val="24"/>
        </w:rPr>
      </w:pPr>
    </w:p>
    <w:p>
      <w:pPr>
        <w:spacing w:after="0"/>
        <w:rPr>
          <w:rFonts w:eastAsiaTheme="minorEastAsia"/>
          <w:color w:val="202020"/>
          <w:sz w:val="24"/>
          <w:szCs w:val="24"/>
        </w:rPr>
      </w:pPr>
      <w:r>
        <w:rPr>
          <w:rFonts w:eastAsiaTheme="minorEastAsia"/>
          <w:color w:val="202020"/>
          <w:sz w:val="24"/>
          <w:szCs w:val="24"/>
        </w:rPr>
        <w:t xml:space="preserve">See below example of a swot analysis template </w:t>
      </w:r>
    </w:p>
    <w:p>
      <w:pPr>
        <w:spacing w:after="0"/>
        <w:rPr>
          <w:rFonts w:ascii="Calibri" w:hAnsi="Calibri" w:eastAsia="Calibri" w:cs="Calibri"/>
          <w:sz w:val="24"/>
          <w:szCs w:val="24"/>
        </w:rPr>
      </w:pPr>
    </w:p>
    <w:p>
      <w:pPr>
        <w:spacing w:after="0"/>
        <w:rPr>
          <w:rFonts w:ascii="Calibri" w:hAnsi="Calibri" w:eastAsia="Calibri" w:cs="Calibri"/>
          <w:sz w:val="24"/>
          <w:szCs w:val="24"/>
        </w:rPr>
      </w:pPr>
      <w:r>
        <w:drawing>
          <wp:inline distT="0" distB="0" distL="0" distR="0">
            <wp:extent cx="3267075" cy="4572000"/>
            <wp:effectExtent l="0" t="0" r="0" b="0"/>
            <wp:docPr id="77838302" name="Picture 77838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8302" name="Picture 77838302"/>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267075" cy="4572000"/>
                    </a:xfrm>
                    <a:prstGeom prst="rect">
                      <a:avLst/>
                    </a:prstGeom>
                  </pic:spPr>
                </pic:pic>
              </a:graphicData>
            </a:graphic>
          </wp:inline>
        </w:drawing>
      </w:r>
    </w:p>
    <w:p>
      <w:pPr>
        <w:spacing w:after="0"/>
        <w:rPr>
          <w:rFonts w:ascii="Calibri" w:hAnsi="Calibri" w:eastAsia="Calibri" w:cs="Calibri"/>
          <w:sz w:val="24"/>
          <w:szCs w:val="24"/>
        </w:rPr>
      </w:pPr>
    </w:p>
    <w:p>
      <w:pPr>
        <w:spacing w:after="0"/>
        <w:rPr>
          <w:rFonts w:ascii="Calibri" w:hAnsi="Calibri" w:eastAsia="Calibri" w:cs="Calibri"/>
          <w:sz w:val="24"/>
          <w:szCs w:val="24"/>
        </w:rPr>
      </w:pPr>
      <w:r>
        <w:rPr>
          <w:rFonts w:ascii="Calibri" w:hAnsi="Calibri" w:eastAsia="Calibri" w:cs="Calibri"/>
          <w:sz w:val="24"/>
          <w:szCs w:val="24"/>
        </w:rPr>
        <w:t>Source: CIPD (2023)</w:t>
      </w:r>
    </w:p>
    <w:p>
      <w:pPr>
        <w:spacing w:after="0"/>
        <w:rPr>
          <w:rFonts w:ascii="Calibri" w:hAnsi="Calibri" w:eastAsia="Calibri" w:cs="Calibri"/>
          <w:sz w:val="24"/>
          <w:szCs w:val="24"/>
        </w:rPr>
      </w:pPr>
    </w:p>
    <w:p>
      <w:pPr>
        <w:spacing w:after="0"/>
        <w:rPr>
          <w:rFonts w:eastAsiaTheme="minorEastAsia"/>
          <w:color w:val="202020"/>
          <w:sz w:val="24"/>
          <w:szCs w:val="24"/>
        </w:rPr>
      </w:pPr>
      <w:r>
        <w:rPr>
          <w:rFonts w:eastAsiaTheme="minorEastAsia"/>
          <w:color w:val="000000" w:themeColor="text1"/>
          <w:sz w:val="24"/>
          <w:szCs w:val="24"/>
          <w14:textFill>
            <w14:solidFill>
              <w14:schemeClr w14:val="tx1"/>
            </w14:solidFill>
          </w14:textFill>
        </w:rPr>
        <w:t xml:space="preserve">An appropriate analysis method that complements SWOT is PESTLE analysis, a strategic management tool that helps you understand and evaluate your external macro-environmental factors that can impact your operations. </w:t>
      </w:r>
      <w:r>
        <w:rPr>
          <w:rFonts w:eastAsiaTheme="minorEastAsia"/>
          <w:color w:val="202020"/>
          <w:sz w:val="24"/>
          <w:szCs w:val="24"/>
        </w:rPr>
        <w:t xml:space="preserve">It can be used in many scenarios to guide professionals and senior managers in strategic decision-making. (CIPD 2023) </w:t>
      </w:r>
    </w:p>
    <w:p>
      <w:pPr>
        <w:spacing w:after="0"/>
        <w:rPr>
          <w:rFonts w:eastAsiaTheme="minorEastAsia"/>
          <w:color w:val="202020"/>
          <w:sz w:val="24"/>
          <w:szCs w:val="24"/>
        </w:rPr>
      </w:pPr>
    </w:p>
    <w:p>
      <w:pPr>
        <w:spacing w:after="0"/>
        <w:rPr>
          <w:rFonts w:eastAsiaTheme="minorEastAsia"/>
          <w:color w:val="000000" w:themeColor="text1"/>
          <w:sz w:val="24"/>
          <w:szCs w:val="24"/>
          <w14:textFill>
            <w14:solidFill>
              <w14:schemeClr w14:val="tx1"/>
            </w14:solidFill>
          </w14:textFill>
        </w:rPr>
      </w:pPr>
      <w:r>
        <w:rPr>
          <w:rFonts w:eastAsiaTheme="minorEastAsia"/>
          <w:sz w:val="24"/>
          <w:szCs w:val="24"/>
        </w:rPr>
        <w:t xml:space="preserve">One example of when to use pestle analysis is when a new product or service is being developed. By conducting a thorough pestle analysis, you can gain insights into the external factors that may impact its success as it will evaluate the external environment in which your new product is going to exist. All the elements of the analysis are potentially impactful external factors which could affect the feasibility of an idea. </w:t>
      </w:r>
      <w:r>
        <w:rPr>
          <w:rFonts w:eastAsiaTheme="minorEastAsia"/>
          <w:color w:val="000000" w:themeColor="text1"/>
          <w:sz w:val="24"/>
          <w:szCs w:val="24"/>
          <w14:textFill>
            <w14:solidFill>
              <w14:schemeClr w14:val="tx1"/>
            </w14:solidFill>
          </w14:textFill>
        </w:rPr>
        <w:t xml:space="preserve">By combining swot analysis with pestle analysis, you can gain a comprehensive understanding of both internal and external factors and influences. </w:t>
      </w:r>
      <w:r>
        <w:rPr>
          <w:rFonts w:eastAsiaTheme="minorEastAsia"/>
          <w:sz w:val="24"/>
          <w:szCs w:val="24"/>
        </w:rPr>
        <w:t xml:space="preserve">Indeed (2023) </w:t>
      </w:r>
    </w:p>
    <w:p>
      <w:pPr>
        <w:spacing w:after="0"/>
        <w:rPr>
          <w:rFonts w:eastAsiaTheme="minorEastAsia"/>
          <w:color w:val="000000" w:themeColor="text1"/>
          <w:sz w:val="24"/>
          <w:szCs w:val="24"/>
          <w14:textFill>
            <w14:solidFill>
              <w14:schemeClr w14:val="tx1"/>
            </w14:solidFill>
          </w14:textFill>
        </w:rPr>
      </w:pPr>
    </w:p>
    <w:p>
      <w:pPr>
        <w:spacing w:after="0"/>
        <w:rPr>
          <w:sz w:val="24"/>
          <w:szCs w:val="24"/>
        </w:rPr>
      </w:pPr>
    </w:p>
    <w:p>
      <w:pPr>
        <w:spacing w:after="0"/>
        <w:rPr>
          <w:sz w:val="24"/>
          <w:szCs w:val="24"/>
        </w:rPr>
      </w:pPr>
      <w:r>
        <w:rPr>
          <w:sz w:val="24"/>
          <w:szCs w:val="24"/>
        </w:rPr>
        <w:t xml:space="preserve">See a below example of a pestle analysis template </w:t>
      </w:r>
    </w:p>
    <w:p>
      <w:pPr>
        <w:spacing w:after="0"/>
        <w:rPr>
          <w:sz w:val="24"/>
          <w:szCs w:val="24"/>
          <w:highlight w:val="yellow"/>
        </w:rPr>
      </w:pPr>
    </w:p>
    <w:p>
      <w:pPr>
        <w:spacing w:after="0"/>
        <w:rPr>
          <w:sz w:val="24"/>
          <w:szCs w:val="24"/>
          <w:highlight w:val="yellow"/>
        </w:rPr>
      </w:pPr>
      <w:r>
        <w:drawing>
          <wp:inline distT="0" distB="0" distL="0" distR="0">
            <wp:extent cx="3381375" cy="4572000"/>
            <wp:effectExtent l="0" t="0" r="0" b="0"/>
            <wp:docPr id="1924352875" name="Picture 192435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352875" name="Picture 192435287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381375" cy="4572000"/>
                    </a:xfrm>
                    <a:prstGeom prst="rect">
                      <a:avLst/>
                    </a:prstGeom>
                  </pic:spPr>
                </pic:pic>
              </a:graphicData>
            </a:graphic>
          </wp:inline>
        </w:drawing>
      </w:r>
    </w:p>
    <w:p>
      <w:pPr>
        <w:spacing w:after="0"/>
        <w:rPr>
          <w:rFonts w:eastAsiaTheme="minorEastAsia"/>
          <w:color w:val="202020"/>
          <w:sz w:val="24"/>
          <w:szCs w:val="24"/>
          <w:highlight w:val="yellow"/>
        </w:rPr>
      </w:pPr>
    </w:p>
    <w:p>
      <w:pPr>
        <w:spacing w:after="0"/>
        <w:rPr>
          <w:rFonts w:eastAsiaTheme="minorEastAsia"/>
          <w:color w:val="202020"/>
          <w:sz w:val="24"/>
          <w:szCs w:val="24"/>
          <w:highlight w:val="yellow"/>
        </w:rPr>
      </w:pPr>
    </w:p>
    <w:p>
      <w:pPr>
        <w:spacing w:after="0"/>
        <w:rPr>
          <w:rFonts w:eastAsiaTheme="minorEastAsia"/>
          <w:color w:val="202020"/>
          <w:sz w:val="24"/>
          <w:szCs w:val="24"/>
          <w:highlight w:val="yellow"/>
        </w:rPr>
      </w:pPr>
    </w:p>
    <w:p>
      <w:pPr>
        <w:spacing w:after="0"/>
        <w:rPr>
          <w:rFonts w:eastAsiaTheme="minorEastAsia"/>
          <w:color w:val="202020"/>
          <w:sz w:val="24"/>
          <w:szCs w:val="24"/>
          <w:highlight w:val="yellow"/>
        </w:rPr>
      </w:pPr>
    </w:p>
    <w:p>
      <w:pPr>
        <w:spacing w:after="0"/>
        <w:rPr>
          <w:rFonts w:eastAsiaTheme="minorEastAsia"/>
          <w:color w:val="202020"/>
          <w:sz w:val="24"/>
          <w:szCs w:val="24"/>
          <w:highlight w:val="yellow"/>
        </w:rPr>
      </w:pPr>
    </w:p>
    <w:p>
      <w:pPr>
        <w:spacing w:after="0"/>
        <w:rPr>
          <w:rFonts w:eastAsiaTheme="minorEastAsia"/>
          <w:color w:val="202020"/>
          <w:sz w:val="24"/>
          <w:szCs w:val="24"/>
          <w:highlight w:val="yellow"/>
        </w:rPr>
      </w:pPr>
    </w:p>
    <w:p>
      <w:pPr>
        <w:spacing w:after="0"/>
        <w:rPr>
          <w:rFonts w:eastAsiaTheme="minorEastAsia"/>
          <w:color w:val="202020"/>
          <w:sz w:val="24"/>
          <w:szCs w:val="24"/>
          <w:highlight w:val="yellow"/>
        </w:rPr>
      </w:pPr>
    </w:p>
    <w:p>
      <w:pPr>
        <w:spacing w:after="0"/>
        <w:rPr>
          <w:rFonts w:eastAsiaTheme="minorEastAsia"/>
          <w:color w:val="202020"/>
          <w:sz w:val="24"/>
          <w:szCs w:val="24"/>
        </w:rPr>
      </w:pPr>
      <w:r>
        <w:drawing>
          <wp:inline distT="0" distB="0" distL="0" distR="0">
            <wp:extent cx="3656330" cy="4705350"/>
            <wp:effectExtent l="0" t="0" r="0" b="0"/>
            <wp:docPr id="964879369" name="Picture 964879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79369" name="Picture 964879369"/>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656449" cy="4705352"/>
                    </a:xfrm>
                    <a:prstGeom prst="rect">
                      <a:avLst/>
                    </a:prstGeom>
                  </pic:spPr>
                </pic:pic>
              </a:graphicData>
            </a:graphic>
          </wp:inline>
        </w:drawing>
      </w:r>
    </w:p>
    <w:p>
      <w:pPr>
        <w:spacing w:after="0"/>
        <w:rPr>
          <w:rFonts w:eastAsiaTheme="minorEastAsia"/>
          <w:color w:val="202020"/>
          <w:sz w:val="24"/>
          <w:szCs w:val="24"/>
        </w:rPr>
      </w:pPr>
    </w:p>
    <w:p>
      <w:pPr>
        <w:spacing w:after="0"/>
        <w:rPr>
          <w:sz w:val="24"/>
          <w:szCs w:val="24"/>
        </w:rPr>
      </w:pPr>
      <w:r>
        <w:rPr>
          <w:rFonts w:eastAsiaTheme="minorEastAsia"/>
          <w:color w:val="202020"/>
          <w:sz w:val="24"/>
          <w:szCs w:val="24"/>
        </w:rPr>
        <w:t xml:space="preserve">Source: </w:t>
      </w:r>
      <w:r>
        <w:rPr>
          <w:sz w:val="24"/>
          <w:szCs w:val="24"/>
        </w:rPr>
        <w:t>CIPD (2023)</w:t>
      </w:r>
    </w:p>
    <w:p>
      <w:pPr>
        <w:spacing w:after="0"/>
        <w:rPr>
          <w:rFonts w:eastAsiaTheme="minorEastAsia"/>
          <w:color w:val="202020"/>
          <w:sz w:val="24"/>
          <w:szCs w:val="24"/>
        </w:rPr>
      </w:pPr>
    </w:p>
    <w:p>
      <w:pPr>
        <w:spacing w:after="0"/>
        <w:rPr>
          <w:rFonts w:eastAsiaTheme="minorEastAsia"/>
          <w:sz w:val="24"/>
          <w:szCs w:val="24"/>
        </w:rPr>
      </w:pPr>
      <w:r>
        <w:rPr>
          <w:rFonts w:eastAsiaTheme="minorEastAsia"/>
          <w:sz w:val="24"/>
          <w:szCs w:val="24"/>
        </w:rPr>
        <w:t>(AC 1.3)</w:t>
      </w:r>
    </w:p>
    <w:p>
      <w:pPr>
        <w:spacing w:after="0"/>
        <w:jc w:val="both"/>
        <w:rPr>
          <w:rFonts w:eastAsiaTheme="minorEastAsia"/>
          <w:sz w:val="24"/>
          <w:szCs w:val="24"/>
        </w:rPr>
      </w:pPr>
    </w:p>
    <w:p>
      <w:pPr>
        <w:jc w:val="both"/>
        <w:rPr>
          <w:rFonts w:eastAsiaTheme="minorEastAsia"/>
          <w:sz w:val="24"/>
          <w:szCs w:val="24"/>
        </w:rPr>
      </w:pPr>
      <w:r>
        <w:rPr>
          <w:rFonts w:eastAsiaTheme="minorEastAsia"/>
          <w:sz w:val="24"/>
          <w:szCs w:val="24"/>
        </w:rPr>
        <w:t>Critical thinking is an important skill for professionals to have. It is the ability to think clearly and rationally. You need to be able to engage with the ideas and perspectives of others, even if you disagree with them, it is about reviewing all the evidence before forming a biased opinion and raising questions to identify any gaps or inconsistencies before jumping to any conclusions. Howlett, W (2019)</w:t>
      </w:r>
    </w:p>
    <w:p>
      <w:pPr>
        <w:jc w:val="both"/>
        <w:rPr>
          <w:rFonts w:eastAsiaTheme="minorEastAsia"/>
          <w:sz w:val="24"/>
          <w:szCs w:val="24"/>
        </w:rPr>
      </w:pPr>
      <w:r>
        <w:rPr>
          <w:rFonts w:eastAsiaTheme="minorEastAsia"/>
          <w:sz w:val="24"/>
          <w:szCs w:val="24"/>
        </w:rPr>
        <w:t xml:space="preserve">When applying critical thinking to your work checking source validity is a critical thinking principle that plays a crucial role in objective rationale debate. It involves assessing the credibility and reliability of the sources of information used in arguments or decision-making processes. As a people professional, you need to understand the importance of checking source validity to ensure accuracy and effectiveness one of the simplest methods is to conduct thorough research. This involves searching for reputable sources, such as CIPD factsheets, government policies, or industry publications, that provide reliable and evidence-based information. By examining these sources, you can determine the credibility and relevance of the information they provide. </w:t>
      </w:r>
    </w:p>
    <w:p>
      <w:pPr>
        <w:jc w:val="both"/>
        <w:rPr>
          <w:rFonts w:ascii="Open Sans" w:hAnsi="Open Sans" w:eastAsia="Open Sans" w:cs="Open Sans"/>
          <w:sz w:val="24"/>
          <w:szCs w:val="24"/>
        </w:rPr>
      </w:pPr>
      <w:r>
        <w:rPr>
          <w:rFonts w:eastAsiaTheme="minorEastAsia"/>
          <w:color w:val="202020"/>
          <w:sz w:val="24"/>
          <w:szCs w:val="24"/>
        </w:rPr>
        <w:t>Critical thinking does not mean disapproval or being negative, critical thinking is about weighing up evidence to make a judgment, solve a problem, or reach a decision with the aim to come to well-reasoned conclusions, solutions and to test them against relevant criteria and standards. (Armstrong and Taylor 2023)</w:t>
      </w:r>
    </w:p>
    <w:p>
      <w:pPr>
        <w:jc w:val="both"/>
        <w:rPr>
          <w:rFonts w:eastAsiaTheme="minorEastAsia"/>
          <w:color w:val="202020"/>
          <w:sz w:val="24"/>
          <w:szCs w:val="24"/>
        </w:rPr>
      </w:pPr>
    </w:p>
    <w:p>
      <w:pPr>
        <w:spacing w:after="0"/>
        <w:jc w:val="both"/>
        <w:rPr>
          <w:rFonts w:ascii="Calibri" w:hAnsi="Calibri" w:eastAsia="Calibri" w:cs="Calibri"/>
          <w:sz w:val="24"/>
          <w:szCs w:val="24"/>
        </w:rPr>
      </w:pPr>
      <w:r>
        <w:rPr>
          <w:rFonts w:ascii="Calibri" w:hAnsi="Calibri" w:eastAsia="Calibri" w:cs="Calibri"/>
          <w:sz w:val="24"/>
          <w:szCs w:val="24"/>
        </w:rPr>
        <w:t xml:space="preserve">(AC 1.4) </w:t>
      </w: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r>
        <w:rPr>
          <w:rFonts w:ascii="Calibri" w:hAnsi="Calibri" w:eastAsia="Calibri" w:cs="Calibri"/>
          <w:b/>
          <w:bCs/>
          <w:sz w:val="24"/>
          <w:szCs w:val="24"/>
          <w:u w:val="single"/>
        </w:rPr>
        <w:t>The "Six Thinking Hats"</w:t>
      </w:r>
      <w:r>
        <w:rPr>
          <w:rFonts w:ascii="Calibri" w:hAnsi="Calibri" w:eastAsia="Calibri" w:cs="Calibri"/>
          <w:sz w:val="24"/>
          <w:szCs w:val="24"/>
        </w:rPr>
        <w:t xml:space="preserve"> </w:t>
      </w: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r>
        <w:rPr>
          <w:rFonts w:ascii="Calibri" w:hAnsi="Calibri" w:eastAsia="Calibri" w:cs="Calibri"/>
          <w:sz w:val="24"/>
          <w:szCs w:val="24"/>
        </w:rPr>
        <w:t>This technique developed by Edward de Bono aims to enable creative thinking and problem-solving by encouraging individuals or groups to explore an issue from multiple perspectives. By adopting different thinking modes or "hats," individuals can step outside their usual patterns of thinking to approach the issue from various angles. Mindtools (2023)</w:t>
      </w: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r>
        <w:rPr>
          <w:rFonts w:ascii="Calibri" w:hAnsi="Calibri" w:eastAsia="Calibri" w:cs="Calibri"/>
          <w:sz w:val="24"/>
          <w:szCs w:val="24"/>
        </w:rPr>
        <w:t>To use the six thinking hats method, participants must focus on one hat at a time. Each hat represents a specific perspective and approach to thinking. By wearing the hat, individuals can direct their thinking towards that perspective. For instance, if the participant chooses to wear the white hat, they should focus on gathering facts and information. On the other hand, if the participant selects to wear the black hat, they should explore and identify potential problems (LinkedIn 2023)</w:t>
      </w: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r>
        <w:rPr>
          <w:rFonts w:ascii="Calibri" w:hAnsi="Calibri" w:eastAsia="Calibri" w:cs="Calibri"/>
          <w:sz w:val="24"/>
          <w:szCs w:val="24"/>
        </w:rPr>
        <w:t xml:space="preserve">See below example of Edward De Bonos six thinking hats </w:t>
      </w:r>
    </w:p>
    <w:p>
      <w:pPr>
        <w:spacing w:after="0"/>
        <w:jc w:val="both"/>
        <w:rPr>
          <w:rFonts w:ascii="Calibri" w:hAnsi="Calibri" w:eastAsia="Calibri" w:cs="Calibri"/>
          <w:sz w:val="24"/>
          <w:szCs w:val="24"/>
        </w:rPr>
      </w:pPr>
    </w:p>
    <w:p>
      <w:pPr>
        <w:spacing w:after="0"/>
        <w:jc w:val="both"/>
        <w:rPr>
          <w:sz w:val="24"/>
          <w:szCs w:val="24"/>
        </w:rPr>
      </w:pPr>
      <w:r>
        <w:drawing>
          <wp:inline distT="0" distB="0" distL="0" distR="0">
            <wp:extent cx="2695575" cy="1695450"/>
            <wp:effectExtent l="0" t="0" r="0" b="0"/>
            <wp:docPr id="1208374569" name="Picture 120837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374569" name="Picture 1208374569"/>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695575" cy="1695450"/>
                    </a:xfrm>
                    <a:prstGeom prst="rect">
                      <a:avLst/>
                    </a:prstGeom>
                  </pic:spPr>
                </pic:pic>
              </a:graphicData>
            </a:graphic>
          </wp:inline>
        </w:drawing>
      </w:r>
    </w:p>
    <w:p>
      <w:pPr>
        <w:spacing w:after="0"/>
        <w:jc w:val="both"/>
        <w:rPr>
          <w:sz w:val="24"/>
          <w:szCs w:val="24"/>
        </w:rPr>
      </w:pPr>
    </w:p>
    <w:p>
      <w:pPr>
        <w:spacing w:after="0"/>
        <w:jc w:val="both"/>
        <w:rPr>
          <w:sz w:val="24"/>
          <w:szCs w:val="24"/>
        </w:rPr>
      </w:pPr>
      <w:r>
        <w:rPr>
          <w:sz w:val="24"/>
          <w:szCs w:val="24"/>
        </w:rPr>
        <w:t>Source: LinkedIn 2023</w:t>
      </w:r>
    </w:p>
    <w:p>
      <w:pPr>
        <w:spacing w:after="0"/>
        <w:jc w:val="both"/>
        <w:rPr>
          <w:sz w:val="24"/>
          <w:szCs w:val="24"/>
        </w:rPr>
      </w:pPr>
    </w:p>
    <w:p>
      <w:pPr>
        <w:spacing w:after="0"/>
        <w:jc w:val="both"/>
        <w:rPr>
          <w:rFonts w:ascii="Calibri" w:hAnsi="Calibri" w:eastAsia="Calibri" w:cs="Calibri"/>
          <w:b/>
          <w:bCs/>
          <w:sz w:val="24"/>
          <w:szCs w:val="24"/>
          <w:u w:val="single"/>
        </w:rPr>
      </w:pPr>
    </w:p>
    <w:p>
      <w:pPr>
        <w:spacing w:after="0"/>
        <w:jc w:val="both"/>
        <w:rPr>
          <w:rFonts w:ascii="Calibri" w:hAnsi="Calibri" w:eastAsia="Calibri" w:cs="Calibri"/>
          <w:b/>
          <w:bCs/>
          <w:sz w:val="24"/>
          <w:szCs w:val="24"/>
          <w:u w:val="single"/>
        </w:rPr>
      </w:pPr>
    </w:p>
    <w:p>
      <w:pPr>
        <w:spacing w:after="0"/>
        <w:jc w:val="both"/>
        <w:rPr>
          <w:rFonts w:ascii="Calibri" w:hAnsi="Calibri" w:eastAsia="Calibri" w:cs="Calibri"/>
          <w:b/>
          <w:bCs/>
          <w:sz w:val="24"/>
          <w:szCs w:val="24"/>
          <w:u w:val="single"/>
        </w:rPr>
      </w:pPr>
    </w:p>
    <w:p>
      <w:pPr>
        <w:spacing w:after="0"/>
        <w:jc w:val="both"/>
        <w:rPr>
          <w:rFonts w:ascii="Calibri" w:hAnsi="Calibri" w:eastAsia="Calibri" w:cs="Calibri"/>
          <w:sz w:val="24"/>
          <w:szCs w:val="24"/>
        </w:rPr>
      </w:pPr>
      <w:r>
        <w:rPr>
          <w:rFonts w:ascii="Calibri" w:hAnsi="Calibri" w:eastAsia="Calibri" w:cs="Calibri"/>
          <w:b/>
          <w:bCs/>
          <w:sz w:val="24"/>
          <w:szCs w:val="24"/>
          <w:u w:val="single"/>
        </w:rPr>
        <w:t xml:space="preserve">Situational decision-making </w:t>
      </w:r>
    </w:p>
    <w:p>
      <w:pPr>
        <w:spacing w:after="0"/>
        <w:jc w:val="both"/>
        <w:rPr>
          <w:rFonts w:ascii="Calibri" w:hAnsi="Calibri" w:eastAsia="Calibri" w:cs="Calibri"/>
          <w:b/>
          <w:bCs/>
          <w:sz w:val="24"/>
          <w:szCs w:val="24"/>
          <w:u w:val="single"/>
        </w:rPr>
      </w:pPr>
    </w:p>
    <w:p>
      <w:pPr>
        <w:spacing w:after="0"/>
        <w:jc w:val="both"/>
        <w:rPr>
          <w:rFonts w:ascii="Calibri" w:hAnsi="Calibri" w:eastAsia="Calibri" w:cs="Calibri"/>
          <w:sz w:val="24"/>
          <w:szCs w:val="24"/>
        </w:rPr>
      </w:pPr>
      <w:r>
        <w:rPr>
          <w:rFonts w:ascii="Calibri" w:hAnsi="Calibri" w:eastAsia="Calibri" w:cs="Calibri"/>
          <w:sz w:val="24"/>
          <w:szCs w:val="24"/>
        </w:rPr>
        <w:t xml:space="preserve">This is a fundamental aspect of effective decision-making in the workplace. It involves making choices and considering specific situations or contexts, rather than adopting a "one-size-fits-all" approach. By considering the unique characteristics of each situation, decision-makers can tailor their choices to align with professional principles and values. One of the key aspects of situational decision-making is identifying different options and weighing the benefits and risks associated with each alternative. Decision-makers must consider the short-term and long-term implications of their decisions, as well as the impact on colleagues and the organisation as a whole. CIPD (2023) </w:t>
      </w:r>
    </w:p>
    <w:p>
      <w:pPr>
        <w:spacing w:after="0"/>
        <w:jc w:val="both"/>
        <w:rPr>
          <w:sz w:val="24"/>
          <w:szCs w:val="24"/>
        </w:rPr>
      </w:pPr>
    </w:p>
    <w:p>
      <w:pPr>
        <w:spacing w:after="0"/>
        <w:jc w:val="both"/>
        <w:rPr>
          <w:rFonts w:ascii="Calibri" w:hAnsi="Calibri" w:eastAsia="Calibri" w:cs="Calibri"/>
          <w:b/>
          <w:bCs/>
          <w:sz w:val="24"/>
          <w:szCs w:val="24"/>
          <w:u w:val="single"/>
        </w:rPr>
      </w:pPr>
      <w:r>
        <w:rPr>
          <w:rFonts w:ascii="Calibri" w:hAnsi="Calibri" w:eastAsia="Calibri" w:cs="Calibri"/>
          <w:b/>
          <w:bCs/>
          <w:sz w:val="24"/>
          <w:szCs w:val="24"/>
          <w:u w:val="single"/>
        </w:rPr>
        <w:t>The Eight Steps for Making Better Decisions in the Workplace</w:t>
      </w:r>
    </w:p>
    <w:p>
      <w:pPr>
        <w:spacing w:after="0"/>
        <w:jc w:val="both"/>
        <w:rPr>
          <w:rFonts w:ascii="Calibri" w:hAnsi="Calibri" w:eastAsia="Calibri" w:cs="Calibri"/>
          <w:b/>
          <w:bCs/>
          <w:sz w:val="24"/>
          <w:szCs w:val="24"/>
          <w:u w:val="single"/>
        </w:rPr>
      </w:pPr>
      <w:r>
        <w:rPr>
          <w:rFonts w:ascii="Calibri" w:hAnsi="Calibri" w:eastAsia="Calibri" w:cs="Calibri"/>
          <w:sz w:val="24"/>
          <w:szCs w:val="24"/>
        </w:rPr>
        <w:t>1. Define the Decision</w:t>
      </w:r>
    </w:p>
    <w:p>
      <w:pPr>
        <w:spacing w:after="0"/>
        <w:jc w:val="both"/>
        <w:rPr>
          <w:rFonts w:ascii="Calibri" w:hAnsi="Calibri" w:eastAsia="Calibri" w:cs="Calibri"/>
          <w:sz w:val="24"/>
          <w:szCs w:val="24"/>
        </w:rPr>
      </w:pPr>
      <w:r>
        <w:rPr>
          <w:rFonts w:ascii="Calibri" w:hAnsi="Calibri" w:eastAsia="Calibri" w:cs="Calibri"/>
          <w:sz w:val="24"/>
          <w:szCs w:val="24"/>
        </w:rPr>
        <w:t>Before deciding, it is important to clearly define the objective or problem at hand. Clearly articulating the issue at hand helps focus the mind and ensures that the necessary information is available.</w:t>
      </w:r>
    </w:p>
    <w:p>
      <w:pPr>
        <w:spacing w:after="0"/>
        <w:jc w:val="both"/>
        <w:rPr>
          <w:rFonts w:ascii="Calibri" w:hAnsi="Calibri" w:eastAsia="Calibri" w:cs="Calibri"/>
          <w:sz w:val="24"/>
          <w:szCs w:val="24"/>
        </w:rPr>
      </w:pPr>
      <w:r>
        <w:rPr>
          <w:rFonts w:ascii="Calibri" w:hAnsi="Calibri" w:eastAsia="Calibri" w:cs="Calibri"/>
          <w:sz w:val="24"/>
          <w:szCs w:val="24"/>
        </w:rPr>
        <w:t>2. Gather Information</w:t>
      </w:r>
    </w:p>
    <w:p>
      <w:pPr>
        <w:spacing w:after="0"/>
        <w:jc w:val="both"/>
        <w:rPr>
          <w:rFonts w:ascii="Calibri" w:hAnsi="Calibri" w:eastAsia="Calibri" w:cs="Calibri"/>
          <w:sz w:val="24"/>
          <w:szCs w:val="24"/>
        </w:rPr>
      </w:pPr>
      <w:r>
        <w:rPr>
          <w:rFonts w:ascii="Calibri" w:hAnsi="Calibri" w:eastAsia="Calibri" w:cs="Calibri"/>
          <w:sz w:val="24"/>
          <w:szCs w:val="24"/>
        </w:rPr>
        <w:t>Gathering relevant information is crucial for making informed decisions. Conduct research, consult with experts, and gather data from various sources. By gathering a comprehensive picture of the situation, you can identify potential solutions and evaluate their feasibility.</w:t>
      </w:r>
    </w:p>
    <w:p>
      <w:pPr>
        <w:spacing w:after="0"/>
        <w:jc w:val="both"/>
        <w:rPr>
          <w:rFonts w:ascii="Calibri" w:hAnsi="Calibri" w:eastAsia="Calibri" w:cs="Calibri"/>
          <w:sz w:val="24"/>
          <w:szCs w:val="24"/>
        </w:rPr>
      </w:pPr>
      <w:r>
        <w:rPr>
          <w:rFonts w:ascii="Calibri" w:hAnsi="Calibri" w:eastAsia="Calibri" w:cs="Calibri"/>
          <w:sz w:val="24"/>
          <w:szCs w:val="24"/>
        </w:rPr>
        <w:t>3. Brainstorm and Evaluate Alternatives</w:t>
      </w:r>
    </w:p>
    <w:p>
      <w:pPr>
        <w:spacing w:after="0"/>
        <w:jc w:val="both"/>
        <w:rPr>
          <w:rFonts w:ascii="Calibri" w:hAnsi="Calibri" w:eastAsia="Calibri" w:cs="Calibri"/>
          <w:sz w:val="24"/>
          <w:szCs w:val="24"/>
        </w:rPr>
      </w:pPr>
      <w:r>
        <w:rPr>
          <w:rFonts w:ascii="Calibri" w:hAnsi="Calibri" w:eastAsia="Calibri" w:cs="Calibri"/>
          <w:sz w:val="24"/>
          <w:szCs w:val="24"/>
        </w:rPr>
        <w:t>Once you have gathered information, the next step is to brainstorm and evaluate potential alternatives. Consider different possibilities, weigh the pros and cons of each option, and evaluate their feasibility. This stage allows for creativity and encourages an open mind.</w:t>
      </w:r>
    </w:p>
    <w:p>
      <w:pPr>
        <w:spacing w:after="0"/>
        <w:jc w:val="both"/>
        <w:rPr>
          <w:rFonts w:ascii="Calibri" w:hAnsi="Calibri" w:eastAsia="Calibri" w:cs="Calibri"/>
          <w:sz w:val="24"/>
          <w:szCs w:val="24"/>
        </w:rPr>
      </w:pPr>
      <w:r>
        <w:rPr>
          <w:rFonts w:ascii="Calibri" w:hAnsi="Calibri" w:eastAsia="Calibri" w:cs="Calibri"/>
          <w:sz w:val="24"/>
          <w:szCs w:val="24"/>
        </w:rPr>
        <w:t>4. Evaluate Risk and Impact</w:t>
      </w:r>
    </w:p>
    <w:p>
      <w:pPr>
        <w:spacing w:after="0"/>
        <w:jc w:val="both"/>
        <w:rPr>
          <w:rFonts w:ascii="Calibri" w:hAnsi="Calibri" w:eastAsia="Calibri" w:cs="Calibri"/>
          <w:sz w:val="24"/>
          <w:szCs w:val="24"/>
        </w:rPr>
      </w:pPr>
      <w:r>
        <w:rPr>
          <w:rFonts w:ascii="Calibri" w:hAnsi="Calibri" w:eastAsia="Calibri" w:cs="Calibri"/>
          <w:sz w:val="24"/>
          <w:szCs w:val="24"/>
        </w:rPr>
        <w:t>Every decision will carry risks and potential consequences. It is crucial to evaluate the risks and impacts associated with each alternative. Consider the potential negative consequences, both positive and negative, and weigh them against the desired outcomes.</w:t>
      </w:r>
    </w:p>
    <w:p>
      <w:pPr>
        <w:spacing w:after="0"/>
        <w:jc w:val="both"/>
        <w:rPr>
          <w:rFonts w:ascii="Calibri" w:hAnsi="Calibri" w:eastAsia="Calibri" w:cs="Calibri"/>
          <w:sz w:val="24"/>
          <w:szCs w:val="24"/>
        </w:rPr>
      </w:pPr>
      <w:r>
        <w:rPr>
          <w:rFonts w:ascii="Calibri" w:hAnsi="Calibri" w:eastAsia="Calibri" w:cs="Calibri"/>
          <w:sz w:val="24"/>
          <w:szCs w:val="24"/>
        </w:rPr>
        <w:t>5. Seek Guidance and Feedback</w:t>
      </w:r>
    </w:p>
    <w:p>
      <w:pPr>
        <w:spacing w:after="0"/>
        <w:jc w:val="both"/>
        <w:rPr>
          <w:rFonts w:ascii="Calibri" w:hAnsi="Calibri" w:eastAsia="Calibri" w:cs="Calibri"/>
          <w:sz w:val="24"/>
          <w:szCs w:val="24"/>
        </w:rPr>
      </w:pPr>
      <w:r>
        <w:rPr>
          <w:rFonts w:ascii="Calibri" w:hAnsi="Calibri" w:eastAsia="Calibri" w:cs="Calibri"/>
          <w:sz w:val="24"/>
          <w:szCs w:val="24"/>
        </w:rPr>
        <w:t>Seeking guidance and feedback from colleagues, experts, or even team members can be beneficial. They may offer valuable insights, different perspectives, or additional information that can assist you in the decision-making process.</w:t>
      </w:r>
    </w:p>
    <w:p>
      <w:pPr>
        <w:spacing w:after="0"/>
        <w:jc w:val="both"/>
        <w:rPr>
          <w:rFonts w:ascii="Calibri" w:hAnsi="Calibri" w:eastAsia="Calibri" w:cs="Calibri"/>
          <w:sz w:val="24"/>
          <w:szCs w:val="24"/>
        </w:rPr>
      </w:pPr>
      <w:r>
        <w:rPr>
          <w:rFonts w:ascii="Calibri" w:hAnsi="Calibri" w:eastAsia="Calibri" w:cs="Calibri"/>
          <w:sz w:val="24"/>
          <w:szCs w:val="24"/>
        </w:rPr>
        <w:t>6. Make a Decision</w:t>
      </w:r>
    </w:p>
    <w:p>
      <w:pPr>
        <w:spacing w:after="0"/>
        <w:jc w:val="both"/>
        <w:rPr>
          <w:rFonts w:ascii="Calibri" w:hAnsi="Calibri" w:eastAsia="Calibri" w:cs="Calibri"/>
          <w:sz w:val="24"/>
          <w:szCs w:val="24"/>
        </w:rPr>
      </w:pPr>
      <w:r>
        <w:rPr>
          <w:rFonts w:ascii="Calibri" w:hAnsi="Calibri" w:eastAsia="Calibri" w:cs="Calibri"/>
          <w:sz w:val="24"/>
          <w:szCs w:val="24"/>
        </w:rPr>
        <w:t>After carefully considering your alternatives, evaluating risks, and seeking guidance, it is time to decide. Select the alternative you believe will yield the best results and decide.</w:t>
      </w:r>
    </w:p>
    <w:p>
      <w:pPr>
        <w:spacing w:after="0"/>
        <w:jc w:val="both"/>
        <w:rPr>
          <w:rFonts w:ascii="Calibri" w:hAnsi="Calibri" w:eastAsia="Calibri" w:cs="Calibri"/>
          <w:sz w:val="24"/>
          <w:szCs w:val="24"/>
        </w:rPr>
      </w:pPr>
      <w:r>
        <w:rPr>
          <w:rFonts w:ascii="Calibri" w:hAnsi="Calibri" w:eastAsia="Calibri" w:cs="Calibri"/>
          <w:sz w:val="24"/>
          <w:szCs w:val="24"/>
        </w:rPr>
        <w:t>7. Implement and Monitor</w:t>
      </w:r>
    </w:p>
    <w:p>
      <w:pPr>
        <w:spacing w:after="0"/>
        <w:jc w:val="both"/>
        <w:rPr>
          <w:rFonts w:ascii="Calibri" w:hAnsi="Calibri" w:eastAsia="Calibri" w:cs="Calibri"/>
          <w:sz w:val="24"/>
          <w:szCs w:val="24"/>
        </w:rPr>
      </w:pPr>
      <w:r>
        <w:rPr>
          <w:rFonts w:ascii="Calibri" w:hAnsi="Calibri" w:eastAsia="Calibri" w:cs="Calibri"/>
          <w:sz w:val="24"/>
          <w:szCs w:val="24"/>
        </w:rPr>
        <w:t>Once you have made your decision, it is important to implement it and monitor its progress. Regularly assess the effectiveness of your decision, adjust as needed, and learn from any mistakes or successes.</w:t>
      </w:r>
    </w:p>
    <w:p>
      <w:pPr>
        <w:spacing w:after="0"/>
        <w:jc w:val="both"/>
        <w:rPr>
          <w:rFonts w:ascii="Calibri" w:hAnsi="Calibri" w:eastAsia="Calibri" w:cs="Calibri"/>
          <w:sz w:val="24"/>
          <w:szCs w:val="24"/>
        </w:rPr>
      </w:pPr>
      <w:r>
        <w:rPr>
          <w:rFonts w:ascii="Calibri" w:hAnsi="Calibri" w:eastAsia="Calibri" w:cs="Calibri"/>
          <w:sz w:val="24"/>
          <w:szCs w:val="24"/>
        </w:rPr>
        <w:t>8. Reflect and Learn</w:t>
      </w: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r>
        <w:rPr>
          <w:rFonts w:ascii="Calibri" w:hAnsi="Calibri" w:eastAsia="Calibri" w:cs="Calibri"/>
          <w:sz w:val="24"/>
          <w:szCs w:val="24"/>
        </w:rPr>
        <w:t>After deciding, take the time to reflect and learn from the experience. Analyse the outcome, identify what worked well and what could be improved, and apply these lessons to future decisions. Indeed (2023)</w:t>
      </w: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r>
        <w:rPr>
          <w:rFonts w:ascii="Calibri" w:hAnsi="Calibri" w:eastAsia="Calibri" w:cs="Calibri"/>
          <w:sz w:val="24"/>
          <w:szCs w:val="24"/>
        </w:rPr>
        <w:t>(AC 1.5)</w:t>
      </w:r>
    </w:p>
    <w:p>
      <w:pPr>
        <w:spacing w:after="0"/>
        <w:jc w:val="both"/>
        <w:rPr>
          <w:rFonts w:ascii="Calibri" w:hAnsi="Calibri" w:eastAsia="Calibri" w:cs="Calibri"/>
          <w:color w:val="000000" w:themeColor="text1"/>
          <w:sz w:val="24"/>
          <w:szCs w:val="24"/>
          <w14:textFill>
            <w14:solidFill>
              <w14:schemeClr w14:val="tx1"/>
            </w14:solidFill>
          </w14:textFill>
        </w:rPr>
      </w:pPr>
    </w:p>
    <w:p>
      <w:pPr>
        <w:spacing w:after="0"/>
        <w:rPr>
          <w:sz w:val="24"/>
          <w:szCs w:val="24"/>
        </w:rPr>
      </w:pPr>
      <w:r>
        <w:rPr>
          <w:rFonts w:ascii="Calibri" w:hAnsi="Calibri" w:eastAsia="Calibri" w:cs="Calibri"/>
          <w:sz w:val="24"/>
          <w:szCs w:val="24"/>
        </w:rPr>
        <w:t xml:space="preserve">In today's complex business world, ethical decision-making is essential. You may face ethical dilemmas daily, and it is crucial for you to have a clear framework for guiding moral decision-making. Three prominent ethical perspectives that offer valuable insights in this regard are consequentialism, deontology, and utilitarianism. By understanding these perspectives, employers can navigate ethical challenges more effectively and make informed decisions that align with the values and expectations of the broader community </w:t>
      </w:r>
      <w:r>
        <w:rPr>
          <w:sz w:val="24"/>
          <w:szCs w:val="24"/>
        </w:rPr>
        <w:t>(Armstrong and Taylor 2023)</w:t>
      </w:r>
    </w:p>
    <w:p>
      <w:pPr>
        <w:spacing w:after="0"/>
        <w:rPr>
          <w:sz w:val="24"/>
          <w:szCs w:val="24"/>
        </w:rPr>
      </w:pPr>
    </w:p>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 xml:space="preserve">One example of how you can apply ethical decision making is individual performance. </w:t>
      </w:r>
    </w:p>
    <w:p>
      <w:pPr>
        <w:spacing w:after="0"/>
        <w:rPr>
          <w:rFonts w:eastAsiaTheme="minorEastAsia"/>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 xml:space="preserve">The consequentialist perspective would consider consequences of individual performance, such as how it impacts team dynamics, productivity, and customer satisfaction. </w:t>
      </w:r>
      <w:r>
        <w:rPr>
          <w:rFonts w:eastAsiaTheme="minorEastAsia"/>
          <w:color w:val="000000" w:themeColor="text1"/>
          <w:sz w:val="24"/>
          <w:szCs w:val="24"/>
          <w14:textFill>
            <w14:solidFill>
              <w14:schemeClr w14:val="tx1"/>
            </w14:solidFill>
          </w14:textFill>
        </w:rPr>
        <w:t>The focus is on achieving the greatest overall benefit or minimising harm. BBC (2014)</w:t>
      </w:r>
    </w:p>
    <w:p>
      <w:pPr>
        <w:spacing w:after="0"/>
        <w:rPr>
          <w:rFonts w:eastAsiaTheme="minorEastAsia"/>
          <w:color w:val="000000" w:themeColor="text1"/>
          <w:sz w:val="24"/>
          <w:szCs w:val="24"/>
          <w14:textFill>
            <w14:solidFill>
              <w14:schemeClr w14:val="tx1"/>
            </w14:solidFill>
          </w14:textFill>
        </w:rPr>
      </w:pPr>
    </w:p>
    <w:p>
      <w:pPr>
        <w:spacing w:after="0"/>
        <w:rPr>
          <w:rFonts w:ascii="Calibri" w:hAnsi="Calibri" w:eastAsia="Calibri" w:cs="Calibri"/>
          <w:sz w:val="24"/>
          <w:szCs w:val="24"/>
        </w:rPr>
      </w:pPr>
      <w:r>
        <w:rPr>
          <w:rFonts w:ascii="Calibri" w:hAnsi="Calibri" w:eastAsia="Calibri" w:cs="Calibri"/>
          <w:sz w:val="24"/>
          <w:szCs w:val="24"/>
        </w:rPr>
        <w:t>The utilitarian perspective would consider the happiness and well-being of the employees when setting individuals performance goals and expectations. By prioritising the success and satisfaction of individuals, you will create a positive work environment that promotes employee motivation and productivity. BBC (2014)</w:t>
      </w:r>
    </w:p>
    <w:p>
      <w:pPr>
        <w:spacing w:after="0"/>
        <w:rPr>
          <w:rFonts w:ascii="Calibri" w:hAnsi="Calibri" w:eastAsia="Calibri" w:cs="Calibri"/>
          <w:sz w:val="24"/>
          <w:szCs w:val="24"/>
        </w:rPr>
      </w:pPr>
    </w:p>
    <w:p>
      <w:pPr>
        <w:spacing w:after="0"/>
        <w:rPr>
          <w:rFonts w:ascii="Calibri" w:hAnsi="Calibri" w:eastAsia="Calibri" w:cs="Calibri"/>
          <w:sz w:val="24"/>
          <w:szCs w:val="24"/>
        </w:rPr>
      </w:pPr>
      <w:r>
        <w:rPr>
          <w:rFonts w:ascii="Calibri" w:hAnsi="Calibri" w:eastAsia="Calibri" w:cs="Calibri"/>
          <w:sz w:val="24"/>
          <w:szCs w:val="24"/>
        </w:rPr>
        <w:t>The deontology perspective would focus on the rightness and wrongness of actions, rather than the consequences of those actions. In the context of performance, the deontology approach emphasise the importance of adhering to moral principles and values, rather than solely focusing on achieving goals or outcomes. BBC (2014)</w:t>
      </w:r>
    </w:p>
    <w:p>
      <w:pPr>
        <w:spacing w:after="0"/>
        <w:rPr>
          <w:rFonts w:eastAsiaTheme="minorEastAsia"/>
          <w:color w:val="000000" w:themeColor="text1"/>
          <w:sz w:val="24"/>
          <w:szCs w:val="24"/>
          <w14:textFill>
            <w14:solidFill>
              <w14:schemeClr w14:val="tx1"/>
            </w14:solidFill>
          </w14:textFill>
        </w:rPr>
      </w:pPr>
    </w:p>
    <w:p>
      <w:pPr>
        <w:spacing w:after="0"/>
        <w:rPr>
          <w:rFonts w:eastAsiaTheme="minorEastAsia"/>
          <w:sz w:val="24"/>
          <w:szCs w:val="24"/>
        </w:rPr>
      </w:pPr>
      <w:r>
        <w:rPr>
          <w:rFonts w:eastAsiaTheme="minorEastAsia"/>
          <w:sz w:val="24"/>
          <w:szCs w:val="24"/>
        </w:rPr>
        <w:t>Understanding various ethical perspectives will guide you to moral decision-making. You will make more informed decisions that align with the values and expectations of the broader community. This holistic approach to ethical decision-making promotes a culture of good ethical practices in the workplace and fosters a harmonious and productive work environment. professionals and senior leaders should agree on the extent to which ethics are the core expectations of employees and any organisation’s representatives, and what consequences might arise if those ethics are not upheld. CIPD (2023)</w:t>
      </w:r>
    </w:p>
    <w:p>
      <w:pPr>
        <w:spacing w:after="0"/>
        <w:rPr>
          <w:rFonts w:eastAsiaTheme="minorEastAsia"/>
          <w:sz w:val="24"/>
          <w:szCs w:val="24"/>
        </w:rPr>
      </w:pPr>
    </w:p>
    <w:p>
      <w:pPr>
        <w:spacing w:after="0"/>
        <w:rPr>
          <w:rFonts w:ascii="Calibri" w:hAnsi="Calibri" w:eastAsia="Calibri" w:cs="Calibri"/>
          <w:sz w:val="24"/>
          <w:szCs w:val="24"/>
        </w:rPr>
      </w:pPr>
      <w:r>
        <w:rPr>
          <w:rFonts w:ascii="Calibri" w:hAnsi="Calibri" w:eastAsia="Calibri" w:cs="Calibri"/>
          <w:sz w:val="24"/>
          <w:szCs w:val="24"/>
        </w:rPr>
        <w:t xml:space="preserve">CIPD (2015) Research report stated </w:t>
      </w:r>
      <w:r>
        <w:rPr>
          <w:rFonts w:ascii="Calibri" w:hAnsi="Calibri" w:eastAsia="Calibri" w:cs="Calibri"/>
          <w:i/>
          <w:iCs/>
          <w:sz w:val="24"/>
          <w:szCs w:val="24"/>
        </w:rPr>
        <w:t xml:space="preserve">There will never be a ‘golden rule’ that fits all ethical decisions: </w:t>
      </w:r>
      <w:bookmarkStart w:id="0" w:name="_Int_uSDLmmgC"/>
      <w:r>
        <w:rPr>
          <w:rFonts w:ascii="Calibri" w:hAnsi="Calibri" w:eastAsia="Calibri" w:cs="Calibri"/>
          <w:i/>
          <w:iCs/>
          <w:sz w:val="24"/>
          <w:szCs w:val="24"/>
        </w:rPr>
        <w:t>it’s</w:t>
      </w:r>
      <w:bookmarkEnd w:id="0"/>
      <w:r>
        <w:rPr>
          <w:rFonts w:ascii="Calibri" w:hAnsi="Calibri" w:eastAsia="Calibri" w:cs="Calibri"/>
          <w:i/>
          <w:iCs/>
          <w:sz w:val="24"/>
          <w:szCs w:val="24"/>
        </w:rPr>
        <w:t xml:space="preserve"> always going to require effort, imagination and judgement, and the outcome is often going to be inconclusive</w:t>
      </w:r>
      <w:r>
        <w:rPr>
          <w:rFonts w:ascii="Calibri" w:hAnsi="Calibri" w:eastAsia="Calibri" w:cs="Calibri"/>
          <w:sz w:val="24"/>
          <w:szCs w:val="24"/>
        </w:rPr>
        <w:t xml:space="preserve">. If you use the eight lenses identified in this report, you will aid ethical decision making by thinking about work using philosophical ethics. None of lenses represent the ‘right’ or ‘wrong’ ways of making decisions in the workplace but offer different perspectives on work dilemmas. </w:t>
      </w:r>
    </w:p>
    <w:p>
      <w:pPr>
        <w:spacing w:after="0"/>
        <w:rPr>
          <w:rFonts w:ascii="Calibri" w:hAnsi="Calibri" w:eastAsia="Calibri" w:cs="Calibri"/>
          <w:sz w:val="24"/>
          <w:szCs w:val="24"/>
        </w:rPr>
      </w:pPr>
    </w:p>
    <w:p>
      <w:pPr>
        <w:spacing w:after="0"/>
        <w:rPr>
          <w:rFonts w:ascii="Calibri" w:hAnsi="Calibri" w:eastAsia="Calibri" w:cs="Calibri"/>
          <w:sz w:val="24"/>
          <w:szCs w:val="24"/>
        </w:rPr>
      </w:pPr>
    </w:p>
    <w:p>
      <w:pPr>
        <w:spacing w:after="0"/>
        <w:rPr>
          <w:rFonts w:ascii="Calibri" w:hAnsi="Calibri" w:eastAsia="Calibri" w:cs="Calibri"/>
          <w:sz w:val="24"/>
          <w:szCs w:val="24"/>
        </w:rPr>
      </w:pPr>
    </w:p>
    <w:p>
      <w:pPr>
        <w:spacing w:after="0"/>
        <w:rPr>
          <w:rFonts w:ascii="Calibri" w:hAnsi="Calibri" w:eastAsia="Calibri" w:cs="Calibri"/>
          <w:sz w:val="24"/>
          <w:szCs w:val="24"/>
        </w:rPr>
      </w:pPr>
    </w:p>
    <w:p>
      <w:pPr>
        <w:spacing w:after="0"/>
        <w:rPr>
          <w:rFonts w:ascii="Calibri" w:hAnsi="Calibri" w:eastAsia="Calibri" w:cs="Calibri"/>
          <w:sz w:val="24"/>
          <w:szCs w:val="24"/>
        </w:rPr>
      </w:pPr>
    </w:p>
    <w:p>
      <w:pPr>
        <w:spacing w:after="0"/>
        <w:rPr>
          <w:rFonts w:ascii="Calibri" w:hAnsi="Calibri" w:eastAsia="Calibri" w:cs="Calibri"/>
          <w:sz w:val="24"/>
          <w:szCs w:val="24"/>
        </w:rPr>
      </w:pPr>
    </w:p>
    <w:p>
      <w:pPr>
        <w:spacing w:after="0"/>
        <w:rPr>
          <w:rFonts w:ascii="Calibri" w:hAnsi="Calibri" w:eastAsia="Calibri" w:cs="Calibri"/>
          <w:sz w:val="24"/>
          <w:szCs w:val="24"/>
        </w:rPr>
      </w:pPr>
      <w:r>
        <w:rPr>
          <w:rFonts w:ascii="Calibri" w:hAnsi="Calibri" w:eastAsia="Calibri" w:cs="Calibri"/>
          <w:sz w:val="24"/>
          <w:szCs w:val="24"/>
        </w:rPr>
        <w:t>The lenses are:</w:t>
      </w:r>
    </w:p>
    <w:p>
      <w:pPr>
        <w:spacing w:after="0"/>
        <w:rPr>
          <w:rFonts w:eastAsiaTheme="minorEastAsia"/>
          <w:sz w:val="24"/>
          <w:szCs w:val="24"/>
        </w:rPr>
      </w:pPr>
    </w:p>
    <w:p>
      <w:pPr>
        <w:spacing w:after="0"/>
        <w:rPr>
          <w:rFonts w:eastAsiaTheme="minorEastAsia"/>
          <w:sz w:val="24"/>
          <w:szCs w:val="24"/>
        </w:rPr>
      </w:pPr>
    </w:p>
    <w:p>
      <w:pPr>
        <w:spacing w:after="0"/>
        <w:rPr>
          <w:sz w:val="24"/>
          <w:szCs w:val="24"/>
        </w:rPr>
      </w:pPr>
      <w:r>
        <w:drawing>
          <wp:inline distT="0" distB="0" distL="0" distR="0">
            <wp:extent cx="3000375" cy="1524000"/>
            <wp:effectExtent l="0" t="0" r="0" b="0"/>
            <wp:docPr id="1183459357" name="Picture 1183459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459357" name="Picture 1183459357"/>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000375" cy="1524000"/>
                    </a:xfrm>
                    <a:prstGeom prst="rect">
                      <a:avLst/>
                    </a:prstGeom>
                  </pic:spPr>
                </pic:pic>
              </a:graphicData>
            </a:graphic>
          </wp:inline>
        </w:drawing>
      </w:r>
    </w:p>
    <w:p>
      <w:pPr>
        <w:spacing w:after="0"/>
        <w:rPr>
          <w:sz w:val="24"/>
          <w:szCs w:val="24"/>
        </w:rPr>
      </w:pPr>
      <w:r>
        <w:rPr>
          <w:sz w:val="24"/>
          <w:szCs w:val="24"/>
        </w:rPr>
        <w:t>Source CIPD (2015)</w:t>
      </w: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r>
        <w:rPr>
          <w:rFonts w:ascii="Calibri" w:hAnsi="Calibri" w:eastAsia="Calibri" w:cs="Calibri"/>
          <w:sz w:val="24"/>
          <w:szCs w:val="24"/>
        </w:rPr>
        <w:t xml:space="preserve"> (AC 3.1)</w:t>
      </w: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r>
        <w:rPr>
          <w:rFonts w:ascii="Calibri" w:hAnsi="Calibri" w:eastAsia="Calibri" w:cs="Calibri"/>
          <w:sz w:val="24"/>
          <w:szCs w:val="24"/>
        </w:rPr>
        <w:t xml:space="preserve">You can use various methods to measure performance, including financial measures and non-financial ones. These measures provide valuable insights into your organisation's success and help stakeholders make informed decisions. </w:t>
      </w: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r>
        <w:rPr>
          <w:rFonts w:ascii="Calibri" w:hAnsi="Calibri" w:eastAsia="Calibri" w:cs="Calibri"/>
          <w:sz w:val="24"/>
          <w:szCs w:val="24"/>
        </w:rPr>
        <w:t>Financial performance measures assess your financial health and viability. These measures focus on your ability to generate profit, manage costs, and allocate resources efficiently. One commonly used financial measure is return on investment (ROI). When it comes to return on investment (ROI), retention analytics can have a significant impact on the bottom line. By leveraging the power of data analytics, you can gain valuable insights into the full costing and employee churn, enabling informed decision-making and driving improvement in workforce management. People Management (2023)</w:t>
      </w:r>
    </w:p>
    <w:p>
      <w:pPr>
        <w:spacing w:after="0"/>
        <w:jc w:val="both"/>
        <w:rPr>
          <w:rFonts w:ascii="Calibri" w:hAnsi="Calibri" w:eastAsia="Calibri" w:cs="Calibri"/>
          <w:sz w:val="24"/>
          <w:szCs w:val="24"/>
        </w:rPr>
      </w:pPr>
    </w:p>
    <w:p>
      <w:pPr>
        <w:spacing w:after="0"/>
        <w:jc w:val="both"/>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sz w:val="24"/>
          <w:szCs w:val="24"/>
        </w:rPr>
        <w:t>Non-financial performance can be measured through key performance indicators (KPIs) or w</w:t>
      </w:r>
      <w:r>
        <w:rPr>
          <w:rFonts w:ascii="Calibri" w:hAnsi="Calibri" w:eastAsia="Calibri" w:cs="Calibri"/>
          <w:color w:val="000000" w:themeColor="text1"/>
          <w:sz w:val="24"/>
          <w:szCs w:val="24"/>
          <w14:textFill>
            <w14:solidFill>
              <w14:schemeClr w14:val="tx1"/>
            </w14:solidFill>
          </w14:textFill>
        </w:rPr>
        <w:t xml:space="preserve">orkforce data analytics. Through these measures you can highlight how employees are engaging in their work tasks. Use a collaborative approach to create key performance indicators (KPIs) that stretch employees and are aligned to the overarching business strategy. Involving your employees in the process can result in happier employees and immediately impact the bottom line. People Management (2023) </w:t>
      </w:r>
    </w:p>
    <w:p>
      <w:pPr>
        <w:spacing w:after="0"/>
        <w:jc w:val="both"/>
        <w:rPr>
          <w:rFonts w:ascii="Calibri" w:hAnsi="Calibri" w:eastAsia="Calibri" w:cs="Calibri"/>
          <w:color w:val="000000" w:themeColor="text1"/>
          <w:sz w:val="24"/>
          <w:szCs w:val="24"/>
          <w14:textFill>
            <w14:solidFill>
              <w14:schemeClr w14:val="tx1"/>
            </w14:solidFill>
          </w14:textFill>
        </w:rPr>
      </w:pPr>
    </w:p>
    <w:p>
      <w:pPr>
        <w:spacing w:after="0"/>
        <w:jc w:val="both"/>
        <w:rPr>
          <w:rFonts w:ascii="Calibri" w:hAnsi="Calibri" w:eastAsia="Calibri" w:cs="Calibri"/>
          <w:sz w:val="24"/>
          <w:szCs w:val="24"/>
        </w:rPr>
      </w:pPr>
      <w:r>
        <w:rPr>
          <w:rFonts w:ascii="Calibri" w:hAnsi="Calibri" w:eastAsia="Calibri" w:cs="Calibri"/>
          <w:sz w:val="24"/>
          <w:szCs w:val="24"/>
        </w:rPr>
        <w:t>Both financial ratios and KPIs play a crucial role in measuring the performance of organisations. While financial ratios provide insights into an organisation's financial health, KPIs focus on strategic performance measures that drive the organisation's success. To measure both, you could use the Balance Scorecard, which is a powerful tool that helps you align your strategic objectives with key performance indicators. By incorporating financial, customer, internal business processes, and learning and growth metrics, allowing you to gain a comprehensive view of your performance and to make data-driven decisions. Mindtools (2023)</w:t>
      </w: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r>
        <w:rPr>
          <w:rFonts w:eastAsiaTheme="minorEastAsia"/>
          <w:sz w:val="24"/>
          <w:szCs w:val="24"/>
        </w:rPr>
        <w:t xml:space="preserve">According to Kaplan and Norton, (2005) "What you measure is what you get." In other words, companies that focus solely on financial output risk restricting themselves to a narrow view of their performance. </w:t>
      </w:r>
      <w:r>
        <w:rPr>
          <w:rFonts w:ascii="Calibri" w:hAnsi="Calibri" w:eastAsia="Calibri" w:cs="Calibri"/>
          <w:sz w:val="24"/>
          <w:szCs w:val="24"/>
        </w:rPr>
        <w:t xml:space="preserve">The BSC provides a balanced approach to performance management, ensuring you address all aspects of your business. </w:t>
      </w:r>
    </w:p>
    <w:p>
      <w:pPr>
        <w:spacing w:after="0"/>
        <w:jc w:val="both"/>
        <w:rPr>
          <w:rFonts w:ascii="Calibri" w:hAnsi="Calibri" w:eastAsia="Calibri" w:cs="Calibri"/>
          <w:sz w:val="24"/>
          <w:szCs w:val="24"/>
        </w:rPr>
      </w:pPr>
    </w:p>
    <w:p>
      <w:pPr>
        <w:spacing w:after="0"/>
        <w:jc w:val="both"/>
        <w:rPr>
          <w:rFonts w:ascii="Calibri" w:hAnsi="Calibri" w:eastAsia="Calibri" w:cs="Calibri"/>
          <w:color w:val="000000" w:themeColor="text1"/>
          <w:sz w:val="24"/>
          <w:szCs w:val="24"/>
          <w14:textFill>
            <w14:solidFill>
              <w14:schemeClr w14:val="tx1"/>
            </w14:solidFill>
          </w14:textFill>
        </w:rPr>
      </w:pPr>
    </w:p>
    <w:p>
      <w:pPr>
        <w:pStyle w:val="3"/>
        <w:rPr>
          <w:rFonts w:asciiTheme="minorHAnsi" w:hAnsiTheme="minorHAnsi" w:eastAsiaTheme="minorEastAsia" w:cstheme="minorBidi"/>
          <w:i w:val="0"/>
          <w:iCs w:val="0"/>
          <w:color w:val="000000" w:themeColor="text1"/>
          <w:sz w:val="24"/>
          <w:szCs w:val="24"/>
          <w14:textFill>
            <w14:solidFill>
              <w14:schemeClr w14:val="tx1"/>
            </w14:solidFill>
          </w14:textFill>
        </w:rPr>
      </w:pPr>
      <w:r>
        <w:rPr>
          <w:rFonts w:asciiTheme="minorHAnsi" w:hAnsiTheme="minorHAnsi" w:eastAsiaTheme="minorEastAsia" w:cstheme="minorBidi"/>
          <w:i w:val="0"/>
          <w:iCs w:val="0"/>
          <w:color w:val="000000" w:themeColor="text1"/>
          <w:sz w:val="24"/>
          <w:szCs w:val="24"/>
          <w14:textFill>
            <w14:solidFill>
              <w14:schemeClr w14:val="tx1"/>
            </w14:solidFill>
          </w14:textFill>
        </w:rPr>
        <w:t>The Balanced Scorecard: Four Key Measures That Drive Performance</w:t>
      </w:r>
    </w:p>
    <w:p>
      <w:pPr>
        <w:spacing w:after="0" w:line="480" w:lineRule="exact"/>
        <w:jc w:val="both"/>
        <w:rPr>
          <w:sz w:val="24"/>
          <w:szCs w:val="24"/>
          <w:highlight w:val="yellow"/>
        </w:rPr>
      </w:pPr>
    </w:p>
    <w:p>
      <w:pPr>
        <w:spacing w:after="0" w:line="480" w:lineRule="exact"/>
        <w:jc w:val="both"/>
        <w:rPr>
          <w:sz w:val="24"/>
          <w:szCs w:val="24"/>
          <w:highlight w:val="yellow"/>
        </w:rPr>
      </w:pPr>
    </w:p>
    <w:p>
      <w:pPr>
        <w:spacing w:after="0" w:line="480" w:lineRule="exact"/>
        <w:jc w:val="both"/>
        <w:rPr>
          <w:sz w:val="24"/>
          <w:szCs w:val="24"/>
          <w:highlight w:val="yellow"/>
        </w:rPr>
      </w:pPr>
      <w:r>
        <w:drawing>
          <wp:inline distT="0" distB="0" distL="0" distR="0">
            <wp:extent cx="4572000" cy="3286125"/>
            <wp:effectExtent l="0" t="0" r="0" b="0"/>
            <wp:docPr id="1624285466" name="Picture 162428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285466" name="Picture 1624285466"/>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572000" cy="3286125"/>
                    </a:xfrm>
                    <a:prstGeom prst="rect">
                      <a:avLst/>
                    </a:prstGeom>
                  </pic:spPr>
                </pic:pic>
              </a:graphicData>
            </a:graphic>
          </wp:inline>
        </w:drawing>
      </w: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r>
        <w:rPr>
          <w:rFonts w:ascii="Calibri" w:hAnsi="Calibri" w:eastAsia="Calibri" w:cs="Calibri"/>
          <w:sz w:val="24"/>
          <w:szCs w:val="24"/>
        </w:rPr>
        <w:t xml:space="preserve">Source: Mindtools </w:t>
      </w:r>
    </w:p>
    <w:p>
      <w:pPr>
        <w:spacing w:after="0"/>
        <w:jc w:val="both"/>
        <w:rPr>
          <w:rFonts w:ascii="Calibri" w:hAnsi="Calibri" w:eastAsia="Calibri" w:cs="Calibri"/>
          <w:sz w:val="24"/>
          <w:szCs w:val="24"/>
          <w:highlight w:val="yellow"/>
        </w:rPr>
      </w:pPr>
    </w:p>
    <w:p>
      <w:pPr>
        <w:spacing w:after="0"/>
        <w:jc w:val="both"/>
        <w:rPr>
          <w:rFonts w:ascii="Calibri" w:hAnsi="Calibri" w:eastAsia="Calibri" w:cs="Calibri"/>
          <w:sz w:val="24"/>
          <w:szCs w:val="24"/>
        </w:rPr>
      </w:pPr>
    </w:p>
    <w:p>
      <w:pPr>
        <w:spacing w:after="0"/>
        <w:jc w:val="both"/>
        <w:rPr>
          <w:rFonts w:ascii="Calibri" w:hAnsi="Calibri" w:eastAsia="Calibri" w:cs="Calibri"/>
          <w:sz w:val="24"/>
          <w:szCs w:val="24"/>
        </w:rPr>
      </w:pPr>
      <w:r>
        <w:rPr>
          <w:rFonts w:ascii="Calibri" w:hAnsi="Calibri" w:eastAsia="Calibri" w:cs="Calibri"/>
          <w:sz w:val="24"/>
          <w:szCs w:val="24"/>
        </w:rPr>
        <w:t>(AC 3.2)</w:t>
      </w:r>
    </w:p>
    <w:p>
      <w:pPr>
        <w:rPr>
          <w:rFonts w:ascii="Calibri" w:hAnsi="Calibri" w:eastAsia="Calibri" w:cs="Calibri"/>
          <w:sz w:val="24"/>
          <w:szCs w:val="24"/>
        </w:rPr>
      </w:pPr>
    </w:p>
    <w:p>
      <w:pPr>
        <w:rPr>
          <w:rFonts w:ascii="Calibri" w:hAnsi="Calibri" w:eastAsia="Calibri" w:cs="Calibri"/>
          <w:sz w:val="24"/>
          <w:szCs w:val="24"/>
        </w:rPr>
      </w:pPr>
      <w:r>
        <w:rPr>
          <w:rFonts w:ascii="Calibri" w:hAnsi="Calibri" w:eastAsia="Calibri" w:cs="Calibri"/>
          <w:sz w:val="24"/>
          <w:szCs w:val="24"/>
        </w:rPr>
        <w:t xml:space="preserve">In today's competitive business landscape, organisations recognise the critical role that effective people practices play in driving success. One of the primary ways in which people practice add value is by fostering employee engagement. Engaged employees are more committed, motivated, and aligned with your goals contribute to a positive culture. By implementing practices such as employee recognition programs, open communication channels, diversity and inclusion initiatives, and work-life balance measures, you can create an environment where employees feel valued and motivated to contribute their best. </w:t>
      </w:r>
    </w:p>
    <w:p>
      <w:pPr>
        <w:rPr>
          <w:rFonts w:eastAsiaTheme="minorEastAsia"/>
          <w:color w:val="202020"/>
          <w:sz w:val="24"/>
          <w:szCs w:val="24"/>
        </w:rPr>
      </w:pPr>
      <w:r>
        <w:rPr>
          <w:rFonts w:ascii="Calibri" w:hAnsi="Calibri" w:eastAsia="Calibri" w:cs="Calibri"/>
          <w:sz w:val="24"/>
          <w:szCs w:val="24"/>
        </w:rPr>
        <w:t xml:space="preserve">Moreover, </w:t>
      </w:r>
      <w:bookmarkStart w:id="1" w:name="_Int_COdrkJWZ"/>
      <w:r>
        <w:rPr>
          <w:rFonts w:ascii="Calibri" w:hAnsi="Calibri" w:eastAsia="Calibri" w:cs="Calibri"/>
          <w:sz w:val="24"/>
          <w:szCs w:val="24"/>
        </w:rPr>
        <w:t>people</w:t>
      </w:r>
      <w:bookmarkEnd w:id="1"/>
      <w:r>
        <w:rPr>
          <w:rFonts w:ascii="Calibri" w:hAnsi="Calibri" w:eastAsia="Calibri" w:cs="Calibri"/>
          <w:sz w:val="24"/>
          <w:szCs w:val="24"/>
        </w:rPr>
        <w:t xml:space="preserve"> practice can add value through their impact on employee development. By investing in training and development programs, providing opportunities for career growth, and providing clear performance expectations, you can help employees develop their skills and achieve their potential. </w:t>
      </w:r>
      <w:r>
        <w:rPr>
          <w:rFonts w:eastAsiaTheme="minorEastAsia"/>
          <w:sz w:val="24"/>
          <w:szCs w:val="24"/>
        </w:rPr>
        <w:t>To be effective, it needs to align with strategic business objectives. Strategic talent management has several benefits: it builds a high-performance workplace; it fosters a learning climate; it adds value to the employer brand, and it improves diversity</w:t>
      </w:r>
      <w:r>
        <w:rPr>
          <w:rFonts w:eastAsiaTheme="minorEastAsia"/>
          <w:color w:val="202020"/>
          <w:sz w:val="24"/>
          <w:szCs w:val="24"/>
        </w:rPr>
        <w:t>. CIPD (2023)</w:t>
      </w:r>
    </w:p>
    <w:p>
      <w:pPr>
        <w:rPr>
          <w:rFonts w:eastAsiaTheme="minorEastAsia"/>
          <w:sz w:val="24"/>
          <w:szCs w:val="24"/>
        </w:rPr>
      </w:pPr>
      <w:r>
        <w:rPr>
          <w:rFonts w:eastAsiaTheme="minorEastAsia"/>
          <w:sz w:val="24"/>
          <w:szCs w:val="24"/>
        </w:rPr>
        <w:t xml:space="preserve">Employee surveys are a valuable tool for you to gather insights into employee perceptions, attitudes, and engagement levels. By conducting surveys, you can gain insights into the effectiveness of your </w:t>
      </w:r>
      <w:bookmarkStart w:id="2" w:name="_Int_r6seCmT9"/>
      <w:r>
        <w:rPr>
          <w:rFonts w:eastAsiaTheme="minorEastAsia"/>
          <w:sz w:val="24"/>
          <w:szCs w:val="24"/>
        </w:rPr>
        <w:t>people</w:t>
      </w:r>
      <w:bookmarkEnd w:id="2"/>
      <w:r>
        <w:rPr>
          <w:rFonts w:eastAsiaTheme="minorEastAsia"/>
          <w:sz w:val="24"/>
          <w:szCs w:val="24"/>
        </w:rPr>
        <w:t xml:space="preserve"> practices and identify areas for improvement. Employee surveys can cover a wide range of topics, including job satisfaction, work-life balance, leadership effectiveness, and diversity and inclusion. </w:t>
      </w:r>
    </w:p>
    <w:p>
      <w:pPr>
        <w:rPr>
          <w:rFonts w:eastAsiaTheme="minorEastAsia"/>
          <w:sz w:val="24"/>
          <w:szCs w:val="24"/>
        </w:rPr>
      </w:pPr>
      <w:r>
        <w:rPr>
          <w:rFonts w:eastAsiaTheme="minorEastAsia"/>
          <w:sz w:val="24"/>
          <w:szCs w:val="24"/>
        </w:rPr>
        <w:t xml:space="preserve">Additionally, the utilisation of people analytics and Key Performance Indicators (KPIs) has gained prominence in evaluating the impact of people practices (CIPD, 2023). By measuring turnover rates, employee engagement scores, productivity levels, and customer satisfaction scores, you can make evidence-based decisions and identify trends for continuous improvement. </w:t>
      </w:r>
    </w:p>
    <w:p>
      <w:pPr>
        <w:rPr>
          <w:rFonts w:ascii="Calibri" w:hAnsi="Calibri" w:eastAsia="Calibri" w:cs="Calibri"/>
          <w:sz w:val="24"/>
          <w:szCs w:val="24"/>
        </w:rPr>
      </w:pPr>
      <w:r>
        <w:rPr>
          <w:rFonts w:eastAsiaTheme="minorEastAsia"/>
          <w:sz w:val="24"/>
          <w:szCs w:val="24"/>
        </w:rPr>
        <w:t xml:space="preserve">As the CIPD 2023 wisely states, "what gets measured gets attention," emphasising the importance of aligning metrics with </w:t>
      </w:r>
      <w:bookmarkStart w:id="3" w:name="_Int_Oi8K10n3"/>
      <w:r>
        <w:rPr>
          <w:rFonts w:eastAsiaTheme="minorEastAsia"/>
          <w:sz w:val="24"/>
          <w:szCs w:val="24"/>
        </w:rPr>
        <w:t>people</w:t>
      </w:r>
      <w:bookmarkEnd w:id="3"/>
      <w:r>
        <w:rPr>
          <w:rFonts w:eastAsiaTheme="minorEastAsia"/>
          <w:sz w:val="24"/>
          <w:szCs w:val="24"/>
        </w:rPr>
        <w:t xml:space="preserve"> practices. </w:t>
      </w:r>
      <w:r>
        <w:rPr>
          <w:rFonts w:ascii="Calibri" w:hAnsi="Calibri" w:eastAsia="Calibri" w:cs="Calibri"/>
          <w:sz w:val="24"/>
          <w:szCs w:val="24"/>
        </w:rPr>
        <w:t>By implementing effective people practices, you will not only enhance individual performance but also foster a positive work environment that can positively impact your overall.</w:t>
      </w:r>
    </w:p>
    <w:p>
      <w:pPr>
        <w:rPr>
          <w:sz w:val="24"/>
          <w:szCs w:val="24"/>
          <w:highlight w:val="green"/>
        </w:rPr>
      </w:pPr>
    </w:p>
    <w:p>
      <w:pPr>
        <w:rPr>
          <w:sz w:val="24"/>
          <w:szCs w:val="24"/>
          <w:highlight w:val="green"/>
        </w:rPr>
      </w:pPr>
    </w:p>
    <w:p>
      <w:pPr>
        <w:rPr>
          <w:sz w:val="24"/>
          <w:szCs w:val="24"/>
          <w:highlight w:val="green"/>
        </w:rPr>
      </w:pPr>
    </w:p>
    <w:p>
      <w:pPr>
        <w:rPr>
          <w:sz w:val="24"/>
          <w:szCs w:val="24"/>
          <w:highlight w:val="green"/>
        </w:rPr>
      </w:pPr>
    </w:p>
    <w:p>
      <w:pPr>
        <w:rPr>
          <w:sz w:val="24"/>
          <w:szCs w:val="24"/>
          <w:highlight w:val="green"/>
        </w:rPr>
      </w:pPr>
    </w:p>
    <w:p>
      <w:pPr>
        <w:rPr>
          <w:sz w:val="24"/>
          <w:szCs w:val="24"/>
          <w:highlight w:val="green"/>
        </w:rPr>
      </w:pPr>
    </w:p>
    <w:p>
      <w:pPr>
        <w:rPr>
          <w:sz w:val="24"/>
          <w:szCs w:val="24"/>
          <w:highlight w:val="green"/>
        </w:rPr>
      </w:pPr>
    </w:p>
    <w:p>
      <w:pPr>
        <w:rPr>
          <w:sz w:val="24"/>
          <w:szCs w:val="24"/>
          <w:highlight w:val="green"/>
        </w:rPr>
      </w:pPr>
    </w:p>
    <w:p>
      <w:pPr>
        <w:rPr>
          <w:sz w:val="24"/>
          <w:szCs w:val="24"/>
          <w:highlight w:val="green"/>
        </w:rPr>
      </w:pPr>
    </w:p>
    <w:p>
      <w:pPr>
        <w:rPr>
          <w:sz w:val="24"/>
          <w:szCs w:val="24"/>
          <w:highlight w:val="green"/>
        </w:rPr>
      </w:pPr>
    </w:p>
    <w:p>
      <w:pPr>
        <w:rPr>
          <w:sz w:val="24"/>
          <w:szCs w:val="24"/>
          <w:highlight w:val="green"/>
        </w:rPr>
      </w:pPr>
    </w:p>
    <w:p>
      <w:pPr>
        <w:rPr>
          <w:sz w:val="24"/>
          <w:szCs w:val="24"/>
          <w:highlight w:val="green"/>
        </w:rPr>
      </w:pPr>
    </w:p>
    <w:p>
      <w:pPr>
        <w:pStyle w:val="2"/>
        <w:rPr>
          <w:rFonts w:ascii="Georgia" w:hAnsi="Georgia" w:eastAsia="Georgia" w:cs="Georgia"/>
          <w:i/>
          <w:iCs/>
          <w:color w:val="auto"/>
          <w:sz w:val="24"/>
          <w:szCs w:val="24"/>
          <w:u w:val="single"/>
        </w:rPr>
      </w:pPr>
    </w:p>
    <w:p>
      <w:pPr>
        <w:pStyle w:val="2"/>
        <w:rPr>
          <w:rFonts w:ascii="Georgia" w:hAnsi="Georgia" w:eastAsia="Georgia" w:cs="Georgia"/>
          <w:i/>
          <w:iCs/>
          <w:color w:val="auto"/>
          <w:sz w:val="24"/>
          <w:szCs w:val="24"/>
          <w:u w:val="single"/>
        </w:rPr>
      </w:pPr>
      <w:r>
        <w:rPr>
          <w:rFonts w:ascii="Georgia" w:hAnsi="Georgia" w:eastAsia="Georgia" w:cs="Georgia"/>
          <w:i/>
          <w:iCs/>
          <w:color w:val="auto"/>
          <w:sz w:val="24"/>
          <w:szCs w:val="24"/>
          <w:u w:val="single"/>
        </w:rPr>
        <w:t xml:space="preserve">Section two </w:t>
      </w:r>
    </w:p>
    <w:p>
      <w:pPr>
        <w:pStyle w:val="2"/>
        <w:rPr>
          <w:rFonts w:ascii="Georgia" w:hAnsi="Georgia" w:eastAsia="Georgia" w:cs="Georgia"/>
          <w:i/>
          <w:iCs/>
          <w:color w:val="auto"/>
          <w:sz w:val="24"/>
          <w:szCs w:val="24"/>
          <w:u w:val="single"/>
        </w:rPr>
      </w:pPr>
      <w:r>
        <w:rPr>
          <w:rFonts w:ascii="Georgia" w:hAnsi="Georgia" w:eastAsia="Georgia" w:cs="Georgia"/>
          <w:i/>
          <w:iCs/>
          <w:color w:val="auto"/>
          <w:sz w:val="24"/>
          <w:szCs w:val="24"/>
          <w:u w:val="single"/>
        </w:rPr>
        <w:t>Quantitative and qualitative analysis review</w:t>
      </w:r>
    </w:p>
    <w:p>
      <w:pPr>
        <w:rPr>
          <w:rFonts w:ascii="Calibri" w:hAnsi="Calibri" w:eastAsia="Calibri" w:cs="Calibri"/>
          <w:sz w:val="24"/>
          <w:szCs w:val="24"/>
        </w:rPr>
      </w:pPr>
    </w:p>
    <w:p>
      <w:pPr>
        <w:rPr>
          <w:rFonts w:ascii="Museo" w:hAnsi="Museo" w:eastAsia="Museo" w:cs="Museo"/>
          <w:color w:val="202020"/>
          <w:sz w:val="24"/>
          <w:szCs w:val="24"/>
        </w:rPr>
      </w:pPr>
      <w:r>
        <w:rPr>
          <w:rFonts w:ascii="Calibri" w:hAnsi="Calibri" w:eastAsia="Calibri" w:cs="Calibri"/>
          <w:sz w:val="24"/>
          <w:szCs w:val="24"/>
        </w:rPr>
        <w:t xml:space="preserve">Data analysis is a crucial step in conducting research. It involves the process of examining the data collected and drawing meaningful conclusions from it. You can do this using </w:t>
      </w:r>
      <w:r>
        <w:rPr>
          <w:rFonts w:eastAsiaTheme="minorEastAsia"/>
          <w:color w:val="202020"/>
          <w:sz w:val="24"/>
          <w:szCs w:val="24"/>
        </w:rPr>
        <w:t>quantitative and/or qualitative data</w:t>
      </w:r>
      <w:r>
        <w:rPr>
          <w:rFonts w:ascii="Calibri" w:hAnsi="Calibri" w:eastAsia="Calibri" w:cs="Calibri"/>
          <w:sz w:val="24"/>
          <w:szCs w:val="24"/>
        </w:rPr>
        <w:t xml:space="preserve">. </w:t>
      </w:r>
    </w:p>
    <w:p>
      <w:pPr>
        <w:rPr>
          <w:rFonts w:ascii="Calibri" w:hAnsi="Calibri" w:eastAsia="Calibri" w:cs="Calibri"/>
          <w:sz w:val="24"/>
          <w:szCs w:val="24"/>
        </w:rPr>
      </w:pPr>
      <w:r>
        <w:rPr>
          <w:rFonts w:ascii="Calibri" w:hAnsi="Calibri" w:eastAsia="Calibri" w:cs="Calibri"/>
          <w:sz w:val="24"/>
          <w:szCs w:val="24"/>
        </w:rPr>
        <w:t>Qualitative analysis is more concerned with understanding the underlying meanings and patterns within the data, what? why? how? while quantitative analysis involves testing theory and making generalisations based on numerical data. Both techniques have their own strengths and weaknesses and are used in various fields of research. By understanding the key concepts and procedures involved in qualitative data analysis and quantitative data analysis, you can make informed decisions on how to best analyse the data to extract valuable insights. CIPD (2022)</w:t>
      </w:r>
    </w:p>
    <w:p>
      <w:pPr>
        <w:rPr>
          <w:sz w:val="24"/>
          <w:szCs w:val="24"/>
          <w:highlight w:val="green"/>
        </w:rPr>
      </w:pPr>
    </w:p>
    <w:p>
      <w:pPr>
        <w:rPr>
          <w:sz w:val="24"/>
          <w:szCs w:val="24"/>
        </w:rPr>
      </w:pPr>
      <w:r>
        <w:rPr>
          <w:sz w:val="24"/>
          <w:szCs w:val="24"/>
        </w:rPr>
        <w:t xml:space="preserve">Below is an analysis of the recent gender, salary, and disability report. </w:t>
      </w:r>
    </w:p>
    <w:p>
      <w:pPr>
        <w:rPr>
          <w:sz w:val="24"/>
          <w:szCs w:val="24"/>
        </w:rPr>
      </w:pPr>
    </w:p>
    <w:p>
      <w:pPr>
        <w:rPr>
          <w:sz w:val="24"/>
          <w:szCs w:val="24"/>
        </w:rPr>
      </w:pPr>
      <w:r>
        <w:drawing>
          <wp:inline distT="0" distB="0" distL="0" distR="0">
            <wp:extent cx="2247900" cy="1457325"/>
            <wp:effectExtent l="0" t="0" r="0" b="0"/>
            <wp:docPr id="1121076135" name="Picture 1121076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76135" name="Picture 1121076135"/>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247900" cy="1457325"/>
                    </a:xfrm>
                    <a:prstGeom prst="rect">
                      <a:avLst/>
                    </a:prstGeom>
                  </pic:spPr>
                </pic:pic>
              </a:graphicData>
            </a:graphic>
          </wp:inline>
        </w:drawing>
      </w:r>
    </w:p>
    <w:p>
      <w:pPr>
        <w:rPr>
          <w:sz w:val="24"/>
          <w:szCs w:val="24"/>
        </w:rPr>
      </w:pPr>
    </w:p>
    <w:p>
      <w:pPr>
        <w:spacing w:after="0"/>
        <w:rPr>
          <w:rFonts w:eastAsiaTheme="minorEastAsia"/>
          <w:sz w:val="24"/>
          <w:szCs w:val="24"/>
        </w:rPr>
      </w:pPr>
      <w:r>
        <w:rPr>
          <w:rFonts w:eastAsiaTheme="minorEastAsia"/>
          <w:sz w:val="24"/>
          <w:szCs w:val="24"/>
        </w:rPr>
        <w:t>The total number of employs is 260, males constitute the largest group in the organisation comprising 54% whilst females make up 45% which indicates a slight gender imbalance. Non-binary individuals represent an exceedingly small portion at 1%. The presence of non-binary individuals suggests some diversity in gender identities within.</w:t>
      </w:r>
    </w:p>
    <w:p>
      <w:pPr>
        <w:spacing w:after="0"/>
        <w:rPr>
          <w:rFonts w:ascii="system-ui" w:hAnsi="system-ui" w:eastAsia="system-ui" w:cs="system-ui"/>
          <w:color w:val="374151"/>
          <w:sz w:val="24"/>
          <w:szCs w:val="24"/>
        </w:rPr>
      </w:pPr>
    </w:p>
    <w:p>
      <w:pPr>
        <w:pStyle w:val="10"/>
        <w:numPr>
          <w:ilvl w:val="0"/>
          <w:numId w:val="1"/>
        </w:numPr>
        <w:spacing w:after="0"/>
        <w:rPr>
          <w:rFonts w:eastAsiaTheme="minorEastAsia"/>
          <w:sz w:val="24"/>
          <w:szCs w:val="24"/>
        </w:rPr>
      </w:pPr>
      <w:r>
        <w:rPr>
          <w:rFonts w:eastAsiaTheme="minorEastAsia"/>
          <w:sz w:val="24"/>
          <w:szCs w:val="24"/>
        </w:rPr>
        <w:t>To gain deeper insights, you might want to explore factors such as age, Job role, or departments.</w:t>
      </w:r>
    </w:p>
    <w:p>
      <w:pPr>
        <w:spacing w:after="0"/>
        <w:rPr>
          <w:rFonts w:ascii="Calibri" w:hAnsi="Calibri" w:eastAsia="Calibri" w:cs="Calibri"/>
          <w:sz w:val="24"/>
          <w:szCs w:val="24"/>
        </w:rPr>
      </w:pPr>
    </w:p>
    <w:p>
      <w:pPr>
        <w:rPr>
          <w:sz w:val="24"/>
          <w:szCs w:val="24"/>
        </w:rPr>
      </w:pPr>
      <w:r>
        <w:drawing>
          <wp:inline distT="0" distB="0" distL="0" distR="0">
            <wp:extent cx="4572000" cy="2667000"/>
            <wp:effectExtent l="0" t="0" r="0" b="0"/>
            <wp:docPr id="888942702" name="Picture 88894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942702" name="Picture 888942702"/>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572000" cy="2667000"/>
                    </a:xfrm>
                    <a:prstGeom prst="rect">
                      <a:avLst/>
                    </a:prstGeom>
                  </pic:spPr>
                </pic:pic>
              </a:graphicData>
            </a:graphic>
          </wp:inline>
        </w:drawing>
      </w:r>
    </w:p>
    <w:p>
      <w:pPr>
        <w:rPr>
          <w:sz w:val="24"/>
          <w:szCs w:val="24"/>
        </w:rPr>
      </w:pPr>
    </w:p>
    <w:tbl>
      <w:tblPr>
        <w:tblStyle w:val="5"/>
        <w:tblW w:w="0" w:type="auto"/>
        <w:tblInd w:w="0" w:type="dxa"/>
        <w:tblLayout w:type="fixed"/>
        <w:tblCellMar>
          <w:top w:w="0" w:type="dxa"/>
          <w:left w:w="108" w:type="dxa"/>
          <w:bottom w:w="0" w:type="dxa"/>
          <w:right w:w="108" w:type="dxa"/>
        </w:tblCellMar>
      </w:tblPr>
      <w:tblGrid>
        <w:gridCol w:w="4080"/>
        <w:gridCol w:w="1965"/>
        <w:gridCol w:w="1305"/>
        <w:gridCol w:w="1245"/>
      </w:tblGrid>
      <w:tr>
        <w:trPr>
          <w:trHeight w:val="300" w:hRule="atLeast"/>
        </w:trPr>
        <w:tc>
          <w:tcPr>
            <w:tcW w:w="4080" w:type="dxa"/>
            <w:tcBorders>
              <w:top w:val="nil"/>
              <w:left w:val="nil"/>
              <w:bottom w:val="nil"/>
              <w:right w:val="nil"/>
            </w:tcBorders>
            <w:shd w:val="clear" w:color="auto" w:fill="D9E1F2"/>
            <w:tcMar>
              <w:top w:w="15" w:type="dxa"/>
              <w:left w:w="15" w:type="dxa"/>
              <w:right w:w="15" w:type="dxa"/>
            </w:tcMar>
            <w:vAlign w:val="bottom"/>
          </w:tcPr>
          <w:p>
            <w:pPr>
              <w:spacing w:after="0"/>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Count of Team</w:t>
            </w:r>
          </w:p>
        </w:tc>
        <w:tc>
          <w:tcPr>
            <w:tcW w:w="1965" w:type="dxa"/>
            <w:tcBorders>
              <w:top w:val="nil"/>
              <w:left w:val="nil"/>
              <w:bottom w:val="nil"/>
              <w:right w:val="nil"/>
            </w:tcBorders>
            <w:shd w:val="clear" w:color="auto" w:fill="D9E1F2"/>
            <w:tcMar>
              <w:top w:w="15" w:type="dxa"/>
              <w:left w:w="15" w:type="dxa"/>
              <w:right w:w="15" w:type="dxa"/>
            </w:tcMar>
            <w:vAlign w:val="bottom"/>
          </w:tcPr>
          <w:p>
            <w:pPr>
              <w:spacing w:after="0"/>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Disability status</w:t>
            </w:r>
          </w:p>
        </w:tc>
        <w:tc>
          <w:tcPr>
            <w:tcW w:w="1305" w:type="dxa"/>
            <w:tcBorders>
              <w:top w:val="nil"/>
              <w:left w:val="nil"/>
              <w:bottom w:val="nil"/>
              <w:right w:val="nil"/>
            </w:tcBorders>
            <w:shd w:val="clear" w:color="auto" w:fill="D9E1F2"/>
            <w:tcMar>
              <w:top w:w="15" w:type="dxa"/>
              <w:left w:w="15" w:type="dxa"/>
              <w:right w:w="15" w:type="dxa"/>
            </w:tcMar>
            <w:vAlign w:val="bottom"/>
          </w:tcPr>
          <w:p>
            <w:pPr>
              <w:rPr>
                <w:sz w:val="24"/>
                <w:szCs w:val="24"/>
              </w:rPr>
            </w:pPr>
          </w:p>
        </w:tc>
        <w:tc>
          <w:tcPr>
            <w:tcW w:w="1245" w:type="dxa"/>
            <w:tcBorders>
              <w:top w:val="nil"/>
              <w:left w:val="nil"/>
              <w:bottom w:val="nil"/>
              <w:right w:val="nil"/>
            </w:tcBorders>
            <w:shd w:val="clear" w:color="auto" w:fill="D9E1F2"/>
            <w:tcMar>
              <w:top w:w="15" w:type="dxa"/>
              <w:left w:w="15" w:type="dxa"/>
              <w:right w:w="15" w:type="dxa"/>
            </w:tcMar>
            <w:vAlign w:val="bottom"/>
          </w:tcPr>
          <w:p>
            <w:pPr>
              <w:rPr>
                <w:sz w:val="24"/>
                <w:szCs w:val="24"/>
              </w:rPr>
            </w:pPr>
          </w:p>
        </w:tc>
      </w:tr>
      <w:tr>
        <w:trPr>
          <w:trHeight w:val="300" w:hRule="atLeast"/>
        </w:trPr>
        <w:tc>
          <w:tcPr>
            <w:tcW w:w="4080" w:type="dxa"/>
            <w:tcBorders>
              <w:top w:val="nil"/>
              <w:left w:val="nil"/>
              <w:bottom w:val="nil"/>
              <w:right w:val="nil"/>
            </w:tcBorders>
            <w:shd w:val="clear" w:color="auto" w:fill="D9E1F2"/>
            <w:tcMar>
              <w:top w:w="15" w:type="dxa"/>
              <w:left w:w="15" w:type="dxa"/>
              <w:right w:w="15" w:type="dxa"/>
            </w:tcMar>
            <w:vAlign w:val="bottom"/>
          </w:tcPr>
          <w:p>
            <w:pPr>
              <w:spacing w:after="0"/>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Team</w:t>
            </w:r>
          </w:p>
        </w:tc>
        <w:tc>
          <w:tcPr>
            <w:tcW w:w="1965" w:type="dxa"/>
            <w:tcBorders>
              <w:top w:val="nil"/>
              <w:left w:val="nil"/>
              <w:bottom w:val="nil"/>
              <w:right w:val="nil"/>
            </w:tcBorders>
            <w:shd w:val="clear" w:color="auto" w:fill="D9E1F2"/>
            <w:tcMar>
              <w:top w:w="15" w:type="dxa"/>
              <w:left w:w="15" w:type="dxa"/>
              <w:right w:w="15" w:type="dxa"/>
            </w:tcMar>
            <w:vAlign w:val="bottom"/>
          </w:tcPr>
          <w:p>
            <w:pPr>
              <w:spacing w:after="0"/>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Disabled</w:t>
            </w:r>
          </w:p>
        </w:tc>
        <w:tc>
          <w:tcPr>
            <w:tcW w:w="1305" w:type="dxa"/>
            <w:tcBorders>
              <w:top w:val="nil"/>
              <w:left w:val="nil"/>
              <w:bottom w:val="nil"/>
              <w:right w:val="nil"/>
            </w:tcBorders>
            <w:shd w:val="clear" w:color="auto" w:fill="D9E1F2"/>
            <w:tcMar>
              <w:top w:w="15" w:type="dxa"/>
              <w:left w:w="15" w:type="dxa"/>
              <w:right w:w="15" w:type="dxa"/>
            </w:tcMar>
            <w:vAlign w:val="bottom"/>
          </w:tcPr>
          <w:p>
            <w:pPr>
              <w:spacing w:after="0"/>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Not disabled</w:t>
            </w:r>
          </w:p>
        </w:tc>
        <w:tc>
          <w:tcPr>
            <w:tcW w:w="1245" w:type="dxa"/>
            <w:tcBorders>
              <w:top w:val="nil"/>
              <w:left w:val="nil"/>
              <w:bottom w:val="nil"/>
              <w:right w:val="nil"/>
            </w:tcBorders>
            <w:shd w:val="clear" w:color="auto" w:fill="D9E1F2"/>
            <w:tcMar>
              <w:top w:w="15" w:type="dxa"/>
              <w:left w:w="15" w:type="dxa"/>
              <w:right w:w="15" w:type="dxa"/>
            </w:tcMar>
            <w:vAlign w:val="bottom"/>
          </w:tcPr>
          <w:p>
            <w:pPr>
              <w:spacing w:after="0"/>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Grand Total</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Business Services</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0.00%</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3.46%</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3.46%</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Community Engagement and Partnerships</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0.38%</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2.31%</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2.69%</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Customer Services</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1.15%</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4.62%</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5.77%</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Directors</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0.00%</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1.92%</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1.92%</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Facilities</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0.00%</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0.77%</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0.77%</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Finance</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0.77%</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3.08%</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3.85%</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Governance</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0.00%</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1.15%</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1.15%</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Green Spaces</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0.38%</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4.23%</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4.62%</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Housing</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0.77%</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6.15%</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6.92%</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Income Team</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0.38%</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6.92%</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7.31%</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IT</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0.77%</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2.69%</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3.46%</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Lettings</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0.38%</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3.46%</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3.85%</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Marketing</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0.00%</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1.54%</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1.54%</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People Services</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0.77%</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3.46%</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4.23%</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Property Team</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1.92%</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36.15%</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38.08%</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Regeneration</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0.00%</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1.92%</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1.92%</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Supported Housing</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0.00%</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4.23%</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4.23%</w:t>
            </w:r>
          </w:p>
        </w:tc>
      </w:tr>
      <w:tr>
        <w:trPr>
          <w:trHeight w:val="300" w:hRule="atLeast"/>
        </w:trPr>
        <w:tc>
          <w:tcPr>
            <w:tcW w:w="4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Tenancy Team</w:t>
            </w:r>
          </w:p>
        </w:tc>
        <w:tc>
          <w:tcPr>
            <w:tcW w:w="1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0.38%</w:t>
            </w:r>
          </w:p>
        </w:tc>
        <w:tc>
          <w:tcPr>
            <w:tcW w:w="13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3.85%</w:t>
            </w:r>
          </w:p>
        </w:tc>
        <w:tc>
          <w:tcPr>
            <w:tcW w:w="124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4.23%</w:t>
            </w:r>
          </w:p>
        </w:tc>
      </w:tr>
      <w:tr>
        <w:trPr>
          <w:trHeight w:val="300" w:hRule="atLeast"/>
        </w:trPr>
        <w:tc>
          <w:tcPr>
            <w:tcW w:w="4080" w:type="dxa"/>
            <w:tcBorders>
              <w:top w:val="single" w:color="000000" w:themeColor="text1" w:sz="4" w:space="0"/>
              <w:left w:val="nil"/>
              <w:bottom w:val="nil"/>
              <w:right w:val="nil"/>
            </w:tcBorders>
            <w:shd w:val="clear" w:color="auto" w:fill="D9E1F2"/>
            <w:tcMar>
              <w:top w:w="15" w:type="dxa"/>
              <w:left w:w="15" w:type="dxa"/>
              <w:right w:w="15" w:type="dxa"/>
            </w:tcMar>
            <w:vAlign w:val="bottom"/>
          </w:tcPr>
          <w:p>
            <w:pPr>
              <w:spacing w:after="0"/>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Grand Total</w:t>
            </w:r>
          </w:p>
        </w:tc>
        <w:tc>
          <w:tcPr>
            <w:tcW w:w="1965" w:type="dxa"/>
            <w:tcBorders>
              <w:top w:val="single" w:color="000000" w:themeColor="text1" w:sz="4" w:space="0"/>
              <w:left w:val="nil"/>
              <w:bottom w:val="nil"/>
              <w:right w:val="nil"/>
            </w:tcBorders>
            <w:shd w:val="clear" w:color="auto" w:fill="D9E1F2"/>
            <w:tcMar>
              <w:top w:w="15" w:type="dxa"/>
              <w:left w:w="15" w:type="dxa"/>
              <w:right w:w="15" w:type="dxa"/>
            </w:tcMar>
            <w:vAlign w:val="bottom"/>
          </w:tcPr>
          <w:p>
            <w:pPr>
              <w:spacing w:after="0"/>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8.08%</w:t>
            </w:r>
          </w:p>
        </w:tc>
        <w:tc>
          <w:tcPr>
            <w:tcW w:w="1305" w:type="dxa"/>
            <w:tcBorders>
              <w:top w:val="single" w:color="000000" w:themeColor="text1" w:sz="4" w:space="0"/>
              <w:left w:val="nil"/>
              <w:bottom w:val="nil"/>
              <w:right w:val="nil"/>
            </w:tcBorders>
            <w:shd w:val="clear" w:color="auto" w:fill="D9E1F2"/>
            <w:tcMar>
              <w:top w:w="15" w:type="dxa"/>
              <w:left w:w="15" w:type="dxa"/>
              <w:right w:w="15" w:type="dxa"/>
            </w:tcMar>
            <w:vAlign w:val="bottom"/>
          </w:tcPr>
          <w:p>
            <w:pPr>
              <w:spacing w:after="0"/>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91.92%</w:t>
            </w:r>
          </w:p>
        </w:tc>
        <w:tc>
          <w:tcPr>
            <w:tcW w:w="1245" w:type="dxa"/>
            <w:tcBorders>
              <w:top w:val="single" w:color="000000" w:themeColor="text1" w:sz="4" w:space="0"/>
              <w:left w:val="nil"/>
              <w:bottom w:val="nil"/>
              <w:right w:val="nil"/>
            </w:tcBorders>
            <w:shd w:val="clear" w:color="auto" w:fill="D9E1F2"/>
            <w:tcMar>
              <w:top w:w="15" w:type="dxa"/>
              <w:left w:w="15" w:type="dxa"/>
              <w:right w:w="15" w:type="dxa"/>
            </w:tcMar>
            <w:vAlign w:val="bottom"/>
          </w:tcPr>
          <w:p>
            <w:pPr>
              <w:spacing w:after="0"/>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100.00%</w:t>
            </w:r>
          </w:p>
        </w:tc>
      </w:tr>
    </w:tbl>
    <w:p>
      <w:pPr>
        <w:rPr>
          <w:sz w:val="24"/>
          <w:szCs w:val="24"/>
        </w:rPr>
      </w:pPr>
    </w:p>
    <w:p>
      <w:pPr>
        <w:spacing w:after="0"/>
        <w:rPr>
          <w:rFonts w:hint="default" w:eastAsiaTheme="minorEastAsia"/>
          <w:sz w:val="24"/>
          <w:szCs w:val="24"/>
          <w:lang w:val="en-US"/>
        </w:rPr>
      </w:pPr>
    </w:p>
    <w:p>
      <w:pPr>
        <w:rPr>
          <w:rFonts w:ascii="Calibri" w:hAnsi="Calibri" w:eastAsia="Calibri" w:cs="Calibri"/>
          <w:sz w:val="24"/>
          <w:szCs w:val="24"/>
        </w:rPr>
      </w:pPr>
      <w:r>
        <w:rPr>
          <w:rFonts w:ascii="Calibri" w:hAnsi="Calibri" w:eastAsia="Calibri" w:cs="Calibri"/>
          <w:sz w:val="24"/>
          <w:szCs w:val="24"/>
        </w:rPr>
        <w:t>Out of the 18 teams, seven teams do not have any employees with disabilities, while eleven teams employ individuals with varying disabilities the total % of disabled employees is 8.08%. Among the teams with employees with disabilities, the IT team employs the highest number of individuals with a disability, accounting for 22% of the total workforce. The Property team, on the other hand, employs the fewest disabled individuals, representing 5% of the employees.</w:t>
      </w:r>
    </w:p>
    <w:p>
      <w:pPr>
        <w:rPr>
          <w:rFonts w:ascii="Calibri" w:hAnsi="Calibri" w:eastAsia="Calibri" w:cs="Calibri"/>
          <w:sz w:val="24"/>
          <w:szCs w:val="24"/>
        </w:rPr>
      </w:pPr>
      <w:r>
        <w:rPr>
          <w:rFonts w:ascii="Calibri" w:hAnsi="Calibri" w:eastAsia="Calibri" w:cs="Calibri"/>
          <w:sz w:val="24"/>
          <w:szCs w:val="24"/>
        </w:rPr>
        <w:t>Of the 18 teams, 4 teams are exclusively comprised of white British employees. These teams represent 22% of the total workforce. The remaining 14 teams consist of a diverse mix of ethnicities, reflecting the organisation's commitment to inclusivity.</w:t>
      </w:r>
    </w:p>
    <w:p>
      <w:pPr>
        <w:spacing w:after="0"/>
        <w:rPr>
          <w:rFonts w:hint="default" w:eastAsiaTheme="minorEastAsia"/>
          <w:color w:val="C00000"/>
          <w:sz w:val="24"/>
          <w:szCs w:val="24"/>
          <w:lang w:val="en-US"/>
        </w:rPr>
      </w:pPr>
      <w:r>
        <w:rPr>
          <w:rFonts w:hint="default" w:eastAsiaTheme="minorEastAsia"/>
          <w:color w:val="C00000"/>
          <w:sz w:val="24"/>
          <w:szCs w:val="24"/>
          <w:lang w:val="en-US"/>
        </w:rPr>
        <w:t>CIPD (2022) Points to e</w:t>
      </w:r>
      <w:r>
        <w:rPr>
          <w:rFonts w:hint="default" w:eastAsiaTheme="minorEastAsia"/>
          <w:color w:val="C00000"/>
          <w:sz w:val="24"/>
          <w:szCs w:val="24"/>
        </w:rPr>
        <w:t>very employee</w:t>
      </w:r>
      <w:r>
        <w:rPr>
          <w:rFonts w:hint="default" w:eastAsiaTheme="minorEastAsia"/>
          <w:color w:val="C00000"/>
          <w:sz w:val="24"/>
          <w:szCs w:val="24"/>
          <w:lang w:val="en-US"/>
        </w:rPr>
        <w:t xml:space="preserve"> needing </w:t>
      </w:r>
      <w:r>
        <w:rPr>
          <w:rFonts w:hint="default" w:eastAsiaTheme="minorEastAsia"/>
          <w:color w:val="C00000"/>
          <w:sz w:val="24"/>
          <w:szCs w:val="24"/>
        </w:rPr>
        <w:t>t</w:t>
      </w:r>
      <w:r>
        <w:rPr>
          <w:rFonts w:hint="default" w:eastAsiaTheme="minorEastAsia"/>
          <w:color w:val="C00000"/>
          <w:sz w:val="24"/>
          <w:szCs w:val="24"/>
          <w:lang w:val="en-US"/>
        </w:rPr>
        <w:t xml:space="preserve">o </w:t>
      </w:r>
      <w:r>
        <w:rPr>
          <w:rFonts w:hint="default" w:eastAsiaTheme="minorEastAsia"/>
          <w:color w:val="C00000"/>
          <w:sz w:val="24"/>
          <w:szCs w:val="24"/>
        </w:rPr>
        <w:t>be aware of their part in creating inclusive work environments. Employers must do this by establishing clear guidelines for inclusionary behaviour, treating all coworkers with respect and decency, and giving staff members the authority to confront discriminatory actions.</w:t>
      </w:r>
      <w:r>
        <w:rPr>
          <w:rFonts w:eastAsiaTheme="minorEastAsia"/>
          <w:color w:val="C00000"/>
          <w:sz w:val="24"/>
          <w:szCs w:val="24"/>
        </w:rPr>
        <w:t>By implementing these recommendations, your organisation can build on its current commitment to diversity and inclusion, creating a workplace that is truly inclusive and supportive of all employee</w:t>
      </w:r>
      <w:r>
        <w:rPr>
          <w:rFonts w:hint="default" w:eastAsiaTheme="minorEastAsia"/>
          <w:color w:val="C00000"/>
          <w:sz w:val="24"/>
          <w:szCs w:val="24"/>
          <w:lang w:val="en-US"/>
        </w:rPr>
        <w:t>s.</w:t>
      </w:r>
    </w:p>
    <w:p>
      <w:pPr>
        <w:rPr>
          <w:rFonts w:ascii="Calibri" w:hAnsi="Calibri" w:eastAsia="Calibri" w:cs="Calibri"/>
          <w:sz w:val="24"/>
          <w:szCs w:val="24"/>
        </w:rPr>
      </w:pPr>
    </w:p>
    <w:p>
      <w:pPr>
        <w:rPr>
          <w:rFonts w:ascii="Calibri" w:hAnsi="Calibri" w:eastAsia="Calibri" w:cs="Calibri"/>
          <w:sz w:val="24"/>
          <w:szCs w:val="24"/>
        </w:rPr>
      </w:pPr>
    </w:p>
    <w:p>
      <w:pPr>
        <w:spacing w:after="0"/>
        <w:rPr>
          <w:sz w:val="24"/>
          <w:szCs w:val="24"/>
        </w:rPr>
      </w:pPr>
      <w:r>
        <w:drawing>
          <wp:inline distT="0" distB="0" distL="0" distR="0">
            <wp:extent cx="3438525" cy="2066925"/>
            <wp:effectExtent l="0" t="0" r="0" b="0"/>
            <wp:docPr id="1413513300" name="Picture 141351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513300" name="Picture 1413513300"/>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438525" cy="2066925"/>
                    </a:xfrm>
                    <a:prstGeom prst="rect">
                      <a:avLst/>
                    </a:prstGeom>
                  </pic:spPr>
                </pic:pic>
              </a:graphicData>
            </a:graphic>
          </wp:inline>
        </w:drawing>
      </w:r>
    </w:p>
    <w:p>
      <w:pPr>
        <w:spacing w:after="0"/>
        <w:rPr>
          <w:rFonts w:ascii="Calibri" w:hAnsi="Calibri" w:eastAsia="Calibri" w:cs="Calibri"/>
          <w:sz w:val="24"/>
          <w:szCs w:val="24"/>
        </w:rPr>
      </w:pPr>
    </w:p>
    <w:tbl>
      <w:tblPr>
        <w:tblStyle w:val="5"/>
        <w:tblW w:w="0" w:type="auto"/>
        <w:tblInd w:w="0" w:type="dxa"/>
        <w:tblLayout w:type="fixed"/>
        <w:tblCellMar>
          <w:top w:w="0" w:type="dxa"/>
          <w:left w:w="108" w:type="dxa"/>
          <w:bottom w:w="0" w:type="dxa"/>
          <w:right w:w="108" w:type="dxa"/>
        </w:tblCellMar>
      </w:tblPr>
      <w:tblGrid>
        <w:gridCol w:w="165"/>
        <w:gridCol w:w="2295"/>
      </w:tblGrid>
      <w:tr>
        <w:trPr>
          <w:trHeight w:val="300" w:hRule="atLeast"/>
        </w:trPr>
        <w:tc>
          <w:tcPr>
            <w:tcW w:w="165" w:type="dxa"/>
            <w:tcBorders>
              <w:top w:val="nil"/>
              <w:left w:val="nil"/>
              <w:bottom w:val="nil"/>
              <w:right w:val="nil"/>
            </w:tcBorders>
            <w:tcMar>
              <w:top w:w="15" w:type="dxa"/>
              <w:left w:w="15" w:type="dxa"/>
              <w:right w:w="15" w:type="dxa"/>
            </w:tcMar>
            <w:vAlign w:val="bottom"/>
          </w:tcPr>
          <w:p>
            <w:pPr>
              <w:rPr>
                <w:sz w:val="24"/>
                <w:szCs w:val="24"/>
              </w:rPr>
            </w:pPr>
          </w:p>
          <w:p>
            <w:pPr>
              <w:rPr>
                <w:sz w:val="24"/>
                <w:szCs w:val="24"/>
              </w:rPr>
            </w:pPr>
          </w:p>
        </w:tc>
        <w:tc>
          <w:tcPr>
            <w:tcW w:w="2295" w:type="dxa"/>
            <w:tcBorders>
              <w:top w:val="nil"/>
              <w:left w:val="nil"/>
              <w:bottom w:val="single" w:color="8EA9DB" w:sz="4" w:space="0"/>
              <w:right w:val="nil"/>
            </w:tcBorders>
            <w:shd w:val="clear" w:color="auto" w:fill="D9E1F2"/>
            <w:tcMar>
              <w:top w:w="15" w:type="dxa"/>
              <w:left w:w="15" w:type="dxa"/>
              <w:right w:w="15" w:type="dxa"/>
            </w:tcMar>
            <w:vAlign w:val="bottom"/>
          </w:tcPr>
          <w:p>
            <w:pPr>
              <w:spacing w:after="0"/>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Average of Salary FTE</w:t>
            </w:r>
          </w:p>
        </w:tc>
      </w:tr>
      <w:tr>
        <w:trPr>
          <w:trHeight w:val="300" w:hRule="atLeast"/>
        </w:trPr>
        <w:tc>
          <w:tcPr>
            <w:tcW w:w="165" w:type="dxa"/>
            <w:tcBorders>
              <w:top w:val="nil"/>
              <w:left w:val="nil"/>
              <w:bottom w:val="nil"/>
              <w:right w:val="nil"/>
            </w:tcBorders>
            <w:tcMar>
              <w:top w:w="15" w:type="dxa"/>
              <w:left w:w="15" w:type="dxa"/>
              <w:right w:w="15" w:type="dxa"/>
            </w:tcMar>
            <w:vAlign w:val="bottom"/>
          </w:tcPr>
          <w:p>
            <w:pPr>
              <w:rPr>
                <w:sz w:val="24"/>
                <w:szCs w:val="24"/>
              </w:rPr>
            </w:pPr>
          </w:p>
        </w:tc>
        <w:tc>
          <w:tcPr>
            <w:tcW w:w="2295" w:type="dxa"/>
            <w:tcBorders>
              <w:top w:val="single" w:color="8EA9DB" w:sz="4" w:space="0"/>
              <w:left w:val="nil"/>
              <w:bottom w:val="nil"/>
              <w:right w:val="nil"/>
            </w:tcBorders>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£31,757.46</w:t>
            </w:r>
          </w:p>
          <w:p>
            <w:pPr>
              <w:spacing w:after="0"/>
              <w:rPr>
                <w:rFonts w:ascii="Calibri" w:hAnsi="Calibri" w:eastAsia="Calibri" w:cs="Calibri"/>
                <w:color w:val="000000" w:themeColor="text1"/>
                <w:sz w:val="24"/>
                <w:szCs w:val="24"/>
                <w14:textFill>
                  <w14:solidFill>
                    <w14:schemeClr w14:val="tx1"/>
                  </w14:solidFill>
                </w14:textFill>
              </w:rPr>
            </w:pPr>
          </w:p>
          <w:p>
            <w:pPr>
              <w:spacing w:after="0"/>
              <w:rPr>
                <w:rFonts w:ascii="Calibri" w:hAnsi="Calibri" w:eastAsia="Calibri" w:cs="Calibri"/>
                <w:color w:val="000000" w:themeColor="text1"/>
                <w:sz w:val="24"/>
                <w:szCs w:val="24"/>
                <w14:textFill>
                  <w14:solidFill>
                    <w14:schemeClr w14:val="tx1"/>
                  </w14:solidFill>
                </w14:textFill>
              </w:rPr>
            </w:pPr>
          </w:p>
        </w:tc>
      </w:tr>
    </w:tbl>
    <w:p>
      <w:pPr>
        <w:spacing w:after="0"/>
        <w:rPr>
          <w:rFonts w:eastAsiaTheme="minorEastAsia"/>
          <w:sz w:val="24"/>
          <w:szCs w:val="24"/>
        </w:rPr>
      </w:pPr>
    </w:p>
    <w:p>
      <w:pPr>
        <w:spacing w:after="0"/>
        <w:rPr>
          <w:rFonts w:eastAsiaTheme="minorEastAsia"/>
          <w:sz w:val="24"/>
          <w:szCs w:val="24"/>
        </w:rPr>
      </w:pPr>
      <w:r>
        <w:rPr>
          <w:rFonts w:eastAsiaTheme="minorEastAsia"/>
          <w:sz w:val="24"/>
          <w:szCs w:val="24"/>
        </w:rPr>
        <w:t xml:space="preserve">The salary FTE by gender compared to the average salary FTE is of a similar amount however, the salary average for non-binary is significantly lower. This could highlight unequal pay between genders, specifically when comparing the earnings of men and women who perform the same job or have similar qualifications. </w:t>
      </w:r>
    </w:p>
    <w:p>
      <w:pPr>
        <w:spacing w:after="0"/>
        <w:rPr>
          <w:rFonts w:eastAsiaTheme="minorEastAsia"/>
          <w:sz w:val="24"/>
          <w:szCs w:val="24"/>
        </w:rPr>
      </w:pPr>
    </w:p>
    <w:p>
      <w:pPr>
        <w:spacing w:after="0"/>
        <w:rPr>
          <w:rFonts w:hint="default" w:eastAsiaTheme="minorEastAsia"/>
          <w:color w:val="C00000"/>
          <w:sz w:val="24"/>
          <w:szCs w:val="24"/>
          <w:lang w:val="en-US"/>
        </w:rPr>
      </w:pPr>
      <w:r>
        <w:rPr>
          <w:rFonts w:eastAsiaTheme="minorEastAsia"/>
          <w:sz w:val="24"/>
          <w:szCs w:val="24"/>
        </w:rPr>
        <w:t>The gender pay gap is a complex issue that affects individuals of all genders</w:t>
      </w:r>
      <w:r>
        <w:rPr>
          <w:rFonts w:hint="default" w:eastAsiaTheme="minorEastAsia"/>
          <w:sz w:val="24"/>
          <w:szCs w:val="24"/>
          <w:lang w:val="en-US"/>
        </w:rPr>
        <w:t xml:space="preserve">. </w:t>
      </w:r>
      <w:r>
        <w:rPr>
          <w:rFonts w:hint="default" w:eastAsiaTheme="minorEastAsia"/>
          <w:color w:val="C00000"/>
          <w:sz w:val="24"/>
          <w:szCs w:val="24"/>
          <w:lang w:val="en-US"/>
        </w:rPr>
        <w:t>According to the CIPD (2023) its the result of economic, cultural, sociological, and educational issues. Some contend that they also represent the results of individual choice, but it is still true that women have fewer options than men do when it comes to choosing a career. For example, while choosing to pursue paid work may be a personal decision, the results of that decision are heavily impacted by factors outside of the person's control, like the cost and accessibility of childcare.</w:t>
      </w:r>
    </w:p>
    <w:p>
      <w:pPr>
        <w:spacing w:after="0"/>
        <w:rPr>
          <w:rFonts w:hint="default" w:eastAsiaTheme="minorEastAsia"/>
          <w:color w:val="C00000"/>
          <w:sz w:val="24"/>
          <w:szCs w:val="24"/>
          <w:lang w:val="en-US"/>
        </w:rPr>
      </w:pPr>
    </w:p>
    <w:p>
      <w:pPr>
        <w:spacing w:after="0"/>
        <w:rPr>
          <w:rFonts w:hint="default" w:eastAsiaTheme="minorEastAsia"/>
          <w:strike/>
          <w:dstrike w:val="0"/>
          <w:sz w:val="24"/>
          <w:szCs w:val="24"/>
          <w:lang w:val="en-US"/>
        </w:rPr>
      </w:pPr>
      <w:r>
        <w:rPr>
          <w:rFonts w:hint="default" w:eastAsiaTheme="minorEastAsia"/>
          <w:color w:val="C00000"/>
          <w:sz w:val="24"/>
          <w:szCs w:val="24"/>
          <w:lang w:val="en-US"/>
        </w:rPr>
        <w:t xml:space="preserve">Conducting a thorough analysis of the gender pay gap will help to identify any disparities in compensation, implementing strategies to address unequal pay, including adjusting salary structures, promoting transparency in compensation practices, and providing equal opportunities for career enhancement will foster gender diversity. </w:t>
      </w:r>
    </w:p>
    <w:p>
      <w:pPr>
        <w:spacing w:after="0"/>
        <w:rPr>
          <w:rFonts w:hint="default" w:eastAsiaTheme="minorEastAsia"/>
          <w:strike/>
          <w:dstrike w:val="0"/>
          <w:sz w:val="24"/>
          <w:szCs w:val="24"/>
          <w:lang w:val="en-US"/>
        </w:rPr>
      </w:pPr>
    </w:p>
    <w:p>
      <w:pPr>
        <w:spacing w:after="0"/>
        <w:rPr>
          <w:rFonts w:eastAsiaTheme="minorEastAsia"/>
          <w:strike/>
          <w:dstrike w:val="0"/>
          <w:sz w:val="24"/>
          <w:szCs w:val="24"/>
          <w:u w:val="none"/>
        </w:rPr>
      </w:pPr>
      <w:r>
        <w:rPr>
          <w:rFonts w:eastAsiaTheme="minorEastAsia"/>
          <w:strike/>
          <w:dstrike w:val="0"/>
          <w:sz w:val="24"/>
          <w:szCs w:val="24"/>
        </w:rPr>
        <w:t>Recognising and addressing the gender pay gap for non-binary individuals is crucial for achieving pay equity and ensuring equal opportunities for</w:t>
      </w:r>
      <w:r>
        <w:rPr>
          <w:rFonts w:eastAsiaTheme="minorEastAsia"/>
          <w:sz w:val="24"/>
          <w:szCs w:val="24"/>
        </w:rPr>
        <w:t xml:space="preserve"> all. </w:t>
      </w:r>
      <w:r>
        <w:rPr>
          <w:rFonts w:eastAsiaTheme="minorEastAsia"/>
          <w:strike/>
          <w:dstrike w:val="0"/>
          <w:sz w:val="24"/>
          <w:szCs w:val="24"/>
          <w:u w:val="none"/>
        </w:rPr>
        <w:t>By implementing strategies that promote education, advocacy, and policy changes, we can create more inclusive workplaces for all individuals, regardless of their gender identity.</w:t>
      </w:r>
    </w:p>
    <w:p>
      <w:pPr>
        <w:spacing w:after="0"/>
        <w:rPr>
          <w:rFonts w:ascii="system-ui" w:hAnsi="system-ui" w:eastAsia="system-ui" w:cs="system-ui"/>
          <w:b/>
          <w:bCs/>
          <w:strike/>
          <w:dstrike w:val="0"/>
          <w:sz w:val="24"/>
          <w:szCs w:val="24"/>
          <w:u w:val="none"/>
        </w:rPr>
      </w:pPr>
    </w:p>
    <w:p>
      <w:pPr>
        <w:spacing w:after="0"/>
        <w:rPr>
          <w:rFonts w:hint="default" w:eastAsiaTheme="minorEastAsia"/>
          <w:strike/>
          <w:dstrike w:val="0"/>
          <w:sz w:val="24"/>
          <w:szCs w:val="24"/>
          <w:lang w:val="en-US"/>
        </w:rPr>
      </w:pPr>
      <w:r>
        <w:rPr>
          <w:rFonts w:eastAsiaTheme="minorEastAsia"/>
          <w:strike/>
          <w:dstrike w:val="0"/>
          <w:sz w:val="24"/>
          <w:szCs w:val="24"/>
        </w:rPr>
        <w:t xml:space="preserve">The comprehensive overview of gender distribution, along with disability and ethnicity data, paints a detailed picture of the organisation's workforce. Here are some further observations and recommendation. </w:t>
      </w:r>
      <w:r>
        <w:rPr>
          <w:rFonts w:hint="default" w:eastAsiaTheme="minorEastAsia"/>
          <w:strike/>
          <w:dstrike w:val="0"/>
          <w:sz w:val="24"/>
          <w:szCs w:val="24"/>
          <w:lang w:val="en-US"/>
        </w:rPr>
        <w:t xml:space="preserve">  </w:t>
      </w:r>
    </w:p>
    <w:p>
      <w:pPr>
        <w:spacing w:after="0"/>
        <w:rPr>
          <w:rFonts w:hint="default" w:eastAsiaTheme="minorEastAsia"/>
          <w:strike w:val="0"/>
          <w:dstrike w:val="0"/>
          <w:color w:val="C00000"/>
          <w:sz w:val="24"/>
          <w:szCs w:val="24"/>
          <w:lang w:val="en-US"/>
        </w:rPr>
      </w:pPr>
    </w:p>
    <w:p>
      <w:pPr>
        <w:spacing w:after="0"/>
        <w:rPr>
          <w:rFonts w:hint="default" w:eastAsiaTheme="minorEastAsia"/>
          <w:strike w:val="0"/>
          <w:dstrike w:val="0"/>
          <w:color w:val="C00000"/>
          <w:sz w:val="24"/>
          <w:szCs w:val="24"/>
          <w:lang w:val="en-US"/>
        </w:rPr>
      </w:pPr>
      <w:r>
        <w:rPr>
          <w:rFonts w:hint="default" w:eastAsiaTheme="minorEastAsia"/>
          <w:strike w:val="0"/>
          <w:dstrike w:val="0"/>
          <w:color w:val="C00000"/>
          <w:sz w:val="24"/>
          <w:szCs w:val="24"/>
          <w:lang w:val="en-US"/>
        </w:rPr>
        <w:t xml:space="preserve">Targeted initiatives such as mentorship programs, leadership development opportunities and policies promoting work life balance for all genders should be implemented, if your managers are not sufficiently trained the organisation runs the risk of discrimination, or even an employment tribunal which will come at a much higher cost to the business than the outlay of the training courses,  </w:t>
      </w:r>
    </w:p>
    <w:p>
      <w:pPr>
        <w:spacing w:after="0"/>
        <w:rPr>
          <w:rFonts w:hint="default" w:eastAsiaTheme="minorEastAsia"/>
          <w:strike w:val="0"/>
          <w:dstrike w:val="0"/>
          <w:color w:val="C00000"/>
          <w:sz w:val="24"/>
          <w:szCs w:val="24"/>
          <w:lang w:val="en-US"/>
        </w:rPr>
      </w:pPr>
    </w:p>
    <w:p>
      <w:pPr>
        <w:spacing w:after="0"/>
        <w:rPr>
          <w:rFonts w:hint="default" w:eastAsiaTheme="minorEastAsia"/>
          <w:strike w:val="0"/>
          <w:dstrike w:val="0"/>
          <w:color w:val="C00000"/>
          <w:sz w:val="24"/>
          <w:szCs w:val="24"/>
          <w:lang w:val="en-US"/>
        </w:rPr>
      </w:pPr>
    </w:p>
    <w:p>
      <w:pPr>
        <w:spacing w:after="0"/>
        <w:rPr>
          <w:rFonts w:ascii="Helvetica Neue" w:hAnsi="Helvetica Neue" w:eastAsia="Helvetica Neue" w:cs="Helvetica Neue"/>
          <w:i w:val="0"/>
          <w:iCs w:val="0"/>
          <w:caps w:val="0"/>
          <w:color w:val="F9F9F9"/>
          <w:spacing w:val="0"/>
          <w:kern w:val="0"/>
          <w:sz w:val="32"/>
          <w:szCs w:val="32"/>
          <w:shd w:val="clear" w:fill="171717"/>
          <w:lang w:val="en-US" w:eastAsia="zh-CN" w:bidi="ar"/>
        </w:rPr>
      </w:pPr>
      <w:r>
        <w:rPr>
          <w:rFonts w:hint="default" w:eastAsiaTheme="minorEastAsia"/>
          <w:strike w:val="0"/>
          <w:dstrike w:val="0"/>
          <w:color w:val="C00000"/>
          <w:sz w:val="24"/>
          <w:szCs w:val="24"/>
          <w:lang w:val="en-US"/>
        </w:rPr>
        <w:t xml:space="preserve">CIPD (2019) Points to regular reviews of HR practices being  essential to ensure inclusive of all genders identities, including non-binary individuals. Non -binary representation can be enhanced by updating polices, providing gender-neutral facilities, and offering tailored diversity training.  Disability inclusion can be promoted through awareness programs and active recruitment of individuals with disabilities, along with accessibility training. Celebrating ethnic diversity and implementing targeted recruitment strategies are crucial steps in further increasing representation across teams in alignments with organisational diversity goals. </w:t>
      </w:r>
    </w:p>
    <w:p>
      <w:pPr>
        <w:spacing w:after="0"/>
        <w:rPr>
          <w:rFonts w:eastAsiaTheme="minorEastAsia"/>
          <w:sz w:val="24"/>
          <w:szCs w:val="24"/>
        </w:rPr>
      </w:pPr>
    </w:p>
    <w:p>
      <w:pPr>
        <w:spacing w:after="0"/>
        <w:rPr>
          <w:rFonts w:hint="default"/>
          <w:sz w:val="24"/>
          <w:szCs w:val="24"/>
          <w:lang w:val="en-US"/>
        </w:rPr>
      </w:pPr>
      <w:r>
        <w:rPr>
          <w:rFonts w:eastAsiaTheme="minorEastAsia"/>
          <w:sz w:val="24"/>
          <w:szCs w:val="24"/>
        </w:rPr>
        <w:t>By implementing these recommendations, your organisation can build on its current commitment to diversity and inclusion, creating a workplace that is truly inclusive and supportive of all employee</w:t>
      </w:r>
      <w:r>
        <w:rPr>
          <w:rFonts w:hint="default" w:eastAsiaTheme="minorEastAsia"/>
          <w:sz w:val="24"/>
          <w:szCs w:val="24"/>
          <w:lang w:val="en-US"/>
        </w:rPr>
        <w:t>s</w:t>
      </w:r>
    </w:p>
    <w:p>
      <w:pPr>
        <w:spacing w:after="0"/>
        <w:rPr>
          <w:rFonts w:eastAsiaTheme="minorEastAsia"/>
          <w:sz w:val="24"/>
          <w:szCs w:val="24"/>
        </w:rPr>
      </w:pPr>
    </w:p>
    <w:p>
      <w:pPr>
        <w:spacing w:after="0"/>
        <w:rPr>
          <w:rFonts w:eastAsiaTheme="minorEastAsia"/>
          <w:b/>
          <w:bCs/>
          <w:sz w:val="24"/>
          <w:szCs w:val="24"/>
        </w:rPr>
      </w:pPr>
    </w:p>
    <w:p>
      <w:pPr>
        <w:spacing w:after="0"/>
        <w:rPr>
          <w:rFonts w:eastAsiaTheme="minorEastAsia"/>
          <w:b/>
          <w:bCs/>
          <w:strike/>
          <w:dstrike w:val="0"/>
          <w:sz w:val="24"/>
          <w:szCs w:val="24"/>
        </w:rPr>
      </w:pPr>
      <w:r>
        <w:rPr>
          <w:rFonts w:eastAsiaTheme="minorEastAsia"/>
          <w:b/>
          <w:bCs/>
          <w:strike/>
          <w:dstrike w:val="0"/>
          <w:sz w:val="24"/>
          <w:szCs w:val="24"/>
        </w:rPr>
        <w:t>Gender Diversity</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Implement targeted initiatives to address the slight gender imbalance. This could include mentorship programs, leadership development opportunities, and policies that support work-life balance for all genders.</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Regularly review and update HR practices to ensure they are inclusive of all gender identities, including non-binary individuals.</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Non-Binary Representation</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Ensure that policies and practices are inclusive of non-binary individuals. This includes updating HR forms, providing gender-neutral facilities, and offering diversity and inclusion training that specifically addresses the needs of non-binary employees.</w:t>
      </w:r>
    </w:p>
    <w:p>
      <w:pPr>
        <w:spacing w:after="0"/>
        <w:rPr>
          <w:rFonts w:eastAsiaTheme="minorEastAsia"/>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Disability Inclusion</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Develop and implement awareness programs to educate employees about the benefits of disability inclusion and to remove potential biases.</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Actively recruit individuals with disabilities for the teams currently lacking representation. Implement accessibility training to ensure the workplace accommodates the needs of all employees.</w:t>
      </w:r>
    </w:p>
    <w:p>
      <w:pPr>
        <w:spacing w:after="0"/>
        <w:rPr>
          <w:rFonts w:eastAsiaTheme="minorEastAsia"/>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Ethnic Diversity</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Continue to celebrate and promote the diversity of ethnicity across teams.</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Implement targeted recruitment strategies to further increase diversity in teams where representation is not reflected in the overall organisational diversity.</w:t>
      </w:r>
    </w:p>
    <w:p>
      <w:pPr>
        <w:spacing w:after="0"/>
        <w:rPr>
          <w:rFonts w:eastAsiaTheme="minorEastAsia"/>
          <w:sz w:val="24"/>
          <w:szCs w:val="24"/>
        </w:rPr>
      </w:pPr>
    </w:p>
    <w:p>
      <w:pPr>
        <w:spacing w:after="0"/>
        <w:rPr>
          <w:rFonts w:eastAsiaTheme="minorEastAsia"/>
          <w:b/>
          <w:bCs/>
          <w:strike/>
          <w:dstrike w:val="0"/>
          <w:sz w:val="24"/>
          <w:szCs w:val="24"/>
        </w:rPr>
      </w:pPr>
      <w:r>
        <w:rPr>
          <w:rFonts w:eastAsiaTheme="minorEastAsia"/>
          <w:b/>
          <w:bCs/>
          <w:strike/>
          <w:dstrike w:val="0"/>
          <w:sz w:val="24"/>
          <w:szCs w:val="24"/>
        </w:rPr>
        <w:t>Intersectionality</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Consider how different aspects of diversity intersect and impact employees. Develop strategies that address the unique experiences of individuals who may belong to multiple underrepresented groups.</w:t>
      </w:r>
    </w:p>
    <w:p>
      <w:pPr>
        <w:spacing w:after="0"/>
        <w:rPr>
          <w:rFonts w:eastAsiaTheme="minorEastAsia"/>
          <w:sz w:val="24"/>
          <w:szCs w:val="24"/>
        </w:rPr>
      </w:pPr>
    </w:p>
    <w:p>
      <w:pPr>
        <w:spacing w:after="0"/>
        <w:rPr>
          <w:rFonts w:eastAsiaTheme="minorEastAsia"/>
          <w:b/>
          <w:bCs/>
          <w:sz w:val="24"/>
          <w:szCs w:val="24"/>
        </w:rPr>
      </w:pPr>
      <w:r>
        <w:rPr>
          <w:rFonts w:eastAsiaTheme="minorEastAsia"/>
          <w:b/>
          <w:bCs/>
          <w:sz w:val="24"/>
          <w:szCs w:val="24"/>
        </w:rPr>
        <w:t>Employee Resource Groups (ERGs)</w:t>
      </w:r>
    </w:p>
    <w:p>
      <w:pPr>
        <w:pStyle w:val="10"/>
        <w:numPr>
          <w:ilvl w:val="0"/>
          <w:numId w:val="1"/>
        </w:numPr>
        <w:spacing w:after="0"/>
        <w:rPr>
          <w:rFonts w:eastAsiaTheme="minorEastAsia"/>
          <w:sz w:val="24"/>
          <w:szCs w:val="24"/>
        </w:rPr>
      </w:pPr>
      <w:r>
        <w:rPr>
          <w:rFonts w:eastAsiaTheme="minorEastAsia"/>
          <w:sz w:val="24"/>
          <w:szCs w:val="24"/>
        </w:rPr>
        <w:t>Establish or enhance ERGs that focus on gender, disability, and ethnicity. These groups provide a supportive community, promote awareness, and offer insights to the organisation.</w:t>
      </w:r>
    </w:p>
    <w:p>
      <w:pPr>
        <w:spacing w:after="0"/>
        <w:rPr>
          <w:rFonts w:eastAsiaTheme="minorEastAsia"/>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Metrics and Accountability</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Establish clear metrics and goals for diversity and inclusion. Regularly track and report progress. Hold leadership accountable for meeting these goals to demonstrate a commitment to fostering an inclusive workplace.</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Communication</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Communicate regularly with employees about diversity and inclusion efforts. Highlight successes, share stories of diverse employees, and reinforce the organisation's commitment to creating an inclusive culture.</w:t>
      </w:r>
    </w:p>
    <w:p>
      <w:pPr>
        <w:spacing w:after="0"/>
        <w:rPr>
          <w:rFonts w:eastAsiaTheme="minorEastAsia"/>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Training and Development</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Implement training programs for all employees, focusing on diversity, equity, and inclusion. Include modules on unconscious bias, cultural competence, and creating an inclusive work environment.</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Continuous Feedback</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Create channels for employees to provide feedback on diversity and inclusion initiatives. Use this feedback to refine and improve strategies over time.</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Leadership Development</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Ensure diversity is reflected in leadership roles. Provide training for leaders on fostering an inclusive culture, and actively support the development and advancement of diverse talent into leadership positions.</w:t>
      </w:r>
    </w:p>
    <w:p>
      <w:pPr>
        <w:rPr>
          <w:sz w:val="24"/>
          <w:szCs w:val="24"/>
        </w:rPr>
      </w:pPr>
    </w:p>
    <w:p>
      <w:pPr>
        <w:spacing w:after="0"/>
        <w:rPr>
          <w:rFonts w:eastAsiaTheme="minorEastAsia"/>
          <w:sz w:val="24"/>
          <w:szCs w:val="24"/>
        </w:rPr>
      </w:pPr>
    </w:p>
    <w:tbl>
      <w:tblPr>
        <w:tblStyle w:val="5"/>
        <w:tblW w:w="0" w:type="auto"/>
        <w:tblInd w:w="0" w:type="dxa"/>
        <w:tblLayout w:type="fixed"/>
        <w:tblCellMar>
          <w:top w:w="0" w:type="dxa"/>
          <w:left w:w="108" w:type="dxa"/>
          <w:bottom w:w="0" w:type="dxa"/>
          <w:right w:w="108" w:type="dxa"/>
        </w:tblCellMar>
      </w:tblPr>
      <w:tblGrid>
        <w:gridCol w:w="1337"/>
        <w:gridCol w:w="4011"/>
        <w:gridCol w:w="1337"/>
        <w:gridCol w:w="1337"/>
        <w:gridCol w:w="1335"/>
      </w:tblGrid>
      <w:tr>
        <w:trPr>
          <w:trHeight w:val="345" w:hRule="atLeast"/>
        </w:trPr>
        <w:tc>
          <w:tcPr>
            <w:tcW w:w="1337" w:type="dxa"/>
            <w:tcBorders>
              <w:top w:val="single" w:color="auto" w:sz="8" w:space="0"/>
              <w:left w:val="single" w:color="auto" w:sz="8" w:space="0"/>
              <w:bottom w:val="single" w:color="auto" w:sz="8" w:space="0"/>
              <w:right w:val="single" w:color="auto" w:sz="4" w:space="0"/>
            </w:tcBorders>
            <w:shd w:val="clear" w:color="auto" w:fill="E2EFDA"/>
            <w:tcMar>
              <w:top w:w="15" w:type="dxa"/>
              <w:left w:w="15" w:type="dxa"/>
              <w:right w:w="15" w:type="dxa"/>
            </w:tcMar>
            <w:vAlign w:val="bottom"/>
          </w:tcPr>
          <w:p>
            <w:pPr>
              <w:spacing w:after="0"/>
              <w:rPr>
                <w:rFonts w:ascii="Calibri" w:hAnsi="Calibri" w:eastAsia="Calibri" w:cs="Calibri"/>
                <w:b/>
                <w:bCs/>
                <w:sz w:val="24"/>
                <w:szCs w:val="24"/>
              </w:rPr>
            </w:pPr>
            <w:r>
              <w:rPr>
                <w:rFonts w:ascii="Calibri" w:hAnsi="Calibri" w:eastAsia="Calibri" w:cs="Calibri"/>
                <w:b/>
                <w:bCs/>
                <w:sz w:val="24"/>
                <w:szCs w:val="24"/>
              </w:rPr>
              <w:t>Table 2.</w:t>
            </w:r>
          </w:p>
        </w:tc>
        <w:tc>
          <w:tcPr>
            <w:tcW w:w="8020" w:type="dxa"/>
            <w:gridSpan w:val="4"/>
            <w:tcBorders>
              <w:top w:val="single" w:color="auto" w:sz="8" w:space="0"/>
              <w:left w:val="single" w:color="auto" w:sz="4" w:space="0"/>
              <w:bottom w:val="single" w:color="auto" w:sz="8" w:space="0"/>
              <w:right w:val="single" w:color="000000" w:themeColor="text1" w:sz="8" w:space="0"/>
            </w:tcBorders>
            <w:shd w:val="clear" w:color="auto" w:fill="E2EFDA"/>
            <w:tcMar>
              <w:top w:w="15" w:type="dxa"/>
              <w:left w:w="15" w:type="dxa"/>
              <w:right w:w="15" w:type="dxa"/>
            </w:tcMar>
            <w:vAlign w:val="bottom"/>
          </w:tcPr>
          <w:p>
            <w:pPr>
              <w:spacing w:after="0"/>
              <w:jc w:val="center"/>
              <w:rPr>
                <w:rFonts w:ascii="Calibri" w:hAnsi="Calibri" w:eastAsia="Calibri" w:cs="Calibri"/>
                <w:b/>
                <w:bCs/>
                <w:sz w:val="24"/>
                <w:szCs w:val="24"/>
              </w:rPr>
            </w:pPr>
            <w:r>
              <w:rPr>
                <w:rFonts w:ascii="Calibri" w:hAnsi="Calibri" w:eastAsia="Calibri" w:cs="Calibri"/>
                <w:b/>
                <w:bCs/>
                <w:sz w:val="24"/>
                <w:szCs w:val="24"/>
              </w:rPr>
              <w:t xml:space="preserve">Feedback scores from a recent employee survey on hybrid working practices. </w:t>
            </w:r>
          </w:p>
        </w:tc>
      </w:tr>
      <w:tr>
        <w:trPr>
          <w:trHeight w:val="645" w:hRule="atLeast"/>
        </w:trPr>
        <w:tc>
          <w:tcPr>
            <w:tcW w:w="5348" w:type="dxa"/>
            <w:gridSpan w:val="2"/>
            <w:vMerge w:val="restart"/>
            <w:tcBorders>
              <w:top w:val="single" w:color="auto" w:sz="8" w:space="0"/>
              <w:left w:val="single" w:color="auto" w:sz="8" w:space="0"/>
              <w:bottom w:val="nil"/>
              <w:right w:val="nil"/>
            </w:tcBorders>
            <w:shd w:val="clear" w:color="auto" w:fill="FFFFFF" w:themeFill="background1"/>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 xml:space="preserve"> </w:t>
            </w:r>
          </w:p>
        </w:tc>
        <w:tc>
          <w:tcPr>
            <w:tcW w:w="1337" w:type="dxa"/>
            <w:tcBorders>
              <w:top w:val="nil"/>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pPr>
              <w:spacing w:after="0"/>
              <w:jc w:val="center"/>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3</w:t>
            </w:r>
          </w:p>
        </w:tc>
        <w:tc>
          <w:tcPr>
            <w:tcW w:w="1337" w:type="dxa"/>
            <w:tcBorders>
              <w:top w:val="nil"/>
              <w:left w:val="single" w:color="auto" w:sz="4" w:space="0"/>
              <w:bottom w:val="single" w:color="auto" w:sz="4" w:space="0"/>
              <w:right w:val="single" w:color="auto" w:sz="4" w:space="0"/>
            </w:tcBorders>
            <w:shd w:val="clear" w:color="auto" w:fill="FFFFFF" w:themeFill="background1"/>
            <w:tcMar>
              <w:top w:w="15" w:type="dxa"/>
              <w:left w:w="15" w:type="dxa"/>
              <w:right w:w="15" w:type="dxa"/>
            </w:tcMar>
            <w:vAlign w:val="bottom"/>
          </w:tcPr>
          <w:p>
            <w:pPr>
              <w:spacing w:after="0"/>
              <w:jc w:val="center"/>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4</w:t>
            </w:r>
          </w:p>
        </w:tc>
        <w:tc>
          <w:tcPr>
            <w:tcW w:w="1335" w:type="dxa"/>
            <w:tcBorders>
              <w:top w:val="nil"/>
              <w:left w:val="single" w:color="auto" w:sz="4" w:space="0"/>
              <w:bottom w:val="single" w:color="auto" w:sz="4" w:space="0"/>
              <w:right w:val="single" w:color="000000" w:themeColor="text1" w:sz="8" w:space="0"/>
            </w:tcBorders>
            <w:shd w:val="clear" w:color="auto" w:fill="FFFFFF" w:themeFill="background1"/>
            <w:tcMar>
              <w:top w:w="15" w:type="dxa"/>
              <w:left w:w="15" w:type="dxa"/>
              <w:right w:w="15" w:type="dxa"/>
            </w:tcMar>
            <w:vAlign w:val="bottom"/>
          </w:tcPr>
          <w:p>
            <w:pPr>
              <w:spacing w:after="0"/>
              <w:jc w:val="center"/>
              <w:rPr>
                <w:rFonts w:ascii="Calibri" w:hAnsi="Calibri" w:eastAsia="Calibri" w:cs="Calibri"/>
                <w:b/>
                <w:bCs/>
                <w:color w:val="000000" w:themeColor="text1"/>
                <w:sz w:val="24"/>
                <w:szCs w:val="24"/>
                <w14:textFill>
                  <w14:solidFill>
                    <w14:schemeClr w14:val="tx1"/>
                  </w14:solidFill>
                </w14:textFill>
              </w:rPr>
            </w:pPr>
            <w:r>
              <w:rPr>
                <w:rFonts w:ascii="Calibri" w:hAnsi="Calibri" w:eastAsia="Calibri" w:cs="Calibri"/>
                <w:b/>
                <w:bCs/>
                <w:color w:val="000000" w:themeColor="text1"/>
                <w:sz w:val="24"/>
                <w:szCs w:val="24"/>
                <w14:textFill>
                  <w14:solidFill>
                    <w14:schemeClr w14:val="tx1"/>
                  </w14:solidFill>
                </w14:textFill>
              </w:rPr>
              <w:t>5</w:t>
            </w:r>
          </w:p>
        </w:tc>
      </w:tr>
      <w:tr>
        <w:trPr>
          <w:gridAfter w:val="1"/>
          <w:wAfter w:w="1335" w:type="dxa"/>
          <w:trHeight w:val="315" w:hRule="atLeast"/>
        </w:trPr>
        <w:tc>
          <w:tcPr>
            <w:tcW w:w="6683" w:type="dxa"/>
            <w:gridSpan w:val="3"/>
            <w:vMerge w:val="continue"/>
            <w:tcMar>
              <w:top w:w="15" w:type="dxa"/>
              <w:left w:w="15" w:type="dxa"/>
              <w:right w:w="15" w:type="dxa"/>
            </w:tcMar>
            <w:vAlign w:val="bottom"/>
          </w:tcPr>
          <w:p/>
        </w:tc>
        <w:tc>
          <w:tcPr>
            <w:tcW w:w="1337" w:type="dxa"/>
          </w:tcPr>
          <w:p>
            <w:pPr>
              <w:spacing w:after="0" w:line="240" w:lineRule="auto"/>
              <w:rPr>
                <w:sz w:val="24"/>
                <w:szCs w:val="24"/>
              </w:rPr>
            </w:pPr>
          </w:p>
        </w:tc>
      </w:tr>
      <w:tr>
        <w:trPr>
          <w:trHeight w:val="315" w:hRule="atLeast"/>
        </w:trPr>
        <w:tc>
          <w:tcPr>
            <w:tcW w:w="9357" w:type="dxa"/>
            <w:gridSpan w:val="5"/>
            <w:tcBorders>
              <w:top w:val="nil"/>
              <w:left w:val="single" w:color="auto" w:sz="8" w:space="0"/>
              <w:bottom w:val="nil"/>
              <w:right w:val="single" w:color="000000" w:themeColor="text1" w:sz="8" w:space="0"/>
            </w:tcBorders>
            <w:shd w:val="clear" w:color="auto" w:fill="FFFFFF" w:themeFill="background1"/>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The ratings shown represent statements on a scale of 1-5 where:</w:t>
            </w:r>
          </w:p>
        </w:tc>
      </w:tr>
      <w:tr>
        <w:trPr>
          <w:trHeight w:val="315" w:hRule="atLeast"/>
        </w:trPr>
        <w:tc>
          <w:tcPr>
            <w:tcW w:w="9357" w:type="dxa"/>
            <w:gridSpan w:val="5"/>
            <w:tcBorders>
              <w:top w:val="nil"/>
              <w:left w:val="single" w:color="auto" w:sz="8" w:space="0"/>
              <w:bottom w:val="nil"/>
              <w:right w:val="single" w:color="000000" w:themeColor="text1" w:sz="8" w:space="0"/>
            </w:tcBorders>
            <w:shd w:val="clear" w:color="auto" w:fill="FFFFFF" w:themeFill="background1"/>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 = fully agree, 2 = agree, 3 = not sure, 4 = disagree, 5 = strongly disagree</w:t>
            </w:r>
          </w:p>
        </w:tc>
      </w:tr>
      <w:tr>
        <w:trPr>
          <w:trHeight w:val="645" w:hRule="atLeast"/>
        </w:trPr>
        <w:tc>
          <w:tcPr>
            <w:tcW w:w="9357" w:type="dxa"/>
            <w:gridSpan w:val="5"/>
            <w:vMerge w:val="restart"/>
            <w:tcBorders>
              <w:top w:val="nil"/>
              <w:left w:val="single" w:color="auto" w:sz="8" w:space="0"/>
              <w:bottom w:val="nil"/>
              <w:right w:val="single" w:color="000000" w:themeColor="text1" w:sz="8" w:space="0"/>
            </w:tcBorders>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 xml:space="preserve"> </w:t>
            </w:r>
          </w:p>
        </w:tc>
      </w:tr>
      <w:tr>
        <w:trPr>
          <w:trHeight w:val="450" w:hRule="atLeast"/>
        </w:trPr>
        <w:tc>
          <w:tcPr>
            <w:tcW w:w="9357" w:type="dxa"/>
            <w:gridSpan w:val="5"/>
            <w:vMerge w:val="continue"/>
            <w:vAlign w:val="center"/>
          </w:tcPr>
          <w:p/>
        </w:tc>
      </w:tr>
      <w:tr>
        <w:trPr>
          <w:trHeight w:val="315" w:hRule="atLeast"/>
        </w:trPr>
        <w:tc>
          <w:tcPr>
            <w:tcW w:w="9357" w:type="dxa"/>
            <w:gridSpan w:val="5"/>
            <w:tcBorders>
              <w:top w:val="nil"/>
              <w:left w:val="single" w:color="auto" w:sz="8" w:space="0"/>
              <w:bottom w:val="nil"/>
              <w:right w:val="single" w:color="000000" w:themeColor="text1" w:sz="8" w:space="0"/>
            </w:tcBorders>
            <w:shd w:val="clear" w:color="auto" w:fill="FFFFFF" w:themeFill="background1"/>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Feedback from 300 employees</w:t>
            </w:r>
          </w:p>
        </w:tc>
      </w:tr>
      <w:tr>
        <w:trPr>
          <w:trHeight w:val="645" w:hRule="atLeast"/>
        </w:trPr>
        <w:tc>
          <w:tcPr>
            <w:tcW w:w="9357" w:type="dxa"/>
            <w:gridSpan w:val="5"/>
            <w:vMerge w:val="restart"/>
            <w:tcBorders>
              <w:top w:val="nil"/>
              <w:left w:val="single" w:color="auto" w:sz="8" w:space="0"/>
              <w:bottom w:val="single" w:color="000000" w:themeColor="text1" w:sz="4" w:space="0"/>
              <w:right w:val="single" w:color="000000" w:themeColor="text1" w:sz="8" w:space="0"/>
            </w:tcBorders>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 xml:space="preserve"> </w:t>
            </w:r>
          </w:p>
        </w:tc>
      </w:tr>
      <w:tr>
        <w:trPr>
          <w:trHeight w:val="450" w:hRule="atLeast"/>
        </w:trPr>
        <w:tc>
          <w:tcPr>
            <w:tcW w:w="9357" w:type="dxa"/>
            <w:gridSpan w:val="5"/>
            <w:vMerge w:val="continue"/>
            <w:vAlign w:val="center"/>
          </w:tcPr>
          <w:p/>
        </w:tc>
      </w:tr>
      <w:tr>
        <w:trPr>
          <w:trHeight w:val="315" w:hRule="atLeast"/>
        </w:trPr>
        <w:tc>
          <w:tcPr>
            <w:tcW w:w="5348" w:type="dxa"/>
            <w:gridSpan w:val="2"/>
            <w:tcBorders>
              <w:top w:val="single" w:color="auto" w:sz="4" w:space="0"/>
              <w:left w:val="single" w:color="auto" w:sz="8" w:space="0"/>
              <w:bottom w:val="single" w:color="auto" w:sz="4" w:space="0"/>
              <w:right w:val="single" w:color="000000" w:themeColor="text1"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I enjoy working for home on some days of the week</w:t>
            </w:r>
          </w:p>
        </w:tc>
        <w:tc>
          <w:tcPr>
            <w:tcW w:w="1337" w:type="dxa"/>
            <w:tcBorders>
              <w:top w:val="nil"/>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19</w:t>
            </w:r>
          </w:p>
        </w:tc>
        <w:tc>
          <w:tcPr>
            <w:tcW w:w="1337" w:type="dxa"/>
            <w:tcBorders>
              <w:top w:val="nil"/>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94</w:t>
            </w:r>
          </w:p>
        </w:tc>
        <w:tc>
          <w:tcPr>
            <w:tcW w:w="1335" w:type="dxa"/>
            <w:tcBorders>
              <w:top w:val="nil"/>
              <w:left w:val="single" w:color="auto" w:sz="4" w:space="0"/>
              <w:bottom w:val="single" w:color="auto" w:sz="4" w:space="0"/>
              <w:right w:val="single" w:color="000000" w:themeColor="text1"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18</w:t>
            </w:r>
          </w:p>
        </w:tc>
      </w:tr>
      <w:tr>
        <w:trPr>
          <w:trHeight w:val="585" w:hRule="atLeast"/>
        </w:trPr>
        <w:tc>
          <w:tcPr>
            <w:tcW w:w="5348" w:type="dxa"/>
            <w:gridSpan w:val="2"/>
            <w:tcBorders>
              <w:top w:val="single" w:color="auto" w:sz="4" w:space="0"/>
              <w:left w:val="single" w:color="auto" w:sz="8" w:space="0"/>
              <w:bottom w:val="single" w:color="000000" w:themeColor="text1" w:sz="4" w:space="0"/>
              <w:right w:val="single" w:color="000000" w:themeColor="text1"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Hybrid working practices support my work-life balance and well-being.</w:t>
            </w:r>
          </w:p>
        </w:tc>
        <w:tc>
          <w:tcPr>
            <w:tcW w:w="1337" w:type="dxa"/>
            <w:tcBorders>
              <w:top w:val="single" w:color="auto" w:sz="4" w:space="0"/>
              <w:left w:val="single" w:color="auto" w:sz="4" w:space="0"/>
              <w:bottom w:val="single" w:color="000000" w:themeColor="text1"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11</w:t>
            </w:r>
          </w:p>
        </w:tc>
        <w:tc>
          <w:tcPr>
            <w:tcW w:w="1337" w:type="dxa"/>
            <w:tcBorders>
              <w:top w:val="single" w:color="auto" w:sz="4" w:space="0"/>
              <w:left w:val="single" w:color="auto" w:sz="4" w:space="0"/>
              <w:bottom w:val="single" w:color="000000" w:themeColor="text1"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34</w:t>
            </w:r>
          </w:p>
        </w:tc>
        <w:tc>
          <w:tcPr>
            <w:tcW w:w="1335" w:type="dxa"/>
            <w:tcBorders>
              <w:top w:val="single" w:color="auto" w:sz="4" w:space="0"/>
              <w:left w:val="single" w:color="auto" w:sz="4" w:space="0"/>
              <w:bottom w:val="single" w:color="000000" w:themeColor="text1" w:sz="4" w:space="0"/>
              <w:right w:val="single" w:color="000000" w:themeColor="text1"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8</w:t>
            </w:r>
          </w:p>
        </w:tc>
      </w:tr>
      <w:tr>
        <w:trPr>
          <w:trHeight w:val="315" w:hRule="atLeast"/>
        </w:trPr>
        <w:tc>
          <w:tcPr>
            <w:tcW w:w="5348" w:type="dxa"/>
            <w:gridSpan w:val="2"/>
            <w:tcBorders>
              <w:top w:val="single" w:color="auto" w:sz="4" w:space="0"/>
              <w:left w:val="single" w:color="auto" w:sz="8" w:space="0"/>
              <w:bottom w:val="single" w:color="auto" w:sz="4" w:space="0"/>
              <w:right w:val="single" w:color="auto"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I miss engaging with my colleagues in the workplace</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30</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155</w:t>
            </w:r>
          </w:p>
        </w:tc>
        <w:tc>
          <w:tcPr>
            <w:tcW w:w="1335" w:type="dxa"/>
            <w:tcBorders>
              <w:top w:val="single" w:color="auto" w:sz="4" w:space="0"/>
              <w:left w:val="single" w:color="auto" w:sz="4" w:space="0"/>
              <w:bottom w:val="single" w:color="auto" w:sz="4" w:space="0"/>
              <w:right w:val="single" w:color="auto"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94</w:t>
            </w:r>
          </w:p>
        </w:tc>
      </w:tr>
      <w:tr>
        <w:trPr>
          <w:trHeight w:val="315" w:hRule="atLeast"/>
        </w:trPr>
        <w:tc>
          <w:tcPr>
            <w:tcW w:w="5348" w:type="dxa"/>
            <w:gridSpan w:val="2"/>
            <w:tcBorders>
              <w:top w:val="single" w:color="auto" w:sz="4" w:space="0"/>
              <w:left w:val="single" w:color="auto" w:sz="8" w:space="0"/>
              <w:bottom w:val="single" w:color="auto" w:sz="4" w:space="0"/>
              <w:right w:val="single" w:color="auto"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I feel fully supported when working at work</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18</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138</w:t>
            </w:r>
          </w:p>
        </w:tc>
        <w:tc>
          <w:tcPr>
            <w:tcW w:w="1335" w:type="dxa"/>
            <w:tcBorders>
              <w:top w:val="single" w:color="auto" w:sz="4" w:space="0"/>
              <w:left w:val="single" w:color="auto" w:sz="4" w:space="0"/>
              <w:bottom w:val="single" w:color="auto" w:sz="4" w:space="0"/>
              <w:right w:val="single" w:color="auto"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102</w:t>
            </w:r>
          </w:p>
        </w:tc>
      </w:tr>
      <w:tr>
        <w:trPr>
          <w:trHeight w:val="315" w:hRule="atLeast"/>
        </w:trPr>
        <w:tc>
          <w:tcPr>
            <w:tcW w:w="5348" w:type="dxa"/>
            <w:gridSpan w:val="2"/>
            <w:tcBorders>
              <w:top w:val="single" w:color="auto" w:sz="4" w:space="0"/>
              <w:left w:val="single" w:color="auto" w:sz="8" w:space="0"/>
              <w:bottom w:val="single" w:color="auto" w:sz="4" w:space="0"/>
              <w:right w:val="single" w:color="auto"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I find working remotely a challenge</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101</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53</w:t>
            </w:r>
          </w:p>
        </w:tc>
        <w:tc>
          <w:tcPr>
            <w:tcW w:w="1335" w:type="dxa"/>
            <w:tcBorders>
              <w:top w:val="single" w:color="auto" w:sz="4" w:space="0"/>
              <w:left w:val="single" w:color="auto" w:sz="4" w:space="0"/>
              <w:bottom w:val="single" w:color="auto" w:sz="4" w:space="0"/>
              <w:right w:val="single" w:color="auto"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73</w:t>
            </w:r>
          </w:p>
        </w:tc>
      </w:tr>
      <w:tr>
        <w:trPr>
          <w:trHeight w:val="585" w:hRule="atLeast"/>
        </w:trPr>
        <w:tc>
          <w:tcPr>
            <w:tcW w:w="5348" w:type="dxa"/>
            <w:gridSpan w:val="2"/>
            <w:tcBorders>
              <w:top w:val="single" w:color="auto" w:sz="4" w:space="0"/>
              <w:left w:val="single" w:color="auto" w:sz="8" w:space="0"/>
              <w:bottom w:val="single" w:color="auto" w:sz="4" w:space="0"/>
              <w:right w:val="single" w:color="auto"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 xml:space="preserve">I find it difficult to separate work from my personal life when working from home </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23</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70</w:t>
            </w:r>
          </w:p>
        </w:tc>
        <w:tc>
          <w:tcPr>
            <w:tcW w:w="1335" w:type="dxa"/>
            <w:tcBorders>
              <w:top w:val="single" w:color="auto" w:sz="4" w:space="0"/>
              <w:left w:val="single" w:color="auto" w:sz="4" w:space="0"/>
              <w:bottom w:val="single" w:color="auto" w:sz="4" w:space="0"/>
              <w:right w:val="single" w:color="auto"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14</w:t>
            </w:r>
          </w:p>
        </w:tc>
      </w:tr>
      <w:tr>
        <w:trPr>
          <w:trHeight w:val="315" w:hRule="atLeast"/>
        </w:trPr>
        <w:tc>
          <w:tcPr>
            <w:tcW w:w="5348" w:type="dxa"/>
            <w:gridSpan w:val="2"/>
            <w:tcBorders>
              <w:top w:val="single" w:color="auto" w:sz="4" w:space="0"/>
              <w:left w:val="single" w:color="auto" w:sz="8" w:space="0"/>
              <w:bottom w:val="single" w:color="auto" w:sz="4" w:space="0"/>
              <w:right w:val="single" w:color="auto"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Hybrid working practices make me more productive</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5</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82</w:t>
            </w:r>
          </w:p>
        </w:tc>
        <w:tc>
          <w:tcPr>
            <w:tcW w:w="1335" w:type="dxa"/>
            <w:tcBorders>
              <w:top w:val="single" w:color="auto" w:sz="4" w:space="0"/>
              <w:left w:val="single" w:color="auto" w:sz="4" w:space="0"/>
              <w:bottom w:val="single" w:color="auto" w:sz="4" w:space="0"/>
              <w:right w:val="single" w:color="auto"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65</w:t>
            </w:r>
          </w:p>
        </w:tc>
      </w:tr>
      <w:tr>
        <w:trPr>
          <w:trHeight w:val="585" w:hRule="atLeast"/>
        </w:trPr>
        <w:tc>
          <w:tcPr>
            <w:tcW w:w="5348" w:type="dxa"/>
            <w:gridSpan w:val="2"/>
            <w:tcBorders>
              <w:top w:val="single" w:color="auto" w:sz="4" w:space="0"/>
              <w:left w:val="single" w:color="auto" w:sz="8" w:space="0"/>
              <w:bottom w:val="single" w:color="auto" w:sz="4" w:space="0"/>
              <w:right w:val="single" w:color="auto"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Working from home does not affect cross functional communication and collaboration with my team</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5</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78</w:t>
            </w:r>
          </w:p>
        </w:tc>
        <w:tc>
          <w:tcPr>
            <w:tcW w:w="1335" w:type="dxa"/>
            <w:tcBorders>
              <w:top w:val="single" w:color="auto" w:sz="4" w:space="0"/>
              <w:left w:val="single" w:color="auto" w:sz="4" w:space="0"/>
              <w:bottom w:val="single" w:color="auto" w:sz="4" w:space="0"/>
              <w:right w:val="single" w:color="auto"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101</w:t>
            </w:r>
          </w:p>
        </w:tc>
      </w:tr>
      <w:tr>
        <w:trPr>
          <w:trHeight w:val="615" w:hRule="atLeast"/>
        </w:trPr>
        <w:tc>
          <w:tcPr>
            <w:tcW w:w="5348" w:type="dxa"/>
            <w:gridSpan w:val="2"/>
            <w:tcBorders>
              <w:top w:val="single" w:color="auto" w:sz="4" w:space="0"/>
              <w:left w:val="single" w:color="auto" w:sz="8" w:space="0"/>
              <w:bottom w:val="single" w:color="auto" w:sz="4" w:space="0"/>
              <w:right w:val="single" w:color="auto"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 xml:space="preserve">Since hybrid working has been in place, I feel more connected to our company culture. </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39</w:t>
            </w:r>
          </w:p>
        </w:tc>
        <w:tc>
          <w:tcPr>
            <w:tcW w:w="1335" w:type="dxa"/>
            <w:tcBorders>
              <w:top w:val="single" w:color="auto" w:sz="4" w:space="0"/>
              <w:left w:val="single" w:color="auto" w:sz="4" w:space="0"/>
              <w:bottom w:val="single" w:color="auto" w:sz="4" w:space="0"/>
              <w:right w:val="single" w:color="auto"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72</w:t>
            </w:r>
          </w:p>
        </w:tc>
      </w:tr>
      <w:tr>
        <w:trPr>
          <w:trHeight w:val="315" w:hRule="atLeast"/>
        </w:trPr>
        <w:tc>
          <w:tcPr>
            <w:tcW w:w="5348" w:type="dxa"/>
            <w:gridSpan w:val="2"/>
            <w:tcBorders>
              <w:top w:val="single" w:color="auto" w:sz="4" w:space="0"/>
              <w:left w:val="single" w:color="auto" w:sz="8" w:space="0"/>
              <w:bottom w:val="single" w:color="auto" w:sz="4" w:space="0"/>
              <w:right w:val="single" w:color="auto"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Working from home allows me to meet my targets</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57</w:t>
            </w:r>
          </w:p>
        </w:tc>
        <w:tc>
          <w:tcPr>
            <w:tcW w:w="1335" w:type="dxa"/>
            <w:tcBorders>
              <w:top w:val="single" w:color="auto" w:sz="4" w:space="0"/>
              <w:left w:val="single" w:color="auto" w:sz="4" w:space="0"/>
              <w:bottom w:val="single" w:color="auto" w:sz="4" w:space="0"/>
              <w:right w:val="single" w:color="auto"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142</w:t>
            </w:r>
          </w:p>
        </w:tc>
      </w:tr>
      <w:tr>
        <w:trPr>
          <w:trHeight w:val="315" w:hRule="atLeast"/>
        </w:trPr>
        <w:tc>
          <w:tcPr>
            <w:tcW w:w="5348" w:type="dxa"/>
            <w:gridSpan w:val="2"/>
            <w:tcBorders>
              <w:top w:val="single" w:color="auto" w:sz="4" w:space="0"/>
              <w:left w:val="single" w:color="auto" w:sz="8" w:space="0"/>
              <w:bottom w:val="single" w:color="auto" w:sz="4" w:space="0"/>
              <w:right w:val="single" w:color="auto"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I can easily access resources at home</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6</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35</w:t>
            </w:r>
          </w:p>
        </w:tc>
        <w:tc>
          <w:tcPr>
            <w:tcW w:w="1335" w:type="dxa"/>
            <w:tcBorders>
              <w:top w:val="single" w:color="auto" w:sz="4" w:space="0"/>
              <w:left w:val="single" w:color="auto" w:sz="4" w:space="0"/>
              <w:bottom w:val="single" w:color="auto" w:sz="4" w:space="0"/>
              <w:right w:val="single" w:color="auto"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112</w:t>
            </w:r>
          </w:p>
        </w:tc>
      </w:tr>
      <w:tr>
        <w:trPr>
          <w:trHeight w:val="315" w:hRule="atLeast"/>
        </w:trPr>
        <w:tc>
          <w:tcPr>
            <w:tcW w:w="5348" w:type="dxa"/>
            <w:gridSpan w:val="2"/>
            <w:tcBorders>
              <w:top w:val="single" w:color="auto" w:sz="4" w:space="0"/>
              <w:left w:val="single" w:color="auto" w:sz="8" w:space="0"/>
              <w:bottom w:val="single" w:color="auto" w:sz="4" w:space="0"/>
              <w:right w:val="single" w:color="000000" w:themeColor="text1"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Working from home removes conflict</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7</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27</w:t>
            </w:r>
          </w:p>
        </w:tc>
        <w:tc>
          <w:tcPr>
            <w:tcW w:w="1335" w:type="dxa"/>
            <w:tcBorders>
              <w:top w:val="single" w:color="auto" w:sz="4" w:space="0"/>
              <w:left w:val="single" w:color="auto" w:sz="4" w:space="0"/>
              <w:bottom w:val="single" w:color="auto" w:sz="4" w:space="0"/>
              <w:right w:val="single" w:color="auto"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89</w:t>
            </w:r>
          </w:p>
        </w:tc>
      </w:tr>
      <w:tr>
        <w:trPr>
          <w:trHeight w:val="315" w:hRule="atLeast"/>
        </w:trPr>
        <w:tc>
          <w:tcPr>
            <w:tcW w:w="5348" w:type="dxa"/>
            <w:gridSpan w:val="2"/>
            <w:tcBorders>
              <w:top w:val="single" w:color="auto" w:sz="4" w:space="0"/>
              <w:left w:val="single" w:color="auto" w:sz="8" w:space="0"/>
              <w:bottom w:val="single" w:color="auto" w:sz="4" w:space="0"/>
              <w:right w:val="single" w:color="000000" w:themeColor="text1"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I feel less stressed when away from the workplace</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0</w:t>
            </w:r>
          </w:p>
        </w:tc>
        <w:tc>
          <w:tcPr>
            <w:tcW w:w="1337" w:type="dxa"/>
            <w:tcBorders>
              <w:top w:val="single" w:color="auto" w:sz="4" w:space="0"/>
              <w:left w:val="single" w:color="auto" w:sz="4" w:space="0"/>
              <w:bottom w:val="single" w:color="auto" w:sz="4"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5</w:t>
            </w:r>
          </w:p>
        </w:tc>
        <w:tc>
          <w:tcPr>
            <w:tcW w:w="1335" w:type="dxa"/>
            <w:tcBorders>
              <w:top w:val="single" w:color="auto" w:sz="4" w:space="0"/>
              <w:left w:val="single" w:color="auto" w:sz="4" w:space="0"/>
              <w:bottom w:val="single" w:color="auto" w:sz="4" w:space="0"/>
              <w:right w:val="single" w:color="auto"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250</w:t>
            </w:r>
          </w:p>
        </w:tc>
      </w:tr>
      <w:tr>
        <w:trPr>
          <w:trHeight w:val="300" w:hRule="atLeast"/>
        </w:trPr>
        <w:tc>
          <w:tcPr>
            <w:tcW w:w="5348" w:type="dxa"/>
            <w:gridSpan w:val="2"/>
            <w:tcBorders>
              <w:top w:val="single" w:color="auto" w:sz="4" w:space="0"/>
              <w:left w:val="single" w:color="auto" w:sz="8" w:space="0"/>
              <w:bottom w:val="single" w:color="auto" w:sz="8" w:space="0"/>
              <w:right w:val="single" w:color="000000" w:themeColor="text1" w:sz="4" w:space="0"/>
            </w:tcBorders>
            <w:shd w:val="clear" w:color="auto" w:fill="E2EFDA"/>
            <w:tcMar>
              <w:top w:w="15" w:type="dxa"/>
              <w:left w:w="15" w:type="dxa"/>
              <w:right w:w="15" w:type="dxa"/>
            </w:tcMar>
            <w:vAlign w:val="bottom"/>
          </w:tcPr>
          <w:p>
            <w:pPr>
              <w:spacing w:after="0"/>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I get the same amount of recognition about my work when working from home</w:t>
            </w:r>
          </w:p>
        </w:tc>
        <w:tc>
          <w:tcPr>
            <w:tcW w:w="1337" w:type="dxa"/>
            <w:tcBorders>
              <w:top w:val="single" w:color="auto" w:sz="4" w:space="0"/>
              <w:left w:val="single" w:color="auto" w:sz="4" w:space="0"/>
              <w:bottom w:val="single" w:color="auto" w:sz="8"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2</w:t>
            </w:r>
          </w:p>
        </w:tc>
        <w:tc>
          <w:tcPr>
            <w:tcW w:w="1337" w:type="dxa"/>
            <w:tcBorders>
              <w:top w:val="single" w:color="auto" w:sz="4" w:space="0"/>
              <w:left w:val="single" w:color="auto" w:sz="4" w:space="0"/>
              <w:bottom w:val="single" w:color="auto" w:sz="8" w:space="0"/>
              <w:right w:val="single" w:color="auto" w:sz="4"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71</w:t>
            </w:r>
          </w:p>
        </w:tc>
        <w:tc>
          <w:tcPr>
            <w:tcW w:w="1335" w:type="dxa"/>
            <w:tcBorders>
              <w:top w:val="single" w:color="auto" w:sz="4" w:space="0"/>
              <w:left w:val="single" w:color="auto" w:sz="4" w:space="0"/>
              <w:bottom w:val="single" w:color="auto" w:sz="8" w:space="0"/>
              <w:right w:val="single" w:color="auto" w:sz="8" w:space="0"/>
            </w:tcBorders>
            <w:shd w:val="clear" w:color="auto" w:fill="E2EFDA"/>
            <w:tcMar>
              <w:top w:w="15" w:type="dxa"/>
              <w:left w:w="15" w:type="dxa"/>
              <w:right w:w="15" w:type="dxa"/>
            </w:tcMar>
            <w:vAlign w:val="bottom"/>
          </w:tcPr>
          <w:p>
            <w:pPr>
              <w:spacing w:after="0"/>
              <w:jc w:val="cente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88</w:t>
            </w:r>
          </w:p>
        </w:tc>
      </w:tr>
    </w:tbl>
    <w:p>
      <w:pPr>
        <w:spacing w:after="0"/>
        <w:rPr>
          <w:rFonts w:eastAsiaTheme="minorEastAsia"/>
          <w:sz w:val="24"/>
          <w:szCs w:val="24"/>
        </w:rPr>
      </w:pPr>
    </w:p>
    <w:p>
      <w:pPr>
        <w:rPr>
          <w:rFonts w:hint="default" w:eastAsiaTheme="minorEastAsia"/>
          <w:color w:val="C00000"/>
          <w:sz w:val="24"/>
          <w:szCs w:val="24"/>
          <w:highlight w:val="none"/>
          <w:lang w:val="en-US"/>
        </w:rPr>
      </w:pPr>
      <w:r>
        <w:rPr>
          <w:rFonts w:hint="default" w:eastAsiaTheme="minorEastAsia"/>
          <w:color w:val="C00000"/>
          <w:sz w:val="24"/>
          <w:szCs w:val="24"/>
          <w:highlight w:val="none"/>
          <w:lang w:val="en-US"/>
        </w:rPr>
        <w:t xml:space="preserve">Firstly it is noticeable, that there’s a mix of responses across the spectrum for each statement indicating a diverse range of experiences and opinions among the surveyed employees.  One key theme in the feedback is the ambivalence towards remote and hybrid work. While a significant proportion of employees agree or strongly agree that they enjoy working form home on some days and that hybrid practices support their work life balance and well being. For example a portion of respondents indicate missing engaging with colleagues in the workplace, feeling less connected to company culture since the adoption of hybrid practices, and struggling with separating work form personal life while working remotely </w:t>
      </w:r>
    </w:p>
    <w:p>
      <w:pPr>
        <w:pStyle w:val="2"/>
        <w:bidi w:val="0"/>
        <w:rPr>
          <w:rFonts w:hint="default"/>
          <w:lang w:val="en-US"/>
        </w:rPr>
      </w:pPr>
      <w:r>
        <w:rPr>
          <w:rFonts w:hint="default"/>
          <w:lang w:val="en-US"/>
        </w:rPr>
        <w:t>Encourage the development of team relationships. Schedule social talks. This improves rapport and facilitates communication between individuals who might not interact frequently. It lessens emotions of loneliness as well. When face-to-face interactions occur, emphasise connections and relationships. CIPD (2023) Points to improving the ability to listen will help, when two people are not in the same room, it can be difficult to read each other's emotions and thoughts from body language or tone alone, especially during more intense conversations. Focus on the silences and probe for further information to help you understand.</w:t>
      </w:r>
    </w:p>
    <w:p>
      <w:pPr>
        <w:rPr>
          <w:rFonts w:eastAsiaTheme="minorEastAsia"/>
          <w:color w:val="C00000"/>
          <w:sz w:val="24"/>
          <w:szCs w:val="24"/>
          <w:highlight w:val="none"/>
        </w:rPr>
      </w:pPr>
      <w:r>
        <w:rPr>
          <w:rFonts w:hint="default" w:eastAsiaTheme="minorEastAsia"/>
          <w:color w:val="C00000"/>
          <w:sz w:val="24"/>
          <w:szCs w:val="24"/>
          <w:highlight w:val="none"/>
          <w:lang w:val="en-US"/>
        </w:rPr>
        <w:t xml:space="preserve">To address the multifaceted challenges of remote work, the organisation could implement a comprehensive strategy focused on providing additional training and resources to help employees overcome work challenges, while also establishing clear communication channels for prompt support. Managers could prioritise work life balance by promoting healthy practices and offering flexible scheduling options. Furthermore you could foster employee engagement and team building through regular virtual activities and occasional in person meetings and activities.  To ensure ongoing support conduct regular check ins and performance reviews and provide better provisions for managers to support their teams. </w:t>
      </w:r>
    </w:p>
    <w:p>
      <w:pPr>
        <w:spacing w:after="0"/>
        <w:rPr>
          <w:rFonts w:eastAsiaTheme="minorEastAsia"/>
          <w:color w:val="C00000"/>
          <w:sz w:val="24"/>
          <w:szCs w:val="24"/>
          <w:highlight w:val="none"/>
        </w:rPr>
      </w:pPr>
      <w:r>
        <w:rPr>
          <w:rFonts w:eastAsiaTheme="minorEastAsia"/>
          <w:sz w:val="24"/>
          <w:szCs w:val="24"/>
        </w:rPr>
        <w:t>Implementing these recommendations can contribute to a more positive and effective hybrid working environment, addressing specific concerns highlighted in the survey and fostering a culture of collaboration, well-being, and productivity</w:t>
      </w:r>
    </w:p>
    <w:p>
      <w:pPr>
        <w:spacing w:after="0"/>
        <w:rPr>
          <w:rFonts w:eastAsiaTheme="minorEastAsia"/>
          <w:b/>
          <w:bCs/>
          <w:sz w:val="24"/>
          <w:szCs w:val="24"/>
        </w:rPr>
      </w:pPr>
    </w:p>
    <w:p>
      <w:pPr>
        <w:spacing w:after="0"/>
        <w:rPr>
          <w:rFonts w:eastAsiaTheme="minorEastAsia"/>
          <w:b/>
          <w:bCs/>
          <w:strike/>
          <w:dstrike w:val="0"/>
          <w:sz w:val="24"/>
          <w:szCs w:val="24"/>
        </w:rPr>
      </w:pPr>
      <w:r>
        <w:rPr>
          <w:rFonts w:eastAsiaTheme="minorEastAsia"/>
          <w:b/>
          <w:bCs/>
          <w:strike/>
          <w:dstrike w:val="0"/>
          <w:sz w:val="24"/>
          <w:szCs w:val="24"/>
        </w:rPr>
        <w:t>Addressing Challenges of Remote Work</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Provide additional training and resources to help employees overcome challenges associated with remote work.</w:t>
      </w:r>
    </w:p>
    <w:p>
      <w:pPr>
        <w:pStyle w:val="10"/>
        <w:numPr>
          <w:ilvl w:val="0"/>
          <w:numId w:val="1"/>
        </w:numPr>
        <w:spacing w:after="0"/>
        <w:rPr>
          <w:rFonts w:eastAsiaTheme="minorEastAsia"/>
          <w:b/>
          <w:bCs/>
          <w:strike/>
          <w:dstrike w:val="0"/>
          <w:sz w:val="24"/>
          <w:szCs w:val="24"/>
        </w:rPr>
      </w:pPr>
      <w:r>
        <w:rPr>
          <w:rFonts w:eastAsiaTheme="minorEastAsia"/>
          <w:strike/>
          <w:dstrike w:val="0"/>
          <w:sz w:val="24"/>
          <w:szCs w:val="24"/>
        </w:rPr>
        <w:t>Establish clear communication channels for remote employees to seek support and address issues promptly.</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Enhancing Work-Life Balance</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Encourage managers to promote and model healthy work-life balance practices.</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Implement flexible scheduling options to accommodate individual preferences.</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Colleague Engagement and Team Building</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Organise regular virtual team-building activities and events to foster a sense of camaraderie.</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Consider occasional in-person meetings or retreats to facilitate face-to-face interactions.</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Support at the Workplace</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Conduct regular check-ins and performance reviews to ensure employees feel supported and valued.</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Provide additional resources or training for managers to better support their teams.</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Communication and Collaboration</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Invest in collaborative tools and platforms to facilitate seamless communication among remote and in-office team members.</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Establish clear guidelines for effective virtual collaboration and ensure that all team members are familiar with these tools.</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Promoting Productivity</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Offer resources and training on time management and productivity for remote work.</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Encourage employees to establish dedicated work spaces at home to enhance focus and concentration.</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Company Culture and Connection</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Foster a strong sense of company culture through virtual events, town hall meetings, and regular updates on company achievements.</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Seek employee input on how to maintain and strengthen the company culture in a hybrid work environment.</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Recognition and Feedback</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Establish a formal recognition program for remote work accomplishments.</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Encourage regular feedback sessions between employees and managers to acknowledge achievements and discuss areas for improvement.</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Stress Management</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Provide resources and initiatives for stress management, including wellness programs and mental health support.</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Encourage breaks and time away from screens to prevent burnout.</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Clear Communication on Expectations</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Clearly communicate expectations regarding work hours, availability, and deliverable for remote and in-office employees.</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Regularly revisit and adjust communication protocols based on feedback.</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Conflict Resolution</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Implement effective conflict resolution strategies and training for both remote and in-office teams.</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Establish clear channels for addressing conflicts and ensure a supportive environment for open communication.</w:t>
      </w:r>
    </w:p>
    <w:p>
      <w:pPr>
        <w:spacing w:after="0"/>
        <w:rPr>
          <w:rFonts w:eastAsiaTheme="minorEastAsia"/>
          <w:b/>
          <w:bCs/>
          <w:strike/>
          <w:dstrike w:val="0"/>
          <w:sz w:val="24"/>
          <w:szCs w:val="24"/>
        </w:rPr>
      </w:pPr>
    </w:p>
    <w:p>
      <w:pPr>
        <w:spacing w:after="0"/>
        <w:rPr>
          <w:rFonts w:eastAsiaTheme="minorEastAsia"/>
          <w:b/>
          <w:bCs/>
          <w:strike/>
          <w:dstrike w:val="0"/>
          <w:sz w:val="24"/>
          <w:szCs w:val="24"/>
        </w:rPr>
      </w:pPr>
      <w:r>
        <w:rPr>
          <w:rFonts w:eastAsiaTheme="minorEastAsia"/>
          <w:b/>
          <w:bCs/>
          <w:strike/>
          <w:dstrike w:val="0"/>
          <w:sz w:val="24"/>
          <w:szCs w:val="24"/>
        </w:rPr>
        <w:t>Monitoring and Adjusting Policies</w:t>
      </w:r>
    </w:p>
    <w:p>
      <w:pPr>
        <w:pStyle w:val="10"/>
        <w:numPr>
          <w:ilvl w:val="0"/>
          <w:numId w:val="1"/>
        </w:numPr>
        <w:spacing w:after="0"/>
        <w:rPr>
          <w:rFonts w:eastAsiaTheme="minorEastAsia"/>
          <w:strike/>
          <w:dstrike w:val="0"/>
          <w:sz w:val="24"/>
          <w:szCs w:val="24"/>
        </w:rPr>
      </w:pPr>
      <w:r>
        <w:rPr>
          <w:rFonts w:eastAsiaTheme="minorEastAsia"/>
          <w:strike/>
          <w:dstrike w:val="0"/>
          <w:sz w:val="24"/>
          <w:szCs w:val="24"/>
        </w:rPr>
        <w:t>Regularly review and update hybrid work policies based on ongoing feedback and evolving needs.</w:t>
      </w:r>
    </w:p>
    <w:p>
      <w:pPr>
        <w:spacing w:after="0"/>
        <w:rPr>
          <w:rFonts w:eastAsiaTheme="minorEastAsia"/>
          <w:strike/>
          <w:dstrike w:val="0"/>
          <w:sz w:val="24"/>
          <w:szCs w:val="24"/>
        </w:rPr>
      </w:pPr>
      <w:r>
        <w:rPr>
          <w:rFonts w:eastAsiaTheme="minorEastAsia"/>
          <w:strike/>
          <w:dstrike w:val="0"/>
          <w:sz w:val="24"/>
          <w:szCs w:val="24"/>
        </w:rPr>
        <w:t xml:space="preserve">Be flexible and willing to adjust policies as the organization learns more about </w:t>
      </w:r>
    </w:p>
    <w:p>
      <w:pPr>
        <w:spacing w:after="0"/>
        <w:rPr>
          <w:rFonts w:eastAsiaTheme="minorEastAsia"/>
          <w:strike/>
          <w:dstrike w:val="0"/>
          <w:sz w:val="24"/>
          <w:szCs w:val="24"/>
        </w:rPr>
      </w:pPr>
    </w:p>
    <w:p>
      <w:pPr>
        <w:rPr>
          <w:rFonts w:eastAsiaTheme="minorEastAsia"/>
          <w:sz w:val="24"/>
          <w:szCs w:val="24"/>
          <w:highlight w:val="green"/>
        </w:rPr>
      </w:pPr>
    </w:p>
    <w:p>
      <w:pPr>
        <w:rPr>
          <w:rFonts w:eastAsiaTheme="minorEastAsia"/>
          <w:sz w:val="24"/>
          <w:szCs w:val="24"/>
          <w:highlight w:val="green"/>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p>
    <w:p>
      <w:pPr>
        <w:jc w:val="center"/>
        <w:rPr>
          <w:b/>
          <w:bCs/>
          <w:sz w:val="24"/>
          <w:szCs w:val="24"/>
        </w:rPr>
      </w:pPr>
      <w:r>
        <w:rPr>
          <w:b/>
          <w:bCs/>
          <w:sz w:val="24"/>
          <w:szCs w:val="24"/>
        </w:rPr>
        <w:t>Reference List</w:t>
      </w:r>
    </w:p>
    <w:p>
      <w:pPr>
        <w:rPr>
          <w:sz w:val="24"/>
          <w:szCs w:val="24"/>
          <w:highlight w:val="green"/>
        </w:rPr>
      </w:pPr>
    </w:p>
    <w:p>
      <w:pPr>
        <w:rPr>
          <w:sz w:val="24"/>
          <w:szCs w:val="24"/>
        </w:rPr>
      </w:pPr>
      <w:r>
        <w:rPr>
          <w:sz w:val="24"/>
          <w:szCs w:val="24"/>
        </w:rPr>
        <w:t xml:space="preserve">Armstrong, M. and Taylor, S. (2023) Armstrong’s Handbook of Human Resource Management Practice 16th ed. London Kogan  </w:t>
      </w:r>
    </w:p>
    <w:p>
      <w:pPr>
        <w:rPr>
          <w:sz w:val="24"/>
          <w:szCs w:val="24"/>
        </w:rPr>
      </w:pPr>
    </w:p>
    <w:p>
      <w:pPr>
        <w:rPr>
          <w:sz w:val="24"/>
          <w:szCs w:val="24"/>
        </w:rPr>
      </w:pPr>
    </w:p>
    <w:p>
      <w:pPr>
        <w:rPr>
          <w:rStyle w:val="7"/>
          <w:rFonts w:ascii="Calibri" w:hAnsi="Calibri" w:eastAsia="Calibri" w:cs="Calibri"/>
          <w:color w:val="000000" w:themeColor="text1"/>
          <w:sz w:val="24"/>
          <w:szCs w:val="24"/>
          <w14:textFill>
            <w14:solidFill>
              <w14:schemeClr w14:val="tx1"/>
            </w14:solidFill>
          </w14:textFill>
        </w:rPr>
      </w:pPr>
      <w:r>
        <w:rPr>
          <w:color w:val="000000" w:themeColor="text1"/>
          <w14:textFill>
            <w14:solidFill>
              <w14:schemeClr w14:val="tx1"/>
            </w14:solidFill>
          </w14:textFill>
        </w:rPr>
        <w:t xml:space="preserve">Briner, R. </w:t>
      </w:r>
      <w:r>
        <w:rPr>
          <w:i/>
          <w:iCs/>
          <w:color w:val="000000" w:themeColor="text1"/>
          <w14:textFill>
            <w14:solidFill>
              <w14:schemeClr w14:val="tx1"/>
            </w14:solidFill>
          </w14:textFill>
        </w:rPr>
        <w:t>How to Avoid Fads in HR</w:t>
      </w:r>
      <w:r>
        <w:rPr>
          <w:color w:val="000000" w:themeColor="text1"/>
          <w14:textFill>
            <w14:solidFill>
              <w14:schemeClr w14:val="tx1"/>
            </w14:solidFill>
          </w14:textFill>
        </w:rPr>
        <w:t xml:space="preserve"> </w:t>
      </w:r>
      <w:r>
        <w:rPr>
          <w:rFonts w:ascii="Calibri" w:hAnsi="Calibri" w:eastAsia="Calibri" w:cs="Calibri"/>
          <w:color w:val="000000" w:themeColor="text1"/>
          <w:sz w:val="24"/>
          <w:szCs w:val="24"/>
          <w14:textFill>
            <w14:solidFill>
              <w14:schemeClr w14:val="tx1"/>
            </w14:solidFill>
          </w14:textFill>
        </w:rPr>
        <w:t xml:space="preserve">Available at: </w:t>
      </w:r>
      <w:r>
        <w:fldChar w:fldCharType="begin"/>
      </w:r>
      <w:r>
        <w:instrText xml:space="preserve"> HYPERLINK "https://www.personneltoday.com/hr/hr-fads-rob-briner/" </w:instrText>
      </w:r>
      <w:r>
        <w:fldChar w:fldCharType="separate"/>
      </w:r>
      <w:r>
        <w:rPr>
          <w:rStyle w:val="7"/>
          <w:rFonts w:ascii="Calibri" w:hAnsi="Calibri" w:eastAsia="Calibri" w:cs="Calibri"/>
          <w:color w:val="000000" w:themeColor="text1"/>
          <w:sz w:val="24"/>
          <w:szCs w:val="24"/>
          <w14:textFill>
            <w14:solidFill>
              <w14:schemeClr w14:val="tx1"/>
            </w14:solidFill>
          </w14:textFill>
        </w:rPr>
        <w:t>https://www.personneltoday.com/hr/hr-fads-rob-briner/</w:t>
      </w:r>
      <w:r>
        <w:rPr>
          <w:rStyle w:val="7"/>
          <w:rFonts w:ascii="Calibri" w:hAnsi="Calibri" w:eastAsia="Calibri" w:cs="Calibri"/>
          <w:color w:val="000000" w:themeColor="text1"/>
          <w:sz w:val="24"/>
          <w:szCs w:val="24"/>
          <w14:textFill>
            <w14:solidFill>
              <w14:schemeClr w14:val="tx1"/>
            </w14:solidFill>
          </w14:textFill>
        </w:rPr>
        <w:fldChar w:fldCharType="end"/>
      </w:r>
      <w:r>
        <w:rPr>
          <w:rFonts w:ascii="Calibri" w:hAnsi="Calibri" w:eastAsia="Calibri" w:cs="Calibri"/>
          <w:color w:val="000000" w:themeColor="text1"/>
          <w:sz w:val="24"/>
          <w:szCs w:val="24"/>
          <w14:textFill>
            <w14:solidFill>
              <w14:schemeClr w14:val="tx1"/>
            </w14:solidFill>
          </w14:textFill>
        </w:rPr>
        <w:t xml:space="preserve"> (Accessed on 21</w:t>
      </w:r>
      <w:r>
        <w:rPr>
          <w:rFonts w:ascii="Calibri" w:hAnsi="Calibri" w:eastAsia="Calibri" w:cs="Calibri"/>
          <w:color w:val="000000" w:themeColor="text1"/>
          <w:sz w:val="24"/>
          <w:szCs w:val="24"/>
          <w:vertAlign w:val="superscript"/>
          <w14:textFill>
            <w14:solidFill>
              <w14:schemeClr w14:val="tx1"/>
            </w14:solidFill>
          </w14:textFill>
        </w:rPr>
        <w:t>st</w:t>
      </w:r>
      <w:r>
        <w:rPr>
          <w:rFonts w:ascii="Calibri" w:hAnsi="Calibri" w:eastAsia="Calibri" w:cs="Calibri"/>
          <w:color w:val="000000" w:themeColor="text1"/>
          <w:sz w:val="24"/>
          <w:szCs w:val="24"/>
          <w14:textFill>
            <w14:solidFill>
              <w14:schemeClr w14:val="tx1"/>
            </w14:solidFill>
          </w14:textFill>
        </w:rPr>
        <w:t xml:space="preserve"> October 2023) </w:t>
      </w:r>
    </w:p>
    <w:p>
      <w:pPr>
        <w:rPr>
          <w:sz w:val="24"/>
          <w:szCs w:val="24"/>
        </w:rPr>
      </w:pPr>
    </w:p>
    <w:p>
      <w:pPr>
        <w:rPr>
          <w:sz w:val="24"/>
          <w:szCs w:val="24"/>
        </w:rPr>
      </w:pPr>
    </w:p>
    <w:p>
      <w:pPr>
        <w:rPr>
          <w:rFonts w:ascii="Calibri" w:hAnsi="Calibri" w:eastAsia="Calibri" w:cs="Calibri"/>
          <w:sz w:val="24"/>
          <w:szCs w:val="24"/>
        </w:rPr>
      </w:pPr>
      <w:r>
        <w:rPr>
          <w:rFonts w:ascii="Calibri" w:hAnsi="Calibri" w:eastAsia="Calibri" w:cs="Calibri"/>
          <w:sz w:val="24"/>
          <w:szCs w:val="24"/>
        </w:rPr>
        <w:t>The CIPD 2023</w:t>
      </w:r>
      <w:r>
        <w:rPr>
          <w:rFonts w:ascii="Calibri" w:hAnsi="Calibri" w:eastAsia="Calibri" w:cs="Calibri"/>
          <w:i/>
          <w:iCs/>
          <w:sz w:val="24"/>
          <w:szCs w:val="24"/>
        </w:rPr>
        <w:t xml:space="preserve"> Evidence-based HR: Make better decisions and step up your influence. </w:t>
      </w:r>
      <w:r>
        <w:rPr>
          <w:rFonts w:ascii="Calibri" w:hAnsi="Calibri" w:eastAsia="Calibri" w:cs="Calibri"/>
          <w:sz w:val="24"/>
          <w:szCs w:val="24"/>
        </w:rPr>
        <w:t>Available at</w:t>
      </w:r>
      <w:r>
        <w:rPr>
          <w:rFonts w:ascii="Calibri" w:hAnsi="Calibri" w:eastAsia="Calibri" w:cs="Calibri"/>
          <w:color w:val="000000" w:themeColor="text1"/>
          <w:sz w:val="24"/>
          <w:szCs w:val="24"/>
          <w:u w:val="single"/>
          <w14:textFill>
            <w14:solidFill>
              <w14:schemeClr w14:val="tx1"/>
            </w14:solidFill>
          </w14:textFill>
        </w:rPr>
        <w:t xml:space="preserve">: </w:t>
      </w:r>
      <w:r>
        <w:fldChar w:fldCharType="begin"/>
      </w:r>
      <w:r>
        <w:instrText xml:space="preserve"> HYPERLINK "https://www.cipd.org/uk/knowledge/guides/evidence-based-profession/" \l "what-evidence" \h </w:instrText>
      </w:r>
      <w:r>
        <w:fldChar w:fldCharType="separate"/>
      </w:r>
      <w:r>
        <w:rPr>
          <w:rStyle w:val="7"/>
          <w:rFonts w:ascii="Calibri" w:hAnsi="Calibri" w:eastAsia="Calibri" w:cs="Calibri"/>
          <w:color w:val="000000" w:themeColor="text1"/>
          <w:sz w:val="24"/>
          <w:szCs w:val="24"/>
          <w14:textFill>
            <w14:solidFill>
              <w14:schemeClr w14:val="tx1"/>
            </w14:solidFill>
          </w14:textFill>
        </w:rPr>
        <w:t>https://www.cipd.org/uk/knowledge/guides/evidence-based-profession/#what-evidence</w:t>
      </w:r>
      <w:r>
        <w:rPr>
          <w:rStyle w:val="7"/>
          <w:rFonts w:ascii="Calibri" w:hAnsi="Calibri" w:eastAsia="Calibri" w:cs="Calibri"/>
          <w:color w:val="000000" w:themeColor="text1"/>
          <w:sz w:val="24"/>
          <w:szCs w:val="24"/>
          <w14:textFill>
            <w14:solidFill>
              <w14:schemeClr w14:val="tx1"/>
            </w14:solidFill>
          </w14:textFill>
        </w:rPr>
        <w:fldChar w:fldCharType="end"/>
      </w:r>
      <w:r>
        <w:rPr>
          <w:rFonts w:ascii="Calibri" w:hAnsi="Calibri" w:eastAsia="Calibri" w:cs="Calibri"/>
          <w:color w:val="000000" w:themeColor="text1"/>
          <w:sz w:val="24"/>
          <w:szCs w:val="24"/>
          <w:u w:val="single"/>
          <w14:textFill>
            <w14:solidFill>
              <w14:schemeClr w14:val="tx1"/>
            </w14:solidFill>
          </w14:textFill>
        </w:rPr>
        <w:t xml:space="preserve"> -should-we-use. (Accessed 6</w:t>
      </w:r>
      <w:r>
        <w:rPr>
          <w:rFonts w:ascii="Calibri" w:hAnsi="Calibri" w:eastAsia="Calibri" w:cs="Calibri"/>
          <w:color w:val="000000" w:themeColor="text1"/>
          <w:sz w:val="24"/>
          <w:szCs w:val="24"/>
          <w:u w:val="single"/>
          <w:vertAlign w:val="superscript"/>
          <w14:textFill>
            <w14:solidFill>
              <w14:schemeClr w14:val="tx1"/>
            </w14:solidFill>
          </w14:textFill>
        </w:rPr>
        <w:t>th</w:t>
      </w:r>
      <w:r>
        <w:rPr>
          <w:rFonts w:ascii="Calibri" w:hAnsi="Calibri" w:eastAsia="Calibri" w:cs="Calibri"/>
          <w:color w:val="000000" w:themeColor="text1"/>
          <w:sz w:val="24"/>
          <w:szCs w:val="24"/>
          <w:u w:val="single"/>
          <w14:textFill>
            <w14:solidFill>
              <w14:schemeClr w14:val="tx1"/>
            </w14:solidFill>
          </w14:textFill>
        </w:rPr>
        <w:t xml:space="preserve"> November 2023)</w:t>
      </w:r>
    </w:p>
    <w:p>
      <w:pPr>
        <w:spacing w:line="257" w:lineRule="auto"/>
        <w:rPr>
          <w:rFonts w:ascii="Calibri" w:hAnsi="Calibri" w:eastAsia="Calibri" w:cs="Calibri"/>
          <w:sz w:val="24"/>
          <w:szCs w:val="24"/>
        </w:rPr>
      </w:pPr>
    </w:p>
    <w:p>
      <w:pPr>
        <w:spacing w:line="257" w:lineRule="auto"/>
        <w:rPr>
          <w:rFonts w:ascii="Calibri" w:hAnsi="Calibri" w:eastAsia="Calibri" w:cs="Calibri"/>
          <w:sz w:val="24"/>
          <w:szCs w:val="24"/>
        </w:rPr>
      </w:pPr>
    </w:p>
    <w:p>
      <w:pPr>
        <w:spacing w:line="257" w:lineRule="auto"/>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sz w:val="24"/>
          <w:szCs w:val="24"/>
        </w:rPr>
        <w:t xml:space="preserve">The CIPD 2023 </w:t>
      </w:r>
      <w:r>
        <w:rPr>
          <w:rFonts w:ascii="Calibri" w:hAnsi="Calibri" w:eastAsia="Calibri" w:cs="Calibri"/>
          <w:i/>
          <w:iCs/>
          <w:sz w:val="24"/>
          <w:szCs w:val="24"/>
        </w:rPr>
        <w:t xml:space="preserve">Evidence based practice for effective decision making. Available at: </w:t>
      </w:r>
      <w:r>
        <w:fldChar w:fldCharType="begin"/>
      </w:r>
      <w:r>
        <w:instrText xml:space="preserve"> HYPERLINK "https://www.cipd.org/uk/knowledge/factsheets/evidence-based-practice-factsheet/" \h </w:instrText>
      </w:r>
      <w:r>
        <w:fldChar w:fldCharType="separate"/>
      </w:r>
      <w:r>
        <w:rPr>
          <w:rStyle w:val="7"/>
          <w:rFonts w:ascii="Calibri" w:hAnsi="Calibri" w:eastAsia="Calibri" w:cs="Calibri"/>
          <w:color w:val="000000" w:themeColor="text1"/>
          <w:sz w:val="24"/>
          <w:szCs w:val="24"/>
          <w14:textFill>
            <w14:solidFill>
              <w14:schemeClr w14:val="tx1"/>
            </w14:solidFill>
          </w14:textFill>
        </w:rPr>
        <w:t>https://www.cipd.org/uk/knowledge/factsheets/evidence-based-practice-factsheet/</w:t>
      </w:r>
      <w:r>
        <w:rPr>
          <w:rStyle w:val="7"/>
          <w:rFonts w:ascii="Calibri" w:hAnsi="Calibri" w:eastAsia="Calibri" w:cs="Calibri"/>
          <w:color w:val="000000" w:themeColor="text1"/>
          <w:sz w:val="24"/>
          <w:szCs w:val="24"/>
          <w14:textFill>
            <w14:solidFill>
              <w14:schemeClr w14:val="tx1"/>
            </w14:solidFill>
          </w14:textFill>
        </w:rPr>
        <w:fldChar w:fldCharType="end"/>
      </w:r>
      <w:r>
        <w:rPr>
          <w:rFonts w:ascii="Calibri" w:hAnsi="Calibri" w:eastAsia="Calibri" w:cs="Calibri"/>
          <w:color w:val="000000" w:themeColor="text1"/>
          <w:sz w:val="24"/>
          <w:szCs w:val="24"/>
          <w14:textFill>
            <w14:solidFill>
              <w14:schemeClr w14:val="tx1"/>
            </w14:solidFill>
          </w14:textFill>
        </w:rPr>
        <w:t xml:space="preserve"> (Accessed on 11</w:t>
      </w:r>
      <w:r>
        <w:rPr>
          <w:rFonts w:ascii="Calibri" w:hAnsi="Calibri" w:eastAsia="Calibri" w:cs="Calibri"/>
          <w:color w:val="000000" w:themeColor="text1"/>
          <w:sz w:val="24"/>
          <w:szCs w:val="24"/>
          <w:vertAlign w:val="superscript"/>
          <w14:textFill>
            <w14:solidFill>
              <w14:schemeClr w14:val="tx1"/>
            </w14:solidFill>
          </w14:textFill>
        </w:rPr>
        <w:t>th</w:t>
      </w:r>
      <w:r>
        <w:rPr>
          <w:rFonts w:ascii="Calibri" w:hAnsi="Calibri" w:eastAsia="Calibri" w:cs="Calibri"/>
          <w:color w:val="000000" w:themeColor="text1"/>
          <w:sz w:val="24"/>
          <w:szCs w:val="24"/>
          <w14:textFill>
            <w14:solidFill>
              <w14:schemeClr w14:val="tx1"/>
            </w14:solidFill>
          </w14:textFill>
        </w:rPr>
        <w:t xml:space="preserve"> November 2023)</w:t>
      </w:r>
    </w:p>
    <w:p>
      <w:pPr>
        <w:spacing w:line="257" w:lineRule="auto"/>
        <w:rPr>
          <w:rFonts w:ascii="Calibri" w:hAnsi="Calibri" w:eastAsia="Calibri" w:cs="Calibri"/>
          <w:color w:val="000000" w:themeColor="text1"/>
          <w:sz w:val="24"/>
          <w:szCs w:val="24"/>
          <w14:textFill>
            <w14:solidFill>
              <w14:schemeClr w14:val="tx1"/>
            </w14:solidFill>
          </w14:textFill>
        </w:rPr>
      </w:pPr>
    </w:p>
    <w:p>
      <w:pPr>
        <w:spacing w:line="257" w:lineRule="auto"/>
        <w:rPr>
          <w:rFonts w:ascii="Museo" w:hAnsi="Museo" w:eastAsia="Museo" w:cs="Museo"/>
          <w:sz w:val="24"/>
          <w:szCs w:val="24"/>
        </w:rPr>
      </w:pPr>
      <w:r>
        <w:rPr>
          <w:rFonts w:ascii="Calibri" w:hAnsi="Calibri" w:eastAsia="Calibri" w:cs="Calibri"/>
          <w:sz w:val="24"/>
          <w:szCs w:val="24"/>
        </w:rPr>
        <w:t xml:space="preserve">The CIPD 2023 </w:t>
      </w:r>
      <w:r>
        <w:rPr>
          <w:rFonts w:ascii="Calibri" w:hAnsi="Calibri" w:eastAsia="Calibri" w:cs="Calibri"/>
          <w:i/>
          <w:iCs/>
          <w:sz w:val="24"/>
          <w:szCs w:val="24"/>
        </w:rPr>
        <w:t xml:space="preserve">Swot Analysis </w:t>
      </w:r>
      <w:r>
        <w:rPr>
          <w:rFonts w:ascii="Calibri" w:hAnsi="Calibri" w:eastAsia="Calibri" w:cs="Calibri"/>
          <w:sz w:val="24"/>
          <w:szCs w:val="24"/>
        </w:rPr>
        <w:t xml:space="preserve">Available at: </w:t>
      </w:r>
      <w:r>
        <w:fldChar w:fldCharType="begin"/>
      </w:r>
      <w:r>
        <w:instrText xml:space="preserve"> HYPERLINK "https://www.cipd.org/uk/knowledge/factsheets/swot-analysisp-factsheet" \h </w:instrText>
      </w:r>
      <w:r>
        <w:fldChar w:fldCharType="separate"/>
      </w:r>
      <w:r>
        <w:rPr>
          <w:rStyle w:val="7"/>
          <w:rFonts w:ascii="Calibri" w:hAnsi="Calibri" w:eastAsia="Calibri" w:cs="Calibri"/>
          <w:color w:val="auto"/>
          <w:sz w:val="24"/>
          <w:szCs w:val="24"/>
        </w:rPr>
        <w:t>https://www.cipd.org/uk/knowledge/factsheets/swot-analysisp-factsheet</w:t>
      </w:r>
      <w:r>
        <w:rPr>
          <w:rStyle w:val="7"/>
          <w:rFonts w:ascii="Calibri" w:hAnsi="Calibri" w:eastAsia="Calibri" w:cs="Calibri"/>
          <w:color w:val="auto"/>
          <w:sz w:val="24"/>
          <w:szCs w:val="24"/>
        </w:rPr>
        <w:fldChar w:fldCharType="end"/>
      </w:r>
      <w:r>
        <w:rPr>
          <w:rFonts w:ascii="Calibri" w:hAnsi="Calibri" w:eastAsia="Calibri" w:cs="Calibri"/>
          <w:sz w:val="24"/>
          <w:szCs w:val="24"/>
        </w:rPr>
        <w:t>. (Accessed 12</w:t>
      </w:r>
      <w:r>
        <w:rPr>
          <w:rFonts w:ascii="Calibri" w:hAnsi="Calibri" w:eastAsia="Calibri" w:cs="Calibri"/>
          <w:sz w:val="24"/>
          <w:szCs w:val="24"/>
          <w:vertAlign w:val="superscript"/>
        </w:rPr>
        <w:t>th</w:t>
      </w:r>
      <w:r>
        <w:rPr>
          <w:rFonts w:ascii="Calibri" w:hAnsi="Calibri" w:eastAsia="Calibri" w:cs="Calibri"/>
          <w:sz w:val="24"/>
          <w:szCs w:val="24"/>
        </w:rPr>
        <w:t xml:space="preserve"> November 2023)</w:t>
      </w:r>
    </w:p>
    <w:p>
      <w:pPr>
        <w:spacing w:line="257" w:lineRule="auto"/>
        <w:rPr>
          <w:rFonts w:ascii="Calibri" w:hAnsi="Calibri" w:eastAsia="Calibri" w:cs="Calibri"/>
          <w:sz w:val="24"/>
          <w:szCs w:val="24"/>
        </w:rPr>
      </w:pPr>
    </w:p>
    <w:p>
      <w:pPr>
        <w:rPr>
          <w:rFonts w:ascii="Museo" w:hAnsi="Museo" w:eastAsia="Museo" w:cs="Museo"/>
          <w:color w:val="FFFFFF" w:themeColor="background1"/>
          <w:sz w:val="24"/>
          <w:szCs w:val="24"/>
          <w14:textFill>
            <w14:solidFill>
              <w14:schemeClr w14:val="bg1"/>
            </w14:solidFill>
          </w14:textFill>
        </w:rPr>
      </w:pPr>
      <w:r>
        <w:rPr>
          <w:rFonts w:ascii="Calibri" w:hAnsi="Calibri" w:eastAsia="Calibri" w:cs="Calibri"/>
          <w:sz w:val="24"/>
          <w:szCs w:val="24"/>
        </w:rPr>
        <w:t>The CIPD 2023</w:t>
      </w:r>
      <w:r>
        <w:rPr>
          <w:rFonts w:ascii="Calibri" w:hAnsi="Calibri" w:eastAsia="Calibri" w:cs="Calibri"/>
          <w:i/>
          <w:iCs/>
          <w:sz w:val="24"/>
          <w:szCs w:val="24"/>
        </w:rPr>
        <w:t xml:space="preserve"> The People Profession Map </w:t>
      </w:r>
      <w:r>
        <w:rPr>
          <w:rFonts w:ascii="Calibri" w:hAnsi="Calibri" w:eastAsia="Calibri" w:cs="Calibri"/>
          <w:sz w:val="24"/>
          <w:szCs w:val="24"/>
        </w:rPr>
        <w:t xml:space="preserve">Available at: </w:t>
      </w:r>
      <w:r>
        <w:fldChar w:fldCharType="begin"/>
      </w:r>
      <w:r>
        <w:instrText xml:space="preserve"> HYPERLINK "https://www.cipd.org/uk/the-people-profession/the-profession-map/explore-the-profession-map/core-knowledge/evidence-based-practice/" \l ":~:text=Evidencebased%20practice%20is%2C%20quite,it%20leads%20to%20better%20outcomes.(Accessed" \h </w:instrText>
      </w:r>
      <w:r>
        <w:fldChar w:fldCharType="separate"/>
      </w:r>
      <w:r>
        <w:rPr>
          <w:rStyle w:val="7"/>
          <w:rFonts w:ascii="Calibri" w:hAnsi="Calibri" w:eastAsia="Calibri" w:cs="Calibri"/>
          <w:color w:val="auto"/>
          <w:sz w:val="24"/>
          <w:szCs w:val="24"/>
        </w:rPr>
        <w:t>https://www.cipd.org/uk/the-people-profession/the-profession-map/explore-the-profession-map/core-knowledge/evidence-based-practice/#:~:text=Evidencebased%20practice%20is%2C%20quite,it%20leads%20to%20better%20outcomes</w:t>
      </w:r>
      <w:r>
        <w:rPr>
          <w:rStyle w:val="7"/>
          <w:rFonts w:ascii="Calibri" w:hAnsi="Calibri" w:eastAsia="Calibri" w:cs="Calibri"/>
          <w:color w:val="auto"/>
          <w:sz w:val="24"/>
          <w:szCs w:val="24"/>
          <w:u w:val="none"/>
        </w:rPr>
        <w:t>.(Accessed</w:t>
      </w:r>
      <w:r>
        <w:rPr>
          <w:rStyle w:val="7"/>
          <w:rFonts w:ascii="Calibri" w:hAnsi="Calibri" w:eastAsia="Calibri" w:cs="Calibri"/>
          <w:color w:val="auto"/>
          <w:sz w:val="24"/>
          <w:szCs w:val="24"/>
          <w:u w:val="none"/>
        </w:rPr>
        <w:fldChar w:fldCharType="end"/>
      </w:r>
      <w:r>
        <w:rPr>
          <w:rFonts w:ascii="Calibri" w:hAnsi="Calibri" w:eastAsia="Calibri" w:cs="Calibri"/>
          <w:sz w:val="24"/>
          <w:szCs w:val="24"/>
        </w:rPr>
        <w:t xml:space="preserve"> 14</w:t>
      </w:r>
      <w:r>
        <w:rPr>
          <w:rFonts w:ascii="Calibri" w:hAnsi="Calibri" w:eastAsia="Calibri" w:cs="Calibri"/>
          <w:sz w:val="24"/>
          <w:szCs w:val="24"/>
          <w:vertAlign w:val="superscript"/>
        </w:rPr>
        <w:t>th</w:t>
      </w:r>
      <w:r>
        <w:rPr>
          <w:rFonts w:ascii="Calibri" w:hAnsi="Calibri" w:eastAsia="Calibri" w:cs="Calibri"/>
          <w:sz w:val="24"/>
          <w:szCs w:val="24"/>
        </w:rPr>
        <w:t xml:space="preserve"> November 2023) </w:t>
      </w:r>
    </w:p>
    <w:p>
      <w:pPr>
        <w:rPr>
          <w:rFonts w:ascii="Calibri" w:hAnsi="Calibri" w:eastAsia="Calibri" w:cs="Calibri"/>
          <w:sz w:val="24"/>
          <w:szCs w:val="24"/>
        </w:rPr>
      </w:pPr>
    </w:p>
    <w:p>
      <w:pPr>
        <w:spacing w:after="0"/>
        <w:rPr>
          <w:rFonts w:ascii="Calibri" w:hAnsi="Calibri" w:eastAsia="Calibri" w:cs="Calibri"/>
          <w:sz w:val="24"/>
          <w:szCs w:val="24"/>
        </w:rPr>
      </w:pPr>
      <w:r>
        <w:rPr>
          <w:rFonts w:ascii="Calibri" w:hAnsi="Calibri" w:eastAsia="Calibri" w:cs="Calibri"/>
          <w:sz w:val="24"/>
          <w:szCs w:val="24"/>
        </w:rPr>
        <w:t xml:space="preserve">The CIPD 2023 </w:t>
      </w:r>
      <w:r>
        <w:rPr>
          <w:rFonts w:ascii="Calibri" w:hAnsi="Calibri" w:eastAsia="Calibri" w:cs="Calibri"/>
          <w:i/>
          <w:iCs/>
          <w:sz w:val="24"/>
          <w:szCs w:val="24"/>
        </w:rPr>
        <w:t>Pestle Analysis</w:t>
      </w:r>
      <w:r>
        <w:rPr>
          <w:rFonts w:ascii="Calibri" w:hAnsi="Calibri" w:eastAsia="Calibri" w:cs="Calibri"/>
          <w:sz w:val="24"/>
          <w:szCs w:val="24"/>
        </w:rPr>
        <w:t xml:space="preserve"> Available At: </w:t>
      </w:r>
      <w:r>
        <w:fldChar w:fldCharType="begin"/>
      </w:r>
      <w:r>
        <w:instrText xml:space="preserve"> HYPERLINK "https://www.cipd.org/uk/knowledge/factsheets/pestle-analysis-factsheet" \h </w:instrText>
      </w:r>
      <w:r>
        <w:fldChar w:fldCharType="separate"/>
      </w:r>
      <w:r>
        <w:rPr>
          <w:rStyle w:val="7"/>
          <w:rFonts w:ascii="Calibri" w:hAnsi="Calibri" w:eastAsia="Calibri" w:cs="Calibri"/>
          <w:color w:val="auto"/>
          <w:sz w:val="24"/>
          <w:szCs w:val="24"/>
        </w:rPr>
        <w:t>https://www.cipd.org/uk/knowledge/factsheets/pestle-analysis-factsheet</w:t>
      </w:r>
      <w:r>
        <w:rPr>
          <w:rStyle w:val="7"/>
          <w:rFonts w:ascii="Calibri" w:hAnsi="Calibri" w:eastAsia="Calibri" w:cs="Calibri"/>
          <w:color w:val="auto"/>
          <w:sz w:val="24"/>
          <w:szCs w:val="24"/>
        </w:rPr>
        <w:fldChar w:fldCharType="end"/>
      </w:r>
      <w:r>
        <w:rPr>
          <w:rFonts w:ascii="Calibri" w:hAnsi="Calibri" w:eastAsia="Calibri" w:cs="Calibri"/>
          <w:sz w:val="24"/>
          <w:szCs w:val="24"/>
        </w:rPr>
        <w:t xml:space="preserve"> (Accessed 20</w:t>
      </w:r>
      <w:r>
        <w:rPr>
          <w:rFonts w:ascii="Calibri" w:hAnsi="Calibri" w:eastAsia="Calibri" w:cs="Calibri"/>
          <w:sz w:val="24"/>
          <w:szCs w:val="24"/>
          <w:vertAlign w:val="superscript"/>
        </w:rPr>
        <w:t>th</w:t>
      </w:r>
      <w:r>
        <w:rPr>
          <w:rFonts w:ascii="Calibri" w:hAnsi="Calibri" w:eastAsia="Calibri" w:cs="Calibri"/>
          <w:sz w:val="24"/>
          <w:szCs w:val="24"/>
        </w:rPr>
        <w:t xml:space="preserve"> November 2023)</w:t>
      </w:r>
    </w:p>
    <w:p>
      <w:pPr>
        <w:spacing w:after="0"/>
        <w:rPr>
          <w:rFonts w:ascii="Calibri" w:hAnsi="Calibri" w:eastAsia="Calibri" w:cs="Calibri"/>
          <w:sz w:val="24"/>
          <w:szCs w:val="24"/>
          <w:highlight w:val="yellow"/>
        </w:rPr>
      </w:pPr>
    </w:p>
    <w:p>
      <w:pPr>
        <w:spacing w:after="0"/>
        <w:rPr>
          <w:rFonts w:ascii="Calibri" w:hAnsi="Calibri" w:eastAsia="Calibri" w:cs="Calibri"/>
          <w:sz w:val="24"/>
          <w:szCs w:val="24"/>
          <w:highlight w:val="yellow"/>
        </w:rPr>
      </w:pPr>
    </w:p>
    <w:p>
      <w:pPr>
        <w:spacing w:after="0"/>
        <w:jc w:val="both"/>
        <w:rPr>
          <w:rFonts w:ascii="Calibri" w:hAnsi="Calibri" w:eastAsia="Calibri" w:cs="Calibri"/>
          <w:sz w:val="24"/>
          <w:szCs w:val="24"/>
        </w:rPr>
      </w:pPr>
      <w:r>
        <w:rPr>
          <w:rFonts w:ascii="Calibri" w:hAnsi="Calibri" w:eastAsia="Calibri" w:cs="Calibri"/>
          <w:sz w:val="24"/>
          <w:szCs w:val="24"/>
        </w:rPr>
        <w:t xml:space="preserve">The CIPD (2023) </w:t>
      </w:r>
      <w:r>
        <w:rPr>
          <w:rFonts w:ascii="Calibri" w:hAnsi="Calibri" w:eastAsia="Calibri" w:cs="Calibri"/>
          <w:i/>
          <w:iCs/>
          <w:sz w:val="24"/>
          <w:szCs w:val="24"/>
        </w:rPr>
        <w:t xml:space="preserve">Situational decision making Available at: </w:t>
      </w:r>
      <w:r>
        <w:fldChar w:fldCharType="begin"/>
      </w:r>
      <w:r>
        <w:instrText xml:space="preserve"> HYPERLINK "https://www.cipd.org/uk/the-people-profession/the-profession-map/explore-the-profession-map/core-behaviours/situational-decision-making/" \h </w:instrText>
      </w:r>
      <w:r>
        <w:fldChar w:fldCharType="separate"/>
      </w:r>
      <w:r>
        <w:rPr>
          <w:rStyle w:val="7"/>
          <w:rFonts w:ascii="Calibri" w:hAnsi="Calibri" w:eastAsia="Calibri" w:cs="Calibri"/>
          <w:color w:val="auto"/>
          <w:sz w:val="24"/>
          <w:szCs w:val="24"/>
        </w:rPr>
        <w:t>https://www.cipd.org/uk/the-people-profession/the-profession-map/explore-the-profession-map/core-behaviours/situational-decision-making/</w:t>
      </w:r>
      <w:r>
        <w:rPr>
          <w:rStyle w:val="7"/>
          <w:rFonts w:ascii="Calibri" w:hAnsi="Calibri" w:eastAsia="Calibri" w:cs="Calibri"/>
          <w:color w:val="auto"/>
          <w:sz w:val="24"/>
          <w:szCs w:val="24"/>
        </w:rPr>
        <w:fldChar w:fldCharType="end"/>
      </w:r>
      <w:r>
        <w:rPr>
          <w:rFonts w:ascii="Calibri" w:hAnsi="Calibri" w:eastAsia="Calibri" w:cs="Calibri"/>
          <w:sz w:val="24"/>
          <w:szCs w:val="24"/>
        </w:rPr>
        <w:t xml:space="preserve"> (Accessed November 9</w:t>
      </w:r>
      <w:r>
        <w:rPr>
          <w:rFonts w:ascii="Calibri" w:hAnsi="Calibri" w:eastAsia="Calibri" w:cs="Calibri"/>
          <w:sz w:val="24"/>
          <w:szCs w:val="24"/>
          <w:vertAlign w:val="superscript"/>
        </w:rPr>
        <w:t>th</w:t>
      </w:r>
      <w:r>
        <w:rPr>
          <w:rFonts w:ascii="Calibri" w:hAnsi="Calibri" w:eastAsia="Calibri" w:cs="Calibri"/>
          <w:sz w:val="24"/>
          <w:szCs w:val="24"/>
        </w:rPr>
        <w:t>, 2023)</w:t>
      </w:r>
    </w:p>
    <w:p>
      <w:pPr>
        <w:spacing w:after="0"/>
        <w:rPr>
          <w:rFonts w:ascii="Calibri" w:hAnsi="Calibri" w:eastAsia="Calibri" w:cs="Calibri"/>
          <w:sz w:val="24"/>
          <w:szCs w:val="24"/>
          <w:highlight w:val="yellow"/>
        </w:rPr>
      </w:pPr>
    </w:p>
    <w:p>
      <w:pPr>
        <w:pStyle w:val="2"/>
        <w:rPr>
          <w:rFonts w:asciiTheme="minorHAnsi" w:hAnsiTheme="minorHAnsi" w:eastAsiaTheme="minorEastAsia" w:cstheme="minorBidi"/>
          <w:color w:val="auto"/>
          <w:sz w:val="24"/>
          <w:szCs w:val="24"/>
        </w:rPr>
      </w:pPr>
      <w:r>
        <w:rPr>
          <w:rFonts w:asciiTheme="minorHAnsi" w:hAnsiTheme="minorHAnsi" w:eastAsiaTheme="minorEastAsia" w:cstheme="minorBidi"/>
          <w:color w:val="auto"/>
          <w:sz w:val="24"/>
          <w:szCs w:val="24"/>
        </w:rPr>
        <w:t xml:space="preserve">The CIPD (2022) </w:t>
      </w:r>
      <w:r>
        <w:rPr>
          <w:rFonts w:asciiTheme="minorHAnsi" w:hAnsiTheme="minorHAnsi" w:eastAsiaTheme="minorEastAsia" w:cstheme="minorBidi"/>
          <w:i/>
          <w:iCs/>
          <w:color w:val="auto"/>
          <w:sz w:val="24"/>
          <w:szCs w:val="24"/>
        </w:rPr>
        <w:t xml:space="preserve">Ethical practice and the role of people professionals </w:t>
      </w:r>
      <w:r>
        <w:rPr>
          <w:rFonts w:asciiTheme="minorHAnsi" w:hAnsiTheme="minorHAnsi" w:eastAsiaTheme="minorEastAsia" w:cstheme="minorBidi"/>
          <w:color w:val="auto"/>
          <w:sz w:val="24"/>
          <w:szCs w:val="24"/>
        </w:rPr>
        <w:t>Available at: https</w:t>
      </w:r>
      <w:r>
        <w:fldChar w:fldCharType="begin"/>
      </w:r>
      <w:r>
        <w:instrText xml:space="preserve"> HYPERLINK "https://www.cipd.org/uk/knowledge/factsheets/ethics-role-hr-factsheet/" \h </w:instrText>
      </w:r>
      <w:r>
        <w:fldChar w:fldCharType="separate"/>
      </w:r>
      <w:r>
        <w:rPr>
          <w:rStyle w:val="7"/>
          <w:rFonts w:asciiTheme="minorHAnsi" w:hAnsiTheme="minorHAnsi" w:eastAsiaTheme="minorEastAsia" w:cstheme="minorBidi"/>
          <w:color w:val="auto"/>
          <w:sz w:val="24"/>
          <w:szCs w:val="24"/>
        </w:rPr>
        <w:t>://www.cipd.org/uk/knowledge/factsheets/ethics-role-hr-factsheet/</w:t>
      </w:r>
      <w:r>
        <w:rPr>
          <w:rStyle w:val="7"/>
          <w:rFonts w:asciiTheme="minorHAnsi" w:hAnsiTheme="minorHAnsi" w:eastAsiaTheme="minorEastAsia" w:cstheme="minorBidi"/>
          <w:color w:val="auto"/>
          <w:sz w:val="24"/>
          <w:szCs w:val="24"/>
        </w:rPr>
        <w:fldChar w:fldCharType="end"/>
      </w:r>
      <w:r>
        <w:rPr>
          <w:rFonts w:asciiTheme="minorHAnsi" w:hAnsiTheme="minorHAnsi" w:eastAsiaTheme="minorEastAsia" w:cstheme="minorBidi"/>
          <w:color w:val="auto"/>
          <w:sz w:val="24"/>
          <w:szCs w:val="24"/>
        </w:rPr>
        <w:t xml:space="preserve"> (Accessed 11</w:t>
      </w:r>
      <w:r>
        <w:rPr>
          <w:rFonts w:asciiTheme="minorHAnsi" w:hAnsiTheme="minorHAnsi" w:eastAsiaTheme="minorEastAsia" w:cstheme="minorBidi"/>
          <w:color w:val="auto"/>
          <w:sz w:val="24"/>
          <w:szCs w:val="24"/>
          <w:vertAlign w:val="superscript"/>
        </w:rPr>
        <w:t>th</w:t>
      </w:r>
      <w:r>
        <w:rPr>
          <w:rFonts w:asciiTheme="minorHAnsi" w:hAnsiTheme="minorHAnsi" w:eastAsiaTheme="minorEastAsia" w:cstheme="minorBidi"/>
          <w:color w:val="auto"/>
          <w:sz w:val="24"/>
          <w:szCs w:val="24"/>
        </w:rPr>
        <w:t xml:space="preserve"> November 2023)</w:t>
      </w:r>
    </w:p>
    <w:p/>
    <w:p>
      <w:pPr>
        <w:rPr>
          <w:rFonts w:eastAsiaTheme="minorEastAsia"/>
          <w:sz w:val="24"/>
          <w:szCs w:val="24"/>
        </w:rPr>
      </w:pPr>
    </w:p>
    <w:p>
      <w:pPr>
        <w:rPr>
          <w:rFonts w:eastAsiaTheme="minorEastAsia"/>
          <w:sz w:val="24"/>
          <w:szCs w:val="24"/>
        </w:rPr>
      </w:pPr>
      <w:r>
        <w:rPr>
          <w:rFonts w:eastAsiaTheme="minorEastAsia"/>
          <w:sz w:val="24"/>
          <w:szCs w:val="24"/>
        </w:rPr>
        <w:t xml:space="preserve">The CIPD </w:t>
      </w:r>
      <w:r>
        <w:rPr>
          <w:rFonts w:eastAsiaTheme="minorEastAsia"/>
          <w:i/>
          <w:iCs/>
          <w:sz w:val="24"/>
          <w:szCs w:val="24"/>
        </w:rPr>
        <w:t>Employee Engagement and motivation</w:t>
      </w:r>
      <w:r>
        <w:rPr>
          <w:rFonts w:eastAsiaTheme="minorEastAsia"/>
          <w:sz w:val="24"/>
          <w:szCs w:val="24"/>
        </w:rPr>
        <w:t xml:space="preserve"> Available at: </w:t>
      </w:r>
      <w:r>
        <w:rPr>
          <w:rFonts w:eastAsiaTheme="minorEastAsia"/>
          <w:i/>
          <w:iCs/>
          <w:sz w:val="24"/>
          <w:szCs w:val="24"/>
        </w:rPr>
        <w:t xml:space="preserve"> </w:t>
      </w:r>
      <w:r>
        <w:fldChar w:fldCharType="begin"/>
      </w:r>
      <w:r>
        <w:instrText xml:space="preserve"> HYPERLINK "https://www.cipd.org/uk/knowledge/factsheets/engagement-factsheet/" \h </w:instrText>
      </w:r>
      <w:r>
        <w:fldChar w:fldCharType="separate"/>
      </w:r>
      <w:r>
        <w:rPr>
          <w:rStyle w:val="7"/>
          <w:rFonts w:eastAsiaTheme="minorEastAsia"/>
          <w:color w:val="auto"/>
          <w:sz w:val="24"/>
          <w:szCs w:val="24"/>
          <w:u w:val="none"/>
        </w:rPr>
        <w:t>https://www.cipd.org/uk/knowledge/factsheets/engagement-factsheet/</w:t>
      </w:r>
      <w:r>
        <w:rPr>
          <w:rStyle w:val="7"/>
          <w:rFonts w:eastAsiaTheme="minorEastAsia"/>
          <w:color w:val="auto"/>
          <w:sz w:val="24"/>
          <w:szCs w:val="24"/>
          <w:u w:val="none"/>
        </w:rPr>
        <w:fldChar w:fldCharType="end"/>
      </w:r>
      <w:r>
        <w:rPr>
          <w:rFonts w:eastAsiaTheme="minorEastAsia"/>
          <w:sz w:val="24"/>
          <w:szCs w:val="24"/>
        </w:rPr>
        <w:t xml:space="preserve"> (Accessed on 23</w:t>
      </w:r>
      <w:r>
        <w:rPr>
          <w:rFonts w:eastAsiaTheme="minorEastAsia"/>
          <w:sz w:val="24"/>
          <w:szCs w:val="24"/>
          <w:vertAlign w:val="superscript"/>
        </w:rPr>
        <w:t>rd</w:t>
      </w:r>
      <w:r>
        <w:rPr>
          <w:rFonts w:eastAsiaTheme="minorEastAsia"/>
          <w:sz w:val="24"/>
          <w:szCs w:val="24"/>
        </w:rPr>
        <w:t xml:space="preserve"> November 2023</w:t>
      </w:r>
    </w:p>
    <w:p/>
    <w:p/>
    <w:p>
      <w:pPr>
        <w:rPr>
          <w:rFonts w:eastAsiaTheme="minorEastAsia"/>
          <w:sz w:val="24"/>
          <w:szCs w:val="24"/>
        </w:rPr>
      </w:pPr>
      <w:r>
        <w:rPr>
          <w:rFonts w:eastAsiaTheme="minorEastAsia"/>
          <w:sz w:val="24"/>
          <w:szCs w:val="24"/>
        </w:rPr>
        <w:t xml:space="preserve">The CIPD 2018 </w:t>
      </w:r>
      <w:r>
        <w:rPr>
          <w:rFonts w:ascii="Calibri" w:hAnsi="Calibri" w:eastAsia="Calibri" w:cs="Calibri"/>
          <w:i/>
          <w:iCs/>
          <w:sz w:val="24"/>
          <w:szCs w:val="24"/>
        </w:rPr>
        <w:t xml:space="preserve">Creating and capturing value at work: who benefits? </w:t>
      </w:r>
      <w:r>
        <w:rPr>
          <w:rFonts w:ascii="Calibri" w:hAnsi="Calibri" w:eastAsia="Calibri" w:cs="Calibri"/>
          <w:sz w:val="24"/>
          <w:szCs w:val="24"/>
        </w:rPr>
        <w:t xml:space="preserve">Available at: </w:t>
      </w:r>
      <w:r>
        <w:fldChar w:fldCharType="begin"/>
      </w:r>
      <w:r>
        <w:instrText xml:space="preserve"> HYPERLINK "https://www.cipd.org/globalassets/media/knowledge/knowledge-hub/reports/creating-and-capturing-value-at-work_2018-who-benefits-part-2_tcm18-37078.pdf" \h </w:instrText>
      </w:r>
      <w:r>
        <w:fldChar w:fldCharType="separate"/>
      </w:r>
      <w:r>
        <w:rPr>
          <w:rStyle w:val="7"/>
          <w:rFonts w:eastAsiaTheme="minorEastAsia"/>
          <w:color w:val="auto"/>
          <w:sz w:val="24"/>
          <w:szCs w:val="24"/>
        </w:rPr>
        <w:t>https://www.cipd.org/globalassets/media/knowledge/knowledge-hub/reports/creating-and-capturing-value-at-work_2018-who-benefits-part-2_tcm18-37078.pdf</w:t>
      </w:r>
      <w:r>
        <w:rPr>
          <w:rStyle w:val="7"/>
          <w:rFonts w:eastAsiaTheme="minorEastAsia"/>
          <w:color w:val="auto"/>
          <w:sz w:val="24"/>
          <w:szCs w:val="24"/>
        </w:rPr>
        <w:fldChar w:fldCharType="end"/>
      </w:r>
      <w:r>
        <w:rPr>
          <w:rFonts w:eastAsiaTheme="minorEastAsia"/>
          <w:sz w:val="24"/>
          <w:szCs w:val="24"/>
        </w:rPr>
        <w:t xml:space="preserve"> (Accessed November 21</w:t>
      </w:r>
      <w:r>
        <w:rPr>
          <w:rFonts w:eastAsiaTheme="minorEastAsia"/>
          <w:sz w:val="24"/>
          <w:szCs w:val="24"/>
          <w:vertAlign w:val="superscript"/>
        </w:rPr>
        <w:t>st</w:t>
      </w:r>
      <w:r>
        <w:rPr>
          <w:rFonts w:eastAsiaTheme="minorEastAsia"/>
          <w:sz w:val="24"/>
          <w:szCs w:val="24"/>
        </w:rPr>
        <w:t>, 2023)</w:t>
      </w:r>
    </w:p>
    <w:p>
      <w:pPr>
        <w:rPr>
          <w:rFonts w:eastAsiaTheme="minorEastAsia"/>
          <w:sz w:val="24"/>
          <w:szCs w:val="24"/>
        </w:rPr>
      </w:pPr>
    </w:p>
    <w:p>
      <w:pPr>
        <w:rPr>
          <w:rFonts w:eastAsiaTheme="minorEastAsia"/>
          <w:sz w:val="24"/>
          <w:szCs w:val="24"/>
        </w:rPr>
      </w:pPr>
    </w:p>
    <w:p>
      <w:pPr>
        <w:rPr>
          <w:rFonts w:eastAsiaTheme="minorEastAsia"/>
          <w:sz w:val="24"/>
          <w:szCs w:val="24"/>
        </w:rPr>
      </w:pPr>
      <w:r>
        <w:rPr>
          <w:rFonts w:eastAsiaTheme="minorEastAsia"/>
          <w:sz w:val="24"/>
          <w:szCs w:val="24"/>
        </w:rPr>
        <w:t xml:space="preserve">The CIPD (2022) </w:t>
      </w:r>
      <w:r>
        <w:rPr>
          <w:rFonts w:eastAsiaTheme="minorEastAsia"/>
          <w:i/>
          <w:iCs/>
          <w:sz w:val="24"/>
          <w:szCs w:val="24"/>
        </w:rPr>
        <w:t xml:space="preserve">People Analytics </w:t>
      </w:r>
      <w:r>
        <w:rPr>
          <w:rFonts w:eastAsiaTheme="minorEastAsia"/>
          <w:sz w:val="24"/>
          <w:szCs w:val="24"/>
        </w:rPr>
        <w:t>Available at</w:t>
      </w:r>
      <w:r>
        <w:rPr>
          <w:rFonts w:eastAsiaTheme="minorEastAsia"/>
          <w:i/>
          <w:iCs/>
          <w:sz w:val="24"/>
          <w:szCs w:val="24"/>
        </w:rPr>
        <w:t xml:space="preserve">: </w:t>
      </w:r>
      <w:r>
        <w:rPr>
          <w:rFonts w:eastAsiaTheme="minorEastAsia"/>
          <w:sz w:val="24"/>
          <w:szCs w:val="24"/>
        </w:rPr>
        <w:t>https://www.cipd.org/uk/knowledge/factsheets/analytics-factsheet/#:~:text=Quantitative%20data%20is%20quantifiable%20and,by%20someone%20and%20is%20subjective. (Accessed on 30</w:t>
      </w:r>
      <w:r>
        <w:rPr>
          <w:rFonts w:eastAsiaTheme="minorEastAsia"/>
          <w:sz w:val="24"/>
          <w:szCs w:val="24"/>
          <w:vertAlign w:val="superscript"/>
        </w:rPr>
        <w:t>th</w:t>
      </w:r>
      <w:r>
        <w:rPr>
          <w:rFonts w:eastAsiaTheme="minorEastAsia"/>
          <w:sz w:val="24"/>
          <w:szCs w:val="24"/>
        </w:rPr>
        <w:t xml:space="preserve"> December 2023)</w:t>
      </w:r>
    </w:p>
    <w:p>
      <w:pPr>
        <w:rPr>
          <w:rFonts w:eastAsiaTheme="minorEastAsia"/>
          <w:sz w:val="24"/>
          <w:szCs w:val="24"/>
        </w:rPr>
      </w:pPr>
    </w:p>
    <w:p>
      <w:pPr>
        <w:rPr>
          <w:rFonts w:eastAsiaTheme="minorEastAsia"/>
          <w:sz w:val="24"/>
          <w:szCs w:val="24"/>
        </w:rPr>
      </w:pPr>
    </w:p>
    <w:p>
      <w:pPr>
        <w:rPr>
          <w:rFonts w:eastAsiaTheme="minorEastAsia"/>
          <w:sz w:val="24"/>
          <w:szCs w:val="24"/>
        </w:rPr>
      </w:pPr>
      <w:r>
        <w:rPr>
          <w:rFonts w:eastAsiaTheme="minorEastAsia"/>
          <w:sz w:val="24"/>
          <w:szCs w:val="24"/>
        </w:rPr>
        <w:t xml:space="preserve">The CIPD 2023 </w:t>
      </w:r>
      <w:r>
        <w:rPr>
          <w:rFonts w:eastAsiaTheme="minorEastAsia"/>
          <w:i/>
          <w:iCs/>
          <w:sz w:val="24"/>
          <w:szCs w:val="24"/>
        </w:rPr>
        <w:t xml:space="preserve">Talent Management </w:t>
      </w:r>
      <w:r>
        <w:rPr>
          <w:rFonts w:eastAsiaTheme="minorEastAsia"/>
          <w:sz w:val="24"/>
          <w:szCs w:val="24"/>
        </w:rPr>
        <w:t xml:space="preserve">Available at: </w:t>
      </w:r>
      <w:r>
        <w:fldChar w:fldCharType="begin"/>
      </w:r>
      <w:r>
        <w:instrText xml:space="preserve"> HYPERLINK "https://www.cipd.org/uk/knowledge/factsheets/talent-factsheet/" \h </w:instrText>
      </w:r>
      <w:r>
        <w:fldChar w:fldCharType="separate"/>
      </w:r>
      <w:r>
        <w:rPr>
          <w:rStyle w:val="7"/>
          <w:rFonts w:eastAsiaTheme="minorEastAsia"/>
          <w:color w:val="auto"/>
          <w:sz w:val="24"/>
          <w:szCs w:val="24"/>
        </w:rPr>
        <w:t>https://www.cipd.org/uk/knowledge/factsheets/talent-factsheet/</w:t>
      </w:r>
      <w:r>
        <w:rPr>
          <w:rStyle w:val="7"/>
          <w:rFonts w:eastAsiaTheme="minorEastAsia"/>
          <w:color w:val="auto"/>
          <w:sz w:val="24"/>
          <w:szCs w:val="24"/>
        </w:rPr>
        <w:fldChar w:fldCharType="end"/>
      </w:r>
      <w:r>
        <w:rPr>
          <w:rFonts w:eastAsiaTheme="minorEastAsia"/>
          <w:sz w:val="24"/>
          <w:szCs w:val="24"/>
        </w:rPr>
        <w:t xml:space="preserve"> (Accessed on 28</w:t>
      </w:r>
      <w:r>
        <w:rPr>
          <w:rFonts w:eastAsiaTheme="minorEastAsia"/>
          <w:sz w:val="24"/>
          <w:szCs w:val="24"/>
          <w:vertAlign w:val="superscript"/>
        </w:rPr>
        <w:t>th</w:t>
      </w:r>
      <w:r>
        <w:rPr>
          <w:rFonts w:eastAsiaTheme="minorEastAsia"/>
          <w:sz w:val="24"/>
          <w:szCs w:val="24"/>
        </w:rPr>
        <w:t xml:space="preserve"> November 2023)</w:t>
      </w:r>
    </w:p>
    <w:p>
      <w:pPr>
        <w:rPr>
          <w:rFonts w:eastAsiaTheme="minorEastAsia"/>
          <w:sz w:val="24"/>
          <w:szCs w:val="24"/>
        </w:rPr>
      </w:pPr>
    </w:p>
    <w:p>
      <w:pPr>
        <w:rPr>
          <w:rFonts w:eastAsiaTheme="minorEastAsia"/>
          <w:sz w:val="24"/>
          <w:szCs w:val="24"/>
        </w:rPr>
      </w:pPr>
    </w:p>
    <w:p>
      <w:pPr>
        <w:spacing w:after="0"/>
        <w:jc w:val="both"/>
      </w:pPr>
    </w:p>
    <w:p>
      <w:pPr>
        <w:spacing w:after="0"/>
        <w:jc w:val="both"/>
      </w:pPr>
      <w:r>
        <w:t>The CIPD (2015)</w:t>
      </w:r>
      <w:r>
        <w:rPr>
          <w:rFonts w:ascii="Calibri" w:hAnsi="Calibri" w:eastAsia="Calibri" w:cs="Calibri"/>
        </w:rPr>
        <w:t xml:space="preserve"> </w:t>
      </w:r>
      <w:r>
        <w:rPr>
          <w:rFonts w:ascii="Calibri" w:hAnsi="Calibri" w:eastAsia="Calibri" w:cs="Calibri"/>
          <w:i/>
          <w:iCs/>
        </w:rPr>
        <w:t>Ethical decision-making: Eight perspectives on workplace dilemmas</w:t>
      </w:r>
      <w:r>
        <w:rPr>
          <w:rFonts w:ascii="Calibri" w:hAnsi="Calibri" w:eastAsia="Calibri" w:cs="Calibri"/>
        </w:rPr>
        <w:t xml:space="preserve"> Available at:</w:t>
      </w:r>
      <w:r>
        <w:rPr>
          <w:rFonts w:ascii="Calibri" w:hAnsi="Calibri" w:eastAsia="Calibri" w:cs="Calibri"/>
          <w:i/>
          <w:iCs/>
        </w:rPr>
        <w:t xml:space="preserve"> </w:t>
      </w:r>
      <w:r>
        <w:fldChar w:fldCharType="begin"/>
      </w:r>
      <w:r>
        <w:instrText xml:space="preserve"> HYPERLINK "https://www.cipd.org/globalassets/media/comms/the-people-profession/profession-map-pdfs/ethical-decision-making-2015-eight-perspectives-on-workplace-dilemmas_tcm29-9564.pdf" \h </w:instrText>
      </w:r>
      <w:r>
        <w:fldChar w:fldCharType="separate"/>
      </w:r>
      <w:r>
        <w:rPr>
          <w:rStyle w:val="7"/>
          <w:color w:val="auto"/>
        </w:rPr>
        <w:t>https://www.cipd.org/globalassets/media/comms/the-people-profession/profession-map-pdfs/ethical-decision-making-2015-eight-perspectives-on-workplace-dilemmas_tcm29-9564.pdf</w:t>
      </w:r>
      <w:r>
        <w:rPr>
          <w:rStyle w:val="7"/>
          <w:color w:val="auto"/>
        </w:rPr>
        <w:fldChar w:fldCharType="end"/>
      </w:r>
      <w:r>
        <w:t xml:space="preserve"> (Accessed 10</w:t>
      </w:r>
      <w:r>
        <w:rPr>
          <w:vertAlign w:val="superscript"/>
        </w:rPr>
        <w:t>th</w:t>
      </w:r>
      <w:r>
        <w:t xml:space="preserve"> November 2023)</w:t>
      </w:r>
    </w:p>
    <w:p>
      <w:pPr>
        <w:spacing w:after="0"/>
        <w:jc w:val="both"/>
      </w:pPr>
    </w:p>
    <w:p>
      <w:pPr>
        <w:spacing w:after="0"/>
        <w:jc w:val="both"/>
      </w:pPr>
    </w:p>
    <w:p/>
    <w:p>
      <w:pPr>
        <w:rPr>
          <w:rFonts w:ascii="Calibri" w:hAnsi="Calibri" w:eastAsia="Calibri" w:cs="Calibri"/>
        </w:rPr>
      </w:pPr>
      <w:r>
        <w:rPr>
          <w:rFonts w:ascii="Calibri" w:hAnsi="Calibri" w:eastAsia="Calibri" w:cs="Calibri"/>
        </w:rPr>
        <w:t xml:space="preserve">Ethics Guide (2014) </w:t>
      </w:r>
      <w:r>
        <w:rPr>
          <w:rFonts w:ascii="Calibri" w:hAnsi="Calibri" w:eastAsia="Calibri" w:cs="Calibri"/>
          <w:i/>
          <w:iCs/>
        </w:rPr>
        <w:t xml:space="preserve">Introduction to Ethics Available at: </w:t>
      </w:r>
      <w:r>
        <w:fldChar w:fldCharType="begin"/>
      </w:r>
      <w:r>
        <w:instrText xml:space="preserve"> HYPERLINK "https://www.bbc.co.uk/ethics/introduction/duty_1.shtml" \h </w:instrText>
      </w:r>
      <w:r>
        <w:fldChar w:fldCharType="separate"/>
      </w:r>
      <w:r>
        <w:rPr>
          <w:rStyle w:val="7"/>
          <w:rFonts w:ascii="Calibri" w:hAnsi="Calibri" w:eastAsia="Calibri" w:cs="Calibri"/>
          <w:color w:val="auto"/>
        </w:rPr>
        <w:t>https://www.bbc.co.uk/ethics/introduction/duty_1.shtml</w:t>
      </w:r>
      <w:r>
        <w:rPr>
          <w:rStyle w:val="7"/>
          <w:rFonts w:ascii="Calibri" w:hAnsi="Calibri" w:eastAsia="Calibri" w:cs="Calibri"/>
          <w:color w:val="auto"/>
        </w:rPr>
        <w:fldChar w:fldCharType="end"/>
      </w:r>
      <w:r>
        <w:rPr>
          <w:rFonts w:ascii="Calibri" w:hAnsi="Calibri" w:eastAsia="Calibri" w:cs="Calibri"/>
        </w:rPr>
        <w:t xml:space="preserve"> (Accessed 20</w:t>
      </w:r>
      <w:r>
        <w:rPr>
          <w:rFonts w:ascii="Calibri" w:hAnsi="Calibri" w:eastAsia="Calibri" w:cs="Calibri"/>
          <w:vertAlign w:val="superscript"/>
        </w:rPr>
        <w:t>th</w:t>
      </w:r>
      <w:r>
        <w:rPr>
          <w:rFonts w:ascii="Calibri" w:hAnsi="Calibri" w:eastAsia="Calibri" w:cs="Calibri"/>
        </w:rPr>
        <w:t xml:space="preserve"> November 2023)</w:t>
      </w:r>
    </w:p>
    <w:p>
      <w:pPr>
        <w:rPr>
          <w:rFonts w:ascii="Calibri" w:hAnsi="Calibri" w:eastAsia="Calibri" w:cs="Calibri"/>
        </w:rPr>
      </w:pPr>
    </w:p>
    <w:p>
      <w:pPr>
        <w:rPr>
          <w:rFonts w:ascii="Calibri" w:hAnsi="Calibri" w:eastAsia="Calibri" w:cs="Calibri"/>
        </w:rPr>
      </w:pPr>
    </w:p>
    <w:p>
      <w:pPr>
        <w:rPr>
          <w:rFonts w:ascii="Calibri" w:hAnsi="Calibri" w:eastAsia="Calibri" w:cs="Calibri"/>
        </w:rPr>
      </w:pPr>
      <w:r>
        <w:rPr>
          <w:rFonts w:ascii="Calibri" w:hAnsi="Calibri" w:eastAsia="Calibri" w:cs="Calibri"/>
        </w:rPr>
        <w:t xml:space="preserve">Ethics Guide (2014) </w:t>
      </w:r>
      <w:r>
        <w:rPr>
          <w:rFonts w:ascii="Calibri" w:hAnsi="Calibri" w:eastAsia="Calibri" w:cs="Calibri"/>
          <w:i/>
          <w:iCs/>
        </w:rPr>
        <w:t>Introduction to Ethics Available at:</w:t>
      </w:r>
      <w:r>
        <w:rPr>
          <w:rFonts w:ascii="Calibri" w:hAnsi="Calibri" w:eastAsia="Calibri" w:cs="Calibri"/>
        </w:rPr>
        <w:t xml:space="preserve"> </w:t>
      </w:r>
      <w:r>
        <w:fldChar w:fldCharType="begin"/>
      </w:r>
      <w:r>
        <w:instrText xml:space="preserve"> HYPERLINK "https://www.bbc.co.uk/ethics/introduction/consequentialism_1.shtml" \h </w:instrText>
      </w:r>
      <w:r>
        <w:fldChar w:fldCharType="separate"/>
      </w:r>
      <w:r>
        <w:rPr>
          <w:rStyle w:val="7"/>
          <w:rFonts w:ascii="Calibri" w:hAnsi="Calibri" w:eastAsia="Calibri" w:cs="Calibri"/>
          <w:color w:val="auto"/>
        </w:rPr>
        <w:t>https://www.bbc.co.uk/ethics/introduction/consequentialism_1.shtml</w:t>
      </w:r>
      <w:r>
        <w:rPr>
          <w:rStyle w:val="7"/>
          <w:rFonts w:ascii="Calibri" w:hAnsi="Calibri" w:eastAsia="Calibri" w:cs="Calibri"/>
          <w:color w:val="auto"/>
        </w:rPr>
        <w:fldChar w:fldCharType="end"/>
      </w:r>
      <w:r>
        <w:rPr>
          <w:rFonts w:ascii="Calibri" w:hAnsi="Calibri" w:eastAsia="Calibri" w:cs="Calibri"/>
        </w:rPr>
        <w:t xml:space="preserve"> (Accessed 20</w:t>
      </w:r>
      <w:r>
        <w:rPr>
          <w:rFonts w:ascii="Calibri" w:hAnsi="Calibri" w:eastAsia="Calibri" w:cs="Calibri"/>
          <w:vertAlign w:val="superscript"/>
        </w:rPr>
        <w:t>th</w:t>
      </w:r>
      <w:r>
        <w:rPr>
          <w:rFonts w:ascii="Calibri" w:hAnsi="Calibri" w:eastAsia="Calibri" w:cs="Calibri"/>
        </w:rPr>
        <w:t xml:space="preserve"> November 2023)</w:t>
      </w:r>
    </w:p>
    <w:p/>
    <w:p/>
    <w:p>
      <w:pPr>
        <w:rPr>
          <w:rFonts w:ascii="Calibri" w:hAnsi="Calibri" w:eastAsia="Calibri" w:cs="Calibri"/>
          <w:color w:val="000000" w:themeColor="text1"/>
          <w:sz w:val="24"/>
          <w:szCs w:val="24"/>
          <w14:textFill>
            <w14:solidFill>
              <w14:schemeClr w14:val="tx1"/>
            </w14:solidFill>
          </w14:textFill>
        </w:rPr>
      </w:pPr>
      <w:r>
        <w:rPr>
          <w:rFonts w:ascii="Calibri" w:hAnsi="Calibri" w:eastAsia="Calibri" w:cs="Calibri"/>
          <w:color w:val="000000" w:themeColor="text1"/>
          <w:sz w:val="24"/>
          <w:szCs w:val="24"/>
          <w14:textFill>
            <w14:solidFill>
              <w14:schemeClr w14:val="tx1"/>
            </w14:solidFill>
          </w14:textFill>
        </w:rPr>
        <w:t xml:space="preserve">Howlett, W. and Coburn, T (2019) Critical Thinking. [Podcast}, CIPD. Available at: </w:t>
      </w:r>
      <w:r>
        <w:fldChar w:fldCharType="begin"/>
      </w:r>
      <w:r>
        <w:instrText xml:space="preserve"> HYPERLINK "https://www.cipd.org/uk/knowledge/podcasts/critical-thinking/" \h </w:instrText>
      </w:r>
      <w:r>
        <w:fldChar w:fldCharType="separate"/>
      </w:r>
      <w:r>
        <w:rPr>
          <w:rStyle w:val="7"/>
          <w:rFonts w:ascii="Calibri" w:hAnsi="Calibri" w:eastAsia="Calibri" w:cs="Calibri"/>
          <w:color w:val="000000" w:themeColor="text1"/>
          <w:sz w:val="24"/>
          <w:szCs w:val="24"/>
          <w14:textFill>
            <w14:solidFill>
              <w14:schemeClr w14:val="tx1"/>
            </w14:solidFill>
          </w14:textFill>
        </w:rPr>
        <w:t>https://www.cipd.org/uk/knowledge/podcasts/critical-thinking/</w:t>
      </w:r>
      <w:r>
        <w:rPr>
          <w:rStyle w:val="7"/>
          <w:rFonts w:ascii="Calibri" w:hAnsi="Calibri" w:eastAsia="Calibri" w:cs="Calibri"/>
          <w:color w:val="000000" w:themeColor="text1"/>
          <w:sz w:val="24"/>
          <w:szCs w:val="24"/>
          <w14:textFill>
            <w14:solidFill>
              <w14:schemeClr w14:val="tx1"/>
            </w14:solidFill>
          </w14:textFill>
        </w:rPr>
        <w:fldChar w:fldCharType="end"/>
      </w:r>
      <w:r>
        <w:rPr>
          <w:rFonts w:ascii="Calibri" w:hAnsi="Calibri" w:eastAsia="Calibri" w:cs="Calibri"/>
          <w:color w:val="000000" w:themeColor="text1"/>
          <w:sz w:val="24"/>
          <w:szCs w:val="24"/>
          <w14:textFill>
            <w14:solidFill>
              <w14:schemeClr w14:val="tx1"/>
            </w14:solidFill>
          </w14:textFill>
        </w:rPr>
        <w:t xml:space="preserve"> (Accessed: 19</w:t>
      </w:r>
      <w:r>
        <w:rPr>
          <w:rFonts w:ascii="Calibri" w:hAnsi="Calibri" w:eastAsia="Calibri" w:cs="Calibri"/>
          <w:color w:val="000000" w:themeColor="text1"/>
          <w:sz w:val="24"/>
          <w:szCs w:val="24"/>
          <w:vertAlign w:val="superscript"/>
          <w14:textFill>
            <w14:solidFill>
              <w14:schemeClr w14:val="tx1"/>
            </w14:solidFill>
          </w14:textFill>
        </w:rPr>
        <w:t>th</w:t>
      </w:r>
      <w:r>
        <w:rPr>
          <w:rFonts w:ascii="Calibri" w:hAnsi="Calibri" w:eastAsia="Calibri" w:cs="Calibri"/>
          <w:color w:val="000000" w:themeColor="text1"/>
          <w:sz w:val="24"/>
          <w:szCs w:val="24"/>
          <w14:textFill>
            <w14:solidFill>
              <w14:schemeClr w14:val="tx1"/>
            </w14:solidFill>
          </w14:textFill>
        </w:rPr>
        <w:t xml:space="preserve"> November 2023)</w:t>
      </w:r>
    </w:p>
    <w:p/>
    <w:p>
      <w:pPr>
        <w:pStyle w:val="2"/>
        <w:rPr>
          <w:rFonts w:asciiTheme="minorHAnsi" w:hAnsiTheme="minorHAnsi" w:eastAsiaTheme="minorEastAsia" w:cstheme="minorBidi"/>
          <w:color w:val="auto"/>
          <w:sz w:val="24"/>
          <w:szCs w:val="24"/>
        </w:rPr>
      </w:pPr>
    </w:p>
    <w:p>
      <w:pPr>
        <w:pStyle w:val="2"/>
        <w:rPr>
          <w:rFonts w:asciiTheme="minorHAnsi" w:hAnsiTheme="minorHAnsi" w:eastAsiaTheme="minorEastAsia" w:cstheme="minorBidi"/>
          <w:i/>
          <w:iCs/>
          <w:color w:val="auto"/>
          <w:sz w:val="24"/>
          <w:szCs w:val="24"/>
        </w:rPr>
      </w:pPr>
      <w:r>
        <w:rPr>
          <w:rFonts w:asciiTheme="minorHAnsi" w:hAnsiTheme="minorHAnsi" w:eastAsiaTheme="minorEastAsia" w:cstheme="minorBidi"/>
          <w:color w:val="auto"/>
          <w:sz w:val="24"/>
          <w:szCs w:val="24"/>
        </w:rPr>
        <w:t>Indeed 2023</w:t>
      </w:r>
      <w:r>
        <w:rPr>
          <w:rFonts w:asciiTheme="minorHAnsi" w:hAnsiTheme="minorHAnsi" w:eastAsiaTheme="minorEastAsia" w:cstheme="minorBidi"/>
          <w:i/>
          <w:iCs/>
          <w:color w:val="auto"/>
          <w:sz w:val="24"/>
          <w:szCs w:val="24"/>
        </w:rPr>
        <w:t xml:space="preserve"> A guide to PESTLE and SWOT analysis (with example) </w:t>
      </w:r>
    </w:p>
    <w:p>
      <w:pPr>
        <w:spacing w:after="0"/>
        <w:rPr>
          <w:rFonts w:ascii="Calibri" w:hAnsi="Calibri" w:eastAsia="Calibri" w:cs="Calibri"/>
          <w:sz w:val="24"/>
          <w:szCs w:val="24"/>
        </w:rPr>
      </w:pPr>
      <w:r>
        <w:fldChar w:fldCharType="begin"/>
      </w:r>
      <w:r>
        <w:instrText xml:space="preserve"> HYPERLINK "https://uk.indeed.com/career-advice/career-development/pestle-and-swot-analysis" \h </w:instrText>
      </w:r>
      <w:r>
        <w:fldChar w:fldCharType="separate"/>
      </w:r>
      <w:r>
        <w:rPr>
          <w:rStyle w:val="7"/>
          <w:rFonts w:ascii="Calibri" w:hAnsi="Calibri" w:eastAsia="Calibri" w:cs="Calibri"/>
          <w:color w:val="auto"/>
          <w:sz w:val="24"/>
          <w:szCs w:val="24"/>
        </w:rPr>
        <w:t>https://uk.indeed.com/career-advice/career-development/pestle-and-swot-analysis</w:t>
      </w:r>
      <w:r>
        <w:rPr>
          <w:rStyle w:val="7"/>
          <w:rFonts w:ascii="Calibri" w:hAnsi="Calibri" w:eastAsia="Calibri" w:cs="Calibri"/>
          <w:color w:val="auto"/>
          <w:sz w:val="24"/>
          <w:szCs w:val="24"/>
        </w:rPr>
        <w:fldChar w:fldCharType="end"/>
      </w:r>
      <w:r>
        <w:rPr>
          <w:rFonts w:ascii="Calibri" w:hAnsi="Calibri" w:eastAsia="Calibri" w:cs="Calibri"/>
          <w:sz w:val="24"/>
          <w:szCs w:val="24"/>
        </w:rPr>
        <w:t xml:space="preserve"> (Accessed 20</w:t>
      </w:r>
      <w:r>
        <w:rPr>
          <w:rFonts w:ascii="Calibri" w:hAnsi="Calibri" w:eastAsia="Calibri" w:cs="Calibri"/>
          <w:sz w:val="24"/>
          <w:szCs w:val="24"/>
          <w:vertAlign w:val="superscript"/>
        </w:rPr>
        <w:t>th</w:t>
      </w:r>
      <w:r>
        <w:rPr>
          <w:rFonts w:ascii="Calibri" w:hAnsi="Calibri" w:eastAsia="Calibri" w:cs="Calibri"/>
          <w:sz w:val="24"/>
          <w:szCs w:val="24"/>
        </w:rPr>
        <w:t xml:space="preserve"> November 2023)</w:t>
      </w:r>
    </w:p>
    <w:p>
      <w:pPr>
        <w:spacing w:after="0"/>
        <w:rPr>
          <w:rFonts w:ascii="Calibri" w:hAnsi="Calibri" w:eastAsia="Calibri" w:cs="Calibri"/>
          <w:sz w:val="24"/>
          <w:szCs w:val="24"/>
        </w:rPr>
      </w:pPr>
    </w:p>
    <w:p>
      <w:pPr>
        <w:spacing w:after="0"/>
        <w:rPr>
          <w:rFonts w:ascii="Calibri" w:hAnsi="Calibri" w:eastAsia="Calibri" w:cs="Calibri"/>
          <w:sz w:val="24"/>
          <w:szCs w:val="24"/>
        </w:rPr>
      </w:pPr>
    </w:p>
    <w:p>
      <w:pPr>
        <w:spacing w:after="0"/>
        <w:rPr>
          <w:rFonts w:ascii="Calibri" w:hAnsi="Calibri" w:eastAsia="Calibri" w:cs="Calibri"/>
          <w:sz w:val="24"/>
          <w:szCs w:val="24"/>
        </w:rPr>
      </w:pPr>
    </w:p>
    <w:p>
      <w:pPr>
        <w:spacing w:after="0"/>
        <w:jc w:val="both"/>
        <w:rPr>
          <w:rFonts w:ascii="Calibri" w:hAnsi="Calibri" w:eastAsia="Calibri" w:cs="Calibri"/>
          <w:sz w:val="24"/>
          <w:szCs w:val="24"/>
        </w:rPr>
      </w:pPr>
      <w:r>
        <w:rPr>
          <w:rFonts w:ascii="Calibri" w:hAnsi="Calibri" w:eastAsia="Calibri" w:cs="Calibri"/>
          <w:sz w:val="24"/>
          <w:szCs w:val="24"/>
        </w:rPr>
        <w:t xml:space="preserve">Mindtools 2023 </w:t>
      </w:r>
      <w:r>
        <w:rPr>
          <w:rFonts w:ascii="Calibri" w:hAnsi="Calibri" w:eastAsia="Calibri" w:cs="Calibri"/>
          <w:i/>
          <w:iCs/>
          <w:sz w:val="24"/>
          <w:szCs w:val="24"/>
        </w:rPr>
        <w:t xml:space="preserve">Six thinking hats Available at: </w:t>
      </w:r>
      <w:r>
        <w:fldChar w:fldCharType="begin"/>
      </w:r>
      <w:r>
        <w:instrText xml:space="preserve"> HYPERLINK "https://www.mindtools.com/ajlpp1e/six-thinking-hats" \h </w:instrText>
      </w:r>
      <w:r>
        <w:fldChar w:fldCharType="separate"/>
      </w:r>
      <w:r>
        <w:rPr>
          <w:rStyle w:val="7"/>
          <w:rFonts w:ascii="Calibri" w:hAnsi="Calibri" w:eastAsia="Calibri" w:cs="Calibri"/>
          <w:color w:val="auto"/>
          <w:sz w:val="24"/>
          <w:szCs w:val="24"/>
        </w:rPr>
        <w:t>https://www.mindtools.com/ajlpp1e/six-thinking-hats</w:t>
      </w:r>
      <w:r>
        <w:rPr>
          <w:rStyle w:val="7"/>
          <w:rFonts w:ascii="Calibri" w:hAnsi="Calibri" w:eastAsia="Calibri" w:cs="Calibri"/>
          <w:color w:val="auto"/>
          <w:sz w:val="24"/>
          <w:szCs w:val="24"/>
        </w:rPr>
        <w:fldChar w:fldCharType="end"/>
      </w:r>
      <w:r>
        <w:rPr>
          <w:rFonts w:ascii="Calibri" w:hAnsi="Calibri" w:eastAsia="Calibri" w:cs="Calibri"/>
          <w:sz w:val="24"/>
          <w:szCs w:val="24"/>
        </w:rPr>
        <w:t xml:space="preserve"> (Accessed 10</w:t>
      </w:r>
      <w:r>
        <w:rPr>
          <w:rFonts w:ascii="Calibri" w:hAnsi="Calibri" w:eastAsia="Calibri" w:cs="Calibri"/>
          <w:sz w:val="24"/>
          <w:szCs w:val="24"/>
          <w:vertAlign w:val="superscript"/>
        </w:rPr>
        <w:t>th</w:t>
      </w:r>
      <w:r>
        <w:rPr>
          <w:rFonts w:ascii="Calibri" w:hAnsi="Calibri" w:eastAsia="Calibri" w:cs="Calibri"/>
          <w:sz w:val="24"/>
          <w:szCs w:val="24"/>
        </w:rPr>
        <w:t xml:space="preserve"> November 2023)</w:t>
      </w:r>
    </w:p>
    <w:p>
      <w:pPr>
        <w:spacing w:after="0"/>
        <w:rPr>
          <w:rFonts w:ascii="Calibri" w:hAnsi="Calibri" w:eastAsia="Calibri" w:cs="Calibri"/>
          <w:sz w:val="24"/>
          <w:szCs w:val="24"/>
        </w:rPr>
      </w:pPr>
    </w:p>
    <w:p>
      <w:pPr>
        <w:rPr>
          <w:highlight w:val="yellow"/>
        </w:rPr>
      </w:pPr>
    </w:p>
    <w:p>
      <w:pPr>
        <w:rPr>
          <w:highlight w:val="yellow"/>
        </w:rPr>
      </w:pPr>
    </w:p>
    <w:p>
      <w:pPr>
        <w:pStyle w:val="2"/>
        <w:rPr>
          <w:rFonts w:ascii="Calibri" w:hAnsi="Calibri" w:eastAsia="Calibri" w:cs="Calibri"/>
          <w:color w:val="auto"/>
          <w:sz w:val="24"/>
          <w:szCs w:val="24"/>
        </w:rPr>
      </w:pPr>
      <w:r>
        <w:rPr>
          <w:rFonts w:asciiTheme="minorHAnsi" w:hAnsiTheme="minorHAnsi" w:eastAsiaTheme="minorEastAsia" w:cstheme="minorBidi"/>
          <w:color w:val="auto"/>
          <w:sz w:val="24"/>
          <w:szCs w:val="24"/>
        </w:rPr>
        <w:t>Indeed (2023)</w:t>
      </w:r>
      <w:r>
        <w:rPr>
          <w:rFonts w:asciiTheme="minorHAnsi" w:hAnsiTheme="minorHAnsi" w:eastAsiaTheme="minorEastAsia" w:cstheme="minorBidi"/>
          <w:i/>
          <w:iCs/>
          <w:color w:val="auto"/>
          <w:sz w:val="24"/>
          <w:szCs w:val="24"/>
        </w:rPr>
        <w:t xml:space="preserve"> 8 steps for an effective decision-making process (With tips)</w:t>
      </w:r>
      <w:r>
        <w:rPr>
          <w:rFonts w:asciiTheme="minorHAnsi" w:hAnsiTheme="minorHAnsi" w:eastAsiaTheme="minorEastAsia" w:cstheme="minorBidi"/>
          <w:color w:val="auto"/>
          <w:sz w:val="24"/>
          <w:szCs w:val="24"/>
        </w:rPr>
        <w:t xml:space="preserve"> Available at: </w:t>
      </w:r>
      <w:r>
        <w:fldChar w:fldCharType="begin"/>
      </w:r>
      <w:r>
        <w:instrText xml:space="preserve"> HYPERLINK "https://uk.indeed.com/career-advice/career-development/decision-making-process" \h </w:instrText>
      </w:r>
      <w:r>
        <w:fldChar w:fldCharType="separate"/>
      </w:r>
      <w:r>
        <w:rPr>
          <w:rStyle w:val="7"/>
          <w:rFonts w:ascii="Calibri" w:hAnsi="Calibri" w:eastAsia="Calibri" w:cs="Calibri"/>
          <w:color w:val="auto"/>
          <w:sz w:val="24"/>
          <w:szCs w:val="24"/>
        </w:rPr>
        <w:t>https://uk.indeed.com/career-advice/career-development/decision-making-process</w:t>
      </w:r>
      <w:r>
        <w:rPr>
          <w:rStyle w:val="7"/>
          <w:rFonts w:ascii="Calibri" w:hAnsi="Calibri" w:eastAsia="Calibri" w:cs="Calibri"/>
          <w:color w:val="auto"/>
          <w:sz w:val="24"/>
          <w:szCs w:val="24"/>
        </w:rPr>
        <w:fldChar w:fldCharType="end"/>
      </w:r>
      <w:r>
        <w:rPr>
          <w:rFonts w:ascii="Calibri" w:hAnsi="Calibri" w:eastAsia="Calibri" w:cs="Calibri"/>
          <w:color w:val="auto"/>
          <w:sz w:val="24"/>
          <w:szCs w:val="24"/>
        </w:rPr>
        <w:t xml:space="preserve"> (Accessed 10</w:t>
      </w:r>
      <w:r>
        <w:rPr>
          <w:rFonts w:ascii="Calibri" w:hAnsi="Calibri" w:eastAsia="Calibri" w:cs="Calibri"/>
          <w:color w:val="auto"/>
          <w:sz w:val="24"/>
          <w:szCs w:val="24"/>
          <w:vertAlign w:val="superscript"/>
        </w:rPr>
        <w:t>th</w:t>
      </w:r>
      <w:r>
        <w:rPr>
          <w:rFonts w:ascii="Calibri" w:hAnsi="Calibri" w:eastAsia="Calibri" w:cs="Calibri"/>
          <w:color w:val="auto"/>
          <w:sz w:val="24"/>
          <w:szCs w:val="24"/>
        </w:rPr>
        <w:t xml:space="preserve"> November 2023)</w:t>
      </w:r>
    </w:p>
    <w:p/>
    <w:p>
      <w:pPr>
        <w:rPr>
          <w:rFonts w:eastAsiaTheme="minorEastAsia"/>
          <w:sz w:val="24"/>
          <w:szCs w:val="24"/>
        </w:rPr>
      </w:pPr>
    </w:p>
    <w:p>
      <w:pPr>
        <w:rPr>
          <w:rFonts w:eastAsiaTheme="minorEastAsia"/>
          <w:sz w:val="24"/>
          <w:szCs w:val="24"/>
          <w:highlight w:val="none"/>
        </w:rPr>
      </w:pPr>
      <w:r>
        <w:rPr>
          <w:rFonts w:eastAsiaTheme="minorEastAsia"/>
          <w:sz w:val="24"/>
          <w:szCs w:val="24"/>
        </w:rPr>
        <w:t xml:space="preserve">Kaplan, R.S. and Norton, D.P. (2005). </w:t>
      </w:r>
      <w:r>
        <w:rPr>
          <w:rFonts w:eastAsiaTheme="minorEastAsia"/>
          <w:i/>
          <w:iCs/>
          <w:sz w:val="24"/>
          <w:szCs w:val="24"/>
        </w:rPr>
        <w:t>The Balanced Scorecard: Measures That Drive Performance</w:t>
      </w:r>
      <w:r>
        <w:rPr>
          <w:rFonts w:eastAsiaTheme="minorEastAsia"/>
          <w:sz w:val="24"/>
          <w:szCs w:val="24"/>
        </w:rPr>
        <w:t xml:space="preserve"> Available at https://hbr.org/2005/07/the-balanced-scorecard-measures-</w:t>
      </w:r>
      <w:r>
        <w:rPr>
          <w:rFonts w:eastAsiaTheme="minorEastAsia"/>
          <w:sz w:val="24"/>
          <w:szCs w:val="24"/>
          <w:highlight w:val="none"/>
        </w:rPr>
        <w:t>that-drive-performance (Accessed 20</w:t>
      </w:r>
      <w:r>
        <w:rPr>
          <w:rFonts w:eastAsiaTheme="minorEastAsia"/>
          <w:sz w:val="24"/>
          <w:szCs w:val="24"/>
          <w:highlight w:val="none"/>
          <w:vertAlign w:val="superscript"/>
        </w:rPr>
        <w:t>th</w:t>
      </w:r>
      <w:r>
        <w:rPr>
          <w:rFonts w:eastAsiaTheme="minorEastAsia"/>
          <w:sz w:val="24"/>
          <w:szCs w:val="24"/>
          <w:highlight w:val="none"/>
        </w:rPr>
        <w:t xml:space="preserve"> November 2023)</w:t>
      </w:r>
    </w:p>
    <w:p>
      <w:pPr>
        <w:rPr>
          <w:highlight w:val="none"/>
        </w:rPr>
      </w:pPr>
    </w:p>
    <w:p>
      <w:pPr>
        <w:spacing w:after="0" w:line="257" w:lineRule="auto"/>
        <w:jc w:val="both"/>
        <w:rPr>
          <w:rFonts w:ascii="Calibri" w:hAnsi="Calibri" w:eastAsia="Calibri" w:cs="Calibri"/>
          <w:sz w:val="24"/>
          <w:szCs w:val="24"/>
          <w:highlight w:val="none"/>
        </w:rPr>
      </w:pPr>
    </w:p>
    <w:p>
      <w:pPr>
        <w:pStyle w:val="2"/>
        <w:rPr>
          <w:rFonts w:asciiTheme="minorHAnsi" w:hAnsiTheme="minorHAnsi" w:eastAsiaTheme="minorEastAsia" w:cstheme="minorBidi"/>
          <w:color w:val="auto"/>
          <w:sz w:val="24"/>
          <w:szCs w:val="24"/>
          <w:highlight w:val="none"/>
        </w:rPr>
      </w:pPr>
      <w:r>
        <w:rPr>
          <w:rFonts w:asciiTheme="minorHAnsi" w:hAnsiTheme="minorHAnsi" w:eastAsiaTheme="minorEastAsia" w:cstheme="minorBidi"/>
          <w:color w:val="auto"/>
          <w:sz w:val="24"/>
          <w:szCs w:val="24"/>
          <w:highlight w:val="none"/>
        </w:rPr>
        <w:t>LinkedIn (2023)</w:t>
      </w:r>
      <w:r>
        <w:rPr>
          <w:rFonts w:asciiTheme="minorHAnsi" w:hAnsiTheme="minorHAnsi" w:eastAsiaTheme="minorEastAsia" w:cstheme="minorBidi"/>
          <w:i/>
          <w:iCs/>
          <w:color w:val="auto"/>
          <w:sz w:val="24"/>
          <w:szCs w:val="24"/>
          <w:highlight w:val="none"/>
        </w:rPr>
        <w:t xml:space="preserve"> The Six Thinking Hats Method: A Powerful Tool for Improved Decision Making Available at: </w:t>
      </w:r>
      <w:r>
        <w:rPr>
          <w:highlight w:val="none"/>
        </w:rPr>
        <w:fldChar w:fldCharType="begin"/>
      </w:r>
      <w:r>
        <w:rPr>
          <w:highlight w:val="none"/>
        </w:rPr>
        <w:instrText xml:space="preserve"> HYPERLINK "https://www.linkedin.com/pulse/six-thinking-hats-method-powerful-tool-improved-decision-palleti" \h </w:instrText>
      </w:r>
      <w:r>
        <w:rPr>
          <w:highlight w:val="none"/>
        </w:rPr>
        <w:fldChar w:fldCharType="separate"/>
      </w:r>
      <w:r>
        <w:rPr>
          <w:rStyle w:val="7"/>
          <w:rFonts w:asciiTheme="minorHAnsi" w:hAnsiTheme="minorHAnsi" w:eastAsiaTheme="minorEastAsia" w:cstheme="minorBidi"/>
          <w:color w:val="auto"/>
          <w:sz w:val="24"/>
          <w:szCs w:val="24"/>
          <w:highlight w:val="none"/>
        </w:rPr>
        <w:t>https://www.linkedin.com/pulse/six-thinking-hats-method-powerful-tool-improved-decision-palleti</w:t>
      </w:r>
      <w:r>
        <w:rPr>
          <w:rStyle w:val="7"/>
          <w:rFonts w:asciiTheme="minorHAnsi" w:hAnsiTheme="minorHAnsi" w:eastAsiaTheme="minorEastAsia" w:cstheme="minorBidi"/>
          <w:color w:val="auto"/>
          <w:sz w:val="24"/>
          <w:szCs w:val="24"/>
          <w:highlight w:val="none"/>
        </w:rPr>
        <w:fldChar w:fldCharType="end"/>
      </w:r>
      <w:r>
        <w:rPr>
          <w:rFonts w:asciiTheme="minorHAnsi" w:hAnsiTheme="minorHAnsi" w:eastAsiaTheme="minorEastAsia" w:cstheme="minorBidi"/>
          <w:color w:val="auto"/>
          <w:sz w:val="24"/>
          <w:szCs w:val="24"/>
          <w:highlight w:val="none"/>
        </w:rPr>
        <w:t xml:space="preserve"> (Accessed 10</w:t>
      </w:r>
      <w:r>
        <w:rPr>
          <w:rFonts w:asciiTheme="minorHAnsi" w:hAnsiTheme="minorHAnsi" w:eastAsiaTheme="minorEastAsia" w:cstheme="minorBidi"/>
          <w:color w:val="auto"/>
          <w:sz w:val="24"/>
          <w:szCs w:val="24"/>
          <w:highlight w:val="none"/>
          <w:vertAlign w:val="superscript"/>
        </w:rPr>
        <w:t>th</w:t>
      </w:r>
      <w:r>
        <w:rPr>
          <w:rFonts w:asciiTheme="minorHAnsi" w:hAnsiTheme="minorHAnsi" w:eastAsiaTheme="minorEastAsia" w:cstheme="minorBidi"/>
          <w:color w:val="auto"/>
          <w:sz w:val="24"/>
          <w:szCs w:val="24"/>
          <w:highlight w:val="none"/>
        </w:rPr>
        <w:t xml:space="preserve"> November 2023)</w:t>
      </w:r>
    </w:p>
    <w:p>
      <w:pPr>
        <w:rPr>
          <w:rFonts w:eastAsiaTheme="minorEastAsia"/>
          <w:sz w:val="24"/>
          <w:szCs w:val="24"/>
          <w:highlight w:val="none"/>
        </w:rPr>
      </w:pPr>
    </w:p>
    <w:p>
      <w:pPr>
        <w:rPr>
          <w:rFonts w:eastAsiaTheme="minorEastAsia"/>
          <w:sz w:val="24"/>
          <w:szCs w:val="24"/>
          <w:highlight w:val="none"/>
        </w:rPr>
      </w:pPr>
    </w:p>
    <w:p>
      <w:pPr>
        <w:rPr>
          <w:rFonts w:eastAsiaTheme="minorEastAsia"/>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No Author (2023) </w:t>
      </w:r>
      <w:r>
        <w:rPr>
          <w:i/>
          <w:iCs/>
          <w:color w:val="000000" w:themeColor="text1"/>
          <w:highlight w:val="none"/>
          <w14:textFill>
            <w14:solidFill>
              <w14:schemeClr w14:val="tx1"/>
            </w14:solidFill>
          </w14:textFill>
        </w:rPr>
        <w:t>The Balance Scorecard</w:t>
      </w:r>
      <w:r>
        <w:rPr>
          <w:color w:val="000000" w:themeColor="text1"/>
          <w:highlight w:val="none"/>
          <w14:textFill>
            <w14:solidFill>
              <w14:schemeClr w14:val="tx1"/>
            </w14:solidFill>
          </w14:textFill>
        </w:rPr>
        <w:t xml:space="preserve"> Available at: </w:t>
      </w:r>
      <w:r>
        <w:rPr>
          <w:highlight w:val="none"/>
        </w:rPr>
        <w:fldChar w:fldCharType="begin"/>
      </w:r>
      <w:r>
        <w:rPr>
          <w:highlight w:val="none"/>
        </w:rPr>
        <w:instrText xml:space="preserve"> HYPERLINK "https://www.oxfordreference.com/display/10.1093/oi/authority.20110803095442300" </w:instrText>
      </w:r>
      <w:r>
        <w:rPr>
          <w:highlight w:val="none"/>
        </w:rPr>
        <w:fldChar w:fldCharType="separate"/>
      </w:r>
      <w:r>
        <w:rPr>
          <w:rStyle w:val="7"/>
          <w:rFonts w:eastAsiaTheme="minorEastAsia"/>
          <w:color w:val="000000" w:themeColor="text1"/>
          <w:sz w:val="24"/>
          <w:szCs w:val="24"/>
          <w:highlight w:val="none"/>
          <w14:textFill>
            <w14:solidFill>
              <w14:schemeClr w14:val="tx1"/>
            </w14:solidFill>
          </w14:textFill>
        </w:rPr>
        <w:t>https://www.oxfordreference.com/display/10.1093/oi/authority.20110803095442300</w:t>
      </w:r>
      <w:r>
        <w:rPr>
          <w:rStyle w:val="7"/>
          <w:rFonts w:eastAsiaTheme="minorEastAsia"/>
          <w:color w:val="000000" w:themeColor="text1"/>
          <w:sz w:val="24"/>
          <w:szCs w:val="24"/>
          <w:highlight w:val="none"/>
          <w14:textFill>
            <w14:solidFill>
              <w14:schemeClr w14:val="tx1"/>
            </w14:solidFill>
          </w14:textFill>
        </w:rPr>
        <w:fldChar w:fldCharType="end"/>
      </w:r>
      <w:r>
        <w:rPr>
          <w:rFonts w:eastAsiaTheme="minorEastAsia"/>
          <w:color w:val="000000" w:themeColor="text1"/>
          <w:sz w:val="24"/>
          <w:szCs w:val="24"/>
          <w:highlight w:val="none"/>
          <w14:textFill>
            <w14:solidFill>
              <w14:schemeClr w14:val="tx1"/>
            </w14:solidFill>
          </w14:textFill>
        </w:rPr>
        <w:t xml:space="preserve"> (Accessed on 27th October 2023)</w:t>
      </w:r>
    </w:p>
    <w:p>
      <w:pPr>
        <w:rPr>
          <w:highlight w:val="none"/>
        </w:rPr>
      </w:pPr>
    </w:p>
    <w:p>
      <w:pPr>
        <w:rPr>
          <w:highlight w:val="none"/>
        </w:rPr>
      </w:pPr>
    </w:p>
    <w:p>
      <w:pPr>
        <w:rPr>
          <w:rFonts w:eastAsiaTheme="minorEastAsia"/>
          <w:sz w:val="24"/>
          <w:szCs w:val="24"/>
          <w:highlight w:val="none"/>
        </w:rPr>
      </w:pPr>
      <w:r>
        <w:rPr>
          <w:highlight w:val="none"/>
        </w:rPr>
        <w:t>PM People Management (2023) From</w:t>
      </w:r>
      <w:r>
        <w:rPr>
          <w:i/>
          <w:iCs/>
          <w:highlight w:val="none"/>
        </w:rPr>
        <w:t xml:space="preserve"> insight to impact : three workforce analytics that drive </w:t>
      </w:r>
      <w:r>
        <w:rPr>
          <w:i/>
          <w:iCs/>
          <w:color w:val="000000" w:themeColor="text1"/>
          <w:highlight w:val="none"/>
          <w14:textFill>
            <w14:solidFill>
              <w14:schemeClr w14:val="tx1"/>
            </w14:solidFill>
          </w14:textFill>
        </w:rPr>
        <w:t xml:space="preserve">unprecedented ROI </w:t>
      </w:r>
      <w:r>
        <w:rPr>
          <w:highlight w:val="none"/>
        </w:rPr>
        <w:fldChar w:fldCharType="begin"/>
      </w:r>
      <w:r>
        <w:rPr>
          <w:highlight w:val="none"/>
        </w:rPr>
        <w:instrText xml:space="preserve"> HYPERLINK "https://www.peoplemanagement.co.uk/article/1840210/insight-impact-three-workforce-analytics-drive-unprecedented-roi" </w:instrText>
      </w:r>
      <w:r>
        <w:rPr>
          <w:highlight w:val="none"/>
        </w:rPr>
        <w:fldChar w:fldCharType="separate"/>
      </w:r>
      <w:r>
        <w:rPr>
          <w:rStyle w:val="7"/>
          <w:rFonts w:eastAsiaTheme="minorEastAsia"/>
          <w:color w:val="000000" w:themeColor="text1"/>
          <w:sz w:val="24"/>
          <w:szCs w:val="24"/>
          <w:highlight w:val="none"/>
          <w14:textFill>
            <w14:solidFill>
              <w14:schemeClr w14:val="tx1"/>
            </w14:solidFill>
          </w14:textFill>
        </w:rPr>
        <w:t>https://www.peoplemanagement.co.uk/article/1840210/insight-impact-three-workforce-analytics-drive-unprecedented-roi</w:t>
      </w:r>
      <w:r>
        <w:rPr>
          <w:rStyle w:val="7"/>
          <w:rFonts w:eastAsiaTheme="minorEastAsia"/>
          <w:color w:val="000000" w:themeColor="text1"/>
          <w:sz w:val="24"/>
          <w:szCs w:val="24"/>
          <w:highlight w:val="none"/>
          <w14:textFill>
            <w14:solidFill>
              <w14:schemeClr w14:val="tx1"/>
            </w14:solidFill>
          </w14:textFill>
        </w:rPr>
        <w:fldChar w:fldCharType="end"/>
      </w:r>
      <w:r>
        <w:rPr>
          <w:rFonts w:eastAsiaTheme="minorEastAsia"/>
          <w:color w:val="000000" w:themeColor="text1"/>
          <w:sz w:val="24"/>
          <w:szCs w:val="24"/>
          <w:highlight w:val="none"/>
          <w14:textFill>
            <w14:solidFill>
              <w14:schemeClr w14:val="tx1"/>
            </w14:solidFill>
          </w14:textFill>
        </w:rPr>
        <w:t xml:space="preserve"> (Accessed 26th October 2023) </w:t>
      </w:r>
    </w:p>
    <w:p>
      <w:pPr>
        <w:jc w:val="both"/>
        <w:rPr>
          <w:b w:val="0"/>
          <w:bCs w:val="0"/>
          <w:sz w:val="24"/>
          <w:szCs w:val="24"/>
          <w:highlight w:val="none"/>
        </w:rPr>
      </w:pPr>
    </w:p>
    <w:p>
      <w:pPr>
        <w:jc w:val="both"/>
        <w:rPr>
          <w:rFonts w:hint="default"/>
          <w:b w:val="0"/>
          <w:bCs w:val="0"/>
          <w:sz w:val="24"/>
          <w:szCs w:val="24"/>
          <w:highlight w:val="none"/>
          <w:lang w:val="en-US"/>
        </w:rPr>
      </w:pPr>
      <w:r>
        <w:rPr>
          <w:rFonts w:hint="default"/>
          <w:b w:val="0"/>
          <w:bCs w:val="0"/>
          <w:sz w:val="24"/>
          <w:szCs w:val="24"/>
          <w:highlight w:val="none"/>
          <w:lang w:val="en-US"/>
        </w:rPr>
        <w:t xml:space="preserve">CIPD (2023) Gender Pay Gap Reporting  Available at: </w:t>
      </w:r>
      <w:r>
        <w:rPr>
          <w:rFonts w:hint="default"/>
          <w:b w:val="0"/>
          <w:bCs w:val="0"/>
          <w:sz w:val="24"/>
          <w:szCs w:val="24"/>
          <w:highlight w:val="none"/>
        </w:rPr>
        <w:fldChar w:fldCharType="begin"/>
      </w:r>
      <w:r>
        <w:rPr>
          <w:rFonts w:hint="default"/>
          <w:b w:val="0"/>
          <w:bCs w:val="0"/>
          <w:sz w:val="24"/>
          <w:szCs w:val="24"/>
          <w:highlight w:val="none"/>
        </w:rPr>
        <w:instrText xml:space="preserve"> HYPERLINK "https://www.cipd.org/uk/knowledge/guides/gender-pay-gap-reporting-guide/" </w:instrText>
      </w:r>
      <w:r>
        <w:rPr>
          <w:rFonts w:hint="default"/>
          <w:b w:val="0"/>
          <w:bCs w:val="0"/>
          <w:sz w:val="24"/>
          <w:szCs w:val="24"/>
          <w:highlight w:val="none"/>
        </w:rPr>
        <w:fldChar w:fldCharType="separate"/>
      </w:r>
      <w:r>
        <w:rPr>
          <w:rStyle w:val="7"/>
          <w:rFonts w:hint="default"/>
          <w:b w:val="0"/>
          <w:bCs w:val="0"/>
          <w:sz w:val="24"/>
          <w:szCs w:val="24"/>
          <w:highlight w:val="none"/>
        </w:rPr>
        <w:t>https://www.cipd.org/uk/knowledge/guides/gender-pay-gap-reporting-guide/</w:t>
      </w:r>
      <w:r>
        <w:rPr>
          <w:rFonts w:hint="default"/>
          <w:b w:val="0"/>
          <w:bCs w:val="0"/>
          <w:sz w:val="24"/>
          <w:szCs w:val="24"/>
          <w:highlight w:val="none"/>
        </w:rPr>
        <w:fldChar w:fldCharType="end"/>
      </w:r>
      <w:r>
        <w:rPr>
          <w:rFonts w:hint="default"/>
          <w:b w:val="0"/>
          <w:bCs w:val="0"/>
          <w:sz w:val="24"/>
          <w:szCs w:val="24"/>
          <w:highlight w:val="none"/>
          <w:lang w:val="en-US"/>
        </w:rPr>
        <w:t xml:space="preserve"> (Accessed on February 10</w:t>
      </w:r>
      <w:r>
        <w:rPr>
          <w:rFonts w:hint="default"/>
          <w:b w:val="0"/>
          <w:bCs w:val="0"/>
          <w:sz w:val="24"/>
          <w:szCs w:val="24"/>
          <w:highlight w:val="none"/>
          <w:vertAlign w:val="superscript"/>
          <w:lang w:val="en-US"/>
        </w:rPr>
        <w:t>th</w:t>
      </w:r>
      <w:r>
        <w:rPr>
          <w:rFonts w:hint="default"/>
          <w:b w:val="0"/>
          <w:bCs w:val="0"/>
          <w:sz w:val="24"/>
          <w:szCs w:val="24"/>
          <w:highlight w:val="none"/>
          <w:lang w:val="en-US"/>
        </w:rPr>
        <w:t xml:space="preserve"> 2024) </w:t>
      </w:r>
    </w:p>
    <w:p>
      <w:pPr>
        <w:jc w:val="both"/>
        <w:rPr>
          <w:b w:val="0"/>
          <w:bCs w:val="0"/>
          <w:sz w:val="24"/>
          <w:szCs w:val="24"/>
          <w:highlight w:val="none"/>
        </w:rPr>
      </w:pPr>
    </w:p>
    <w:p>
      <w:pPr>
        <w:jc w:val="both"/>
        <w:rPr>
          <w:rFonts w:hint="default"/>
          <w:b w:val="0"/>
          <w:bCs w:val="0"/>
          <w:sz w:val="24"/>
          <w:szCs w:val="24"/>
          <w:highlight w:val="none"/>
          <w:lang w:val="en-US"/>
        </w:rPr>
      </w:pPr>
      <w:r>
        <w:rPr>
          <w:rFonts w:hint="default"/>
          <w:b w:val="0"/>
          <w:bCs w:val="0"/>
          <w:sz w:val="24"/>
          <w:szCs w:val="24"/>
          <w:highlight w:val="none"/>
          <w:lang w:val="en-US"/>
        </w:rPr>
        <w:t xml:space="preserve">CIPD (2022) Five actions you can take to foster inclusion Available at: </w:t>
      </w:r>
      <w:r>
        <w:rPr>
          <w:rFonts w:hint="default"/>
          <w:b w:val="0"/>
          <w:bCs w:val="0"/>
          <w:sz w:val="24"/>
          <w:szCs w:val="24"/>
          <w:highlight w:val="none"/>
        </w:rPr>
        <w:fldChar w:fldCharType="begin"/>
      </w:r>
      <w:r>
        <w:rPr>
          <w:rFonts w:hint="default"/>
          <w:b w:val="0"/>
          <w:bCs w:val="0"/>
          <w:sz w:val="24"/>
          <w:szCs w:val="24"/>
          <w:highlight w:val="none"/>
        </w:rPr>
        <w:instrText xml:space="preserve"> HYPERLINK "https://www.cipd.org/uk/knowledge/guides/five-actions-fostering-inclusion/" </w:instrText>
      </w:r>
      <w:r>
        <w:rPr>
          <w:rFonts w:hint="default"/>
          <w:b w:val="0"/>
          <w:bCs w:val="0"/>
          <w:sz w:val="24"/>
          <w:szCs w:val="24"/>
          <w:highlight w:val="none"/>
        </w:rPr>
        <w:fldChar w:fldCharType="separate"/>
      </w:r>
      <w:r>
        <w:rPr>
          <w:rStyle w:val="7"/>
          <w:rFonts w:hint="default"/>
          <w:b w:val="0"/>
          <w:bCs w:val="0"/>
          <w:sz w:val="24"/>
          <w:szCs w:val="24"/>
          <w:highlight w:val="none"/>
        </w:rPr>
        <w:t>https://www.cipd.org/uk/knowledge/guides/five-actions-fostering-inclusion/</w:t>
      </w:r>
      <w:r>
        <w:rPr>
          <w:rFonts w:hint="default"/>
          <w:b w:val="0"/>
          <w:bCs w:val="0"/>
          <w:sz w:val="24"/>
          <w:szCs w:val="24"/>
          <w:highlight w:val="none"/>
        </w:rPr>
        <w:fldChar w:fldCharType="end"/>
      </w:r>
      <w:r>
        <w:rPr>
          <w:rFonts w:hint="default"/>
          <w:b w:val="0"/>
          <w:bCs w:val="0"/>
          <w:sz w:val="24"/>
          <w:szCs w:val="24"/>
          <w:highlight w:val="none"/>
          <w:lang w:val="en-US"/>
        </w:rPr>
        <w:t xml:space="preserve"> Accessed on 10</w:t>
      </w:r>
      <w:r>
        <w:rPr>
          <w:rFonts w:hint="default"/>
          <w:b w:val="0"/>
          <w:bCs w:val="0"/>
          <w:sz w:val="24"/>
          <w:szCs w:val="24"/>
          <w:highlight w:val="none"/>
          <w:vertAlign w:val="superscript"/>
          <w:lang w:val="en-US"/>
        </w:rPr>
        <w:t>th</w:t>
      </w:r>
      <w:r>
        <w:rPr>
          <w:rFonts w:hint="default"/>
          <w:b w:val="0"/>
          <w:bCs w:val="0"/>
          <w:sz w:val="24"/>
          <w:szCs w:val="24"/>
          <w:highlight w:val="none"/>
          <w:lang w:val="en-US"/>
        </w:rPr>
        <w:t xml:space="preserve"> February 2024</w:t>
      </w:r>
    </w:p>
    <w:p>
      <w:pPr>
        <w:jc w:val="both"/>
        <w:rPr>
          <w:b w:val="0"/>
          <w:bCs w:val="0"/>
          <w:sz w:val="24"/>
          <w:szCs w:val="24"/>
          <w:highlight w:val="none"/>
        </w:rPr>
      </w:pPr>
    </w:p>
    <w:p>
      <w:pPr>
        <w:jc w:val="both"/>
        <w:rPr>
          <w:b w:val="0"/>
          <w:bCs w:val="0"/>
          <w:sz w:val="24"/>
          <w:szCs w:val="24"/>
          <w:highlight w:val="none"/>
        </w:rPr>
      </w:pPr>
    </w:p>
    <w:p>
      <w:pPr>
        <w:jc w:val="both"/>
        <w:rPr>
          <w:rFonts w:hint="default"/>
          <w:b w:val="0"/>
          <w:bCs w:val="0"/>
          <w:sz w:val="24"/>
          <w:szCs w:val="24"/>
          <w:highlight w:val="none"/>
          <w:lang w:val="en-US"/>
        </w:rPr>
      </w:pPr>
      <w:r>
        <w:rPr>
          <w:rFonts w:hint="default"/>
          <w:b w:val="0"/>
          <w:bCs w:val="0"/>
          <w:sz w:val="24"/>
          <w:szCs w:val="24"/>
          <w:highlight w:val="none"/>
          <w:lang w:val="en-US"/>
        </w:rPr>
        <w:t xml:space="preserve">CIPD (2019) Diversity management that works Available at: </w:t>
      </w:r>
      <w:r>
        <w:rPr>
          <w:rFonts w:hint="default"/>
          <w:b w:val="0"/>
          <w:bCs w:val="0"/>
          <w:sz w:val="24"/>
          <w:szCs w:val="24"/>
          <w:highlight w:val="none"/>
          <w:lang w:val="en-US"/>
        </w:rPr>
        <w:fldChar w:fldCharType="begin"/>
      </w:r>
      <w:r>
        <w:rPr>
          <w:rFonts w:hint="default"/>
          <w:b w:val="0"/>
          <w:bCs w:val="0"/>
          <w:sz w:val="24"/>
          <w:szCs w:val="24"/>
          <w:highlight w:val="none"/>
          <w:lang w:val="en-US"/>
        </w:rPr>
        <w:instrText xml:space="preserve"> HYPERLINK "https://www.cipd.org/uk/knowledge/reports/diversity-management-recommendations/?_gl=1*1gnleau*_ga*MzIwMTkwNTMyLjE3MDczOTE2NzU.*_ga_D9HN5GYHYY*MTcwNzc2NjAwNC40LjAuMTcwNzc2NjAwNC42MC4wLjA." </w:instrText>
      </w:r>
      <w:r>
        <w:rPr>
          <w:rFonts w:hint="default"/>
          <w:b w:val="0"/>
          <w:bCs w:val="0"/>
          <w:sz w:val="24"/>
          <w:szCs w:val="24"/>
          <w:highlight w:val="none"/>
          <w:lang w:val="en-US"/>
        </w:rPr>
        <w:fldChar w:fldCharType="separate"/>
      </w:r>
      <w:r>
        <w:rPr>
          <w:rStyle w:val="7"/>
          <w:rFonts w:hint="default"/>
          <w:b w:val="0"/>
          <w:bCs w:val="0"/>
          <w:sz w:val="24"/>
          <w:szCs w:val="24"/>
          <w:highlight w:val="none"/>
          <w:lang w:val="en-US"/>
        </w:rPr>
        <w:t>https://www.cipd.org/uk/knowledge/reports/diversity-management-recommendations/?_gl=1*1gnleau*_ga*MzIwMTkwNTMyLjE3MDczOTE2NzU.*_ga_D9HN5GYHYY*MTcwNzc2NjAwNC40LjAuMTcwNzc2NjAwNC42MC4wLjA.</w:t>
      </w:r>
      <w:r>
        <w:rPr>
          <w:rFonts w:hint="default"/>
          <w:b w:val="0"/>
          <w:bCs w:val="0"/>
          <w:sz w:val="24"/>
          <w:szCs w:val="24"/>
          <w:highlight w:val="none"/>
          <w:lang w:val="en-US"/>
        </w:rPr>
        <w:fldChar w:fldCharType="end"/>
      </w:r>
      <w:r>
        <w:rPr>
          <w:rFonts w:hint="default"/>
          <w:b w:val="0"/>
          <w:bCs w:val="0"/>
          <w:sz w:val="24"/>
          <w:szCs w:val="24"/>
          <w:highlight w:val="none"/>
          <w:lang w:val="en-US"/>
        </w:rPr>
        <w:t xml:space="preserve"> (Accessed on 11</w:t>
      </w:r>
      <w:r>
        <w:rPr>
          <w:rFonts w:hint="default"/>
          <w:b w:val="0"/>
          <w:bCs w:val="0"/>
          <w:sz w:val="24"/>
          <w:szCs w:val="24"/>
          <w:highlight w:val="none"/>
          <w:vertAlign w:val="superscript"/>
          <w:lang w:val="en-US"/>
        </w:rPr>
        <w:t>th</w:t>
      </w:r>
      <w:r>
        <w:rPr>
          <w:rFonts w:hint="default"/>
          <w:b w:val="0"/>
          <w:bCs w:val="0"/>
          <w:sz w:val="24"/>
          <w:szCs w:val="24"/>
          <w:highlight w:val="none"/>
          <w:lang w:val="en-US"/>
        </w:rPr>
        <w:t xml:space="preserve"> February 2024)</w:t>
      </w:r>
    </w:p>
    <w:p>
      <w:pPr>
        <w:jc w:val="both"/>
        <w:rPr>
          <w:rFonts w:hint="default"/>
          <w:b w:val="0"/>
          <w:bCs w:val="0"/>
          <w:sz w:val="24"/>
          <w:szCs w:val="24"/>
          <w:highlight w:val="none"/>
          <w:lang w:val="en-US"/>
        </w:rPr>
      </w:pPr>
    </w:p>
    <w:p>
      <w:pPr>
        <w:jc w:val="both"/>
        <w:rPr>
          <w:rFonts w:hint="default"/>
          <w:b w:val="0"/>
          <w:bCs w:val="0"/>
          <w:sz w:val="24"/>
          <w:szCs w:val="24"/>
          <w:highlight w:val="red"/>
          <w:lang w:val="en-US"/>
        </w:rPr>
      </w:pPr>
      <w:r>
        <w:rPr>
          <w:rFonts w:hint="default"/>
          <w:b w:val="0"/>
          <w:bCs w:val="0"/>
          <w:sz w:val="24"/>
          <w:szCs w:val="24"/>
          <w:highlight w:val="none"/>
          <w:lang w:val="en-US"/>
        </w:rPr>
        <w:t xml:space="preserve">CIPD (2023) Getting the most from remote working Available at: </w:t>
      </w:r>
      <w:r>
        <w:rPr>
          <w:rFonts w:hint="default"/>
          <w:b w:val="0"/>
          <w:bCs w:val="0"/>
          <w:sz w:val="24"/>
          <w:szCs w:val="24"/>
          <w:highlight w:val="none"/>
        </w:rPr>
        <w:fldChar w:fldCharType="begin"/>
      </w:r>
      <w:r>
        <w:rPr>
          <w:rFonts w:hint="default"/>
          <w:b w:val="0"/>
          <w:bCs w:val="0"/>
          <w:sz w:val="24"/>
          <w:szCs w:val="24"/>
          <w:highlight w:val="none"/>
        </w:rPr>
        <w:instrText xml:space="preserve"> HYPERLINK "https://www.cipd.org/uk/knowledge/guides/remote-working-top-tips/" </w:instrText>
      </w:r>
      <w:r>
        <w:rPr>
          <w:rFonts w:hint="default"/>
          <w:b w:val="0"/>
          <w:bCs w:val="0"/>
          <w:sz w:val="24"/>
          <w:szCs w:val="24"/>
          <w:highlight w:val="none"/>
        </w:rPr>
        <w:fldChar w:fldCharType="separate"/>
      </w:r>
      <w:r>
        <w:rPr>
          <w:rStyle w:val="7"/>
          <w:rFonts w:hint="default"/>
          <w:b w:val="0"/>
          <w:bCs w:val="0"/>
          <w:sz w:val="24"/>
          <w:szCs w:val="24"/>
          <w:highlight w:val="none"/>
        </w:rPr>
        <w:t>https://www.cipd.org/uk/knowledge/guides/remote-working-top-tips/</w:t>
      </w:r>
      <w:r>
        <w:rPr>
          <w:rFonts w:hint="default"/>
          <w:b w:val="0"/>
          <w:bCs w:val="0"/>
          <w:sz w:val="24"/>
          <w:szCs w:val="24"/>
          <w:highlight w:val="none"/>
        </w:rPr>
        <w:fldChar w:fldCharType="end"/>
      </w:r>
      <w:r>
        <w:rPr>
          <w:rFonts w:hint="default"/>
          <w:b w:val="0"/>
          <w:bCs w:val="0"/>
          <w:sz w:val="24"/>
          <w:szCs w:val="24"/>
          <w:highlight w:val="none"/>
          <w:lang w:val="en-US"/>
        </w:rPr>
        <w:t xml:space="preserve"> (Accessed on 12</w:t>
      </w:r>
      <w:r>
        <w:rPr>
          <w:rFonts w:hint="default"/>
          <w:b w:val="0"/>
          <w:bCs w:val="0"/>
          <w:sz w:val="24"/>
          <w:szCs w:val="24"/>
          <w:highlight w:val="none"/>
          <w:vertAlign w:val="superscript"/>
          <w:lang w:val="en-US"/>
        </w:rPr>
        <w:t>th</w:t>
      </w:r>
      <w:r>
        <w:rPr>
          <w:rFonts w:hint="default"/>
          <w:b w:val="0"/>
          <w:bCs w:val="0"/>
          <w:sz w:val="24"/>
          <w:szCs w:val="24"/>
          <w:highlight w:val="none"/>
          <w:lang w:val="en-US"/>
        </w:rPr>
        <w:t xml:space="preserve"> February 2024</w:t>
      </w:r>
      <w:r>
        <w:rPr>
          <w:rFonts w:hint="default"/>
          <w:b w:val="0"/>
          <w:bCs w:val="0"/>
          <w:sz w:val="24"/>
          <w:szCs w:val="24"/>
          <w:highlight w:val="red"/>
          <w:lang w:val="en-US"/>
        </w:rPr>
        <w:t>)</w:t>
      </w:r>
    </w:p>
    <w:p>
      <w:pPr>
        <w:rPr>
          <w:rFonts w:eastAsiaTheme="minorEastAsia"/>
          <w:sz w:val="24"/>
          <w:szCs w:val="24"/>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Calibri Light">
    <w:altName w:val="Helvetica Neue"/>
    <w:panose1 w:val="020F0302020204030204"/>
    <w:charset w:val="00"/>
    <w:family w:val="swiss"/>
    <w:pitch w:val="default"/>
    <w:sig w:usb0="00000000" w:usb1="00000000" w:usb2="00000009" w:usb3="00000000" w:csb0="000001FF" w:csb1="00000000"/>
  </w:font>
  <w:font w:name="ＭＳ ゴシック">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Georgia">
    <w:panose1 w:val="02040502050405020303"/>
    <w:charset w:val="00"/>
    <w:family w:val="roman"/>
    <w:pitch w:val="default"/>
    <w:sig w:usb0="00000000" w:usb1="00000000" w:usb2="00000000" w:usb3="00000000" w:csb0="00000000" w:csb1="00000000"/>
  </w:font>
  <w:font w:name="ＭＳ 明朝">
    <w:altName w:val="Hiragino Sans"/>
    <w:panose1 w:val="00000000000000000000"/>
    <w:charset w:val="00"/>
    <w:family w:val="auto"/>
    <w:pitch w:val="default"/>
    <w:sig w:usb0="00000000" w:usb1="00000000" w:usb2="00000000" w:usb3="00000000" w:csb0="00000000" w:csb1="00000000"/>
  </w:font>
  <w:font w:name="Hiragino Sans">
    <w:panose1 w:val="020B0300000000000000"/>
    <w:charset w:val="86"/>
    <w:family w:val="auto"/>
    <w:pitch w:val="default"/>
    <w:sig w:usb0="00000000" w:usb1="00000000" w:usb2="00000000" w:usb3="00000000" w:csb0="00160000" w:csb1="00000000"/>
  </w:font>
  <w:font w:name="Open Sans">
    <w:altName w:val="苹方-简"/>
    <w:panose1 w:val="020B0606030504020204"/>
    <w:charset w:val="00"/>
    <w:family w:val="swiss"/>
    <w:pitch w:val="default"/>
    <w:sig w:usb0="00000000" w:usb1="00000000" w:usb2="00000028" w:usb3="00000000" w:csb0="0000019F" w:csb1="00000000"/>
  </w:font>
  <w:font w:name="Museo">
    <w:altName w:val="苹方-简"/>
    <w:panose1 w:val="02000000000000000000"/>
    <w:charset w:val="00"/>
    <w:family w:val="auto"/>
    <w:pitch w:val="default"/>
    <w:sig w:usb0="00000000" w:usb1="00000000" w:usb2="00000000" w:usb3="00000000" w:csb0="00000001" w:csb1="00000000"/>
  </w:font>
  <w:font w:name="system-ui">
    <w:altName w:val="苹方-简"/>
    <w:panose1 w:val="020B0604020202020204"/>
    <w:charset w:val="00"/>
    <w:family w:val="roman"/>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Arial">
    <w:panose1 w:val="020B0604020202020204"/>
    <w:charset w:val="86"/>
    <w:family w:val="swiss"/>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D0118B"/>
    <w:multiLevelType w:val="multilevel"/>
    <w:tmpl w:val="7AD0118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8"/>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B0F0E1"/>
    <w:rsid w:val="00001E5E"/>
    <w:rsid w:val="00002B97"/>
    <w:rsid w:val="00015C18"/>
    <w:rsid w:val="00025FB5"/>
    <w:rsid w:val="0003100B"/>
    <w:rsid w:val="00048095"/>
    <w:rsid w:val="0005188C"/>
    <w:rsid w:val="00064F38"/>
    <w:rsid w:val="00065A5E"/>
    <w:rsid w:val="00077E6C"/>
    <w:rsid w:val="000F54B6"/>
    <w:rsid w:val="000F72FB"/>
    <w:rsid w:val="00101A5D"/>
    <w:rsid w:val="00174E20"/>
    <w:rsid w:val="001753D3"/>
    <w:rsid w:val="001A39AB"/>
    <w:rsid w:val="001B3A37"/>
    <w:rsid w:val="001B676D"/>
    <w:rsid w:val="001F513D"/>
    <w:rsid w:val="00203332"/>
    <w:rsid w:val="002063F3"/>
    <w:rsid w:val="002118DD"/>
    <w:rsid w:val="002130C1"/>
    <w:rsid w:val="00222285"/>
    <w:rsid w:val="00227F1F"/>
    <w:rsid w:val="00251B52"/>
    <w:rsid w:val="00256472"/>
    <w:rsid w:val="00260F40"/>
    <w:rsid w:val="002645DA"/>
    <w:rsid w:val="002C5F27"/>
    <w:rsid w:val="002E7E2B"/>
    <w:rsid w:val="00327D09"/>
    <w:rsid w:val="00362329"/>
    <w:rsid w:val="00370E21"/>
    <w:rsid w:val="003D4CFC"/>
    <w:rsid w:val="003E3DB5"/>
    <w:rsid w:val="003F162E"/>
    <w:rsid w:val="00404A71"/>
    <w:rsid w:val="00404F8B"/>
    <w:rsid w:val="00407587"/>
    <w:rsid w:val="00426BB1"/>
    <w:rsid w:val="0043020E"/>
    <w:rsid w:val="00467D9A"/>
    <w:rsid w:val="00471A08"/>
    <w:rsid w:val="0048450F"/>
    <w:rsid w:val="00495687"/>
    <w:rsid w:val="004F64A6"/>
    <w:rsid w:val="00502F68"/>
    <w:rsid w:val="00503561"/>
    <w:rsid w:val="00505DAC"/>
    <w:rsid w:val="00511AB5"/>
    <w:rsid w:val="00516B6B"/>
    <w:rsid w:val="00522C4C"/>
    <w:rsid w:val="00534600"/>
    <w:rsid w:val="0054047D"/>
    <w:rsid w:val="0056199F"/>
    <w:rsid w:val="005834A3"/>
    <w:rsid w:val="005B079F"/>
    <w:rsid w:val="005B3284"/>
    <w:rsid w:val="005C1E5F"/>
    <w:rsid w:val="005C4351"/>
    <w:rsid w:val="005C6B1F"/>
    <w:rsid w:val="005E166D"/>
    <w:rsid w:val="005F201F"/>
    <w:rsid w:val="005F4C01"/>
    <w:rsid w:val="005F5E09"/>
    <w:rsid w:val="00606B9E"/>
    <w:rsid w:val="00630E06"/>
    <w:rsid w:val="00635DBA"/>
    <w:rsid w:val="0063B68B"/>
    <w:rsid w:val="0065523A"/>
    <w:rsid w:val="00666E3E"/>
    <w:rsid w:val="006770FA"/>
    <w:rsid w:val="00690231"/>
    <w:rsid w:val="006A2DC8"/>
    <w:rsid w:val="006B4D82"/>
    <w:rsid w:val="006B645C"/>
    <w:rsid w:val="006C1244"/>
    <w:rsid w:val="006D5F99"/>
    <w:rsid w:val="006E58E1"/>
    <w:rsid w:val="007131C6"/>
    <w:rsid w:val="00722C57"/>
    <w:rsid w:val="0072564C"/>
    <w:rsid w:val="007456D0"/>
    <w:rsid w:val="007540B0"/>
    <w:rsid w:val="007644EB"/>
    <w:rsid w:val="00777AA6"/>
    <w:rsid w:val="007816E8"/>
    <w:rsid w:val="007970F0"/>
    <w:rsid w:val="00797F40"/>
    <w:rsid w:val="007C3284"/>
    <w:rsid w:val="007C68A2"/>
    <w:rsid w:val="007E24D2"/>
    <w:rsid w:val="007E6951"/>
    <w:rsid w:val="008221D5"/>
    <w:rsid w:val="00851120"/>
    <w:rsid w:val="00860C5D"/>
    <w:rsid w:val="00862C0A"/>
    <w:rsid w:val="0089118E"/>
    <w:rsid w:val="008A44DB"/>
    <w:rsid w:val="008A4B2F"/>
    <w:rsid w:val="008B7930"/>
    <w:rsid w:val="008C5E0D"/>
    <w:rsid w:val="008D3BF3"/>
    <w:rsid w:val="008E4BC2"/>
    <w:rsid w:val="00907720"/>
    <w:rsid w:val="00914407"/>
    <w:rsid w:val="00980D82"/>
    <w:rsid w:val="009BF5DB"/>
    <w:rsid w:val="009C3560"/>
    <w:rsid w:val="009D01AE"/>
    <w:rsid w:val="009D56B6"/>
    <w:rsid w:val="009E1185"/>
    <w:rsid w:val="009F30C7"/>
    <w:rsid w:val="00A03CF1"/>
    <w:rsid w:val="00A061DC"/>
    <w:rsid w:val="00A27FBF"/>
    <w:rsid w:val="00A333AF"/>
    <w:rsid w:val="00A33A72"/>
    <w:rsid w:val="00A52E6C"/>
    <w:rsid w:val="00A85BBE"/>
    <w:rsid w:val="00A8F212"/>
    <w:rsid w:val="00A97C20"/>
    <w:rsid w:val="00AF4D4B"/>
    <w:rsid w:val="00B27776"/>
    <w:rsid w:val="00B312FF"/>
    <w:rsid w:val="00B31BE9"/>
    <w:rsid w:val="00B53924"/>
    <w:rsid w:val="00B7656F"/>
    <w:rsid w:val="00B81225"/>
    <w:rsid w:val="00B823C4"/>
    <w:rsid w:val="00B92D83"/>
    <w:rsid w:val="00BB09FC"/>
    <w:rsid w:val="00BC2844"/>
    <w:rsid w:val="00BC4E67"/>
    <w:rsid w:val="00BD27CB"/>
    <w:rsid w:val="00BE14BB"/>
    <w:rsid w:val="00BE6345"/>
    <w:rsid w:val="00C200C8"/>
    <w:rsid w:val="00C273A2"/>
    <w:rsid w:val="00C812FD"/>
    <w:rsid w:val="00C90A6B"/>
    <w:rsid w:val="00C90B59"/>
    <w:rsid w:val="00C90EFD"/>
    <w:rsid w:val="00CB5E31"/>
    <w:rsid w:val="00CB78CB"/>
    <w:rsid w:val="00CE7686"/>
    <w:rsid w:val="00CFFBCC"/>
    <w:rsid w:val="00D036C5"/>
    <w:rsid w:val="00D06B5F"/>
    <w:rsid w:val="00D12C8C"/>
    <w:rsid w:val="00D20997"/>
    <w:rsid w:val="00D22A51"/>
    <w:rsid w:val="00D26BB0"/>
    <w:rsid w:val="00D31988"/>
    <w:rsid w:val="00D3276D"/>
    <w:rsid w:val="00D5256F"/>
    <w:rsid w:val="00D53386"/>
    <w:rsid w:val="00D54C37"/>
    <w:rsid w:val="00D560C3"/>
    <w:rsid w:val="00D62911"/>
    <w:rsid w:val="00DA4BF2"/>
    <w:rsid w:val="00DB3671"/>
    <w:rsid w:val="00DB665C"/>
    <w:rsid w:val="00E169AC"/>
    <w:rsid w:val="00E179CF"/>
    <w:rsid w:val="00E7116C"/>
    <w:rsid w:val="00E9239C"/>
    <w:rsid w:val="00E97D9F"/>
    <w:rsid w:val="00E9A074"/>
    <w:rsid w:val="00EB7334"/>
    <w:rsid w:val="00EC4E2C"/>
    <w:rsid w:val="00ED69BC"/>
    <w:rsid w:val="00EE083C"/>
    <w:rsid w:val="00EF642D"/>
    <w:rsid w:val="00F3591E"/>
    <w:rsid w:val="00F455F5"/>
    <w:rsid w:val="00F81CFB"/>
    <w:rsid w:val="00F857C0"/>
    <w:rsid w:val="00F95581"/>
    <w:rsid w:val="00FAF34E"/>
    <w:rsid w:val="00FB3C71"/>
    <w:rsid w:val="00FB5AA7"/>
    <w:rsid w:val="00FB7B6E"/>
    <w:rsid w:val="01069ACF"/>
    <w:rsid w:val="0106CA1C"/>
    <w:rsid w:val="010EA5C4"/>
    <w:rsid w:val="01135162"/>
    <w:rsid w:val="011ADECE"/>
    <w:rsid w:val="012BB1B8"/>
    <w:rsid w:val="012F0215"/>
    <w:rsid w:val="01330670"/>
    <w:rsid w:val="0136352B"/>
    <w:rsid w:val="0137380C"/>
    <w:rsid w:val="01393E68"/>
    <w:rsid w:val="0155F511"/>
    <w:rsid w:val="015D2D4B"/>
    <w:rsid w:val="017649D8"/>
    <w:rsid w:val="017FF6C0"/>
    <w:rsid w:val="01A73731"/>
    <w:rsid w:val="01BEF78A"/>
    <w:rsid w:val="01D9C027"/>
    <w:rsid w:val="01DBC0EA"/>
    <w:rsid w:val="01E981E3"/>
    <w:rsid w:val="01EE145B"/>
    <w:rsid w:val="01EE8495"/>
    <w:rsid w:val="02005BDC"/>
    <w:rsid w:val="0202E673"/>
    <w:rsid w:val="020B4A1D"/>
    <w:rsid w:val="0219E2C3"/>
    <w:rsid w:val="0222A581"/>
    <w:rsid w:val="0227A236"/>
    <w:rsid w:val="02379EFE"/>
    <w:rsid w:val="0243FEA2"/>
    <w:rsid w:val="024E13A2"/>
    <w:rsid w:val="026E856D"/>
    <w:rsid w:val="027546B6"/>
    <w:rsid w:val="0278833E"/>
    <w:rsid w:val="02B5B310"/>
    <w:rsid w:val="02BD7F5C"/>
    <w:rsid w:val="02C0D50E"/>
    <w:rsid w:val="02D98EE3"/>
    <w:rsid w:val="02E2018B"/>
    <w:rsid w:val="02E50580"/>
    <w:rsid w:val="02E59F2B"/>
    <w:rsid w:val="02F9B26A"/>
    <w:rsid w:val="02FBE52D"/>
    <w:rsid w:val="02FE43E7"/>
    <w:rsid w:val="0300F0ED"/>
    <w:rsid w:val="03426F75"/>
    <w:rsid w:val="034847CC"/>
    <w:rsid w:val="035D0FA8"/>
    <w:rsid w:val="0383766F"/>
    <w:rsid w:val="038509BD"/>
    <w:rsid w:val="03851FA5"/>
    <w:rsid w:val="03A53F52"/>
    <w:rsid w:val="03B352D6"/>
    <w:rsid w:val="03B805DE"/>
    <w:rsid w:val="03CFAFE4"/>
    <w:rsid w:val="03E9E403"/>
    <w:rsid w:val="03ED6B25"/>
    <w:rsid w:val="041A47D8"/>
    <w:rsid w:val="0422627C"/>
    <w:rsid w:val="04329410"/>
    <w:rsid w:val="043E3B91"/>
    <w:rsid w:val="0466E0C1"/>
    <w:rsid w:val="046B5090"/>
    <w:rsid w:val="047DB4E8"/>
    <w:rsid w:val="0480243A"/>
    <w:rsid w:val="0480D5E1"/>
    <w:rsid w:val="048A3662"/>
    <w:rsid w:val="0497B58E"/>
    <w:rsid w:val="049CEF64"/>
    <w:rsid w:val="04A1B727"/>
    <w:rsid w:val="04E62FB5"/>
    <w:rsid w:val="04EFC613"/>
    <w:rsid w:val="04F6984C"/>
    <w:rsid w:val="0511F478"/>
    <w:rsid w:val="0519A8C3"/>
    <w:rsid w:val="051A2ACB"/>
    <w:rsid w:val="05229CEA"/>
    <w:rsid w:val="053554D3"/>
    <w:rsid w:val="053AF307"/>
    <w:rsid w:val="05754C7A"/>
    <w:rsid w:val="057A9ACF"/>
    <w:rsid w:val="0581AE43"/>
    <w:rsid w:val="058C9351"/>
    <w:rsid w:val="05999761"/>
    <w:rsid w:val="059B7044"/>
    <w:rsid w:val="05A68F90"/>
    <w:rsid w:val="05A6F6DA"/>
    <w:rsid w:val="05B61839"/>
    <w:rsid w:val="05CF8A42"/>
    <w:rsid w:val="05DA0BF2"/>
    <w:rsid w:val="05DE0EDB"/>
    <w:rsid w:val="06043188"/>
    <w:rsid w:val="060759B4"/>
    <w:rsid w:val="060BDF70"/>
    <w:rsid w:val="0632E0E0"/>
    <w:rsid w:val="0635AB0C"/>
    <w:rsid w:val="064DAA6B"/>
    <w:rsid w:val="0658B346"/>
    <w:rsid w:val="066EEB20"/>
    <w:rsid w:val="067D1BF4"/>
    <w:rsid w:val="0690A218"/>
    <w:rsid w:val="06A9901A"/>
    <w:rsid w:val="06B68FEA"/>
    <w:rsid w:val="06BFF497"/>
    <w:rsid w:val="06C9AB1D"/>
    <w:rsid w:val="06CB5F85"/>
    <w:rsid w:val="06CE33E8"/>
    <w:rsid w:val="06CF2AC1"/>
    <w:rsid w:val="06ED53E6"/>
    <w:rsid w:val="06EF4D49"/>
    <w:rsid w:val="06EFFC92"/>
    <w:rsid w:val="06FAB223"/>
    <w:rsid w:val="0715E6E3"/>
    <w:rsid w:val="0724F40A"/>
    <w:rsid w:val="0742C693"/>
    <w:rsid w:val="0753033B"/>
    <w:rsid w:val="07532501"/>
    <w:rsid w:val="0765E159"/>
    <w:rsid w:val="0770256F"/>
    <w:rsid w:val="0775DC53"/>
    <w:rsid w:val="07892433"/>
    <w:rsid w:val="079361B6"/>
    <w:rsid w:val="0795F8CB"/>
    <w:rsid w:val="079CCB8F"/>
    <w:rsid w:val="07BEED29"/>
    <w:rsid w:val="07C1D724"/>
    <w:rsid w:val="07E97ACC"/>
    <w:rsid w:val="07F9B5F3"/>
    <w:rsid w:val="07FAE6A7"/>
    <w:rsid w:val="083C1FD5"/>
    <w:rsid w:val="0842C8EE"/>
    <w:rsid w:val="0844DE8F"/>
    <w:rsid w:val="0858A311"/>
    <w:rsid w:val="08723C7D"/>
    <w:rsid w:val="0878D592"/>
    <w:rsid w:val="087F8F4C"/>
    <w:rsid w:val="08AA14BC"/>
    <w:rsid w:val="08B23B91"/>
    <w:rsid w:val="08C0C46B"/>
    <w:rsid w:val="08E9167D"/>
    <w:rsid w:val="08FE18FF"/>
    <w:rsid w:val="08FE60D3"/>
    <w:rsid w:val="0912C22E"/>
    <w:rsid w:val="091A3113"/>
    <w:rsid w:val="091C1876"/>
    <w:rsid w:val="092F3217"/>
    <w:rsid w:val="0953961F"/>
    <w:rsid w:val="095ABD3D"/>
    <w:rsid w:val="09811539"/>
    <w:rsid w:val="0994D947"/>
    <w:rsid w:val="09CD47CA"/>
    <w:rsid w:val="09D27586"/>
    <w:rsid w:val="0A02301C"/>
    <w:rsid w:val="0A0298B9"/>
    <w:rsid w:val="0A095A9E"/>
    <w:rsid w:val="0A098C0C"/>
    <w:rsid w:val="0A0B131D"/>
    <w:rsid w:val="0A0DC5AE"/>
    <w:rsid w:val="0A0E3F63"/>
    <w:rsid w:val="0A21CF8B"/>
    <w:rsid w:val="0A256361"/>
    <w:rsid w:val="0A274762"/>
    <w:rsid w:val="0A3A8A21"/>
    <w:rsid w:val="0A423572"/>
    <w:rsid w:val="0A4DB4FA"/>
    <w:rsid w:val="0A54C9E9"/>
    <w:rsid w:val="0A5C94CC"/>
    <w:rsid w:val="0A650DE8"/>
    <w:rsid w:val="0A803438"/>
    <w:rsid w:val="0A851326"/>
    <w:rsid w:val="0A8A7319"/>
    <w:rsid w:val="0A9857A1"/>
    <w:rsid w:val="0AAD7D15"/>
    <w:rsid w:val="0AB24A70"/>
    <w:rsid w:val="0AB57842"/>
    <w:rsid w:val="0AC0C4F5"/>
    <w:rsid w:val="0ACC1455"/>
    <w:rsid w:val="0ACC438A"/>
    <w:rsid w:val="0ACD0649"/>
    <w:rsid w:val="0AE97AA8"/>
    <w:rsid w:val="0AEBC3BE"/>
    <w:rsid w:val="0B08847C"/>
    <w:rsid w:val="0B205B41"/>
    <w:rsid w:val="0B32B8AC"/>
    <w:rsid w:val="0B526124"/>
    <w:rsid w:val="0B542761"/>
    <w:rsid w:val="0B5CCA66"/>
    <w:rsid w:val="0B5DC4E8"/>
    <w:rsid w:val="0B60E1A2"/>
    <w:rsid w:val="0B7975D8"/>
    <w:rsid w:val="0B91DE6E"/>
    <w:rsid w:val="0B97C968"/>
    <w:rsid w:val="0B9AA525"/>
    <w:rsid w:val="0BA40669"/>
    <w:rsid w:val="0BC738CB"/>
    <w:rsid w:val="0BD3AADA"/>
    <w:rsid w:val="0BDD637D"/>
    <w:rsid w:val="0BE929F4"/>
    <w:rsid w:val="0BF4AA2B"/>
    <w:rsid w:val="0BF8652D"/>
    <w:rsid w:val="0C007412"/>
    <w:rsid w:val="0C0596FE"/>
    <w:rsid w:val="0C1AF402"/>
    <w:rsid w:val="0C229D44"/>
    <w:rsid w:val="0C287D42"/>
    <w:rsid w:val="0C2EF3A3"/>
    <w:rsid w:val="0C4224BC"/>
    <w:rsid w:val="0C4BC588"/>
    <w:rsid w:val="0C568035"/>
    <w:rsid w:val="0C66D2D9"/>
    <w:rsid w:val="0C684DD6"/>
    <w:rsid w:val="0C68D6AA"/>
    <w:rsid w:val="0C7B9006"/>
    <w:rsid w:val="0C909804"/>
    <w:rsid w:val="0C95C45D"/>
    <w:rsid w:val="0C98E2AA"/>
    <w:rsid w:val="0CB688F0"/>
    <w:rsid w:val="0CCE20CC"/>
    <w:rsid w:val="0CD7EC4A"/>
    <w:rsid w:val="0CF998AA"/>
    <w:rsid w:val="0D18B768"/>
    <w:rsid w:val="0D2F4266"/>
    <w:rsid w:val="0D35C125"/>
    <w:rsid w:val="0D3C2087"/>
    <w:rsid w:val="0D5CC84E"/>
    <w:rsid w:val="0D60F78B"/>
    <w:rsid w:val="0D628F9B"/>
    <w:rsid w:val="0D8319BF"/>
    <w:rsid w:val="0DC213DB"/>
    <w:rsid w:val="0DCEB22A"/>
    <w:rsid w:val="0DD1D1F6"/>
    <w:rsid w:val="0DEE7BBD"/>
    <w:rsid w:val="0DFD4015"/>
    <w:rsid w:val="0DFDECA7"/>
    <w:rsid w:val="0E05461C"/>
    <w:rsid w:val="0E18FB97"/>
    <w:rsid w:val="0E1CD4D4"/>
    <w:rsid w:val="0E37D5D6"/>
    <w:rsid w:val="0E5BE662"/>
    <w:rsid w:val="0E62B449"/>
    <w:rsid w:val="0E77AE36"/>
    <w:rsid w:val="0E867624"/>
    <w:rsid w:val="0E8B1F25"/>
    <w:rsid w:val="0EB773DC"/>
    <w:rsid w:val="0ED50CE4"/>
    <w:rsid w:val="0ED8D2E1"/>
    <w:rsid w:val="0EDE8440"/>
    <w:rsid w:val="0EE136D1"/>
    <w:rsid w:val="0EEE9CAD"/>
    <w:rsid w:val="0EF055AA"/>
    <w:rsid w:val="0F1AEEF4"/>
    <w:rsid w:val="0F26C35C"/>
    <w:rsid w:val="0F272B20"/>
    <w:rsid w:val="0F3032FE"/>
    <w:rsid w:val="0F3E0F7F"/>
    <w:rsid w:val="0F4D71D6"/>
    <w:rsid w:val="0F5303AB"/>
    <w:rsid w:val="0F6D40B4"/>
    <w:rsid w:val="0F718C44"/>
    <w:rsid w:val="0F719FA7"/>
    <w:rsid w:val="0F8EFC8E"/>
    <w:rsid w:val="0FA6C3CD"/>
    <w:rsid w:val="0FBAA7D5"/>
    <w:rsid w:val="0FC4305D"/>
    <w:rsid w:val="0FCC5E23"/>
    <w:rsid w:val="0FD8265E"/>
    <w:rsid w:val="0FE7BAE6"/>
    <w:rsid w:val="100DF975"/>
    <w:rsid w:val="1013BAF1"/>
    <w:rsid w:val="102291E5"/>
    <w:rsid w:val="102D8495"/>
    <w:rsid w:val="1033AC7F"/>
    <w:rsid w:val="104646FD"/>
    <w:rsid w:val="10465ECD"/>
    <w:rsid w:val="104A1189"/>
    <w:rsid w:val="1068C680"/>
    <w:rsid w:val="10D6614C"/>
    <w:rsid w:val="1108F323"/>
    <w:rsid w:val="110972B8"/>
    <w:rsid w:val="112792CE"/>
    <w:rsid w:val="112E3150"/>
    <w:rsid w:val="11300679"/>
    <w:rsid w:val="11340D89"/>
    <w:rsid w:val="11480C3A"/>
    <w:rsid w:val="114BF848"/>
    <w:rsid w:val="1151536C"/>
    <w:rsid w:val="116D4D61"/>
    <w:rsid w:val="118F087E"/>
    <w:rsid w:val="11961A8A"/>
    <w:rsid w:val="11B22AA4"/>
    <w:rsid w:val="11C1F2CF"/>
    <w:rsid w:val="11C28308"/>
    <w:rsid w:val="11C92816"/>
    <w:rsid w:val="11CC0BEA"/>
    <w:rsid w:val="11D3F5B2"/>
    <w:rsid w:val="11D600FA"/>
    <w:rsid w:val="11DA1C89"/>
    <w:rsid w:val="11DC5CEE"/>
    <w:rsid w:val="11E9FA6D"/>
    <w:rsid w:val="12115EB3"/>
    <w:rsid w:val="12126DD2"/>
    <w:rsid w:val="1214B0B2"/>
    <w:rsid w:val="1224E0E1"/>
    <w:rsid w:val="1240E154"/>
    <w:rsid w:val="1256ADE4"/>
    <w:rsid w:val="125A7483"/>
    <w:rsid w:val="127F4217"/>
    <w:rsid w:val="129681CA"/>
    <w:rsid w:val="12A691BD"/>
    <w:rsid w:val="12B56D90"/>
    <w:rsid w:val="12C11D36"/>
    <w:rsid w:val="12ED23CD"/>
    <w:rsid w:val="13046E8A"/>
    <w:rsid w:val="130527D2"/>
    <w:rsid w:val="1312CB1F"/>
    <w:rsid w:val="13225743"/>
    <w:rsid w:val="13330879"/>
    <w:rsid w:val="133D1DB2"/>
    <w:rsid w:val="13452466"/>
    <w:rsid w:val="1354B17C"/>
    <w:rsid w:val="13673BA3"/>
    <w:rsid w:val="137DFF8F"/>
    <w:rsid w:val="13890F41"/>
    <w:rsid w:val="139515D6"/>
    <w:rsid w:val="13969CAB"/>
    <w:rsid w:val="139B1098"/>
    <w:rsid w:val="139D4520"/>
    <w:rsid w:val="13A330F5"/>
    <w:rsid w:val="13D7EBDB"/>
    <w:rsid w:val="13F644E4"/>
    <w:rsid w:val="1402D899"/>
    <w:rsid w:val="1429C45F"/>
    <w:rsid w:val="1431A51A"/>
    <w:rsid w:val="143892E1"/>
    <w:rsid w:val="143F5286"/>
    <w:rsid w:val="145D5C50"/>
    <w:rsid w:val="14832E23"/>
    <w:rsid w:val="148A5CAD"/>
    <w:rsid w:val="1495FE57"/>
    <w:rsid w:val="14A0F833"/>
    <w:rsid w:val="14AE9B80"/>
    <w:rsid w:val="14B492EF"/>
    <w:rsid w:val="14B77126"/>
    <w:rsid w:val="14C454FD"/>
    <w:rsid w:val="14C57DB5"/>
    <w:rsid w:val="14D6B223"/>
    <w:rsid w:val="14E12390"/>
    <w:rsid w:val="14E966A2"/>
    <w:rsid w:val="15030C04"/>
    <w:rsid w:val="15088B93"/>
    <w:rsid w:val="15094C9D"/>
    <w:rsid w:val="150B6CCC"/>
    <w:rsid w:val="1511F3EF"/>
    <w:rsid w:val="152B0867"/>
    <w:rsid w:val="152C4724"/>
    <w:rsid w:val="1538D3BD"/>
    <w:rsid w:val="153F6945"/>
    <w:rsid w:val="154FE272"/>
    <w:rsid w:val="1550C14B"/>
    <w:rsid w:val="1557B527"/>
    <w:rsid w:val="155C0EF0"/>
    <w:rsid w:val="155DDA81"/>
    <w:rsid w:val="1568416B"/>
    <w:rsid w:val="1580AF9C"/>
    <w:rsid w:val="1586412B"/>
    <w:rsid w:val="159F17CC"/>
    <w:rsid w:val="159FC561"/>
    <w:rsid w:val="15AB2466"/>
    <w:rsid w:val="15D4FABA"/>
    <w:rsid w:val="15D54153"/>
    <w:rsid w:val="15EA1F0F"/>
    <w:rsid w:val="15F3B6DA"/>
    <w:rsid w:val="15F7B250"/>
    <w:rsid w:val="15FC804D"/>
    <w:rsid w:val="163137E3"/>
    <w:rsid w:val="163CC894"/>
    <w:rsid w:val="165EFB58"/>
    <w:rsid w:val="166C59D5"/>
    <w:rsid w:val="166EFDB3"/>
    <w:rsid w:val="167D3A98"/>
    <w:rsid w:val="169BA1E6"/>
    <w:rsid w:val="169CF78A"/>
    <w:rsid w:val="16A455A3"/>
    <w:rsid w:val="16C2CB50"/>
    <w:rsid w:val="16CCAD1C"/>
    <w:rsid w:val="16D4A283"/>
    <w:rsid w:val="16D624AC"/>
    <w:rsid w:val="16DD15FF"/>
    <w:rsid w:val="16E0DBD1"/>
    <w:rsid w:val="16E6D249"/>
    <w:rsid w:val="16EA9724"/>
    <w:rsid w:val="16F9AAE2"/>
    <w:rsid w:val="170030F8"/>
    <w:rsid w:val="171F6B74"/>
    <w:rsid w:val="173AE82D"/>
    <w:rsid w:val="1746317C"/>
    <w:rsid w:val="1770AC81"/>
    <w:rsid w:val="1776F348"/>
    <w:rsid w:val="1793EDA3"/>
    <w:rsid w:val="179EBD78"/>
    <w:rsid w:val="17AB8C58"/>
    <w:rsid w:val="17B0970B"/>
    <w:rsid w:val="17B2B418"/>
    <w:rsid w:val="17C6A724"/>
    <w:rsid w:val="17D2344C"/>
    <w:rsid w:val="17D26867"/>
    <w:rsid w:val="17D85EC4"/>
    <w:rsid w:val="17F59EE2"/>
    <w:rsid w:val="18086FD5"/>
    <w:rsid w:val="1847C832"/>
    <w:rsid w:val="18508DF5"/>
    <w:rsid w:val="18561C2A"/>
    <w:rsid w:val="1882A2AA"/>
    <w:rsid w:val="188F109D"/>
    <w:rsid w:val="18924EEC"/>
    <w:rsid w:val="18BCCD01"/>
    <w:rsid w:val="18D2AF13"/>
    <w:rsid w:val="18D6B88E"/>
    <w:rsid w:val="18DA42E2"/>
    <w:rsid w:val="18F4F25F"/>
    <w:rsid w:val="190486E7"/>
    <w:rsid w:val="190AA529"/>
    <w:rsid w:val="190C204E"/>
    <w:rsid w:val="190C774F"/>
    <w:rsid w:val="193187DC"/>
    <w:rsid w:val="19384263"/>
    <w:rsid w:val="193F98E9"/>
    <w:rsid w:val="194E8479"/>
    <w:rsid w:val="19569F46"/>
    <w:rsid w:val="197BF7C4"/>
    <w:rsid w:val="1992BEF9"/>
    <w:rsid w:val="19D2701D"/>
    <w:rsid w:val="19D9531A"/>
    <w:rsid w:val="19DDA7EE"/>
    <w:rsid w:val="19E26108"/>
    <w:rsid w:val="19EEF57A"/>
    <w:rsid w:val="19F12612"/>
    <w:rsid w:val="19F53326"/>
    <w:rsid w:val="1A1F4C00"/>
    <w:rsid w:val="1A2E1F4D"/>
    <w:rsid w:val="1A388FA4"/>
    <w:rsid w:val="1A3E3C11"/>
    <w:rsid w:val="1A40B1BD"/>
    <w:rsid w:val="1A448E69"/>
    <w:rsid w:val="1A4E8272"/>
    <w:rsid w:val="1A59B24E"/>
    <w:rsid w:val="1A732C17"/>
    <w:rsid w:val="1A786E68"/>
    <w:rsid w:val="1A899C26"/>
    <w:rsid w:val="1AB48524"/>
    <w:rsid w:val="1ABB35C4"/>
    <w:rsid w:val="1AC37DC6"/>
    <w:rsid w:val="1AC71278"/>
    <w:rsid w:val="1ACDB070"/>
    <w:rsid w:val="1AD37BD8"/>
    <w:rsid w:val="1AD58222"/>
    <w:rsid w:val="1ADCE81A"/>
    <w:rsid w:val="1ADEBD51"/>
    <w:rsid w:val="1AE75D7F"/>
    <w:rsid w:val="1AE913C8"/>
    <w:rsid w:val="1AF26FA7"/>
    <w:rsid w:val="1B09D50E"/>
    <w:rsid w:val="1B280EF4"/>
    <w:rsid w:val="1B2E2AB4"/>
    <w:rsid w:val="1B304D9D"/>
    <w:rsid w:val="1B5994C6"/>
    <w:rsid w:val="1B8AD2DA"/>
    <w:rsid w:val="1BA423BC"/>
    <w:rsid w:val="1BAF7701"/>
    <w:rsid w:val="1BB77717"/>
    <w:rsid w:val="1BC9EFAE"/>
    <w:rsid w:val="1BCAB89F"/>
    <w:rsid w:val="1BD452E4"/>
    <w:rsid w:val="1BD46005"/>
    <w:rsid w:val="1BDF822A"/>
    <w:rsid w:val="1BE05ECA"/>
    <w:rsid w:val="1BE12913"/>
    <w:rsid w:val="1BE766DE"/>
    <w:rsid w:val="1BED8862"/>
    <w:rsid w:val="1C0B06BA"/>
    <w:rsid w:val="1C0E5950"/>
    <w:rsid w:val="1C11D9EE"/>
    <w:rsid w:val="1C4C255F"/>
    <w:rsid w:val="1C73985E"/>
    <w:rsid w:val="1C82EA36"/>
    <w:rsid w:val="1C854F35"/>
    <w:rsid w:val="1C86253B"/>
    <w:rsid w:val="1C9C08D8"/>
    <w:rsid w:val="1C9DE12D"/>
    <w:rsid w:val="1CA5A56F"/>
    <w:rsid w:val="1CBA09FD"/>
    <w:rsid w:val="1CCF0DE7"/>
    <w:rsid w:val="1CD444C7"/>
    <w:rsid w:val="1CD48310"/>
    <w:rsid w:val="1CF38625"/>
    <w:rsid w:val="1CFB897A"/>
    <w:rsid w:val="1D068F74"/>
    <w:rsid w:val="1D097B29"/>
    <w:rsid w:val="1D14A488"/>
    <w:rsid w:val="1D19FBEB"/>
    <w:rsid w:val="1D22F11C"/>
    <w:rsid w:val="1D368DB7"/>
    <w:rsid w:val="1D4BECFE"/>
    <w:rsid w:val="1D5613CD"/>
    <w:rsid w:val="1D655977"/>
    <w:rsid w:val="1D65C00F"/>
    <w:rsid w:val="1D774205"/>
    <w:rsid w:val="1D800832"/>
    <w:rsid w:val="1D84432B"/>
    <w:rsid w:val="1DAA29B1"/>
    <w:rsid w:val="1DB42B7C"/>
    <w:rsid w:val="1DBA26C7"/>
    <w:rsid w:val="1DBCDE8A"/>
    <w:rsid w:val="1DF28B29"/>
    <w:rsid w:val="1DF2D686"/>
    <w:rsid w:val="1E0E798B"/>
    <w:rsid w:val="1E185414"/>
    <w:rsid w:val="1E218562"/>
    <w:rsid w:val="1E2E33CC"/>
    <w:rsid w:val="1E3CEF26"/>
    <w:rsid w:val="1E4D53CA"/>
    <w:rsid w:val="1E6B1005"/>
    <w:rsid w:val="1E6B3743"/>
    <w:rsid w:val="1E83B4B7"/>
    <w:rsid w:val="1E8F941C"/>
    <w:rsid w:val="1EB52808"/>
    <w:rsid w:val="1ED387F9"/>
    <w:rsid w:val="1ED7743C"/>
    <w:rsid w:val="1EDE636B"/>
    <w:rsid w:val="1EF6E744"/>
    <w:rsid w:val="1F07CF56"/>
    <w:rsid w:val="1F0C0F9C"/>
    <w:rsid w:val="1F159231"/>
    <w:rsid w:val="1F187687"/>
    <w:rsid w:val="1F4FFBDD"/>
    <w:rsid w:val="1F5E53ED"/>
    <w:rsid w:val="1F6C7A02"/>
    <w:rsid w:val="1F72BF46"/>
    <w:rsid w:val="1F9F6F23"/>
    <w:rsid w:val="1FA783E7"/>
    <w:rsid w:val="1FA8D443"/>
    <w:rsid w:val="1FAA49EC"/>
    <w:rsid w:val="1FB8BA22"/>
    <w:rsid w:val="1FBA18E8"/>
    <w:rsid w:val="1FBD55C3"/>
    <w:rsid w:val="1FC29A51"/>
    <w:rsid w:val="1FD38A54"/>
    <w:rsid w:val="1FD3945B"/>
    <w:rsid w:val="1FD9BBA6"/>
    <w:rsid w:val="1FDCC647"/>
    <w:rsid w:val="1FE3F6BD"/>
    <w:rsid w:val="1FEF17DA"/>
    <w:rsid w:val="1FF1EB1E"/>
    <w:rsid w:val="1FF74596"/>
    <w:rsid w:val="1FFA1112"/>
    <w:rsid w:val="200EDBD5"/>
    <w:rsid w:val="20121F37"/>
    <w:rsid w:val="2016684B"/>
    <w:rsid w:val="202693FD"/>
    <w:rsid w:val="2030D709"/>
    <w:rsid w:val="20318FE7"/>
    <w:rsid w:val="2038B5AF"/>
    <w:rsid w:val="203A1F38"/>
    <w:rsid w:val="2040D32D"/>
    <w:rsid w:val="204EA29C"/>
    <w:rsid w:val="204F4657"/>
    <w:rsid w:val="2051E4AE"/>
    <w:rsid w:val="2056627A"/>
    <w:rsid w:val="20602A89"/>
    <w:rsid w:val="20706F9B"/>
    <w:rsid w:val="20772ABE"/>
    <w:rsid w:val="20809B65"/>
    <w:rsid w:val="20895ECD"/>
    <w:rsid w:val="209043D8"/>
    <w:rsid w:val="209CFA39"/>
    <w:rsid w:val="20B6DB5A"/>
    <w:rsid w:val="20BA5B45"/>
    <w:rsid w:val="20C92636"/>
    <w:rsid w:val="21026AE7"/>
    <w:rsid w:val="211CF7EE"/>
    <w:rsid w:val="21247CFE"/>
    <w:rsid w:val="2125AA75"/>
    <w:rsid w:val="21461A4D"/>
    <w:rsid w:val="2146B0AA"/>
    <w:rsid w:val="21689933"/>
    <w:rsid w:val="217137C5"/>
    <w:rsid w:val="2173DD89"/>
    <w:rsid w:val="21902D49"/>
    <w:rsid w:val="21A672D4"/>
    <w:rsid w:val="21B55717"/>
    <w:rsid w:val="21CD6048"/>
    <w:rsid w:val="21E441CD"/>
    <w:rsid w:val="21E5B2C9"/>
    <w:rsid w:val="21FC9AEF"/>
    <w:rsid w:val="22222112"/>
    <w:rsid w:val="222C7D59"/>
    <w:rsid w:val="2237BB6D"/>
    <w:rsid w:val="223A78DA"/>
    <w:rsid w:val="223AF695"/>
    <w:rsid w:val="2242E9BD"/>
    <w:rsid w:val="2246188E"/>
    <w:rsid w:val="224E6F86"/>
    <w:rsid w:val="22548B9F"/>
    <w:rsid w:val="226CB1B9"/>
    <w:rsid w:val="227BF089"/>
    <w:rsid w:val="22845C64"/>
    <w:rsid w:val="2287071A"/>
    <w:rsid w:val="2291544E"/>
    <w:rsid w:val="22AB5CCD"/>
    <w:rsid w:val="22D6A04A"/>
    <w:rsid w:val="22E70CA6"/>
    <w:rsid w:val="22ED1671"/>
    <w:rsid w:val="23032C32"/>
    <w:rsid w:val="23066916"/>
    <w:rsid w:val="233EA866"/>
    <w:rsid w:val="235E51F0"/>
    <w:rsid w:val="236A5117"/>
    <w:rsid w:val="236E48C3"/>
    <w:rsid w:val="23B2C55B"/>
    <w:rsid w:val="23B3141D"/>
    <w:rsid w:val="23BDF173"/>
    <w:rsid w:val="23CD299E"/>
    <w:rsid w:val="23CFD4EC"/>
    <w:rsid w:val="23E1DAA8"/>
    <w:rsid w:val="23F28E4C"/>
    <w:rsid w:val="243AE8B2"/>
    <w:rsid w:val="244F29F6"/>
    <w:rsid w:val="245C1DC0"/>
    <w:rsid w:val="2460736E"/>
    <w:rsid w:val="246771AE"/>
    <w:rsid w:val="247EEA78"/>
    <w:rsid w:val="248BEDF8"/>
    <w:rsid w:val="24A12287"/>
    <w:rsid w:val="24AB7E4B"/>
    <w:rsid w:val="24B2CBAE"/>
    <w:rsid w:val="24B824F0"/>
    <w:rsid w:val="24EA76D8"/>
    <w:rsid w:val="251E0F09"/>
    <w:rsid w:val="2536BC3A"/>
    <w:rsid w:val="255FD3FD"/>
    <w:rsid w:val="2562C724"/>
    <w:rsid w:val="25690738"/>
    <w:rsid w:val="256E8FAE"/>
    <w:rsid w:val="25706B5C"/>
    <w:rsid w:val="2577F02F"/>
    <w:rsid w:val="257B424B"/>
    <w:rsid w:val="258C2C61"/>
    <w:rsid w:val="25942359"/>
    <w:rsid w:val="2597D5BA"/>
    <w:rsid w:val="25999BC3"/>
    <w:rsid w:val="25A4527B"/>
    <w:rsid w:val="25AE8F63"/>
    <w:rsid w:val="25B8BC34"/>
    <w:rsid w:val="25FB8C22"/>
    <w:rsid w:val="25FD7A76"/>
    <w:rsid w:val="25FD9D0E"/>
    <w:rsid w:val="2613E39D"/>
    <w:rsid w:val="261D48F1"/>
    <w:rsid w:val="261E2965"/>
    <w:rsid w:val="263C5488"/>
    <w:rsid w:val="265AD9E4"/>
    <w:rsid w:val="2667040A"/>
    <w:rsid w:val="267E36AE"/>
    <w:rsid w:val="268F675A"/>
    <w:rsid w:val="2694495D"/>
    <w:rsid w:val="26D0BE7E"/>
    <w:rsid w:val="26F2EEBC"/>
    <w:rsid w:val="26FC9C60"/>
    <w:rsid w:val="27019F29"/>
    <w:rsid w:val="2704D799"/>
    <w:rsid w:val="2713C090"/>
    <w:rsid w:val="27180CF6"/>
    <w:rsid w:val="271F70C3"/>
    <w:rsid w:val="27225023"/>
    <w:rsid w:val="272260D6"/>
    <w:rsid w:val="272DFA1A"/>
    <w:rsid w:val="273879C0"/>
    <w:rsid w:val="273A9423"/>
    <w:rsid w:val="27534858"/>
    <w:rsid w:val="276819CF"/>
    <w:rsid w:val="2779D9A2"/>
    <w:rsid w:val="278035B3"/>
    <w:rsid w:val="278D00D1"/>
    <w:rsid w:val="278FF959"/>
    <w:rsid w:val="279158AB"/>
    <w:rsid w:val="2793BE82"/>
    <w:rsid w:val="279D9FA3"/>
    <w:rsid w:val="27B0CD28"/>
    <w:rsid w:val="27B2BE86"/>
    <w:rsid w:val="27B9B4BD"/>
    <w:rsid w:val="27BAFDD6"/>
    <w:rsid w:val="27C38CA9"/>
    <w:rsid w:val="27CB9017"/>
    <w:rsid w:val="27D7F271"/>
    <w:rsid w:val="27D83315"/>
    <w:rsid w:val="27E00445"/>
    <w:rsid w:val="27F053FA"/>
    <w:rsid w:val="281A070F"/>
    <w:rsid w:val="281D0F97"/>
    <w:rsid w:val="281D5AD7"/>
    <w:rsid w:val="282C2AAD"/>
    <w:rsid w:val="28544C0A"/>
    <w:rsid w:val="286C5642"/>
    <w:rsid w:val="287C5893"/>
    <w:rsid w:val="287E76EA"/>
    <w:rsid w:val="2884AC03"/>
    <w:rsid w:val="289FC953"/>
    <w:rsid w:val="28A10F3E"/>
    <w:rsid w:val="28ACAEF2"/>
    <w:rsid w:val="28B41FF1"/>
    <w:rsid w:val="28C5ABB8"/>
    <w:rsid w:val="28C76281"/>
    <w:rsid w:val="28CF767C"/>
    <w:rsid w:val="28DBF33D"/>
    <w:rsid w:val="28ECBE60"/>
    <w:rsid w:val="28FF5854"/>
    <w:rsid w:val="2903EA30"/>
    <w:rsid w:val="29071AC0"/>
    <w:rsid w:val="2916C6FF"/>
    <w:rsid w:val="29229B19"/>
    <w:rsid w:val="29297342"/>
    <w:rsid w:val="29434EE0"/>
    <w:rsid w:val="29442E35"/>
    <w:rsid w:val="2945C884"/>
    <w:rsid w:val="295563C2"/>
    <w:rsid w:val="29580D39"/>
    <w:rsid w:val="2978D777"/>
    <w:rsid w:val="29A6215F"/>
    <w:rsid w:val="29C9A5DD"/>
    <w:rsid w:val="29CF6499"/>
    <w:rsid w:val="29D010EF"/>
    <w:rsid w:val="29E0DA4B"/>
    <w:rsid w:val="29E5127C"/>
    <w:rsid w:val="29E9F28E"/>
    <w:rsid w:val="29EF558B"/>
    <w:rsid w:val="29F9F545"/>
    <w:rsid w:val="2A0F805D"/>
    <w:rsid w:val="2A575919"/>
    <w:rsid w:val="2A8397B8"/>
    <w:rsid w:val="2A888EC1"/>
    <w:rsid w:val="2A95CAA4"/>
    <w:rsid w:val="2A9867ED"/>
    <w:rsid w:val="2A9FBA91"/>
    <w:rsid w:val="2ACB5F44"/>
    <w:rsid w:val="2ACE664E"/>
    <w:rsid w:val="2AD31F68"/>
    <w:rsid w:val="2AF1F602"/>
    <w:rsid w:val="2AFC2944"/>
    <w:rsid w:val="2B11F547"/>
    <w:rsid w:val="2B276674"/>
    <w:rsid w:val="2B2781D9"/>
    <w:rsid w:val="2B413E2B"/>
    <w:rsid w:val="2B42D933"/>
    <w:rsid w:val="2B53F125"/>
    <w:rsid w:val="2B61C4E1"/>
    <w:rsid w:val="2B85E932"/>
    <w:rsid w:val="2B98F762"/>
    <w:rsid w:val="2BBC4CC5"/>
    <w:rsid w:val="2BBD2947"/>
    <w:rsid w:val="2BC895B2"/>
    <w:rsid w:val="2BC94B83"/>
    <w:rsid w:val="2BCD3DE3"/>
    <w:rsid w:val="2BD3C1A5"/>
    <w:rsid w:val="2BDFACE0"/>
    <w:rsid w:val="2BE47804"/>
    <w:rsid w:val="2BE565D8"/>
    <w:rsid w:val="2BFAB9BD"/>
    <w:rsid w:val="2C012AB5"/>
    <w:rsid w:val="2C083057"/>
    <w:rsid w:val="2C155688"/>
    <w:rsid w:val="2C276FDF"/>
    <w:rsid w:val="2C3CF185"/>
    <w:rsid w:val="2C412374"/>
    <w:rsid w:val="2C5602EC"/>
    <w:rsid w:val="2C672FA5"/>
    <w:rsid w:val="2C6A36AF"/>
    <w:rsid w:val="2C79A9DA"/>
    <w:rsid w:val="2C7FDB7A"/>
    <w:rsid w:val="2C8DC663"/>
    <w:rsid w:val="2C9402B8"/>
    <w:rsid w:val="2CA3C651"/>
    <w:rsid w:val="2CD02AAB"/>
    <w:rsid w:val="2CDC9B02"/>
    <w:rsid w:val="2CDDA388"/>
    <w:rsid w:val="2CE92D77"/>
    <w:rsid w:val="2CEE4AFD"/>
    <w:rsid w:val="2D038AE1"/>
    <w:rsid w:val="2D0B7957"/>
    <w:rsid w:val="2D315B15"/>
    <w:rsid w:val="2D386164"/>
    <w:rsid w:val="2D72426B"/>
    <w:rsid w:val="2D733749"/>
    <w:rsid w:val="2D853225"/>
    <w:rsid w:val="2D879114"/>
    <w:rsid w:val="2D87E922"/>
    <w:rsid w:val="2D8D5375"/>
    <w:rsid w:val="2D8EF9DB"/>
    <w:rsid w:val="2D970D8C"/>
    <w:rsid w:val="2DA8FB4F"/>
    <w:rsid w:val="2DB420FD"/>
    <w:rsid w:val="2DC2D0CA"/>
    <w:rsid w:val="2DE46519"/>
    <w:rsid w:val="2E00CDF6"/>
    <w:rsid w:val="2E060710"/>
    <w:rsid w:val="2E1B1C4C"/>
    <w:rsid w:val="2E24709E"/>
    <w:rsid w:val="2E2BDC8D"/>
    <w:rsid w:val="2E419E08"/>
    <w:rsid w:val="2E798685"/>
    <w:rsid w:val="2E866D9C"/>
    <w:rsid w:val="2E9F5B42"/>
    <w:rsid w:val="2EACF157"/>
    <w:rsid w:val="2EB5DA40"/>
    <w:rsid w:val="2EBD7E64"/>
    <w:rsid w:val="2F0FE97E"/>
    <w:rsid w:val="2F1376BB"/>
    <w:rsid w:val="2F174DA2"/>
    <w:rsid w:val="2F210286"/>
    <w:rsid w:val="2F236175"/>
    <w:rsid w:val="2F26EEB8"/>
    <w:rsid w:val="2F2ACA3C"/>
    <w:rsid w:val="2F2BBCCB"/>
    <w:rsid w:val="2F320C64"/>
    <w:rsid w:val="2F3366DE"/>
    <w:rsid w:val="2F3DB7F1"/>
    <w:rsid w:val="2F4D6784"/>
    <w:rsid w:val="2F55A340"/>
    <w:rsid w:val="2F678C00"/>
    <w:rsid w:val="2F7FABC6"/>
    <w:rsid w:val="2F8C2433"/>
    <w:rsid w:val="2F8DA3AE"/>
    <w:rsid w:val="2FA02173"/>
    <w:rsid w:val="2FA1D771"/>
    <w:rsid w:val="2FA8A6FD"/>
    <w:rsid w:val="2FBB3E2D"/>
    <w:rsid w:val="2FC869B1"/>
    <w:rsid w:val="2FC87C5B"/>
    <w:rsid w:val="2FD88998"/>
    <w:rsid w:val="2FF18EC8"/>
    <w:rsid w:val="2FFE4F95"/>
    <w:rsid w:val="2FFEEF0B"/>
    <w:rsid w:val="300132B4"/>
    <w:rsid w:val="3011FFB7"/>
    <w:rsid w:val="301556E6"/>
    <w:rsid w:val="304B1DD6"/>
    <w:rsid w:val="30544169"/>
    <w:rsid w:val="3059EB71"/>
    <w:rsid w:val="3066101F"/>
    <w:rsid w:val="30B7D5EB"/>
    <w:rsid w:val="30C05B25"/>
    <w:rsid w:val="30C5EAB5"/>
    <w:rsid w:val="30CF373F"/>
    <w:rsid w:val="30DF182A"/>
    <w:rsid w:val="30EB27C1"/>
    <w:rsid w:val="30FDC386"/>
    <w:rsid w:val="30FE0450"/>
    <w:rsid w:val="3103FA7B"/>
    <w:rsid w:val="3115C0CA"/>
    <w:rsid w:val="3129740F"/>
    <w:rsid w:val="31386EB8"/>
    <w:rsid w:val="313AA0C8"/>
    <w:rsid w:val="3141A1A2"/>
    <w:rsid w:val="314CB79A"/>
    <w:rsid w:val="3166DA36"/>
    <w:rsid w:val="31745BB1"/>
    <w:rsid w:val="31790888"/>
    <w:rsid w:val="317D7E0A"/>
    <w:rsid w:val="318C8803"/>
    <w:rsid w:val="318D5F29"/>
    <w:rsid w:val="318E0AA1"/>
    <w:rsid w:val="3196A7F8"/>
    <w:rsid w:val="31C0C217"/>
    <w:rsid w:val="31DE694C"/>
    <w:rsid w:val="31F276E6"/>
    <w:rsid w:val="31F68F1F"/>
    <w:rsid w:val="31F93E9F"/>
    <w:rsid w:val="31FD4078"/>
    <w:rsid w:val="3203ED7D"/>
    <w:rsid w:val="3207B71F"/>
    <w:rsid w:val="3231EF20"/>
    <w:rsid w:val="324A22BB"/>
    <w:rsid w:val="3253F58F"/>
    <w:rsid w:val="32576DB7"/>
    <w:rsid w:val="325A4025"/>
    <w:rsid w:val="3261BB16"/>
    <w:rsid w:val="3266D03A"/>
    <w:rsid w:val="329F2CC2"/>
    <w:rsid w:val="32B577E6"/>
    <w:rsid w:val="32D67129"/>
    <w:rsid w:val="3300A467"/>
    <w:rsid w:val="330E755D"/>
    <w:rsid w:val="33151BE0"/>
    <w:rsid w:val="3315698A"/>
    <w:rsid w:val="331A68BC"/>
    <w:rsid w:val="33213D82"/>
    <w:rsid w:val="3323F609"/>
    <w:rsid w:val="3338E90A"/>
    <w:rsid w:val="33433166"/>
    <w:rsid w:val="3346FCC0"/>
    <w:rsid w:val="33485762"/>
    <w:rsid w:val="33578CB9"/>
    <w:rsid w:val="335D17FB"/>
    <w:rsid w:val="33648DE7"/>
    <w:rsid w:val="3373DBA6"/>
    <w:rsid w:val="339DF890"/>
    <w:rsid w:val="33A1F75C"/>
    <w:rsid w:val="33A3C2D7"/>
    <w:rsid w:val="33A69093"/>
    <w:rsid w:val="33C3FE79"/>
    <w:rsid w:val="33C55926"/>
    <w:rsid w:val="33D757A0"/>
    <w:rsid w:val="33DE0DD3"/>
    <w:rsid w:val="33FF6616"/>
    <w:rsid w:val="3405299C"/>
    <w:rsid w:val="34057910"/>
    <w:rsid w:val="343B9B3D"/>
    <w:rsid w:val="3454F570"/>
    <w:rsid w:val="34597B5B"/>
    <w:rsid w:val="345B700C"/>
    <w:rsid w:val="345EA3D3"/>
    <w:rsid w:val="3486AB47"/>
    <w:rsid w:val="348ED52A"/>
    <w:rsid w:val="34AA45BE"/>
    <w:rsid w:val="34AFBB4C"/>
    <w:rsid w:val="34B31A5E"/>
    <w:rsid w:val="34C377A4"/>
    <w:rsid w:val="34D6BBB5"/>
    <w:rsid w:val="34E02DC9"/>
    <w:rsid w:val="34E781F8"/>
    <w:rsid w:val="34FDD81B"/>
    <w:rsid w:val="352246A6"/>
    <w:rsid w:val="3533E5C4"/>
    <w:rsid w:val="353950FB"/>
    <w:rsid w:val="35528B0D"/>
    <w:rsid w:val="355CDB78"/>
    <w:rsid w:val="3562C1F0"/>
    <w:rsid w:val="3568C48A"/>
    <w:rsid w:val="3572B03C"/>
    <w:rsid w:val="35730B1C"/>
    <w:rsid w:val="357AA3EB"/>
    <w:rsid w:val="3582B83F"/>
    <w:rsid w:val="35A1B1B2"/>
    <w:rsid w:val="35A61377"/>
    <w:rsid w:val="35D09E59"/>
    <w:rsid w:val="35D602C7"/>
    <w:rsid w:val="35FCE532"/>
    <w:rsid w:val="362D479C"/>
    <w:rsid w:val="363A4B1C"/>
    <w:rsid w:val="365F4805"/>
    <w:rsid w:val="3664EE1C"/>
    <w:rsid w:val="366FA447"/>
    <w:rsid w:val="3678C9B9"/>
    <w:rsid w:val="367E8AC8"/>
    <w:rsid w:val="36835259"/>
    <w:rsid w:val="368E571E"/>
    <w:rsid w:val="3694333A"/>
    <w:rsid w:val="36945A78"/>
    <w:rsid w:val="36B94CD7"/>
    <w:rsid w:val="36EDCF73"/>
    <w:rsid w:val="36FEFF6C"/>
    <w:rsid w:val="370D8508"/>
    <w:rsid w:val="371702B8"/>
    <w:rsid w:val="3728DFA6"/>
    <w:rsid w:val="372EC838"/>
    <w:rsid w:val="3731A305"/>
    <w:rsid w:val="373D8213"/>
    <w:rsid w:val="3743FBB0"/>
    <w:rsid w:val="37759B08"/>
    <w:rsid w:val="3777F20B"/>
    <w:rsid w:val="37862B1F"/>
    <w:rsid w:val="378AB157"/>
    <w:rsid w:val="3798B593"/>
    <w:rsid w:val="37AE4CBD"/>
    <w:rsid w:val="37AF463B"/>
    <w:rsid w:val="37B1CFD2"/>
    <w:rsid w:val="37B3F599"/>
    <w:rsid w:val="37CD40C4"/>
    <w:rsid w:val="37CF9F84"/>
    <w:rsid w:val="37DA6C9E"/>
    <w:rsid w:val="37E488FE"/>
    <w:rsid w:val="37EA230B"/>
    <w:rsid w:val="37F588C0"/>
    <w:rsid w:val="37FE8EAF"/>
    <w:rsid w:val="3801305D"/>
    <w:rsid w:val="381A4E12"/>
    <w:rsid w:val="3820B0D7"/>
    <w:rsid w:val="382EE5D4"/>
    <w:rsid w:val="3830039B"/>
    <w:rsid w:val="3845F44E"/>
    <w:rsid w:val="3846E90E"/>
    <w:rsid w:val="386A6EA5"/>
    <w:rsid w:val="386A83E1"/>
    <w:rsid w:val="386F1995"/>
    <w:rsid w:val="38735836"/>
    <w:rsid w:val="38873C18"/>
    <w:rsid w:val="388AD549"/>
    <w:rsid w:val="3894EF50"/>
    <w:rsid w:val="389579E0"/>
    <w:rsid w:val="38B0B971"/>
    <w:rsid w:val="38B37387"/>
    <w:rsid w:val="38B85530"/>
    <w:rsid w:val="38BC2500"/>
    <w:rsid w:val="38BDD776"/>
    <w:rsid w:val="38CAFD87"/>
    <w:rsid w:val="38CC046F"/>
    <w:rsid w:val="38CFF1C6"/>
    <w:rsid w:val="38D500B3"/>
    <w:rsid w:val="38D95274"/>
    <w:rsid w:val="39072C96"/>
    <w:rsid w:val="390E6E46"/>
    <w:rsid w:val="3921FB80"/>
    <w:rsid w:val="39381771"/>
    <w:rsid w:val="3938C7F9"/>
    <w:rsid w:val="3990630E"/>
    <w:rsid w:val="3995F2C7"/>
    <w:rsid w:val="3996E8C7"/>
    <w:rsid w:val="3998E0E6"/>
    <w:rsid w:val="39A045B7"/>
    <w:rsid w:val="39C92043"/>
    <w:rsid w:val="39CB16EF"/>
    <w:rsid w:val="3A139632"/>
    <w:rsid w:val="3A2E8633"/>
    <w:rsid w:val="3A30BFB1"/>
    <w:rsid w:val="3A3B3D95"/>
    <w:rsid w:val="3A421598"/>
    <w:rsid w:val="3A46F07E"/>
    <w:rsid w:val="3A6F3589"/>
    <w:rsid w:val="3A7C7420"/>
    <w:rsid w:val="3A7E11AF"/>
    <w:rsid w:val="3A965D93"/>
    <w:rsid w:val="3AA5644B"/>
    <w:rsid w:val="3AAE6C8C"/>
    <w:rsid w:val="3ADFE724"/>
    <w:rsid w:val="3AE97094"/>
    <w:rsid w:val="3AF66286"/>
    <w:rsid w:val="3AFAD534"/>
    <w:rsid w:val="3B02D96B"/>
    <w:rsid w:val="3B13270A"/>
    <w:rsid w:val="3B192A5E"/>
    <w:rsid w:val="3B20B97E"/>
    <w:rsid w:val="3B26F6A7"/>
    <w:rsid w:val="3B31C328"/>
    <w:rsid w:val="3B32B928"/>
    <w:rsid w:val="3B362F71"/>
    <w:rsid w:val="3B3A9424"/>
    <w:rsid w:val="3B450108"/>
    <w:rsid w:val="3B4857D2"/>
    <w:rsid w:val="3B4BC847"/>
    <w:rsid w:val="3B584697"/>
    <w:rsid w:val="3B7FB1BD"/>
    <w:rsid w:val="3B99B2D6"/>
    <w:rsid w:val="3BBEDCDA"/>
    <w:rsid w:val="3BC321FE"/>
    <w:rsid w:val="3BC5FEC5"/>
    <w:rsid w:val="3BCF3D69"/>
    <w:rsid w:val="3BDDDB04"/>
    <w:rsid w:val="3BFDED51"/>
    <w:rsid w:val="3BFF0A48"/>
    <w:rsid w:val="3C01226B"/>
    <w:rsid w:val="3C070562"/>
    <w:rsid w:val="3C2BB9F2"/>
    <w:rsid w:val="3C364CF2"/>
    <w:rsid w:val="3C376A1C"/>
    <w:rsid w:val="3C438D14"/>
    <w:rsid w:val="3C853553"/>
    <w:rsid w:val="3C863111"/>
    <w:rsid w:val="3C8665A2"/>
    <w:rsid w:val="3C8B58F1"/>
    <w:rsid w:val="3C954AE0"/>
    <w:rsid w:val="3CA8C7A6"/>
    <w:rsid w:val="3CAC7FD2"/>
    <w:rsid w:val="3CB2344F"/>
    <w:rsid w:val="3CC4C875"/>
    <w:rsid w:val="3CC9131C"/>
    <w:rsid w:val="3CE1368A"/>
    <w:rsid w:val="3CE961C8"/>
    <w:rsid w:val="3CEC2C45"/>
    <w:rsid w:val="3CF005CD"/>
    <w:rsid w:val="3D0E1D6E"/>
    <w:rsid w:val="3D0FAC21"/>
    <w:rsid w:val="3D31ABC8"/>
    <w:rsid w:val="3D37E76B"/>
    <w:rsid w:val="3D3D5993"/>
    <w:rsid w:val="3D3F2621"/>
    <w:rsid w:val="3D43A67F"/>
    <w:rsid w:val="3D508FBC"/>
    <w:rsid w:val="3D6C3350"/>
    <w:rsid w:val="3D6E40F0"/>
    <w:rsid w:val="3D74A1C7"/>
    <w:rsid w:val="3D846B35"/>
    <w:rsid w:val="3D88BCDA"/>
    <w:rsid w:val="3D8BC653"/>
    <w:rsid w:val="3D9E8408"/>
    <w:rsid w:val="3DA2D5C3"/>
    <w:rsid w:val="3DBAD9C8"/>
    <w:rsid w:val="3DC8BCD4"/>
    <w:rsid w:val="3DDC147F"/>
    <w:rsid w:val="3DE9F7C1"/>
    <w:rsid w:val="3DFC57C6"/>
    <w:rsid w:val="3E00D14F"/>
    <w:rsid w:val="3E103DB1"/>
    <w:rsid w:val="3E1D8E41"/>
    <w:rsid w:val="3E201A50"/>
    <w:rsid w:val="3E24DB42"/>
    <w:rsid w:val="3E2876A3"/>
    <w:rsid w:val="3E2BB4DC"/>
    <w:rsid w:val="3E31D092"/>
    <w:rsid w:val="3E466C26"/>
    <w:rsid w:val="3E75E0FC"/>
    <w:rsid w:val="3E797B4E"/>
    <w:rsid w:val="3E83B950"/>
    <w:rsid w:val="3E86E130"/>
    <w:rsid w:val="3E937A95"/>
    <w:rsid w:val="3E96E8CC"/>
    <w:rsid w:val="3E96FE3F"/>
    <w:rsid w:val="3E9BC3E2"/>
    <w:rsid w:val="3EE1EF8F"/>
    <w:rsid w:val="3EE6CA9C"/>
    <w:rsid w:val="3F04BB64"/>
    <w:rsid w:val="3F09F807"/>
    <w:rsid w:val="3F0A1151"/>
    <w:rsid w:val="3F10F719"/>
    <w:rsid w:val="3F1F3033"/>
    <w:rsid w:val="3F1F4D5E"/>
    <w:rsid w:val="3F238C8D"/>
    <w:rsid w:val="3F2B0FB8"/>
    <w:rsid w:val="3F38E019"/>
    <w:rsid w:val="3F4720D0"/>
    <w:rsid w:val="3F48302E"/>
    <w:rsid w:val="3F4B37E5"/>
    <w:rsid w:val="3F4B388A"/>
    <w:rsid w:val="3F5A44FB"/>
    <w:rsid w:val="3F6D8D68"/>
    <w:rsid w:val="3F72A64D"/>
    <w:rsid w:val="3F7E1C68"/>
    <w:rsid w:val="3F811560"/>
    <w:rsid w:val="3F8A9F1B"/>
    <w:rsid w:val="3FA38619"/>
    <w:rsid w:val="3FAE1C3D"/>
    <w:rsid w:val="3FBC4631"/>
    <w:rsid w:val="3FCC5626"/>
    <w:rsid w:val="3FCF81E6"/>
    <w:rsid w:val="3FDB1A5C"/>
    <w:rsid w:val="3FDB255E"/>
    <w:rsid w:val="3FEDA06A"/>
    <w:rsid w:val="3FEEF698"/>
    <w:rsid w:val="3FF8BBDF"/>
    <w:rsid w:val="40134BBF"/>
    <w:rsid w:val="40154BAF"/>
    <w:rsid w:val="4015842A"/>
    <w:rsid w:val="401BC4B3"/>
    <w:rsid w:val="402935F6"/>
    <w:rsid w:val="402BEC63"/>
    <w:rsid w:val="4032F63D"/>
    <w:rsid w:val="40331C2C"/>
    <w:rsid w:val="4054C9C2"/>
    <w:rsid w:val="408117BB"/>
    <w:rsid w:val="40815417"/>
    <w:rsid w:val="4083AC2A"/>
    <w:rsid w:val="4091E94E"/>
    <w:rsid w:val="40A5E1B2"/>
    <w:rsid w:val="40AB8443"/>
    <w:rsid w:val="40BD76FC"/>
    <w:rsid w:val="40E088B9"/>
    <w:rsid w:val="40F45E42"/>
    <w:rsid w:val="411D686F"/>
    <w:rsid w:val="41279F0B"/>
    <w:rsid w:val="417808D6"/>
    <w:rsid w:val="4185A572"/>
    <w:rsid w:val="41861FBE"/>
    <w:rsid w:val="418970CB"/>
    <w:rsid w:val="418CB522"/>
    <w:rsid w:val="4193A365"/>
    <w:rsid w:val="41990C0A"/>
    <w:rsid w:val="419C843F"/>
    <w:rsid w:val="41A442FB"/>
    <w:rsid w:val="41B11C10"/>
    <w:rsid w:val="41B2445E"/>
    <w:rsid w:val="41C1A367"/>
    <w:rsid w:val="41C72CB6"/>
    <w:rsid w:val="41DC57B9"/>
    <w:rsid w:val="41EF17B5"/>
    <w:rsid w:val="41F09A23"/>
    <w:rsid w:val="420C626C"/>
    <w:rsid w:val="4242E72B"/>
    <w:rsid w:val="424812EA"/>
    <w:rsid w:val="426451DA"/>
    <w:rsid w:val="4266F8C6"/>
    <w:rsid w:val="426D80EB"/>
    <w:rsid w:val="427BFE95"/>
    <w:rsid w:val="4287CA4E"/>
    <w:rsid w:val="428EB696"/>
    <w:rsid w:val="42914FF9"/>
    <w:rsid w:val="429C282F"/>
    <w:rsid w:val="42B50062"/>
    <w:rsid w:val="42DFB637"/>
    <w:rsid w:val="42E80641"/>
    <w:rsid w:val="42EEC5A9"/>
    <w:rsid w:val="42FBE144"/>
    <w:rsid w:val="430CFE18"/>
    <w:rsid w:val="432EEC3C"/>
    <w:rsid w:val="4332088C"/>
    <w:rsid w:val="433A8D41"/>
    <w:rsid w:val="4340135C"/>
    <w:rsid w:val="434193EA"/>
    <w:rsid w:val="434BC097"/>
    <w:rsid w:val="436F3505"/>
    <w:rsid w:val="43801366"/>
    <w:rsid w:val="439CAF83"/>
    <w:rsid w:val="43A2DF20"/>
    <w:rsid w:val="43B24AA1"/>
    <w:rsid w:val="43B65B63"/>
    <w:rsid w:val="43C1D244"/>
    <w:rsid w:val="4412C28D"/>
    <w:rsid w:val="4416A850"/>
    <w:rsid w:val="442F949D"/>
    <w:rsid w:val="443DB608"/>
    <w:rsid w:val="44461770"/>
    <w:rsid w:val="4454B75A"/>
    <w:rsid w:val="4460EC11"/>
    <w:rsid w:val="446BBBA6"/>
    <w:rsid w:val="448E20CA"/>
    <w:rsid w:val="44D9176C"/>
    <w:rsid w:val="44DA3C77"/>
    <w:rsid w:val="44E092F4"/>
    <w:rsid w:val="44E2A25B"/>
    <w:rsid w:val="45097CEF"/>
    <w:rsid w:val="4514B186"/>
    <w:rsid w:val="4518088D"/>
    <w:rsid w:val="454885F3"/>
    <w:rsid w:val="454D1A3C"/>
    <w:rsid w:val="455DA2A5"/>
    <w:rsid w:val="45605915"/>
    <w:rsid w:val="45778D7D"/>
    <w:rsid w:val="4577B2D0"/>
    <w:rsid w:val="4578A27E"/>
    <w:rsid w:val="4586D8ED"/>
    <w:rsid w:val="459E7121"/>
    <w:rsid w:val="45A8219D"/>
    <w:rsid w:val="45A824F2"/>
    <w:rsid w:val="45AFF237"/>
    <w:rsid w:val="45B7B61C"/>
    <w:rsid w:val="45E454EF"/>
    <w:rsid w:val="45FC2960"/>
    <w:rsid w:val="460ED721"/>
    <w:rsid w:val="4610192E"/>
    <w:rsid w:val="461B3A11"/>
    <w:rsid w:val="4639FBA4"/>
    <w:rsid w:val="463E2FE1"/>
    <w:rsid w:val="4651D4E7"/>
    <w:rsid w:val="4656B3CC"/>
    <w:rsid w:val="46700ACF"/>
    <w:rsid w:val="468F4792"/>
    <w:rsid w:val="46C161B7"/>
    <w:rsid w:val="46D4EC27"/>
    <w:rsid w:val="46DFB0BC"/>
    <w:rsid w:val="46E60867"/>
    <w:rsid w:val="46F87FB2"/>
    <w:rsid w:val="47015650"/>
    <w:rsid w:val="47047F38"/>
    <w:rsid w:val="471D8057"/>
    <w:rsid w:val="4727E091"/>
    <w:rsid w:val="47510147"/>
    <w:rsid w:val="4767355F"/>
    <w:rsid w:val="476C3214"/>
    <w:rsid w:val="47AF9829"/>
    <w:rsid w:val="47BA0342"/>
    <w:rsid w:val="47BE1B11"/>
    <w:rsid w:val="47C0F613"/>
    <w:rsid w:val="47CFEE3D"/>
    <w:rsid w:val="47E67DEF"/>
    <w:rsid w:val="47EA5E29"/>
    <w:rsid w:val="47F1246C"/>
    <w:rsid w:val="47F1AA12"/>
    <w:rsid w:val="480BC5C3"/>
    <w:rsid w:val="481E9E5C"/>
    <w:rsid w:val="48339EF5"/>
    <w:rsid w:val="485D7E6A"/>
    <w:rsid w:val="4864FE78"/>
    <w:rsid w:val="48975760"/>
    <w:rsid w:val="48B950B8"/>
    <w:rsid w:val="48CAE83E"/>
    <w:rsid w:val="48CD142B"/>
    <w:rsid w:val="48D25C59"/>
    <w:rsid w:val="48E12F8F"/>
    <w:rsid w:val="48EA38AB"/>
    <w:rsid w:val="48EE666C"/>
    <w:rsid w:val="48EF1302"/>
    <w:rsid w:val="49071B8E"/>
    <w:rsid w:val="4920E939"/>
    <w:rsid w:val="4939BF02"/>
    <w:rsid w:val="4963C3FD"/>
    <w:rsid w:val="496463D0"/>
    <w:rsid w:val="497E563F"/>
    <w:rsid w:val="497F1C63"/>
    <w:rsid w:val="49903B69"/>
    <w:rsid w:val="49ACE5BB"/>
    <w:rsid w:val="49B40417"/>
    <w:rsid w:val="49BFE268"/>
    <w:rsid w:val="49E27D49"/>
    <w:rsid w:val="49F1CBB8"/>
    <w:rsid w:val="49F21187"/>
    <w:rsid w:val="4A2439A7"/>
    <w:rsid w:val="4A2663AD"/>
    <w:rsid w:val="4A39FFF4"/>
    <w:rsid w:val="4A75E16F"/>
    <w:rsid w:val="4A783D8E"/>
    <w:rsid w:val="4A7B92C0"/>
    <w:rsid w:val="4A8D68A3"/>
    <w:rsid w:val="4AB9A4E5"/>
    <w:rsid w:val="4AB9E144"/>
    <w:rsid w:val="4ABCB99A"/>
    <w:rsid w:val="4AD721EB"/>
    <w:rsid w:val="4ADFAEA3"/>
    <w:rsid w:val="4AE106D9"/>
    <w:rsid w:val="4AE24844"/>
    <w:rsid w:val="4AE40319"/>
    <w:rsid w:val="4AF46546"/>
    <w:rsid w:val="4AF5BBD3"/>
    <w:rsid w:val="4AFDF874"/>
    <w:rsid w:val="4B081354"/>
    <w:rsid w:val="4B146532"/>
    <w:rsid w:val="4B180FFD"/>
    <w:rsid w:val="4B1A03B5"/>
    <w:rsid w:val="4B1CCCEB"/>
    <w:rsid w:val="4B1DADE5"/>
    <w:rsid w:val="4B3B102D"/>
    <w:rsid w:val="4B45C86C"/>
    <w:rsid w:val="4B4FD478"/>
    <w:rsid w:val="4B50E166"/>
    <w:rsid w:val="4B63F899"/>
    <w:rsid w:val="4B711B80"/>
    <w:rsid w:val="4B72E925"/>
    <w:rsid w:val="4B839F8F"/>
    <w:rsid w:val="4B8B8295"/>
    <w:rsid w:val="4BC028B6"/>
    <w:rsid w:val="4BE413AE"/>
    <w:rsid w:val="4BE429D4"/>
    <w:rsid w:val="4BE6B29D"/>
    <w:rsid w:val="4BF0F17A"/>
    <w:rsid w:val="4C092599"/>
    <w:rsid w:val="4C1F33BB"/>
    <w:rsid w:val="4C1F5713"/>
    <w:rsid w:val="4C209064"/>
    <w:rsid w:val="4C21D96D"/>
    <w:rsid w:val="4C3CF93C"/>
    <w:rsid w:val="4C51CA88"/>
    <w:rsid w:val="4C539CFE"/>
    <w:rsid w:val="4C666958"/>
    <w:rsid w:val="4C96C92B"/>
    <w:rsid w:val="4C9B64BF"/>
    <w:rsid w:val="4C9E9A91"/>
    <w:rsid w:val="4CA024F3"/>
    <w:rsid w:val="4CB67EF8"/>
    <w:rsid w:val="4CB6BD25"/>
    <w:rsid w:val="4CDF36E6"/>
    <w:rsid w:val="4CEBA4D9"/>
    <w:rsid w:val="4CEE7C90"/>
    <w:rsid w:val="4CF9537F"/>
    <w:rsid w:val="4CFCEEEE"/>
    <w:rsid w:val="4D1A7E8B"/>
    <w:rsid w:val="4D3E8174"/>
    <w:rsid w:val="4D479B6A"/>
    <w:rsid w:val="4D615FBF"/>
    <w:rsid w:val="4D7B8BAA"/>
    <w:rsid w:val="4D7F3C37"/>
    <w:rsid w:val="4D8C3828"/>
    <w:rsid w:val="4D909138"/>
    <w:rsid w:val="4DA79048"/>
    <w:rsid w:val="4DBD4E86"/>
    <w:rsid w:val="4DDC7D6C"/>
    <w:rsid w:val="4DF4331E"/>
    <w:rsid w:val="4DF746C3"/>
    <w:rsid w:val="4E1DDD84"/>
    <w:rsid w:val="4E373520"/>
    <w:rsid w:val="4E444E9E"/>
    <w:rsid w:val="4E4ABC49"/>
    <w:rsid w:val="4E528D86"/>
    <w:rsid w:val="4E615266"/>
    <w:rsid w:val="4E68C613"/>
    <w:rsid w:val="4E7C4F7E"/>
    <w:rsid w:val="4E8AB389"/>
    <w:rsid w:val="4E9523E0"/>
    <w:rsid w:val="4EA14B34"/>
    <w:rsid w:val="4EA251DB"/>
    <w:rsid w:val="4ECF5E28"/>
    <w:rsid w:val="4ED7215A"/>
    <w:rsid w:val="4EF7AACA"/>
    <w:rsid w:val="4EFF0328"/>
    <w:rsid w:val="4EFF8847"/>
    <w:rsid w:val="4F0E5AE9"/>
    <w:rsid w:val="4F14C9BC"/>
    <w:rsid w:val="4F1E535F"/>
    <w:rsid w:val="4F2C6199"/>
    <w:rsid w:val="4F2E158F"/>
    <w:rsid w:val="4F43AC03"/>
    <w:rsid w:val="4F4870F0"/>
    <w:rsid w:val="4F56D47D"/>
    <w:rsid w:val="4F590FF5"/>
    <w:rsid w:val="4F594BA4"/>
    <w:rsid w:val="4F5E022A"/>
    <w:rsid w:val="4F78EF80"/>
    <w:rsid w:val="4F90B79D"/>
    <w:rsid w:val="4FD7C5B5"/>
    <w:rsid w:val="50261D52"/>
    <w:rsid w:val="5030F441"/>
    <w:rsid w:val="5039165A"/>
    <w:rsid w:val="5057A059"/>
    <w:rsid w:val="506744DE"/>
    <w:rsid w:val="507364F5"/>
    <w:rsid w:val="507DE568"/>
    <w:rsid w:val="508776F0"/>
    <w:rsid w:val="5094D833"/>
    <w:rsid w:val="509745BE"/>
    <w:rsid w:val="50A19CE2"/>
    <w:rsid w:val="50A49C51"/>
    <w:rsid w:val="50B6363F"/>
    <w:rsid w:val="50B9049B"/>
    <w:rsid w:val="50C6C69C"/>
    <w:rsid w:val="50CF3D66"/>
    <w:rsid w:val="50DF310A"/>
    <w:rsid w:val="50EE9535"/>
    <w:rsid w:val="510C805E"/>
    <w:rsid w:val="51189D19"/>
    <w:rsid w:val="5136031E"/>
    <w:rsid w:val="5137DB66"/>
    <w:rsid w:val="513EDC07"/>
    <w:rsid w:val="5142D5B4"/>
    <w:rsid w:val="514BA827"/>
    <w:rsid w:val="51564376"/>
    <w:rsid w:val="516E2924"/>
    <w:rsid w:val="516ED5E2"/>
    <w:rsid w:val="517439D1"/>
    <w:rsid w:val="517EC421"/>
    <w:rsid w:val="518A2E48"/>
    <w:rsid w:val="518C34A8"/>
    <w:rsid w:val="519EAB07"/>
    <w:rsid w:val="51AB7730"/>
    <w:rsid w:val="51B4497B"/>
    <w:rsid w:val="51C2544B"/>
    <w:rsid w:val="51CB93DD"/>
    <w:rsid w:val="51CE0186"/>
    <w:rsid w:val="51D4BEEF"/>
    <w:rsid w:val="51EC2C49"/>
    <w:rsid w:val="51ED26BE"/>
    <w:rsid w:val="51F7E8BB"/>
    <w:rsid w:val="51FAEC9C"/>
    <w:rsid w:val="522105D7"/>
    <w:rsid w:val="525DAD47"/>
    <w:rsid w:val="525EB461"/>
    <w:rsid w:val="5264025B"/>
    <w:rsid w:val="5264F141"/>
    <w:rsid w:val="526B0DC7"/>
    <w:rsid w:val="526EA022"/>
    <w:rsid w:val="52793E9F"/>
    <w:rsid w:val="527C8ADE"/>
    <w:rsid w:val="52B9A146"/>
    <w:rsid w:val="52BCAB03"/>
    <w:rsid w:val="52C80145"/>
    <w:rsid w:val="52C8585F"/>
    <w:rsid w:val="52D4E345"/>
    <w:rsid w:val="52D7EFF7"/>
    <w:rsid w:val="52E5CBB4"/>
    <w:rsid w:val="53060AAF"/>
    <w:rsid w:val="531CA04D"/>
    <w:rsid w:val="53214813"/>
    <w:rsid w:val="53276319"/>
    <w:rsid w:val="532A743C"/>
    <w:rsid w:val="535AA0B5"/>
    <w:rsid w:val="535E24AC"/>
    <w:rsid w:val="535EECF9"/>
    <w:rsid w:val="538ADB90"/>
    <w:rsid w:val="539367BC"/>
    <w:rsid w:val="53A17EBB"/>
    <w:rsid w:val="53A27056"/>
    <w:rsid w:val="53B0003D"/>
    <w:rsid w:val="53B99C26"/>
    <w:rsid w:val="53BF24B2"/>
    <w:rsid w:val="53C74830"/>
    <w:rsid w:val="53C7F623"/>
    <w:rsid w:val="53CC78F5"/>
    <w:rsid w:val="53D0D89C"/>
    <w:rsid w:val="53FFD2BC"/>
    <w:rsid w:val="5416D1CC"/>
    <w:rsid w:val="5419E854"/>
    <w:rsid w:val="542BC480"/>
    <w:rsid w:val="54731412"/>
    <w:rsid w:val="548FD1FE"/>
    <w:rsid w:val="54966365"/>
    <w:rsid w:val="54CCA2BD"/>
    <w:rsid w:val="54D4A1AB"/>
    <w:rsid w:val="54D663E0"/>
    <w:rsid w:val="54F98E75"/>
    <w:rsid w:val="5505A248"/>
    <w:rsid w:val="550C9215"/>
    <w:rsid w:val="55304ECC"/>
    <w:rsid w:val="5535E10B"/>
    <w:rsid w:val="553E40B7"/>
    <w:rsid w:val="55459F14"/>
    <w:rsid w:val="554F30A6"/>
    <w:rsid w:val="55572CE4"/>
    <w:rsid w:val="5567F6FB"/>
    <w:rsid w:val="55684956"/>
    <w:rsid w:val="556D7532"/>
    <w:rsid w:val="55741D70"/>
    <w:rsid w:val="557D8E25"/>
    <w:rsid w:val="55810F62"/>
    <w:rsid w:val="5591FA55"/>
    <w:rsid w:val="559320AC"/>
    <w:rsid w:val="559C3DE6"/>
    <w:rsid w:val="55A66C0A"/>
    <w:rsid w:val="55AA7E22"/>
    <w:rsid w:val="55B175AC"/>
    <w:rsid w:val="55D341BB"/>
    <w:rsid w:val="5600008F"/>
    <w:rsid w:val="56470739"/>
    <w:rsid w:val="5654EBC1"/>
    <w:rsid w:val="565CD947"/>
    <w:rsid w:val="566430B8"/>
    <w:rsid w:val="567C82C6"/>
    <w:rsid w:val="56862335"/>
    <w:rsid w:val="56870D68"/>
    <w:rsid w:val="56955ED6"/>
    <w:rsid w:val="569645AF"/>
    <w:rsid w:val="56A83012"/>
    <w:rsid w:val="56A86276"/>
    <w:rsid w:val="56C19CD9"/>
    <w:rsid w:val="56D01DF1"/>
    <w:rsid w:val="56D64C04"/>
    <w:rsid w:val="56F2FD45"/>
    <w:rsid w:val="571C3ADB"/>
    <w:rsid w:val="571CDA48"/>
    <w:rsid w:val="571DEC3D"/>
    <w:rsid w:val="5732BD51"/>
    <w:rsid w:val="5738D717"/>
    <w:rsid w:val="5740056C"/>
    <w:rsid w:val="5741677E"/>
    <w:rsid w:val="575119FA"/>
    <w:rsid w:val="575319C9"/>
    <w:rsid w:val="5754B330"/>
    <w:rsid w:val="5757AE32"/>
    <w:rsid w:val="57613FFB"/>
    <w:rsid w:val="57847FFF"/>
    <w:rsid w:val="578C2198"/>
    <w:rsid w:val="578C52B1"/>
    <w:rsid w:val="57956568"/>
    <w:rsid w:val="579BD0F0"/>
    <w:rsid w:val="579ED563"/>
    <w:rsid w:val="57A0873C"/>
    <w:rsid w:val="57A64590"/>
    <w:rsid w:val="57B34738"/>
    <w:rsid w:val="57D66D0D"/>
    <w:rsid w:val="57DDB1E6"/>
    <w:rsid w:val="57DED2E4"/>
    <w:rsid w:val="57E2D79A"/>
    <w:rsid w:val="57F96FCC"/>
    <w:rsid w:val="5803F58C"/>
    <w:rsid w:val="582356ED"/>
    <w:rsid w:val="582C3290"/>
    <w:rsid w:val="58322735"/>
    <w:rsid w:val="5838B40A"/>
    <w:rsid w:val="583C0626"/>
    <w:rsid w:val="584432D7"/>
    <w:rsid w:val="5844D7CD"/>
    <w:rsid w:val="584B7CCC"/>
    <w:rsid w:val="58504831"/>
    <w:rsid w:val="58538361"/>
    <w:rsid w:val="58675D4C"/>
    <w:rsid w:val="586FE5CC"/>
    <w:rsid w:val="58756979"/>
    <w:rsid w:val="58897758"/>
    <w:rsid w:val="589295D5"/>
    <w:rsid w:val="589FEA18"/>
    <w:rsid w:val="58AE214A"/>
    <w:rsid w:val="58B077C1"/>
    <w:rsid w:val="58D4A778"/>
    <w:rsid w:val="58DB462A"/>
    <w:rsid w:val="58DD160A"/>
    <w:rsid w:val="58E476A1"/>
    <w:rsid w:val="58EEEA2A"/>
    <w:rsid w:val="58F12C16"/>
    <w:rsid w:val="58FC8423"/>
    <w:rsid w:val="59336488"/>
    <w:rsid w:val="593C579D"/>
    <w:rsid w:val="59550D38"/>
    <w:rsid w:val="597D1B3A"/>
    <w:rsid w:val="5984F22F"/>
    <w:rsid w:val="599149BC"/>
    <w:rsid w:val="59B42388"/>
    <w:rsid w:val="59BE2513"/>
    <w:rsid w:val="59BF5B60"/>
    <w:rsid w:val="59D7D687"/>
    <w:rsid w:val="59D9136B"/>
    <w:rsid w:val="59F240BF"/>
    <w:rsid w:val="5A029286"/>
    <w:rsid w:val="5A0BB62D"/>
    <w:rsid w:val="5A3F1FC0"/>
    <w:rsid w:val="5A52504D"/>
    <w:rsid w:val="5A8818DD"/>
    <w:rsid w:val="5A9B1860"/>
    <w:rsid w:val="5ACEDE17"/>
    <w:rsid w:val="5AD36A44"/>
    <w:rsid w:val="5AD9059D"/>
    <w:rsid w:val="5AF2FB96"/>
    <w:rsid w:val="5B04B840"/>
    <w:rsid w:val="5B2D1A1D"/>
    <w:rsid w:val="5B31108E"/>
    <w:rsid w:val="5B3D8AF9"/>
    <w:rsid w:val="5B4A1048"/>
    <w:rsid w:val="5B5CE4BE"/>
    <w:rsid w:val="5B68CFF9"/>
    <w:rsid w:val="5B73892A"/>
    <w:rsid w:val="5B73A6E8"/>
    <w:rsid w:val="5B78295F"/>
    <w:rsid w:val="5B7E9DFB"/>
    <w:rsid w:val="5B88010A"/>
    <w:rsid w:val="5B8E1120"/>
    <w:rsid w:val="5B9E79A1"/>
    <w:rsid w:val="5BA61754"/>
    <w:rsid w:val="5BA89277"/>
    <w:rsid w:val="5BAE605A"/>
    <w:rsid w:val="5BB4B5D2"/>
    <w:rsid w:val="5BBDD07A"/>
    <w:rsid w:val="5BC279E0"/>
    <w:rsid w:val="5BC452E5"/>
    <w:rsid w:val="5BD7BE88"/>
    <w:rsid w:val="5C22C63D"/>
    <w:rsid w:val="5C47403D"/>
    <w:rsid w:val="5C5355AA"/>
    <w:rsid w:val="5C86A473"/>
    <w:rsid w:val="5C897C34"/>
    <w:rsid w:val="5C8A20CC"/>
    <w:rsid w:val="5C8B686B"/>
    <w:rsid w:val="5CB0C868"/>
    <w:rsid w:val="5CCE46E3"/>
    <w:rsid w:val="5CDD144D"/>
    <w:rsid w:val="5CE3DA59"/>
    <w:rsid w:val="5CE3E3D5"/>
    <w:rsid w:val="5CEC1014"/>
    <w:rsid w:val="5CF2CDF5"/>
    <w:rsid w:val="5D0FF21B"/>
    <w:rsid w:val="5D115628"/>
    <w:rsid w:val="5D33F309"/>
    <w:rsid w:val="5D3DC0CE"/>
    <w:rsid w:val="5D482D0A"/>
    <w:rsid w:val="5D49485B"/>
    <w:rsid w:val="5D583BE3"/>
    <w:rsid w:val="5D5A0D39"/>
    <w:rsid w:val="5D5F6C8F"/>
    <w:rsid w:val="5D735B3B"/>
    <w:rsid w:val="5D75314A"/>
    <w:rsid w:val="5D888AED"/>
    <w:rsid w:val="5D9E39F1"/>
    <w:rsid w:val="5DB96382"/>
    <w:rsid w:val="5DBDC246"/>
    <w:rsid w:val="5DBFB99F"/>
    <w:rsid w:val="5DC06C87"/>
    <w:rsid w:val="5DCF643B"/>
    <w:rsid w:val="5DD994D6"/>
    <w:rsid w:val="5DDE0A5A"/>
    <w:rsid w:val="5DF3E0FA"/>
    <w:rsid w:val="5DF6DAED"/>
    <w:rsid w:val="5E0FC8C0"/>
    <w:rsid w:val="5E1063A2"/>
    <w:rsid w:val="5E1620BE"/>
    <w:rsid w:val="5E254C95"/>
    <w:rsid w:val="5E287E5B"/>
    <w:rsid w:val="5E2A60F3"/>
    <w:rsid w:val="5E2F43FB"/>
    <w:rsid w:val="5E2FA703"/>
    <w:rsid w:val="5E4C98C9"/>
    <w:rsid w:val="5E4EB12D"/>
    <w:rsid w:val="5E5D9F53"/>
    <w:rsid w:val="5E6A1744"/>
    <w:rsid w:val="5E6F126D"/>
    <w:rsid w:val="5E7A91FD"/>
    <w:rsid w:val="5E7FF03A"/>
    <w:rsid w:val="5E948580"/>
    <w:rsid w:val="5E9822F0"/>
    <w:rsid w:val="5EA070BB"/>
    <w:rsid w:val="5F104C9B"/>
    <w:rsid w:val="5F2FF66A"/>
    <w:rsid w:val="5F3DDFCE"/>
    <w:rsid w:val="5F4285C2"/>
    <w:rsid w:val="5F484C3D"/>
    <w:rsid w:val="5F51A9F6"/>
    <w:rsid w:val="5F51BF0D"/>
    <w:rsid w:val="5F58ABBD"/>
    <w:rsid w:val="5F58F795"/>
    <w:rsid w:val="5F5A03E4"/>
    <w:rsid w:val="5F5C3CE8"/>
    <w:rsid w:val="5F657993"/>
    <w:rsid w:val="5F699B0B"/>
    <w:rsid w:val="5F778B7F"/>
    <w:rsid w:val="5F7E9E40"/>
    <w:rsid w:val="5F897DAF"/>
    <w:rsid w:val="5F903326"/>
    <w:rsid w:val="5F9F17F2"/>
    <w:rsid w:val="5FC44EBC"/>
    <w:rsid w:val="5FCB5DAF"/>
    <w:rsid w:val="5FE8692A"/>
    <w:rsid w:val="5FF52A9B"/>
    <w:rsid w:val="5FFFB8A4"/>
    <w:rsid w:val="600AE2CE"/>
    <w:rsid w:val="6023EAEB"/>
    <w:rsid w:val="603055E1"/>
    <w:rsid w:val="603184BB"/>
    <w:rsid w:val="60476052"/>
    <w:rsid w:val="604854EF"/>
    <w:rsid w:val="604AA807"/>
    <w:rsid w:val="607381EF"/>
    <w:rsid w:val="60798877"/>
    <w:rsid w:val="607A9D8C"/>
    <w:rsid w:val="607DB31E"/>
    <w:rsid w:val="608D1D94"/>
    <w:rsid w:val="6092B82A"/>
    <w:rsid w:val="60A677C7"/>
    <w:rsid w:val="60AAFBFD"/>
    <w:rsid w:val="60C191D1"/>
    <w:rsid w:val="60C31191"/>
    <w:rsid w:val="60EA03E8"/>
    <w:rsid w:val="60F56308"/>
    <w:rsid w:val="6115AB1C"/>
    <w:rsid w:val="611DB51F"/>
    <w:rsid w:val="612C0387"/>
    <w:rsid w:val="6130CD25"/>
    <w:rsid w:val="613D8823"/>
    <w:rsid w:val="613F75C9"/>
    <w:rsid w:val="613FE382"/>
    <w:rsid w:val="614214BD"/>
    <w:rsid w:val="614B1D90"/>
    <w:rsid w:val="615CED57"/>
    <w:rsid w:val="618F7BEA"/>
    <w:rsid w:val="619113AC"/>
    <w:rsid w:val="61959396"/>
    <w:rsid w:val="61A11DAD"/>
    <w:rsid w:val="61A40D64"/>
    <w:rsid w:val="61A58DA9"/>
    <w:rsid w:val="61A6E35F"/>
    <w:rsid w:val="61A7B1C1"/>
    <w:rsid w:val="61B784FC"/>
    <w:rsid w:val="61CC2642"/>
    <w:rsid w:val="61D2A1D1"/>
    <w:rsid w:val="61E3633E"/>
    <w:rsid w:val="61E8D221"/>
    <w:rsid w:val="6207EBED"/>
    <w:rsid w:val="620D4B4B"/>
    <w:rsid w:val="62329207"/>
    <w:rsid w:val="6233DA25"/>
    <w:rsid w:val="6246CC5E"/>
    <w:rsid w:val="6256762C"/>
    <w:rsid w:val="625775F1"/>
    <w:rsid w:val="625D6232"/>
    <w:rsid w:val="625D85B5"/>
    <w:rsid w:val="6269C61C"/>
    <w:rsid w:val="62894AB8"/>
    <w:rsid w:val="62B63F02"/>
    <w:rsid w:val="62C38E78"/>
    <w:rsid w:val="62DC110E"/>
    <w:rsid w:val="62E339E3"/>
    <w:rsid w:val="62EB84E2"/>
    <w:rsid w:val="62F8BDB8"/>
    <w:rsid w:val="630C2DE5"/>
    <w:rsid w:val="632388C9"/>
    <w:rsid w:val="632CE40D"/>
    <w:rsid w:val="633CEE0E"/>
    <w:rsid w:val="633F51CA"/>
    <w:rsid w:val="63428390"/>
    <w:rsid w:val="63460D3C"/>
    <w:rsid w:val="6356E29A"/>
    <w:rsid w:val="636219CD"/>
    <w:rsid w:val="6366BBB0"/>
    <w:rsid w:val="636730EC"/>
    <w:rsid w:val="6369257D"/>
    <w:rsid w:val="636EB0BE"/>
    <w:rsid w:val="636ED7FE"/>
    <w:rsid w:val="6379472E"/>
    <w:rsid w:val="637F339F"/>
    <w:rsid w:val="63AA9834"/>
    <w:rsid w:val="63FB64A3"/>
    <w:rsid w:val="6417C56A"/>
    <w:rsid w:val="642D212C"/>
    <w:rsid w:val="64643870"/>
    <w:rsid w:val="647F0A44"/>
    <w:rsid w:val="64932851"/>
    <w:rsid w:val="64948E19"/>
    <w:rsid w:val="64A0BC94"/>
    <w:rsid w:val="64BBDA4D"/>
    <w:rsid w:val="64BE0453"/>
    <w:rsid w:val="64CC283C"/>
    <w:rsid w:val="64E78CA1"/>
    <w:rsid w:val="64F2B2FB"/>
    <w:rsid w:val="64F7B631"/>
    <w:rsid w:val="64F83EE9"/>
    <w:rsid w:val="6505CD60"/>
    <w:rsid w:val="651CF98E"/>
    <w:rsid w:val="6520E6F7"/>
    <w:rsid w:val="652145EF"/>
    <w:rsid w:val="6528B6A9"/>
    <w:rsid w:val="652B2F4A"/>
    <w:rsid w:val="653469C0"/>
    <w:rsid w:val="6584BC4B"/>
    <w:rsid w:val="658E7F15"/>
    <w:rsid w:val="65943E31"/>
    <w:rsid w:val="65CC15E4"/>
    <w:rsid w:val="65D5B40F"/>
    <w:rsid w:val="65D76C7E"/>
    <w:rsid w:val="65DEA239"/>
    <w:rsid w:val="65E6E4AE"/>
    <w:rsid w:val="66150C79"/>
    <w:rsid w:val="6627FF03"/>
    <w:rsid w:val="66289620"/>
    <w:rsid w:val="662F7CCB"/>
    <w:rsid w:val="6632622E"/>
    <w:rsid w:val="66777E87"/>
    <w:rsid w:val="669F9765"/>
    <w:rsid w:val="66A19DC1"/>
    <w:rsid w:val="66AD40D1"/>
    <w:rsid w:val="66B0F0E1"/>
    <w:rsid w:val="66B6D461"/>
    <w:rsid w:val="66C673C6"/>
    <w:rsid w:val="66E85619"/>
    <w:rsid w:val="67029749"/>
    <w:rsid w:val="670C740C"/>
    <w:rsid w:val="670CD111"/>
    <w:rsid w:val="6714877A"/>
    <w:rsid w:val="6722A735"/>
    <w:rsid w:val="6729B78E"/>
    <w:rsid w:val="6731697B"/>
    <w:rsid w:val="67356847"/>
    <w:rsid w:val="6738C7F5"/>
    <w:rsid w:val="6742E9F9"/>
    <w:rsid w:val="6747E4DD"/>
    <w:rsid w:val="674D921F"/>
    <w:rsid w:val="6751AE9D"/>
    <w:rsid w:val="67559C38"/>
    <w:rsid w:val="675FD613"/>
    <w:rsid w:val="676D5B71"/>
    <w:rsid w:val="6772ADC9"/>
    <w:rsid w:val="67760A35"/>
    <w:rsid w:val="67B10771"/>
    <w:rsid w:val="67B15641"/>
    <w:rsid w:val="67B34C34"/>
    <w:rsid w:val="67CC2EDB"/>
    <w:rsid w:val="67E41181"/>
    <w:rsid w:val="67F29964"/>
    <w:rsid w:val="6806B87E"/>
    <w:rsid w:val="68105F31"/>
    <w:rsid w:val="68134EE8"/>
    <w:rsid w:val="681F092A"/>
    <w:rsid w:val="6823F2E6"/>
    <w:rsid w:val="68258DCE"/>
    <w:rsid w:val="682AF6BC"/>
    <w:rsid w:val="684C02BB"/>
    <w:rsid w:val="684E098A"/>
    <w:rsid w:val="685887B9"/>
    <w:rsid w:val="6858E6B1"/>
    <w:rsid w:val="685EAD44"/>
    <w:rsid w:val="687C38F4"/>
    <w:rsid w:val="687C4B7D"/>
    <w:rsid w:val="687F191F"/>
    <w:rsid w:val="6893DE2F"/>
    <w:rsid w:val="689B4F3A"/>
    <w:rsid w:val="68B37C8C"/>
    <w:rsid w:val="68BDA90D"/>
    <w:rsid w:val="68CAA20F"/>
    <w:rsid w:val="68D34037"/>
    <w:rsid w:val="68D439B5"/>
    <w:rsid w:val="690066B9"/>
    <w:rsid w:val="69092BD2"/>
    <w:rsid w:val="6913376B"/>
    <w:rsid w:val="69200C26"/>
    <w:rsid w:val="69209B46"/>
    <w:rsid w:val="6922542F"/>
    <w:rsid w:val="692F2D44"/>
    <w:rsid w:val="693B5347"/>
    <w:rsid w:val="694D26A2"/>
    <w:rsid w:val="69527B67"/>
    <w:rsid w:val="695F9FC5"/>
    <w:rsid w:val="6969887B"/>
    <w:rsid w:val="699AF369"/>
    <w:rsid w:val="69AEBB78"/>
    <w:rsid w:val="69AF1F49"/>
    <w:rsid w:val="69D3AFE9"/>
    <w:rsid w:val="69D93E83"/>
    <w:rsid w:val="69D9870A"/>
    <w:rsid w:val="69E88393"/>
    <w:rsid w:val="69EFB753"/>
    <w:rsid w:val="69F0BF8D"/>
    <w:rsid w:val="69F8606A"/>
    <w:rsid w:val="6A063988"/>
    <w:rsid w:val="6A180955"/>
    <w:rsid w:val="6A1FEFCC"/>
    <w:rsid w:val="6A24F06C"/>
    <w:rsid w:val="6A285843"/>
    <w:rsid w:val="6A4B7123"/>
    <w:rsid w:val="6A660A93"/>
    <w:rsid w:val="6A831CF1"/>
    <w:rsid w:val="6A8718D6"/>
    <w:rsid w:val="6A8964C8"/>
    <w:rsid w:val="6AA0EFDC"/>
    <w:rsid w:val="6AA424A0"/>
    <w:rsid w:val="6AAB4A38"/>
    <w:rsid w:val="6AB19C6E"/>
    <w:rsid w:val="6AB89494"/>
    <w:rsid w:val="6ABBFEF4"/>
    <w:rsid w:val="6AD065B1"/>
    <w:rsid w:val="6AE09788"/>
    <w:rsid w:val="6AEB12E6"/>
    <w:rsid w:val="6AF6394E"/>
    <w:rsid w:val="6B03CF9D"/>
    <w:rsid w:val="6B1F42D2"/>
    <w:rsid w:val="6B2053CC"/>
    <w:rsid w:val="6B3212AA"/>
    <w:rsid w:val="6B47FFF3"/>
    <w:rsid w:val="6B4F21DE"/>
    <w:rsid w:val="6B557289"/>
    <w:rsid w:val="6B75576B"/>
    <w:rsid w:val="6B75F0D4"/>
    <w:rsid w:val="6B7DF748"/>
    <w:rsid w:val="6B837778"/>
    <w:rsid w:val="6B838FF2"/>
    <w:rsid w:val="6B908ADC"/>
    <w:rsid w:val="6B929874"/>
    <w:rsid w:val="6BA084DB"/>
    <w:rsid w:val="6BBC0F9C"/>
    <w:rsid w:val="6BC597DE"/>
    <w:rsid w:val="6BC9E974"/>
    <w:rsid w:val="6BDC2172"/>
    <w:rsid w:val="6BF47637"/>
    <w:rsid w:val="6BF549CF"/>
    <w:rsid w:val="6C3D8E45"/>
    <w:rsid w:val="6C3FF501"/>
    <w:rsid w:val="6C427D2F"/>
    <w:rsid w:val="6C471A99"/>
    <w:rsid w:val="6C621E78"/>
    <w:rsid w:val="6C649C2E"/>
    <w:rsid w:val="6C65A22C"/>
    <w:rsid w:val="6C72F409"/>
    <w:rsid w:val="6C799FEB"/>
    <w:rsid w:val="6C853636"/>
    <w:rsid w:val="6C978B20"/>
    <w:rsid w:val="6CB4C7C7"/>
    <w:rsid w:val="6CB5EF20"/>
    <w:rsid w:val="6CB72CC8"/>
    <w:rsid w:val="6CC65A7B"/>
    <w:rsid w:val="6CCEED1B"/>
    <w:rsid w:val="6CE3D054"/>
    <w:rsid w:val="6CE49C83"/>
    <w:rsid w:val="6CE68339"/>
    <w:rsid w:val="6CF09FC1"/>
    <w:rsid w:val="6CFDB438"/>
    <w:rsid w:val="6CFDC4E0"/>
    <w:rsid w:val="6CFFBA56"/>
    <w:rsid w:val="6D033741"/>
    <w:rsid w:val="6D0E0478"/>
    <w:rsid w:val="6D1E8B2A"/>
    <w:rsid w:val="6D259C6D"/>
    <w:rsid w:val="6D2E6AEA"/>
    <w:rsid w:val="6D385F10"/>
    <w:rsid w:val="6D57B8B4"/>
    <w:rsid w:val="6D59AAA9"/>
    <w:rsid w:val="6D7EF07F"/>
    <w:rsid w:val="6D8DEBFE"/>
    <w:rsid w:val="6D9DAB24"/>
    <w:rsid w:val="6DBCE65D"/>
    <w:rsid w:val="6DBE09F5"/>
    <w:rsid w:val="6DD3EAE5"/>
    <w:rsid w:val="6DD727C9"/>
    <w:rsid w:val="6DDAF648"/>
    <w:rsid w:val="6DE7BA82"/>
    <w:rsid w:val="6DF3E38E"/>
    <w:rsid w:val="6E0EC46A"/>
    <w:rsid w:val="6E127415"/>
    <w:rsid w:val="6E2B0862"/>
    <w:rsid w:val="6E358C0B"/>
    <w:rsid w:val="6E3E9F90"/>
    <w:rsid w:val="6E496CE1"/>
    <w:rsid w:val="6E4FFE6F"/>
    <w:rsid w:val="6E561854"/>
    <w:rsid w:val="6E60DF57"/>
    <w:rsid w:val="6E66C02C"/>
    <w:rsid w:val="6E6AAA19"/>
    <w:rsid w:val="6E6C030B"/>
    <w:rsid w:val="6E6C5775"/>
    <w:rsid w:val="6E72049F"/>
    <w:rsid w:val="6E72C1E8"/>
    <w:rsid w:val="6E81FC48"/>
    <w:rsid w:val="6E826214"/>
    <w:rsid w:val="6E82906C"/>
    <w:rsid w:val="6E8F81AE"/>
    <w:rsid w:val="6E9B8AB7"/>
    <w:rsid w:val="6EA15926"/>
    <w:rsid w:val="6EAD9BAE"/>
    <w:rsid w:val="6EB49FEE"/>
    <w:rsid w:val="6EC20332"/>
    <w:rsid w:val="6EC24FE2"/>
    <w:rsid w:val="6EC430B0"/>
    <w:rsid w:val="6ED8208F"/>
    <w:rsid w:val="6EFBC966"/>
    <w:rsid w:val="6F1229DF"/>
    <w:rsid w:val="6F3ED2C8"/>
    <w:rsid w:val="6F3F812F"/>
    <w:rsid w:val="6F4281BB"/>
    <w:rsid w:val="6F6FBC04"/>
    <w:rsid w:val="6F7745CF"/>
    <w:rsid w:val="6F838AE3"/>
    <w:rsid w:val="6F90F536"/>
    <w:rsid w:val="6F9A642B"/>
    <w:rsid w:val="6F9C060A"/>
    <w:rsid w:val="6F9C1BB1"/>
    <w:rsid w:val="6FAA94CB"/>
    <w:rsid w:val="6FB80D62"/>
    <w:rsid w:val="6FB8A82D"/>
    <w:rsid w:val="6FBB06F7"/>
    <w:rsid w:val="6FF295B9"/>
    <w:rsid w:val="70024DFF"/>
    <w:rsid w:val="70067A7A"/>
    <w:rsid w:val="70096AA4"/>
    <w:rsid w:val="700CCF43"/>
    <w:rsid w:val="7034A2E3"/>
    <w:rsid w:val="706178CD"/>
    <w:rsid w:val="706D560C"/>
    <w:rsid w:val="706FB1AC"/>
    <w:rsid w:val="7080F186"/>
    <w:rsid w:val="70820330"/>
    <w:rsid w:val="70962655"/>
    <w:rsid w:val="7097E398"/>
    <w:rsid w:val="70D3AA9A"/>
    <w:rsid w:val="70DB5190"/>
    <w:rsid w:val="70FBD15E"/>
    <w:rsid w:val="710720BE"/>
    <w:rsid w:val="7107A4F8"/>
    <w:rsid w:val="710D305D"/>
    <w:rsid w:val="71143DB7"/>
    <w:rsid w:val="7125A758"/>
    <w:rsid w:val="7125BB1E"/>
    <w:rsid w:val="712BDC09"/>
    <w:rsid w:val="7131382B"/>
    <w:rsid w:val="71605D4D"/>
    <w:rsid w:val="7163D14B"/>
    <w:rsid w:val="7164996D"/>
    <w:rsid w:val="71657AD2"/>
    <w:rsid w:val="7187F4E3"/>
    <w:rsid w:val="718F9620"/>
    <w:rsid w:val="719781A2"/>
    <w:rsid w:val="719E60EE"/>
    <w:rsid w:val="71A4C88E"/>
    <w:rsid w:val="71BE6362"/>
    <w:rsid w:val="71BE9FFA"/>
    <w:rsid w:val="71CEB1DB"/>
    <w:rsid w:val="71CF6CD8"/>
    <w:rsid w:val="71E415DB"/>
    <w:rsid w:val="71F2B423"/>
    <w:rsid w:val="72005F36"/>
    <w:rsid w:val="720BF813"/>
    <w:rsid w:val="723E6F60"/>
    <w:rsid w:val="7248A808"/>
    <w:rsid w:val="724C7F4F"/>
    <w:rsid w:val="724DABB7"/>
    <w:rsid w:val="7268F441"/>
    <w:rsid w:val="727B1974"/>
    <w:rsid w:val="727B3DFD"/>
    <w:rsid w:val="728F904A"/>
    <w:rsid w:val="72927666"/>
    <w:rsid w:val="72AF3685"/>
    <w:rsid w:val="72B2B083"/>
    <w:rsid w:val="72C089E5"/>
    <w:rsid w:val="72C36842"/>
    <w:rsid w:val="72C6F42F"/>
    <w:rsid w:val="72D81A59"/>
    <w:rsid w:val="72D898D8"/>
    <w:rsid w:val="72DADCFC"/>
    <w:rsid w:val="72DF93F7"/>
    <w:rsid w:val="72E0F98F"/>
    <w:rsid w:val="730451E4"/>
    <w:rsid w:val="7304D735"/>
    <w:rsid w:val="732A367B"/>
    <w:rsid w:val="732BCE02"/>
    <w:rsid w:val="733A314F"/>
    <w:rsid w:val="733CB69A"/>
    <w:rsid w:val="7356018F"/>
    <w:rsid w:val="735812C6"/>
    <w:rsid w:val="736593FD"/>
    <w:rsid w:val="736A386A"/>
    <w:rsid w:val="736C43A5"/>
    <w:rsid w:val="73849C0A"/>
    <w:rsid w:val="738BFFD7"/>
    <w:rsid w:val="738EEF15"/>
    <w:rsid w:val="7391B8B4"/>
    <w:rsid w:val="7397A1D3"/>
    <w:rsid w:val="739D0CFA"/>
    <w:rsid w:val="73A54736"/>
    <w:rsid w:val="73A8AC49"/>
    <w:rsid w:val="73B216CD"/>
    <w:rsid w:val="73B23C41"/>
    <w:rsid w:val="73BD799D"/>
    <w:rsid w:val="73C10B25"/>
    <w:rsid w:val="73C93401"/>
    <w:rsid w:val="73CB13A2"/>
    <w:rsid w:val="73D69B2F"/>
    <w:rsid w:val="73F5F7AC"/>
    <w:rsid w:val="74013566"/>
    <w:rsid w:val="742E46C7"/>
    <w:rsid w:val="742FF070"/>
    <w:rsid w:val="743996A3"/>
    <w:rsid w:val="743EC180"/>
    <w:rsid w:val="74418CAC"/>
    <w:rsid w:val="74477EDD"/>
    <w:rsid w:val="74498989"/>
    <w:rsid w:val="7462C490"/>
    <w:rsid w:val="7472E23F"/>
    <w:rsid w:val="7491DBDD"/>
    <w:rsid w:val="749D1B94"/>
    <w:rsid w:val="749E4C34"/>
    <w:rsid w:val="74B42292"/>
    <w:rsid w:val="74C606DC"/>
    <w:rsid w:val="74C6764A"/>
    <w:rsid w:val="74D886FB"/>
    <w:rsid w:val="74EACE9F"/>
    <w:rsid w:val="74EC2303"/>
    <w:rsid w:val="74F4373E"/>
    <w:rsid w:val="752F01D6"/>
    <w:rsid w:val="7539EFB1"/>
    <w:rsid w:val="754A24E8"/>
    <w:rsid w:val="7550F9B4"/>
    <w:rsid w:val="755E0EC5"/>
    <w:rsid w:val="758322D5"/>
    <w:rsid w:val="75B47E50"/>
    <w:rsid w:val="75BBBEEF"/>
    <w:rsid w:val="75DAFB01"/>
    <w:rsid w:val="75E6D747"/>
    <w:rsid w:val="75EC133C"/>
    <w:rsid w:val="75F07CBD"/>
    <w:rsid w:val="75F32C7B"/>
    <w:rsid w:val="75FB7A62"/>
    <w:rsid w:val="760EB2A0"/>
    <w:rsid w:val="760FCA05"/>
    <w:rsid w:val="7616D083"/>
    <w:rsid w:val="762EF9A7"/>
    <w:rsid w:val="76346A0A"/>
    <w:rsid w:val="7638EBF5"/>
    <w:rsid w:val="764F7199"/>
    <w:rsid w:val="766C7EAE"/>
    <w:rsid w:val="7671D211"/>
    <w:rsid w:val="768FB388"/>
    <w:rsid w:val="7697E33E"/>
    <w:rsid w:val="76B53552"/>
    <w:rsid w:val="76C800C0"/>
    <w:rsid w:val="76D69752"/>
    <w:rsid w:val="76DEEAFA"/>
    <w:rsid w:val="76ECB236"/>
    <w:rsid w:val="76F0330A"/>
    <w:rsid w:val="77050144"/>
    <w:rsid w:val="7706DB4B"/>
    <w:rsid w:val="77110BB6"/>
    <w:rsid w:val="7711F4D2"/>
    <w:rsid w:val="77125166"/>
    <w:rsid w:val="77473E2A"/>
    <w:rsid w:val="774E28A4"/>
    <w:rsid w:val="77506409"/>
    <w:rsid w:val="776CCA70"/>
    <w:rsid w:val="776DF529"/>
    <w:rsid w:val="777BA746"/>
    <w:rsid w:val="778D16A6"/>
    <w:rsid w:val="7791849F"/>
    <w:rsid w:val="779521E8"/>
    <w:rsid w:val="77C2D3DC"/>
    <w:rsid w:val="77C803AC"/>
    <w:rsid w:val="77CEA33A"/>
    <w:rsid w:val="77CF6791"/>
    <w:rsid w:val="77D126F3"/>
    <w:rsid w:val="77DB6674"/>
    <w:rsid w:val="77E70A18"/>
    <w:rsid w:val="77F027FB"/>
    <w:rsid w:val="77FF7902"/>
    <w:rsid w:val="780AFBE1"/>
    <w:rsid w:val="780EF116"/>
    <w:rsid w:val="7828DBD9"/>
    <w:rsid w:val="782B83E9"/>
    <w:rsid w:val="78426CFD"/>
    <w:rsid w:val="784764F7"/>
    <w:rsid w:val="7851316B"/>
    <w:rsid w:val="78563744"/>
    <w:rsid w:val="78569046"/>
    <w:rsid w:val="7857C433"/>
    <w:rsid w:val="7866A298"/>
    <w:rsid w:val="78AB1D74"/>
    <w:rsid w:val="78BCED3B"/>
    <w:rsid w:val="78C1F839"/>
    <w:rsid w:val="78CE692B"/>
    <w:rsid w:val="78D02878"/>
    <w:rsid w:val="7906E343"/>
    <w:rsid w:val="790773D0"/>
    <w:rsid w:val="79083F7C"/>
    <w:rsid w:val="790D3D32"/>
    <w:rsid w:val="791F4F9C"/>
    <w:rsid w:val="79289DE8"/>
    <w:rsid w:val="79442A2B"/>
    <w:rsid w:val="794E3891"/>
    <w:rsid w:val="7952D023"/>
    <w:rsid w:val="7952F7EF"/>
    <w:rsid w:val="796B37F2"/>
    <w:rsid w:val="796E15EC"/>
    <w:rsid w:val="796F463C"/>
    <w:rsid w:val="79714F98"/>
    <w:rsid w:val="799E0CB1"/>
    <w:rsid w:val="79A972D3"/>
    <w:rsid w:val="79BF832D"/>
    <w:rsid w:val="79C42C0B"/>
    <w:rsid w:val="79C59EAF"/>
    <w:rsid w:val="79F3DD8E"/>
    <w:rsid w:val="79F40E84"/>
    <w:rsid w:val="79FF8C99"/>
    <w:rsid w:val="7A0FDD6A"/>
    <w:rsid w:val="7A2A6981"/>
    <w:rsid w:val="7A4301BC"/>
    <w:rsid w:val="7A8B2D54"/>
    <w:rsid w:val="7A8CCB41"/>
    <w:rsid w:val="7AA16B67"/>
    <w:rsid w:val="7AA28374"/>
    <w:rsid w:val="7AA2ED1B"/>
    <w:rsid w:val="7AAB017C"/>
    <w:rsid w:val="7AAE4956"/>
    <w:rsid w:val="7AC46E49"/>
    <w:rsid w:val="7ADFFA8C"/>
    <w:rsid w:val="7AE9A7E9"/>
    <w:rsid w:val="7AFCC38C"/>
    <w:rsid w:val="7B0C5D18"/>
    <w:rsid w:val="7B136AE2"/>
    <w:rsid w:val="7B29FD07"/>
    <w:rsid w:val="7B3A3011"/>
    <w:rsid w:val="7B454334"/>
    <w:rsid w:val="7B46A2DD"/>
    <w:rsid w:val="7B492D21"/>
    <w:rsid w:val="7B5FDD40"/>
    <w:rsid w:val="7B63520D"/>
    <w:rsid w:val="7B6BA6C5"/>
    <w:rsid w:val="7B6FD5B6"/>
    <w:rsid w:val="7B73F7D1"/>
    <w:rsid w:val="7B9518BE"/>
    <w:rsid w:val="7BA73F5C"/>
    <w:rsid w:val="7BABE9ED"/>
    <w:rsid w:val="7BB81B11"/>
    <w:rsid w:val="7BDB65A0"/>
    <w:rsid w:val="7BE1AD14"/>
    <w:rsid w:val="7BEDF47D"/>
    <w:rsid w:val="7BF32835"/>
    <w:rsid w:val="7BF79DAF"/>
    <w:rsid w:val="7C063511"/>
    <w:rsid w:val="7C0A9AF6"/>
    <w:rsid w:val="7C1FEC44"/>
    <w:rsid w:val="7C289BA2"/>
    <w:rsid w:val="7C304C73"/>
    <w:rsid w:val="7C4D89AF"/>
    <w:rsid w:val="7C544DB1"/>
    <w:rsid w:val="7C5B90F1"/>
    <w:rsid w:val="7C5B9F95"/>
    <w:rsid w:val="7C5C33E6"/>
    <w:rsid w:val="7C6859FF"/>
    <w:rsid w:val="7C689051"/>
    <w:rsid w:val="7C74D263"/>
    <w:rsid w:val="7C7645CB"/>
    <w:rsid w:val="7C7BD44C"/>
    <w:rsid w:val="7C8145D3"/>
    <w:rsid w:val="7C85784A"/>
    <w:rsid w:val="7C96B38E"/>
    <w:rsid w:val="7C9E3C88"/>
    <w:rsid w:val="7CA82D79"/>
    <w:rsid w:val="7CBAC598"/>
    <w:rsid w:val="7CCCDFD2"/>
    <w:rsid w:val="7CDEA2E7"/>
    <w:rsid w:val="7CEC3347"/>
    <w:rsid w:val="7D04BEF1"/>
    <w:rsid w:val="7D085ADC"/>
    <w:rsid w:val="7D1E8CAA"/>
    <w:rsid w:val="7D2F391C"/>
    <w:rsid w:val="7D30B361"/>
    <w:rsid w:val="7D3748C5"/>
    <w:rsid w:val="7D6B8768"/>
    <w:rsid w:val="7D6C91CF"/>
    <w:rsid w:val="7D8EC730"/>
    <w:rsid w:val="7D9D33C8"/>
    <w:rsid w:val="7DB1FFB1"/>
    <w:rsid w:val="7DBBBCA5"/>
    <w:rsid w:val="7DBFAB7B"/>
    <w:rsid w:val="7DC46C03"/>
    <w:rsid w:val="7DCCD84B"/>
    <w:rsid w:val="7DD78004"/>
    <w:rsid w:val="7DE0583B"/>
    <w:rsid w:val="7DEAF603"/>
    <w:rsid w:val="7DEAF7DB"/>
    <w:rsid w:val="7DEFC452"/>
    <w:rsid w:val="7DF2C0BF"/>
    <w:rsid w:val="7DFC0F0B"/>
    <w:rsid w:val="7DFF9749"/>
    <w:rsid w:val="7E05D6C1"/>
    <w:rsid w:val="7E0A5433"/>
    <w:rsid w:val="7E0B7790"/>
    <w:rsid w:val="7E1E544E"/>
    <w:rsid w:val="7E1FD835"/>
    <w:rsid w:val="7E25E928"/>
    <w:rsid w:val="7E25FA91"/>
    <w:rsid w:val="7E264146"/>
    <w:rsid w:val="7E321560"/>
    <w:rsid w:val="7E3A98B3"/>
    <w:rsid w:val="7E604473"/>
    <w:rsid w:val="7E60BCCD"/>
    <w:rsid w:val="7E6CD0F5"/>
    <w:rsid w:val="7E930239"/>
    <w:rsid w:val="7EA08F52"/>
    <w:rsid w:val="7EA5311E"/>
    <w:rsid w:val="7EAD9203"/>
    <w:rsid w:val="7EB35B65"/>
    <w:rsid w:val="7EB584B2"/>
    <w:rsid w:val="7EC3AE25"/>
    <w:rsid w:val="7ED5FF81"/>
    <w:rsid w:val="7EE9E17A"/>
    <w:rsid w:val="7EF35CC7"/>
    <w:rsid w:val="7F2AC8F7"/>
    <w:rsid w:val="7F3EC275"/>
    <w:rsid w:val="7F4D748B"/>
    <w:rsid w:val="7F56A76D"/>
    <w:rsid w:val="7F5F22EC"/>
    <w:rsid w:val="7F6ACA6D"/>
    <w:rsid w:val="7F793B4F"/>
    <w:rsid w:val="7F86C664"/>
    <w:rsid w:val="7F9C8AF0"/>
    <w:rsid w:val="7FAF406B"/>
    <w:rsid w:val="7FB78162"/>
    <w:rsid w:val="7FBA175A"/>
    <w:rsid w:val="7FBCC729"/>
    <w:rsid w:val="7FBF5BC3"/>
    <w:rsid w:val="7FC8A61B"/>
    <w:rsid w:val="7FCC8026"/>
    <w:rsid w:val="7FCFE7A8"/>
    <w:rsid w:val="7FE4EA13"/>
    <w:rsid w:val="7FF2665A"/>
    <w:rsid w:val="7FFF7464"/>
    <w:rsid w:val="BFCF3ADA"/>
    <w:rsid w:val="F87FA73E"/>
    <w:rsid w:val="FE1732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4"/>
    <w:basedOn w:val="1"/>
    <w:next w:val="1"/>
    <w:link w:val="11"/>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FollowedHyperlink"/>
    <w:basedOn w:val="4"/>
    <w:semiHidden/>
    <w:unhideWhenUsed/>
    <w:qFormat/>
    <w:uiPriority w:val="99"/>
    <w:rPr>
      <w:color w:val="954F72" w:themeColor="followedHyperlink"/>
      <w:u w:val="single"/>
      <w14:textFill>
        <w14:solidFill>
          <w14:schemeClr w14:val="folHlink"/>
        </w14:solidFill>
      </w14:textFill>
    </w:rPr>
  </w:style>
  <w:style w:type="character" w:styleId="7">
    <w:name w:val="Hyperlink"/>
    <w:basedOn w:val="4"/>
    <w:unhideWhenUsed/>
    <w:qFormat/>
    <w:uiPriority w:val="99"/>
    <w:rPr>
      <w:color w:val="0563C1" w:themeColor="hyperlink"/>
      <w:u w:val="single"/>
      <w14:textFill>
        <w14:solidFill>
          <w14:schemeClr w14:val="hlink"/>
        </w14:solidFill>
      </w14:textFill>
    </w:rPr>
  </w:style>
  <w:style w:type="paragraph" w:styleId="8">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table" w:styleId="9">
    <w:name w:val="Table Grid"/>
    <w:basedOn w:val="5"/>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10">
    <w:name w:val="List Paragraph"/>
    <w:basedOn w:val="1"/>
    <w:qFormat/>
    <w:uiPriority w:val="34"/>
    <w:pPr>
      <w:ind w:left="720"/>
      <w:contextualSpacing/>
    </w:pPr>
  </w:style>
  <w:style w:type="character" w:customStyle="1" w:styleId="11">
    <w:name w:val="Heading 4 Char"/>
    <w:basedOn w:val="4"/>
    <w:link w:val="3"/>
    <w:qFormat/>
    <w:uiPriority w:val="9"/>
    <w:rPr>
      <w:rFonts w:asciiTheme="majorHAnsi" w:hAnsiTheme="majorHAnsi" w:eastAsiaTheme="majorEastAsia" w:cstheme="majorBidi"/>
      <w:i/>
      <w:iCs/>
      <w:color w:val="2F5597" w:themeColor="accent1" w:themeShade="BF"/>
    </w:rPr>
  </w:style>
  <w:style w:type="character" w:customStyle="1" w:styleId="12">
    <w:name w:val="Heading 1 Char"/>
    <w:basedOn w:val="4"/>
    <w:link w:val="2"/>
    <w:qFormat/>
    <w:uiPriority w:val="9"/>
    <w:rPr>
      <w:rFonts w:asciiTheme="majorHAnsi" w:hAnsiTheme="majorHAnsi" w:eastAsiaTheme="majorEastAsia" w:cstheme="majorBidi"/>
      <w:color w:val="2F5597" w:themeColor="accent1" w:themeShade="BF"/>
      <w:sz w:val="32"/>
      <w:szCs w:val="32"/>
    </w:rPr>
  </w:style>
  <w:style w:type="character" w:customStyle="1" w:styleId="13">
    <w:name w:val="Unresolved Mention"/>
    <w:basedOn w:val="4"/>
    <w:semiHidden/>
    <w:unhideWhenUsed/>
    <w:qFormat/>
    <w:uiPriority w:val="99"/>
    <w:rPr>
      <w:color w:val="605E5C"/>
      <w:shd w:val="clear" w:color="auto" w:fill="E1DFDD"/>
    </w:rPr>
  </w:style>
  <w:style w:type="paragraph" w:customStyle="1" w:styleId="14">
    <w:name w:val="Nornal"/>
    <w:basedOn w:val="1"/>
    <w:qFormat/>
    <w:uiPriority w:val="0"/>
    <w:pPr>
      <w:widowControl/>
      <w:autoSpaceDE/>
      <w:autoSpaceDN/>
      <w:spacing w:after="160" w:line="264" w:lineRule="auto"/>
    </w:pPr>
    <w:rPr>
      <w:rFonts w:eastAsiaTheme="minorHAnsi"/>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5520</Words>
  <Characters>30915</Characters>
  <Lines>1545</Lines>
  <Paragraphs>687</Paragraphs>
  <TotalTime>2</TotalTime>
  <ScaleCrop>false</ScaleCrop>
  <LinksUpToDate>false</LinksUpToDate>
  <CharactersWithSpaces>35748</CharactersWithSpaces>
  <Application>WPS Office_5.6.0.8082_F1E327BC-269C-435d-A152-05C5408002CA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2023-12-01T22:36:00Z</dcterms:created>
  <dc:creator>Sian White</dc:creator>
  <cp:lastModifiedBy>WPS_1706522562</cp:lastModifiedBy>
  <dcterms:modified xsi:type="dcterms:W3CDTF">2024-02-12T20:20:31Z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1033-5.6.0.8082</vt:lpwstr>
  </property>
</Properties>
</file>