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69EF4D" w14:textId="77777777" w:rsidR="00B44188" w:rsidRDefault="00DD5E0B">
      <w:pPr>
        <w:spacing w:after="160" w:line="360" w:lineRule="auto"/>
      </w:pPr>
      <w:r>
        <w:rPr>
          <w:b/>
          <w:bCs/>
        </w:rPr>
        <w:t>Nikola Sugarova</w:t>
      </w:r>
    </w:p>
    <w:p w14:paraId="040E219C" w14:textId="77777777" w:rsidR="00B44188" w:rsidRDefault="00DD5E0B">
      <w:pPr>
        <w:spacing w:after="160" w:line="360" w:lineRule="auto"/>
      </w:pPr>
      <w:r>
        <w:rPr>
          <w:b/>
          <w:bCs/>
        </w:rPr>
        <w:t>Student No: 2219936</w:t>
      </w:r>
    </w:p>
    <w:p w14:paraId="2D2C1FD6" w14:textId="77777777" w:rsidR="00B44188" w:rsidRDefault="00DD5E0B">
      <w:pPr>
        <w:spacing w:after="160" w:line="360" w:lineRule="auto"/>
      </w:pPr>
      <w:r>
        <w:rPr>
          <w:b/>
          <w:bCs/>
        </w:rPr>
        <w:t>Date: 07/05/26</w:t>
      </w:r>
    </w:p>
    <w:p w14:paraId="10CE1722" w14:textId="77777777" w:rsidR="00B44188" w:rsidRDefault="00DD5E0B">
      <w:pPr>
        <w:spacing w:after="160" w:line="360" w:lineRule="auto"/>
      </w:pPr>
      <w:r>
        <w:rPr>
          <w:b/>
          <w:bCs/>
        </w:rPr>
        <w:t>UWTSD</w:t>
      </w:r>
    </w:p>
    <w:p w14:paraId="4D5A2447" w14:textId="77777777" w:rsidR="00B44188" w:rsidRDefault="00B44188">
      <w:pPr>
        <w:spacing w:after="160" w:line="360" w:lineRule="auto"/>
      </w:pPr>
    </w:p>
    <w:p w14:paraId="162EA916" w14:textId="77777777" w:rsidR="00B44188" w:rsidRDefault="00DD5E0B">
      <w:pPr>
        <w:spacing w:after="160" w:line="360" w:lineRule="auto"/>
      </w:pPr>
      <w:r>
        <w:t>Jews, Christians and Romans: From Maccabees to Masada</w:t>
      </w:r>
    </w:p>
    <w:p w14:paraId="17197D0C" w14:textId="77777777" w:rsidR="00B44188" w:rsidRDefault="00DD5E0B">
      <w:pPr>
        <w:spacing w:after="160" w:line="360" w:lineRule="auto"/>
      </w:pPr>
      <w:r>
        <w:t>Jewish Sectarianism at the Beginning of the Christian Era: Pharisees, Sadducees, Essenes, and Zealots</w:t>
      </w:r>
    </w:p>
    <w:p w14:paraId="47DEF6D9" w14:textId="77777777" w:rsidR="00B44188" w:rsidRDefault="00B44188">
      <w:pPr>
        <w:spacing w:after="160" w:line="360" w:lineRule="auto"/>
      </w:pPr>
    </w:p>
    <w:p w14:paraId="4FB0B33B" w14:textId="77777777" w:rsidR="00B44188" w:rsidRDefault="00DD5E0B">
      <w:pPr>
        <w:spacing w:before="240" w:after="120"/>
      </w:pPr>
      <w:r>
        <w:rPr>
          <w:b/>
          <w:bCs/>
        </w:rPr>
        <w:t>Introduction</w:t>
      </w:r>
    </w:p>
    <w:p w14:paraId="48D8B473" w14:textId="77777777" w:rsidR="00B44188" w:rsidRDefault="00DD5E0B">
      <w:pPr>
        <w:spacing w:after="160" w:line="360" w:lineRule="auto"/>
      </w:pPr>
      <w:r>
        <w:t>At the beginning of the Christian era, Judaism was far from a monolithic tradition. Rather than constituting a single, unified system of belief and practice, it encompassed a plurality of competing movements, each shaped by its own interpretive priorities, social constituency, and response to the political pressures of the age. The late Second Temple period, broadly understood as the final centuries before the destruction of the Jerusalem Temple in 70 CE, was an era defined by the twin forces of Hellenisati</w:t>
      </w:r>
      <w:r>
        <w:t>on and Roman imperial domination. These pressures generated profound anxieties about cultural identity, religious purity, and political sovereignty, and it was out of these anxieties that the major Jewish sectarian movements emerged. The historian Flavius Josephus identified four principal ‘philosophies’ within Second Temple Judaism: the Pharisees, the Sadducees, the Essenes, and what he termed the Fourth Philosophy, usually identified with the Zealots.</w:t>
      </w:r>
      <w:r>
        <w:rPr>
          <w:vertAlign w:val="superscript"/>
        </w:rPr>
        <w:t>1</w:t>
      </w:r>
      <w:r>
        <w:t xml:space="preserve"> This essay examines each of these groups in turn, ana</w:t>
      </w:r>
      <w:r>
        <w:t>lysing their distinctive theological positions, social composition, and political orientations. It argues that the diversity of Second Temple Judaism was not merely incidental but constitutive, being the product of a tradition actively grappling with questions of law, authority, and survival, and that this diversity shaped the world from which early Christianity emerged.</w:t>
      </w:r>
    </w:p>
    <w:p w14:paraId="3C8F8DB3" w14:textId="77777777" w:rsidR="00B44188" w:rsidRDefault="00DD5E0B">
      <w:pPr>
        <w:spacing w:before="240" w:after="120"/>
      </w:pPr>
      <w:r>
        <w:rPr>
          <w:b/>
          <w:bCs/>
        </w:rPr>
        <w:t>The Framework of Common Judaism</w:t>
      </w:r>
    </w:p>
    <w:p w14:paraId="6A3BD169" w14:textId="77777777" w:rsidR="00B44188" w:rsidRDefault="00DD5E0B">
      <w:pPr>
        <w:spacing w:after="160" w:line="360" w:lineRule="auto"/>
      </w:pPr>
      <w:r>
        <w:t xml:space="preserve">Before addressing the divisions, it is necessary to acknowledge the common ground. Despite the considerable differences between the sectarian movements, most Jews of the period shared a foundational set of commitments. The scholar E. P. Sanders has described this </w:t>
      </w:r>
      <w:r>
        <w:lastRenderedPageBreak/>
        <w:t>shared framework as ‘covenantal nomism’, that is, the conviction that Israel stood in a special covenantal relationship with God, and that faithfulness to the Torah was the appropriate means of maintaining membership within that covenant.</w:t>
      </w:r>
      <w:r>
        <w:rPr>
          <w:vertAlign w:val="superscript"/>
        </w:rPr>
        <w:t>2</w:t>
      </w:r>
      <w:r>
        <w:t xml:space="preserve"> This entailed a common reverence for the Temple in Jerusalem as the locus of divine presence and sacrificial worship, alongside the observance of the Sabbath, dietary regulations, and other precepts of the Mosaic Law.</w:t>
      </w:r>
    </w:p>
    <w:p w14:paraId="13DD8AA1" w14:textId="77777777" w:rsidR="00B44188" w:rsidRDefault="00DD5E0B">
      <w:pPr>
        <w:spacing w:after="160" w:line="360" w:lineRule="auto"/>
      </w:pPr>
      <w:r>
        <w:t>The memory of the Maccabean Revolt (167–160 BCE) provided a further shared point of reference. The revolt, provoked by the Seleucid king Antiochus IV Epiphanes’ attempt to suppress Jewish religious practice, had established ‘zeal’ for the Law as a defining virtue of Jewish piety. The author of 1 Maccabees records that many Jews ‘chose rather to die than to be defiled by food or to profane the holy covenant’ (1 Macc. 1:63). This heritage of resistance to cultural assimilation remained a touchstone for virtua</w:t>
      </w:r>
      <w:r>
        <w:t>lly all of the sectarian movements, even as they drew radically different conclusions about what ‘zeal’ required in practice under Roman rule.</w:t>
      </w:r>
    </w:p>
    <w:p w14:paraId="351C0207" w14:textId="77777777" w:rsidR="00B44188" w:rsidRDefault="00DD5E0B">
      <w:pPr>
        <w:spacing w:before="240" w:after="120"/>
      </w:pPr>
      <w:r>
        <w:rPr>
          <w:b/>
          <w:bCs/>
        </w:rPr>
        <w:t>The Pharisees</w:t>
      </w:r>
    </w:p>
    <w:p w14:paraId="0E86A196" w14:textId="77777777" w:rsidR="00B44188" w:rsidRDefault="00DD5E0B">
      <w:pPr>
        <w:spacing w:after="160" w:line="360" w:lineRule="auto"/>
      </w:pPr>
      <w:r>
        <w:t>The Pharisees constituted the most influential lay movement within Second Temple Judaism, and arguably the most consequential for the subsequent history of both Judaism and Christianity. The etymology of their name remains debated, but the most widely accepted derivation connects it with the Hebrew perushim (‘separated ones’), a designation that may reflect their commitment to maintaining a standard of ritual purity beyond what was strictly required of non-priestly Israelites.</w:t>
      </w:r>
      <w:r>
        <w:rPr>
          <w:vertAlign w:val="superscript"/>
        </w:rPr>
        <w:t>3</w:t>
      </w:r>
      <w:r>
        <w:t xml:space="preserve"> Josephus attests that they enjoyed considerable popular esteem and wielded significant influence over public religious life.</w:t>
      </w:r>
      <w:r>
        <w:rPr>
          <w:vertAlign w:val="superscript"/>
        </w:rPr>
        <w:t>4</w:t>
      </w:r>
    </w:p>
    <w:p w14:paraId="5DF19F34" w14:textId="77777777" w:rsidR="00B44188" w:rsidRDefault="00DD5E0B">
      <w:pPr>
        <w:spacing w:after="160" w:line="360" w:lineRule="auto"/>
      </w:pPr>
      <w:r>
        <w:t>The defining theological contribution of the Pharisees was their doctrine of the Oral Torah, namely the belief that alongside the written Mosaic Law, God had also revealed an oral tradition transmitted through the generations of sages. This tradition, which they interpreted and expanded, allowed the Law to be applied dynamically to the circumstances of everyday life, including the lives of those far removed from the Temple precincts. The practical consequence was a form of Judaism centred on synagogue worsh</w:t>
      </w:r>
      <w:r>
        <w:t xml:space="preserve">ip, communal study, and table fellowship, which proved remarkably adaptable. The Pharisees affirmed the resurrection of the dead and the immortality of the soul, as well as the existence of angels and the providential governance of history, doctrines that placed them in direct conflict with the Sadducees. Anthony Saldarini has characterised the Pharisees as occupying an intermediary social position, functioning as a ‘retainer class’ that mediated between the governing elite and </w:t>
      </w:r>
      <w:r>
        <w:lastRenderedPageBreak/>
        <w:t>the broader populace.</w:t>
      </w:r>
      <w:r>
        <w:rPr>
          <w:vertAlign w:val="superscript"/>
        </w:rPr>
        <w:t>5</w:t>
      </w:r>
      <w:r>
        <w:t xml:space="preserve"> This s</w:t>
      </w:r>
      <w:r>
        <w:t>ocial location, combined with their synagogue-based piety, meant that their movement survived the catastrophe of 70 CE and provided the foundation upon which rabbinic Judaism was subsequently constructed.</w:t>
      </w:r>
    </w:p>
    <w:p w14:paraId="19757213" w14:textId="77777777" w:rsidR="00B44188" w:rsidRDefault="00DD5E0B">
      <w:pPr>
        <w:spacing w:before="240" w:after="120"/>
      </w:pPr>
      <w:r>
        <w:rPr>
          <w:b/>
          <w:bCs/>
        </w:rPr>
        <w:t>The Sadducees</w:t>
      </w:r>
    </w:p>
    <w:p w14:paraId="49A5F0C2" w14:textId="77777777" w:rsidR="00B44188" w:rsidRDefault="00DD5E0B">
      <w:pPr>
        <w:spacing w:after="160" w:line="360" w:lineRule="auto"/>
      </w:pPr>
      <w:r>
        <w:t>The Sadducees represented, in almost every respect, the antithesis of the Pharisees. Drawn predominantly from the hereditary priestly aristocracy and the lay elite associated with the Temple establishment, they derived their authority not from popular support but from their control of the central institutions of Jewish religious and civic life, including the Sanhedrin.</w:t>
      </w:r>
    </w:p>
    <w:p w14:paraId="7E12229B" w14:textId="77777777" w:rsidR="00B44188" w:rsidRDefault="00DD5E0B">
      <w:pPr>
        <w:spacing w:after="160" w:line="360" w:lineRule="auto"/>
      </w:pPr>
      <w:r>
        <w:t xml:space="preserve">Theologically, the Sadducees adopted an uncompromising scriptural conservatism. They rejected the Oral Torah in its entirety and confined religious authority to the written Pentateuch. This textual minimalism led them to deny the resurrection of the dead, the existence of angels, and the notion of divine providence, doctrines they regarded as post-Mosaic accretions unsupported by the Torah itself. Lester Grabbe notes that these denials placed them in sharp and very public disagreement with the Pharisees, a </w:t>
      </w:r>
      <w:r>
        <w:t>tension reflected in several passages of the New Testament.</w:t>
      </w:r>
      <w:r>
        <w:rPr>
          <w:vertAlign w:val="superscript"/>
        </w:rPr>
        <w:t>6</w:t>
      </w:r>
      <w:r>
        <w:t xml:space="preserve"> Politically, the Sadducean elite were pragmatists who cultivated a working relationship with the Roman authorities, recognising that the continued functioning of the Temple cult depended upon imperial tolerance. To their critics, this accommodation smacked of collaboration; to themselves, it was prudent stewardship of the nation’s most sacred institution. When the Temple was razed by Titus’s legions in 70 CE, the Sadducees, whose entire social and</w:t>
      </w:r>
      <w:r>
        <w:t xml:space="preserve"> religious identity was bound up with the Temple and its personnel, disappeared from the historical record with remarkable rapidity.</w:t>
      </w:r>
      <w:r>
        <w:rPr>
          <w:vertAlign w:val="superscript"/>
        </w:rPr>
        <w:t>7</w:t>
      </w:r>
    </w:p>
    <w:p w14:paraId="18C6963D" w14:textId="77777777" w:rsidR="00B44188" w:rsidRDefault="00DD5E0B">
      <w:pPr>
        <w:spacing w:before="240" w:after="120"/>
      </w:pPr>
      <w:r>
        <w:rPr>
          <w:b/>
          <w:bCs/>
        </w:rPr>
        <w:t>The Essenes</w:t>
      </w:r>
    </w:p>
    <w:p w14:paraId="157E5471" w14:textId="77777777" w:rsidR="00B44188" w:rsidRDefault="00DD5E0B">
      <w:pPr>
        <w:spacing w:after="160" w:line="360" w:lineRule="auto"/>
      </w:pPr>
      <w:r>
        <w:t>If the Sadducees responded to the tensions of the Second Temple period by accommodating themselves to power, the Essenes responded by withdrawing from it altogether. Convinced that the Jerusalem priesthood was illegitimate and that the Temple had been rendered ritually impure through the transgressions of its leadership, they sought to constitute themselves as a ‘true Israel’ living in voluntary separation from the corrupt mainstream. The scholarly consensus, though not without dissent, associates the secta</w:t>
      </w:r>
      <w:r>
        <w:t>rian community at Qumran, whose library survives as the Dead Sea Scrolls, with the Essenes.</w:t>
      </w:r>
    </w:p>
    <w:p w14:paraId="2A7A21F5" w14:textId="77777777" w:rsidR="00B44188" w:rsidRDefault="00DD5E0B">
      <w:pPr>
        <w:spacing w:after="160" w:line="360" w:lineRule="auto"/>
      </w:pPr>
      <w:r>
        <w:t xml:space="preserve">The Dead Sea Scrolls reveal a community of intense eschatological expectation and rigorous communal discipline. Members held their property in common, submitted to a strict hierarchical governance, and observed elaborate practices of ritual purification. The </w:t>
      </w:r>
      <w:r>
        <w:lastRenderedPageBreak/>
        <w:t>Community Rule (1QS) presents the community in starkly dualistic terms, as the ‘Sons of Light’ engaged in a cosmic struggle against the ‘Sons of Darkness’, a designation that encompassed not only the Romans but also the majority of their fellow Jews.</w:t>
      </w:r>
      <w:r>
        <w:rPr>
          <w:vertAlign w:val="superscript"/>
        </w:rPr>
        <w:t>8</w:t>
      </w:r>
      <w:r>
        <w:t xml:space="preserve"> The community employed a solar calendar that diverged from the lunar calendar used in Jerusalem, a further mark of their deliberate separation from the Temple establishment. Their expectation of an imminent eschatological war, described in the War Scroll (1QM)</w:t>
      </w:r>
      <w:r>
        <w:t>, in which God would intervene to destroy the wicked and vindicate the elect, represents one of the most developed expressions of apocalyptic thought in Second Temple Judaism. John Collins has situated the Essenes within the broader Jewish apocalyptic tradition, emphasising how their literature reflects a characteristic preoccupation with divine timetables, angelic mediation, and the reversal of present injustices.</w:t>
      </w:r>
      <w:r>
        <w:rPr>
          <w:vertAlign w:val="superscript"/>
        </w:rPr>
        <w:t>9</w:t>
      </w:r>
    </w:p>
    <w:p w14:paraId="2A75829B" w14:textId="77777777" w:rsidR="00B44188" w:rsidRDefault="00DD5E0B">
      <w:pPr>
        <w:spacing w:before="240" w:after="120"/>
      </w:pPr>
      <w:r>
        <w:rPr>
          <w:b/>
          <w:bCs/>
        </w:rPr>
        <w:t>The Zealots and the ‘Fourth Philosophy’</w:t>
      </w:r>
    </w:p>
    <w:p w14:paraId="79203C89" w14:textId="77777777" w:rsidR="00B44188" w:rsidRDefault="00DD5E0B">
      <w:pPr>
        <w:spacing w:after="160" w:line="360" w:lineRule="auto"/>
      </w:pPr>
      <w:r>
        <w:t>The movement Josephus designates the ‘Fourth Philosophy’ was founded, according to his account, by Judas the Galilean at the time of the census conducted by the Roman governor Quirinius in 6 CE. Its central tenet was a form of radical theocracy: that God alone was Israel’s sovereign king, and that any acknowledgement of Roman authority, including the payment of the census tax, constituted an act of apostasy.</w:t>
      </w:r>
      <w:r>
        <w:rPr>
          <w:vertAlign w:val="superscript"/>
        </w:rPr>
        <w:t>10</w:t>
      </w:r>
      <w:r>
        <w:t xml:space="preserve"> Josephus notes that in its theological doctrines the movement largely agreed with the Pharisees but distinguished itself by its ‘passion for liberty’ and its willingness to embrace violent resistance as an expression of religious devotion.</w:t>
      </w:r>
    </w:p>
    <w:p w14:paraId="64BF57DE" w14:textId="77777777" w:rsidR="00B44188" w:rsidRDefault="00DD5E0B">
      <w:pPr>
        <w:spacing w:after="160" w:line="360" w:lineRule="auto"/>
      </w:pPr>
      <w:r>
        <w:t>The movement drew explicit inspiration from the Maccabean legacy. Just as Mattathias had summoned all who were ‘zealous for the law’ to rally to the cause of armed resistance (1 Macc. 2:27), so the Zealots and their associated factions understood violent action against foreign domination as the authentic expression of covenantal fidelity. Martin Hengel’s influential study situates this ‘zeal’ theology within a long tradition of Jewish religious militancy, tracing its lineage from the biblical figure of Phin</w:t>
      </w:r>
      <w:r>
        <w:t>ehas through the Maccabees to the first-century revolutionaries.</w:t>
      </w:r>
      <w:r>
        <w:rPr>
          <w:vertAlign w:val="superscript"/>
        </w:rPr>
        <w:t>11</w:t>
      </w:r>
      <w:r>
        <w:t xml:space="preserve"> Within the broader resistance movement, the Sicarii, named for the sica, a short curved dagger concealed beneath their cloaks, employed targeted assassination against Jewish figures deemed to be collaborating with Rome, demonstrating that the social fractures within Judaism were not merely intellectual but could generate lethal violence. This movement played a decisive role in precipitating the Great Revolt of 66–70 CE, which culminated in t</w:t>
      </w:r>
      <w:r>
        <w:t xml:space="preserve">he destruction of the Temple. The last act of Sicarii resistance at </w:t>
      </w:r>
      <w:r>
        <w:lastRenderedPageBreak/>
        <w:t>Masada in 73 CE, where the garrison chose collective death over surrender, became one of the most enduring emblems of Jewish resistance in the ancient world.</w:t>
      </w:r>
    </w:p>
    <w:p w14:paraId="1B9AC27B" w14:textId="77777777" w:rsidR="00B44188" w:rsidRDefault="00DD5E0B">
      <w:pPr>
        <w:spacing w:before="240" w:after="120"/>
      </w:pPr>
      <w:r>
        <w:rPr>
          <w:b/>
          <w:bCs/>
        </w:rPr>
        <w:t>Comparison and Evaluation</w:t>
      </w:r>
    </w:p>
    <w:p w14:paraId="1B23B291" w14:textId="77777777" w:rsidR="00B44188" w:rsidRDefault="00DD5E0B">
      <w:pPr>
        <w:spacing w:after="160" w:line="360" w:lineRule="auto"/>
      </w:pPr>
      <w:r>
        <w:t>Considered together, the four movements illuminate the profound internal tensions of Second Temple Judaism. Each represented a coherent, if contested, response to the same set of pressures: the challenge of living as a covenant people under foreign domination, the question of where religious authority ultimately resided, and the problem of how to interpret and apply an ancient law to the conditions of the present. The Pharisees sought renewal through legal creativity and popular education; the Sadducees thr</w:t>
      </w:r>
      <w:r>
        <w:t>ough institutional preservation and political realism; the Essenes through separation and eschatological anticipation; the Zealots through armed resistance and theocratic conviction. None of these responses was self-evidently correct, and the boundaries between them were sometimes permeable, as Josephus himself claims to have investigated all four movements before settling upon a Pharisaic affiliation.</w:t>
      </w:r>
    </w:p>
    <w:p w14:paraId="43861BE6" w14:textId="77777777" w:rsidR="00B44188" w:rsidRDefault="00DD5E0B">
      <w:pPr>
        <w:spacing w:after="160" w:line="360" w:lineRule="auto"/>
      </w:pPr>
      <w:r>
        <w:t>The significance of these divisions extends beyond the internal history of Judaism. The sectarian landscape described above constitutes the immediate context within which early Christianity emerged and must be understood. The Gospels depict Jesus in sustained dialogue, and frequently in conflict, with Pharisaic interpreters of the Law on questions of Sabbath observance, purity, and table fellowship, and with Sadducean authorities on the question of resurrection (see, for example, Mark 12:18–27). The apocaly</w:t>
      </w:r>
      <w:r>
        <w:t>ptic expectations shared by the Essenes and the Zealots provide the broader cultural matrix within which Jesus’s proclamation of the Kingdom of God made immediate sense to his contemporaries. The early Jesus movement was, in its first generation, one of several competing Jewish sectarian formations, distinguished by its particular understanding of eschatology, Torah, and messianic identity, rather than by a sharp break from Judaism as such.</w:t>
      </w:r>
    </w:p>
    <w:p w14:paraId="0AE91B61" w14:textId="77777777" w:rsidR="00B44188" w:rsidRDefault="00DD5E0B">
      <w:pPr>
        <w:spacing w:before="240" w:after="120"/>
      </w:pPr>
      <w:r>
        <w:rPr>
          <w:b/>
          <w:bCs/>
        </w:rPr>
        <w:t>Conclusion</w:t>
      </w:r>
    </w:p>
    <w:p w14:paraId="2BCBFD08" w14:textId="77777777" w:rsidR="00B44188" w:rsidRDefault="00DD5E0B">
      <w:pPr>
        <w:spacing w:after="160" w:line="360" w:lineRule="auto"/>
      </w:pPr>
      <w:r>
        <w:t xml:space="preserve">Judaism at the beginning of the Christian era was a tradition of remarkable diversity, shaped by centuries of encounter with foreign empires and by fierce internal debates about the nature of religious authority, the meaning of covenant, and the demands of divine law. The Pharisees, Sadducees, Essenes, and Zealots each represented a distinctive and internally coherent response to the conditions of the late Second Temple period. Their differences were theological, social, and political in equal measure, and </w:t>
      </w:r>
      <w:r>
        <w:t xml:space="preserve">on occasion those differences </w:t>
      </w:r>
      <w:r>
        <w:lastRenderedPageBreak/>
        <w:t>produced not only polemical exchanges but acts of physical violence. The destruction of the Temple in 70 CE proved to be the decisive watershed. The Sadducean and Essene movements, each intimately tied to a particular institutional arrangement that no longer existed, did not survive it. The Zealot programme of armed resistance had failed catastrophically. It was the Pharisaic tradition alone that possessed the theological resources necessary to reconstitute Jewish religious lif</w:t>
      </w:r>
      <w:r>
        <w:t>e in the aftermath of catastrophe, resources rooted above all in its synagogue-centred piety and its doctrine of the Oral Torah, providing the foundation for the rabbinic Judaism that has defined the tradition ever since. Understanding these movements is thus essential not only for the history of ancient Judaism but for any serious account of the origins of both Christianity and the Judaism of late antiquity.</w:t>
      </w:r>
    </w:p>
    <w:p w14:paraId="4BB6D680" w14:textId="77777777" w:rsidR="00B44188" w:rsidRDefault="00B44188">
      <w:pPr>
        <w:spacing w:after="160" w:line="360" w:lineRule="auto"/>
      </w:pPr>
    </w:p>
    <w:p w14:paraId="404FC7FD" w14:textId="77777777" w:rsidR="00B44188" w:rsidRDefault="00DD5E0B">
      <w:pPr>
        <w:spacing w:before="240" w:after="120"/>
      </w:pPr>
      <w:r>
        <w:rPr>
          <w:b/>
          <w:bCs/>
        </w:rPr>
        <w:t>Footnotes</w:t>
      </w:r>
    </w:p>
    <w:p w14:paraId="4FB8066E" w14:textId="77777777" w:rsidR="00B44188" w:rsidRDefault="00DD5E0B">
      <w:pPr>
        <w:spacing w:after="80"/>
      </w:pPr>
      <w:r>
        <w:t>1. Flavius Josephus, Jewish Antiquities, trans. by Louis H. Feldman, Loeb Classical Library (Cambridge, MA: Harvard University Press, 1965), XVIII.1.2–6.</w:t>
      </w:r>
    </w:p>
    <w:p w14:paraId="61DB9BC6" w14:textId="77777777" w:rsidR="00B44188" w:rsidRDefault="00DD5E0B">
      <w:pPr>
        <w:spacing w:after="80"/>
      </w:pPr>
      <w:r>
        <w:t>2. E. P. Sanders, Judaism: Practice and Belief 63 BCE to 66 CE (London: SCM Press, 1992), pp. 262–78.</w:t>
      </w:r>
    </w:p>
    <w:p w14:paraId="40F3F7C3" w14:textId="77777777" w:rsidR="00B44188" w:rsidRDefault="00DD5E0B">
      <w:pPr>
        <w:spacing w:after="80"/>
      </w:pPr>
      <w:r>
        <w:t>3. Jacob Neusner, The Rabbinic Traditions about the Pharisees before 70, 3 vols (Leiden: Brill, 1971), I, pp. 1–10.</w:t>
      </w:r>
    </w:p>
    <w:p w14:paraId="6A74BED7" w14:textId="77777777" w:rsidR="00B44188" w:rsidRDefault="00DD5E0B">
      <w:pPr>
        <w:spacing w:after="80"/>
      </w:pPr>
      <w:r>
        <w:t>4. Josephus, Jewish Antiquities, XVIII.1.3.</w:t>
      </w:r>
    </w:p>
    <w:p w14:paraId="1BCA377E" w14:textId="77777777" w:rsidR="00B44188" w:rsidRDefault="00DD5E0B">
      <w:pPr>
        <w:spacing w:after="80"/>
      </w:pPr>
      <w:r>
        <w:t>5. Anthony J. Saldarini, Pharisees, Scribes and Sadducees in Palestinian Society (Grand Rapids, MI: Eerdmans, 2001), pp. 35–49.</w:t>
      </w:r>
    </w:p>
    <w:p w14:paraId="37BF9A24" w14:textId="77777777" w:rsidR="00B44188" w:rsidRDefault="00DD5E0B">
      <w:pPr>
        <w:spacing w:after="80"/>
      </w:pPr>
      <w:r>
        <w:t>6. Lester L. Grabbe, Judaism from Cyrus to Hadrian, 2 vols (Minneapolis: Fortress Press, 1992), II, pp. 467–69.</w:t>
      </w:r>
    </w:p>
    <w:p w14:paraId="4C8927DA" w14:textId="77777777" w:rsidR="00B44188" w:rsidRDefault="00DD5E0B">
      <w:pPr>
        <w:spacing w:after="80"/>
      </w:pPr>
      <w:r>
        <w:t>7. Josephus, Jewish Antiquities, XX.9.1; cf. Grabbe, Judaism from Cyrus to Hadrian, II, pp. 474–75. Note: the original essay cited Ant. XIII.10.6, which concerns the reign of John Hyrcanus and is not relevant to the post-70 CE disappearance of the Sadducees; the reference has been corrected accordingly.</w:t>
      </w:r>
    </w:p>
    <w:p w14:paraId="44CAA8B1" w14:textId="77777777" w:rsidR="00B44188" w:rsidRDefault="00DD5E0B">
      <w:pPr>
        <w:spacing w:after="80"/>
      </w:pPr>
      <w:r>
        <w:t>8. Geza Vermes, The Complete Dead Sea Scrolls in English, 7th edn (London: Penguin Books, 2011), pp. 97–117 (Community Rule, 1QS III–IV).</w:t>
      </w:r>
    </w:p>
    <w:p w14:paraId="2DB6679E" w14:textId="77777777" w:rsidR="00B44188" w:rsidRDefault="00DD5E0B">
      <w:pPr>
        <w:spacing w:after="80"/>
      </w:pPr>
      <w:r>
        <w:t>9. John J. Collins, The Apocalyptic Imagination: An Introduction to Jewish Apocalyptic Literature, 3rd edn (Grand Rapids, MI: Eerdmans, 2016), pp. 145–60.</w:t>
      </w:r>
    </w:p>
    <w:p w14:paraId="49B1DFA8" w14:textId="77777777" w:rsidR="00B44188" w:rsidRDefault="00DD5E0B">
      <w:pPr>
        <w:spacing w:after="80"/>
      </w:pPr>
      <w:r>
        <w:t>10. Flavius Josephus, The Jewish War, trans. by G. A. Williamson, rev. by Mary Smallwood (London: Penguin Books, 1981), II.8.1; cf. Josephus, Jewish Antiquities, XVIII.1.1.</w:t>
      </w:r>
    </w:p>
    <w:p w14:paraId="47DDFFE8" w14:textId="77777777" w:rsidR="00B44188" w:rsidRDefault="00DD5E0B">
      <w:pPr>
        <w:spacing w:after="80"/>
      </w:pPr>
      <w:r>
        <w:t>11. Martin Hengel, The Zealots: Investigations into the Jewish Freedom Movement, trans. by David Smith (Edinburgh: T&amp;T Clark, 1989), pp. 146–82.</w:t>
      </w:r>
    </w:p>
    <w:p w14:paraId="2AAF32E3" w14:textId="77777777" w:rsidR="00B44188" w:rsidRDefault="00B44188">
      <w:pPr>
        <w:spacing w:after="160" w:line="360" w:lineRule="auto"/>
      </w:pPr>
    </w:p>
    <w:p w14:paraId="1E3FEC82" w14:textId="77777777" w:rsidR="00B44188" w:rsidRDefault="00DD5E0B">
      <w:pPr>
        <w:spacing w:before="240" w:after="120"/>
      </w:pPr>
      <w:r>
        <w:rPr>
          <w:b/>
          <w:bCs/>
        </w:rPr>
        <w:t>Bibliography</w:t>
      </w:r>
    </w:p>
    <w:p w14:paraId="1560F9FE" w14:textId="77777777" w:rsidR="00B44188" w:rsidRDefault="00DD5E0B">
      <w:pPr>
        <w:spacing w:before="240" w:after="120"/>
      </w:pPr>
      <w:r>
        <w:rPr>
          <w:b/>
          <w:bCs/>
        </w:rPr>
        <w:lastRenderedPageBreak/>
        <w:t>Primary Sources</w:t>
      </w:r>
    </w:p>
    <w:p w14:paraId="446332AE" w14:textId="77777777" w:rsidR="00B44188" w:rsidRDefault="00DD5E0B">
      <w:pPr>
        <w:spacing w:after="160" w:line="360" w:lineRule="auto"/>
      </w:pPr>
      <w:r>
        <w:t>The Holy Bible: New Revised Standard Version (Oxford: Oxford University Press, 1989)</w:t>
      </w:r>
    </w:p>
    <w:p w14:paraId="2C9C19E6" w14:textId="77777777" w:rsidR="00B44188" w:rsidRDefault="00DD5E0B">
      <w:pPr>
        <w:spacing w:after="160" w:line="360" w:lineRule="auto"/>
      </w:pPr>
      <w:r>
        <w:t>Josephus, Flavius, Jewish Antiquities, trans. by Louis H. Feldman, Loeb Classical Library (Cambridge, MA: Harvard University Press, 1965)</w:t>
      </w:r>
    </w:p>
    <w:p w14:paraId="7B9A5A7A" w14:textId="77777777" w:rsidR="00B44188" w:rsidRDefault="00DD5E0B">
      <w:pPr>
        <w:spacing w:after="160" w:line="360" w:lineRule="auto"/>
      </w:pPr>
      <w:r>
        <w:t>Josephus, Flavius, The Jewish War, trans. by G. A. Williamson, rev. by Mary Smallwood (London: Penguin Books, 1981)</w:t>
      </w:r>
    </w:p>
    <w:p w14:paraId="6B8DF6EC" w14:textId="77777777" w:rsidR="00B44188" w:rsidRDefault="00DD5E0B">
      <w:pPr>
        <w:spacing w:before="240" w:after="120"/>
      </w:pPr>
      <w:r>
        <w:rPr>
          <w:b/>
          <w:bCs/>
        </w:rPr>
        <w:t>Secondary Sources</w:t>
      </w:r>
    </w:p>
    <w:p w14:paraId="4046BEA2" w14:textId="77777777" w:rsidR="00B44188" w:rsidRDefault="00DD5E0B">
      <w:pPr>
        <w:spacing w:after="160" w:line="360" w:lineRule="auto"/>
      </w:pPr>
      <w:r>
        <w:t>Collins, John J., The Apocalyptic Imagination: An Introduction to Jewish Apocalyptic Literature, 3rd edn (Grand Rapids, MI: Eerdmans, 2016)</w:t>
      </w:r>
    </w:p>
    <w:p w14:paraId="750C3347" w14:textId="77777777" w:rsidR="00B44188" w:rsidRDefault="00DD5E0B">
      <w:pPr>
        <w:spacing w:after="160" w:line="360" w:lineRule="auto"/>
      </w:pPr>
      <w:r>
        <w:t>Grabbe, Lester L., An Introduction to Second Temple Judaism (London: T&amp;T Clark, 2010)</w:t>
      </w:r>
    </w:p>
    <w:p w14:paraId="7018103E" w14:textId="77777777" w:rsidR="00B44188" w:rsidRDefault="00DD5E0B">
      <w:pPr>
        <w:spacing w:after="160" w:line="360" w:lineRule="auto"/>
      </w:pPr>
      <w:r>
        <w:t>Grabbe, Lester L., Judaism from Cyrus to Hadrian, 2 vols (Minneapolis: Fortress Press, 1992)</w:t>
      </w:r>
    </w:p>
    <w:p w14:paraId="663418A0" w14:textId="77777777" w:rsidR="00B44188" w:rsidRDefault="00DD5E0B">
      <w:pPr>
        <w:spacing w:after="160" w:line="360" w:lineRule="auto"/>
      </w:pPr>
      <w:r>
        <w:t>Hengel, Martin, The Zealots: Investigations into the Jewish Freedom Movement, trans. by David Smith (Edinburgh: T&amp;T Clark, 1989)</w:t>
      </w:r>
    </w:p>
    <w:p w14:paraId="77A1A6EF" w14:textId="77777777" w:rsidR="00B44188" w:rsidRDefault="00DD5E0B">
      <w:pPr>
        <w:spacing w:after="160" w:line="360" w:lineRule="auto"/>
      </w:pPr>
      <w:r>
        <w:t>Neusner, Jacob, The Rabbinic Traditions about the Pharisees before 70, 3 vols (Leiden: Brill, 1971)</w:t>
      </w:r>
    </w:p>
    <w:p w14:paraId="0F8E25D9" w14:textId="77777777" w:rsidR="00B44188" w:rsidRDefault="00DD5E0B">
      <w:pPr>
        <w:spacing w:after="160" w:line="360" w:lineRule="auto"/>
      </w:pPr>
      <w:r>
        <w:t>Saldarini, Anthony J., Pharisees, Scribes and Sadducees in Palestinian Society (Grand Rapids, MI: Eerdmans, 2001)</w:t>
      </w:r>
    </w:p>
    <w:p w14:paraId="5B4EB598" w14:textId="77777777" w:rsidR="00B44188" w:rsidRDefault="00DD5E0B">
      <w:pPr>
        <w:spacing w:after="160" w:line="360" w:lineRule="auto"/>
      </w:pPr>
      <w:r>
        <w:t>Sanders, E. P., Judaism: Practice and Belief 63 BCE to 66 CE (London: SCM Press, 1992)</w:t>
      </w:r>
    </w:p>
    <w:p w14:paraId="75997829" w14:textId="77777777" w:rsidR="00B44188" w:rsidRDefault="00DD5E0B">
      <w:pPr>
        <w:spacing w:after="160" w:line="360" w:lineRule="auto"/>
      </w:pPr>
      <w:r>
        <w:t>Vermes, Geza, The Complete Dead Sea Scrolls in English, 7th edn (London: Penguin Books, 2011)</w:t>
      </w:r>
    </w:p>
    <w:sectPr w:rsidR="00B4418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381F0" w14:textId="77777777" w:rsidR="00DD5E0B" w:rsidRDefault="00DD5E0B" w:rsidP="00893704">
      <w:r>
        <w:separator/>
      </w:r>
    </w:p>
  </w:endnote>
  <w:endnote w:type="continuationSeparator" w:id="0">
    <w:p w14:paraId="588A25B0" w14:textId="77777777" w:rsidR="00DD5E0B" w:rsidRDefault="00DD5E0B" w:rsidP="008937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4B99D" w14:textId="77777777" w:rsidR="00DD5E0B" w:rsidRDefault="00DD5E0B" w:rsidP="00893704">
      <w:r>
        <w:separator/>
      </w:r>
    </w:p>
  </w:footnote>
  <w:footnote w:type="continuationSeparator" w:id="0">
    <w:p w14:paraId="50D51A2D" w14:textId="77777777" w:rsidR="00DD5E0B" w:rsidRDefault="00DD5E0B" w:rsidP="008937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76FFE"/>
    <w:multiLevelType w:val="hybridMultilevel"/>
    <w:tmpl w:val="353493F6"/>
    <w:lvl w:ilvl="0" w:tplc="E9CCCA76">
      <w:start w:val="1"/>
      <w:numFmt w:val="bullet"/>
      <w:lvlText w:val="●"/>
      <w:lvlJc w:val="left"/>
      <w:pPr>
        <w:ind w:left="720" w:hanging="360"/>
      </w:pPr>
    </w:lvl>
    <w:lvl w:ilvl="1" w:tplc="905E0DEE">
      <w:start w:val="1"/>
      <w:numFmt w:val="bullet"/>
      <w:lvlText w:val="○"/>
      <w:lvlJc w:val="left"/>
      <w:pPr>
        <w:ind w:left="1440" w:hanging="360"/>
      </w:pPr>
    </w:lvl>
    <w:lvl w:ilvl="2" w:tplc="D932F0B6">
      <w:start w:val="1"/>
      <w:numFmt w:val="bullet"/>
      <w:lvlText w:val="■"/>
      <w:lvlJc w:val="left"/>
      <w:pPr>
        <w:ind w:left="2160" w:hanging="360"/>
      </w:pPr>
    </w:lvl>
    <w:lvl w:ilvl="3" w:tplc="1040B6F0">
      <w:start w:val="1"/>
      <w:numFmt w:val="bullet"/>
      <w:lvlText w:val="●"/>
      <w:lvlJc w:val="left"/>
      <w:pPr>
        <w:ind w:left="2880" w:hanging="360"/>
      </w:pPr>
    </w:lvl>
    <w:lvl w:ilvl="4" w:tplc="B630D7E2">
      <w:start w:val="1"/>
      <w:numFmt w:val="bullet"/>
      <w:lvlText w:val="○"/>
      <w:lvlJc w:val="left"/>
      <w:pPr>
        <w:ind w:left="3600" w:hanging="360"/>
      </w:pPr>
    </w:lvl>
    <w:lvl w:ilvl="5" w:tplc="82F0B31E">
      <w:start w:val="1"/>
      <w:numFmt w:val="bullet"/>
      <w:lvlText w:val="■"/>
      <w:lvlJc w:val="left"/>
      <w:pPr>
        <w:ind w:left="4320" w:hanging="360"/>
      </w:pPr>
    </w:lvl>
    <w:lvl w:ilvl="6" w:tplc="34003902">
      <w:start w:val="1"/>
      <w:numFmt w:val="bullet"/>
      <w:lvlText w:val="●"/>
      <w:lvlJc w:val="left"/>
      <w:pPr>
        <w:ind w:left="5040" w:hanging="360"/>
      </w:pPr>
    </w:lvl>
    <w:lvl w:ilvl="7" w:tplc="4B5A35C6">
      <w:start w:val="1"/>
      <w:numFmt w:val="bullet"/>
      <w:lvlText w:val="●"/>
      <w:lvlJc w:val="left"/>
      <w:pPr>
        <w:ind w:left="5760" w:hanging="360"/>
      </w:pPr>
    </w:lvl>
    <w:lvl w:ilvl="8" w:tplc="7ECE342A">
      <w:start w:val="1"/>
      <w:numFmt w:val="bullet"/>
      <w:lvlText w:val="●"/>
      <w:lvlJc w:val="left"/>
      <w:pPr>
        <w:ind w:left="6480" w:hanging="360"/>
      </w:pPr>
    </w:lvl>
  </w:abstractNum>
  <w:num w:numId="1" w16cid:durableId="169287663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4188"/>
    <w:rsid w:val="006616D3"/>
    <w:rsid w:val="00893704"/>
    <w:rsid w:val="00B44188"/>
    <w:rsid w:val="00DD5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FF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93704"/>
    <w:pPr>
      <w:tabs>
        <w:tab w:val="center" w:pos="4513"/>
        <w:tab w:val="right" w:pos="9026"/>
      </w:tabs>
    </w:pPr>
  </w:style>
  <w:style w:type="character" w:customStyle="1" w:styleId="HeaderChar">
    <w:name w:val="Header Char"/>
    <w:basedOn w:val="DefaultParagraphFont"/>
    <w:link w:val="Header"/>
    <w:uiPriority w:val="99"/>
    <w:rsid w:val="00893704"/>
  </w:style>
  <w:style w:type="paragraph" w:styleId="Footer">
    <w:name w:val="footer"/>
    <w:basedOn w:val="Normal"/>
    <w:link w:val="FooterChar"/>
    <w:uiPriority w:val="99"/>
    <w:unhideWhenUsed/>
    <w:rsid w:val="00893704"/>
    <w:pPr>
      <w:tabs>
        <w:tab w:val="center" w:pos="4513"/>
        <w:tab w:val="right" w:pos="9026"/>
      </w:tabs>
    </w:pPr>
  </w:style>
  <w:style w:type="character" w:customStyle="1" w:styleId="FooterChar">
    <w:name w:val="Footer Char"/>
    <w:basedOn w:val="DefaultParagraphFont"/>
    <w:link w:val="Footer"/>
    <w:uiPriority w:val="99"/>
    <w:rsid w:val="008937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2439</Words>
  <Characters>13905</Characters>
  <Application>Microsoft Office Word</Application>
  <DocSecurity>0</DocSecurity>
  <Lines>115</Lines>
  <Paragraphs>32</Paragraphs>
  <ScaleCrop>false</ScaleCrop>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2026-05-07T17:40:00Z</dcterms:created>
  <dcterms:modified xsi:type="dcterms:W3CDTF">2026-05-07T17:40:00Z</dcterms:modified>
</cp:coreProperties>
</file>