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6A3F249" w14:textId="77777777" w:rsidR="003A775F" w:rsidRPr="00E914BA" w:rsidRDefault="003A775F" w:rsidP="00E914BA">
      <w:pPr>
        <w:spacing w:line="360" w:lineRule="auto"/>
        <w:rPr>
          <w:rFonts w:ascii="Arial" w:hAnsi="Arial" w:cs="Arial"/>
          <w:b/>
          <w:bCs/>
        </w:rPr>
      </w:pPr>
    </w:p>
    <w:p w14:paraId="43865C2C" w14:textId="77777777" w:rsidR="00225958" w:rsidRPr="00E914BA" w:rsidRDefault="00225958" w:rsidP="00E914BA">
      <w:pPr>
        <w:spacing w:line="360" w:lineRule="auto"/>
        <w:rPr>
          <w:rFonts w:ascii="Arial" w:hAnsi="Arial" w:cs="Arial"/>
        </w:rPr>
      </w:pPr>
      <w:r w:rsidRPr="00E914BA">
        <w:rPr>
          <w:rFonts w:ascii="Arial" w:hAnsi="Arial" w:cs="Arial"/>
          <w:b/>
          <w:bCs/>
        </w:rPr>
        <w:t xml:space="preserve">Module Title: </w:t>
      </w:r>
      <w:r w:rsidRPr="00E914BA">
        <w:rPr>
          <w:rFonts w:ascii="Arial" w:hAnsi="Arial" w:cs="Arial"/>
        </w:rPr>
        <w:t>Principles of Health and Social Care Practice</w:t>
      </w:r>
    </w:p>
    <w:p w14:paraId="148AEB8A" w14:textId="77777777" w:rsidR="00225958" w:rsidRPr="00E914BA" w:rsidRDefault="00225958" w:rsidP="00E914BA">
      <w:pPr>
        <w:spacing w:line="360" w:lineRule="auto"/>
        <w:rPr>
          <w:rFonts w:ascii="Arial" w:hAnsi="Arial" w:cs="Arial"/>
        </w:rPr>
      </w:pPr>
      <w:r w:rsidRPr="00E914BA">
        <w:rPr>
          <w:rFonts w:ascii="Arial" w:hAnsi="Arial" w:cs="Arial"/>
          <w:b/>
          <w:bCs/>
        </w:rPr>
        <w:t>Module Code:</w:t>
      </w:r>
      <w:r w:rsidRPr="00E914BA">
        <w:rPr>
          <w:rFonts w:ascii="Arial" w:hAnsi="Arial" w:cs="Arial"/>
        </w:rPr>
        <w:t xml:space="preserve"> BMHP5016 </w:t>
      </w:r>
    </w:p>
    <w:p w14:paraId="307AC1A9" w14:textId="77777777" w:rsidR="00225958" w:rsidRPr="00E914BA" w:rsidRDefault="00225958" w:rsidP="00E914BA">
      <w:pPr>
        <w:spacing w:line="360" w:lineRule="auto"/>
        <w:rPr>
          <w:rFonts w:ascii="Arial" w:hAnsi="Arial" w:cs="Arial"/>
        </w:rPr>
      </w:pPr>
      <w:r w:rsidRPr="00E914BA">
        <w:rPr>
          <w:rFonts w:ascii="Arial" w:hAnsi="Arial" w:cs="Arial"/>
          <w:b/>
          <w:bCs/>
        </w:rPr>
        <w:t>Assignment Title:</w:t>
      </w:r>
      <w:r w:rsidRPr="00E914BA">
        <w:rPr>
          <w:rFonts w:ascii="Arial" w:hAnsi="Arial" w:cs="Arial"/>
        </w:rPr>
        <w:t xml:space="preserve"> </w:t>
      </w:r>
      <w:r w:rsidRPr="00E914BA">
        <w:rPr>
          <w:rFonts w:ascii="Arial" w:hAnsi="Arial" w:cs="Arial"/>
          <w:bCs/>
        </w:rPr>
        <w:t>Component 2: Written Assignment (Report)</w:t>
      </w:r>
    </w:p>
    <w:p w14:paraId="70643088" w14:textId="77777777" w:rsidR="00225958" w:rsidRPr="00E914BA" w:rsidRDefault="00225958" w:rsidP="00E914BA">
      <w:pPr>
        <w:spacing w:line="360" w:lineRule="auto"/>
        <w:rPr>
          <w:rFonts w:ascii="Arial" w:hAnsi="Arial" w:cs="Arial"/>
        </w:rPr>
      </w:pPr>
      <w:r w:rsidRPr="00E914BA">
        <w:rPr>
          <w:rFonts w:ascii="Arial" w:hAnsi="Arial" w:cs="Arial"/>
          <w:b/>
          <w:bCs/>
        </w:rPr>
        <w:t xml:space="preserve">Student Name: </w:t>
      </w:r>
      <w:r w:rsidRPr="00E914BA">
        <w:rPr>
          <w:rFonts w:ascii="Arial" w:hAnsi="Arial" w:cs="Arial"/>
        </w:rPr>
        <w:t xml:space="preserve">Romeenah Akhtar </w:t>
      </w:r>
    </w:p>
    <w:p w14:paraId="4EA6BDD4" w14:textId="77777777" w:rsidR="00225958" w:rsidRPr="00E914BA" w:rsidRDefault="00225958" w:rsidP="00E914BA">
      <w:pPr>
        <w:spacing w:line="360" w:lineRule="auto"/>
        <w:rPr>
          <w:rFonts w:ascii="Arial" w:hAnsi="Arial" w:cs="Arial"/>
        </w:rPr>
      </w:pPr>
      <w:r w:rsidRPr="00E914BA">
        <w:rPr>
          <w:rFonts w:ascii="Arial" w:hAnsi="Arial" w:cs="Arial"/>
          <w:b/>
          <w:bCs/>
        </w:rPr>
        <w:t>Student Number:</w:t>
      </w:r>
      <w:r w:rsidRPr="00E914BA">
        <w:rPr>
          <w:rFonts w:ascii="Arial" w:hAnsi="Arial" w:cs="Arial"/>
        </w:rPr>
        <w:t xml:space="preserve"> 2433755</w:t>
      </w:r>
    </w:p>
    <w:p w14:paraId="6DCD418F" w14:textId="77777777" w:rsidR="00225958" w:rsidRPr="00E914BA" w:rsidRDefault="00225958" w:rsidP="00E914BA">
      <w:pPr>
        <w:spacing w:line="360" w:lineRule="auto"/>
        <w:rPr>
          <w:rFonts w:ascii="Arial" w:hAnsi="Arial" w:cs="Arial"/>
        </w:rPr>
      </w:pPr>
      <w:r w:rsidRPr="00E914BA">
        <w:rPr>
          <w:rFonts w:ascii="Arial" w:hAnsi="Arial" w:cs="Arial"/>
          <w:b/>
          <w:bCs/>
        </w:rPr>
        <w:t>Lecturer:</w:t>
      </w:r>
      <w:r w:rsidRPr="00E914BA">
        <w:rPr>
          <w:rFonts w:ascii="Arial" w:hAnsi="Arial" w:cs="Arial"/>
        </w:rPr>
        <w:t xml:space="preserve"> Azida Zainol </w:t>
      </w:r>
    </w:p>
    <w:p w14:paraId="7658F917" w14:textId="2D98E284" w:rsidR="00225958" w:rsidRPr="00E914BA" w:rsidRDefault="00225958" w:rsidP="00E914BA">
      <w:pPr>
        <w:spacing w:line="360" w:lineRule="auto"/>
        <w:rPr>
          <w:rFonts w:ascii="Arial" w:hAnsi="Arial" w:cs="Arial"/>
        </w:rPr>
      </w:pPr>
      <w:r w:rsidRPr="00E914BA">
        <w:rPr>
          <w:rFonts w:ascii="Arial" w:hAnsi="Arial" w:cs="Arial"/>
          <w:b/>
          <w:bCs/>
        </w:rPr>
        <w:t xml:space="preserve">Date: </w:t>
      </w:r>
      <w:r w:rsidR="00B649DF">
        <w:rPr>
          <w:rFonts w:ascii="Arial" w:hAnsi="Arial" w:cs="Arial"/>
        </w:rPr>
        <w:t>20</w:t>
      </w:r>
      <w:r w:rsidRPr="00E914BA">
        <w:rPr>
          <w:rFonts w:ascii="Arial" w:hAnsi="Arial" w:cs="Arial"/>
        </w:rPr>
        <w:t xml:space="preserve"> July 2026</w:t>
      </w:r>
    </w:p>
    <w:p w14:paraId="18D06297" w14:textId="77777777" w:rsidR="003A775F" w:rsidRPr="00E914BA" w:rsidRDefault="003A775F" w:rsidP="00E914BA">
      <w:pPr>
        <w:spacing w:line="360" w:lineRule="auto"/>
        <w:rPr>
          <w:rFonts w:ascii="Arial" w:hAnsi="Arial" w:cs="Arial"/>
          <w:b/>
          <w:bCs/>
        </w:rPr>
      </w:pPr>
    </w:p>
    <w:p w14:paraId="26BA2BED" w14:textId="77777777" w:rsidR="003A775F" w:rsidRPr="00E914BA" w:rsidRDefault="003A775F" w:rsidP="00E914BA">
      <w:pPr>
        <w:spacing w:line="360" w:lineRule="auto"/>
        <w:rPr>
          <w:rFonts w:ascii="Arial" w:hAnsi="Arial" w:cs="Arial"/>
          <w:b/>
          <w:bCs/>
        </w:rPr>
      </w:pPr>
    </w:p>
    <w:p w14:paraId="135F6FB5" w14:textId="77777777" w:rsidR="003A775F" w:rsidRPr="00E914BA" w:rsidRDefault="003A775F" w:rsidP="00E914BA">
      <w:pPr>
        <w:spacing w:line="360" w:lineRule="auto"/>
        <w:rPr>
          <w:rFonts w:ascii="Arial" w:hAnsi="Arial" w:cs="Arial"/>
          <w:b/>
          <w:bCs/>
        </w:rPr>
      </w:pPr>
    </w:p>
    <w:p w14:paraId="5CFA2007" w14:textId="77777777" w:rsidR="003A775F" w:rsidRPr="00E914BA" w:rsidRDefault="003A775F" w:rsidP="00E914BA">
      <w:pPr>
        <w:spacing w:line="360" w:lineRule="auto"/>
        <w:rPr>
          <w:rFonts w:ascii="Arial" w:hAnsi="Arial" w:cs="Arial"/>
          <w:b/>
          <w:bCs/>
        </w:rPr>
      </w:pPr>
    </w:p>
    <w:p w14:paraId="0B9C74C4" w14:textId="77777777" w:rsidR="003A775F" w:rsidRPr="00E914BA" w:rsidRDefault="003A775F" w:rsidP="00E914BA">
      <w:pPr>
        <w:spacing w:line="360" w:lineRule="auto"/>
        <w:rPr>
          <w:rFonts w:ascii="Arial" w:hAnsi="Arial" w:cs="Arial"/>
          <w:b/>
          <w:bCs/>
        </w:rPr>
      </w:pPr>
    </w:p>
    <w:p w14:paraId="6365BC13" w14:textId="77777777" w:rsidR="003A775F" w:rsidRPr="00E914BA" w:rsidRDefault="003A775F" w:rsidP="00E914BA">
      <w:pPr>
        <w:spacing w:line="360" w:lineRule="auto"/>
        <w:rPr>
          <w:rFonts w:ascii="Arial" w:hAnsi="Arial" w:cs="Arial"/>
          <w:b/>
          <w:bCs/>
        </w:rPr>
      </w:pPr>
    </w:p>
    <w:p w14:paraId="2FFF18C2" w14:textId="77777777" w:rsidR="003A775F" w:rsidRPr="00E914BA" w:rsidRDefault="003A775F" w:rsidP="00E914BA">
      <w:pPr>
        <w:spacing w:line="360" w:lineRule="auto"/>
        <w:rPr>
          <w:rFonts w:ascii="Arial" w:hAnsi="Arial" w:cs="Arial"/>
          <w:b/>
          <w:bCs/>
        </w:rPr>
      </w:pPr>
    </w:p>
    <w:p w14:paraId="1EDEE348" w14:textId="77777777" w:rsidR="003A775F" w:rsidRPr="00E914BA" w:rsidRDefault="003A775F" w:rsidP="00E914BA">
      <w:pPr>
        <w:spacing w:line="360" w:lineRule="auto"/>
        <w:rPr>
          <w:rFonts w:ascii="Arial" w:hAnsi="Arial" w:cs="Arial"/>
          <w:b/>
          <w:bCs/>
        </w:rPr>
      </w:pPr>
    </w:p>
    <w:p w14:paraId="17B5D24F" w14:textId="77777777" w:rsidR="003A775F" w:rsidRPr="00E914BA" w:rsidRDefault="003A775F" w:rsidP="00E914BA">
      <w:pPr>
        <w:spacing w:line="360" w:lineRule="auto"/>
        <w:rPr>
          <w:rFonts w:ascii="Arial" w:hAnsi="Arial" w:cs="Arial"/>
          <w:b/>
          <w:bCs/>
        </w:rPr>
      </w:pPr>
    </w:p>
    <w:p w14:paraId="222852C9" w14:textId="77777777" w:rsidR="003A775F" w:rsidRPr="00E914BA" w:rsidRDefault="003A775F" w:rsidP="00E914BA">
      <w:pPr>
        <w:spacing w:line="360" w:lineRule="auto"/>
        <w:rPr>
          <w:rFonts w:ascii="Arial" w:hAnsi="Arial" w:cs="Arial"/>
          <w:b/>
          <w:bCs/>
        </w:rPr>
      </w:pPr>
    </w:p>
    <w:p w14:paraId="1B3D0C98" w14:textId="77777777" w:rsidR="003A775F" w:rsidRPr="00E914BA" w:rsidRDefault="003A775F" w:rsidP="00E914BA">
      <w:pPr>
        <w:spacing w:line="360" w:lineRule="auto"/>
        <w:rPr>
          <w:rFonts w:ascii="Arial" w:hAnsi="Arial" w:cs="Arial"/>
          <w:b/>
          <w:bCs/>
        </w:rPr>
      </w:pPr>
    </w:p>
    <w:p w14:paraId="2430797E" w14:textId="77777777" w:rsidR="003A775F" w:rsidRPr="00E914BA" w:rsidRDefault="003A775F" w:rsidP="00E914BA">
      <w:pPr>
        <w:spacing w:line="360" w:lineRule="auto"/>
        <w:rPr>
          <w:rFonts w:ascii="Arial" w:hAnsi="Arial" w:cs="Arial"/>
          <w:b/>
          <w:bCs/>
        </w:rPr>
      </w:pPr>
    </w:p>
    <w:p w14:paraId="23A9618A" w14:textId="77777777" w:rsidR="003A775F" w:rsidRPr="00E914BA" w:rsidRDefault="003A775F" w:rsidP="00E914BA">
      <w:pPr>
        <w:spacing w:line="360" w:lineRule="auto"/>
        <w:rPr>
          <w:rFonts w:ascii="Arial" w:hAnsi="Arial" w:cs="Arial"/>
          <w:b/>
          <w:bCs/>
        </w:rPr>
      </w:pPr>
    </w:p>
    <w:p w14:paraId="59D0EF7A" w14:textId="77777777" w:rsidR="003A775F" w:rsidRPr="00E914BA" w:rsidRDefault="003A775F" w:rsidP="00E914BA">
      <w:pPr>
        <w:spacing w:line="360" w:lineRule="auto"/>
        <w:rPr>
          <w:rFonts w:ascii="Arial" w:hAnsi="Arial" w:cs="Arial"/>
          <w:b/>
          <w:bCs/>
        </w:rPr>
      </w:pPr>
    </w:p>
    <w:p w14:paraId="2B2C34B9" w14:textId="77777777" w:rsidR="003A775F" w:rsidRPr="00E914BA" w:rsidRDefault="003A775F" w:rsidP="00E914BA">
      <w:pPr>
        <w:spacing w:line="360" w:lineRule="auto"/>
        <w:rPr>
          <w:rFonts w:ascii="Arial" w:hAnsi="Arial" w:cs="Arial"/>
          <w:b/>
          <w:bCs/>
        </w:rPr>
      </w:pPr>
    </w:p>
    <w:p w14:paraId="14CF37D4" w14:textId="73556D0D" w:rsidR="003A775F" w:rsidRPr="00E914BA" w:rsidRDefault="003A775F" w:rsidP="00E914BA">
      <w:pPr>
        <w:spacing w:line="360" w:lineRule="auto"/>
        <w:rPr>
          <w:rFonts w:ascii="Arial" w:hAnsi="Arial" w:cs="Arial"/>
        </w:rPr>
      </w:pPr>
    </w:p>
    <w:p w14:paraId="227C0F03" w14:textId="77777777" w:rsidR="00CB0EC6" w:rsidRDefault="00CB0EC6" w:rsidP="00E914BA">
      <w:pPr>
        <w:spacing w:line="360" w:lineRule="auto"/>
        <w:rPr>
          <w:rFonts w:ascii="Arial" w:hAnsi="Arial" w:cs="Arial"/>
        </w:rPr>
      </w:pPr>
    </w:p>
    <w:p w14:paraId="38499247" w14:textId="77777777" w:rsidR="00E914BA" w:rsidRPr="00E914BA" w:rsidRDefault="00E914BA" w:rsidP="00E914BA">
      <w:pPr>
        <w:spacing w:line="360" w:lineRule="auto"/>
        <w:rPr>
          <w:rFonts w:ascii="Arial" w:hAnsi="Arial" w:cs="Arial"/>
        </w:rPr>
      </w:pPr>
    </w:p>
    <w:p w14:paraId="72DDA111" w14:textId="3A351BE6" w:rsidR="003A775F" w:rsidRPr="00E914BA" w:rsidRDefault="003A775F" w:rsidP="00E914BA">
      <w:pPr>
        <w:spacing w:line="360" w:lineRule="auto"/>
        <w:jc w:val="both"/>
        <w:rPr>
          <w:rFonts w:ascii="Arial" w:hAnsi="Arial" w:cs="Arial"/>
          <w:b/>
          <w:bCs/>
          <w:u w:val="single"/>
        </w:rPr>
      </w:pPr>
      <w:r w:rsidRPr="00E914BA">
        <w:rPr>
          <w:rFonts w:ascii="Arial" w:hAnsi="Arial" w:cs="Arial"/>
          <w:b/>
          <w:bCs/>
          <w:u w:val="single"/>
        </w:rPr>
        <w:lastRenderedPageBreak/>
        <w:t>Abstract</w:t>
      </w:r>
    </w:p>
    <w:p w14:paraId="767F0E27" w14:textId="77777777" w:rsidR="00E914BA" w:rsidRDefault="00DD5A00" w:rsidP="00E914BA">
      <w:pPr>
        <w:spacing w:line="360" w:lineRule="auto"/>
        <w:jc w:val="both"/>
        <w:rPr>
          <w:rFonts w:ascii="Arial" w:hAnsi="Arial" w:cs="Arial"/>
        </w:rPr>
      </w:pPr>
      <w:r w:rsidRPr="00E914BA">
        <w:rPr>
          <w:rFonts w:ascii="Arial" w:hAnsi="Arial" w:cs="Arial"/>
        </w:rPr>
        <w:t xml:space="preserve">This report critically explores the importance of Person-Centred Care (PCC) and Partnership Working (PW) within health and social care, using community diabetes services as the chosen setting. Person-Centred Care recognises individuals as active partners by considering their values, preferences and circumstances when planning care, while Partnership Working promotes collaboration between individuals, families, healthcare professionals and organisations to achieve coordinated care. </w:t>
      </w:r>
      <w:r w:rsidR="00CD7297" w:rsidRPr="00E914BA">
        <w:rPr>
          <w:rFonts w:ascii="Arial" w:hAnsi="Arial" w:cs="Arial"/>
        </w:rPr>
        <w:t>The report examines the benefits and limitations of PCC, explores Maslow’s Hierarchy of Needs, evaluates ethical principles and analyses Partnership Working in improving outcomes for people living with Type 2 diabetes.</w:t>
      </w:r>
      <w:r w:rsidR="000F0923" w:rsidRPr="00E914BA">
        <w:rPr>
          <w:rFonts w:ascii="Arial" w:hAnsi="Arial" w:cs="Arial"/>
        </w:rPr>
        <w:t xml:space="preserve"> </w:t>
      </w:r>
      <w:r w:rsidRPr="00E914BA">
        <w:rPr>
          <w:rFonts w:ascii="Arial" w:hAnsi="Arial" w:cs="Arial"/>
        </w:rPr>
        <w:t>The report concludes that effective PCC and PW improve communication, self-management and coordinated care, although challenges such as resource pressures and communication barriers remain. It recommends improving integrated communication systems, enhancing professional training and strengthening partnerships with community organisations to support future service development.</w:t>
      </w:r>
    </w:p>
    <w:p w14:paraId="722FEAEE" w14:textId="034EF1AC" w:rsidR="003A775F" w:rsidRPr="00E914BA" w:rsidRDefault="003A775F" w:rsidP="00E914BA">
      <w:pPr>
        <w:spacing w:line="360" w:lineRule="auto"/>
        <w:jc w:val="both"/>
        <w:rPr>
          <w:rFonts w:ascii="Arial" w:hAnsi="Arial" w:cs="Arial"/>
        </w:rPr>
      </w:pPr>
      <w:r w:rsidRPr="00E914BA">
        <w:rPr>
          <w:rFonts w:ascii="Arial" w:hAnsi="Arial" w:cs="Arial"/>
          <w:b/>
          <w:bCs/>
          <w:u w:val="single"/>
        </w:rPr>
        <w:t>Introduction</w:t>
      </w:r>
    </w:p>
    <w:p w14:paraId="3354AF83" w14:textId="38E24CFB" w:rsidR="003A775F" w:rsidRPr="00E914BA" w:rsidRDefault="003A775F" w:rsidP="00E914BA">
      <w:pPr>
        <w:spacing w:line="360" w:lineRule="auto"/>
        <w:jc w:val="both"/>
        <w:rPr>
          <w:rFonts w:ascii="Arial" w:hAnsi="Arial" w:cs="Arial"/>
        </w:rPr>
      </w:pPr>
      <w:r w:rsidRPr="00E914BA">
        <w:rPr>
          <w:rFonts w:ascii="Arial" w:hAnsi="Arial" w:cs="Arial"/>
        </w:rPr>
        <w:t>Health and social care practice has increasingly shifted from traditional professional-led approaches towards models that recognise individuals as active participants in decisions about their own health</w:t>
      </w:r>
      <w:r w:rsidR="00DB0054" w:rsidRPr="00E914BA">
        <w:rPr>
          <w:rFonts w:ascii="Arial" w:hAnsi="Arial" w:cs="Arial"/>
        </w:rPr>
        <w:t xml:space="preserve"> (Health Foundation, 2016). </w:t>
      </w:r>
      <w:r w:rsidRPr="00E914BA">
        <w:rPr>
          <w:rFonts w:ascii="Arial" w:hAnsi="Arial" w:cs="Arial"/>
        </w:rPr>
        <w:t>Person-Centred Care and Partnership Working are now considered essential principles of effective care because they promote dignity, choice, respect and collaboration.</w:t>
      </w:r>
    </w:p>
    <w:p w14:paraId="3171BC84" w14:textId="159BF2BB" w:rsidR="003A775F" w:rsidRPr="00E914BA" w:rsidRDefault="003A775F" w:rsidP="00E914BA">
      <w:pPr>
        <w:spacing w:line="360" w:lineRule="auto"/>
        <w:jc w:val="both"/>
        <w:rPr>
          <w:rFonts w:ascii="Arial" w:hAnsi="Arial" w:cs="Arial"/>
        </w:rPr>
      </w:pPr>
      <w:r w:rsidRPr="00E914BA">
        <w:rPr>
          <w:rFonts w:ascii="Arial" w:hAnsi="Arial" w:cs="Arial"/>
        </w:rPr>
        <w:t>This report focuses on community diabetes services because Type 2 diabetes requires long-term support involving lifestyle management, medication, education and regular monitoring.</w:t>
      </w:r>
      <w:r w:rsidR="0067547E" w:rsidRPr="00E914BA">
        <w:rPr>
          <w:rFonts w:ascii="Arial" w:hAnsi="Arial" w:cs="Arial"/>
        </w:rPr>
        <w:t xml:space="preserve"> </w:t>
      </w:r>
      <w:r w:rsidR="00CB0EC6" w:rsidRPr="00E914BA">
        <w:rPr>
          <w:rFonts w:ascii="Arial" w:hAnsi="Arial" w:cs="Arial"/>
        </w:rPr>
        <w:t xml:space="preserve">This setting demonstrates the importance of collaboration between individuals, healthcare professionals and wider community services. </w:t>
      </w:r>
      <w:r w:rsidR="00B61DA7" w:rsidRPr="00E914BA">
        <w:rPr>
          <w:rFonts w:ascii="Arial" w:hAnsi="Arial" w:cs="Arial"/>
        </w:rPr>
        <w:t>This report critically examines Person-Centred Care, relevant theories, ethical principles and the importance of Partnership Working.</w:t>
      </w:r>
    </w:p>
    <w:p w14:paraId="08012280" w14:textId="5CC7EB86" w:rsidR="00191634" w:rsidRPr="00E914BA" w:rsidRDefault="00191634" w:rsidP="00E914BA">
      <w:pPr>
        <w:spacing w:line="360" w:lineRule="auto"/>
        <w:jc w:val="both"/>
        <w:rPr>
          <w:rFonts w:ascii="Arial" w:hAnsi="Arial" w:cs="Arial"/>
          <w:b/>
          <w:bCs/>
          <w:u w:val="single"/>
        </w:rPr>
      </w:pPr>
      <w:r w:rsidRPr="00E914BA">
        <w:rPr>
          <w:rFonts w:ascii="Arial" w:hAnsi="Arial" w:cs="Arial"/>
          <w:b/>
          <w:bCs/>
          <w:u w:val="single"/>
        </w:rPr>
        <w:t>Definition of Person-Centred Care</w:t>
      </w:r>
    </w:p>
    <w:p w14:paraId="2E95304A" w14:textId="4D504DA8" w:rsidR="00191634" w:rsidRPr="00E914BA" w:rsidRDefault="004911A6" w:rsidP="00E914BA">
      <w:pPr>
        <w:spacing w:line="360" w:lineRule="auto"/>
        <w:jc w:val="both"/>
        <w:rPr>
          <w:rFonts w:ascii="Arial" w:hAnsi="Arial" w:cs="Arial"/>
        </w:rPr>
      </w:pPr>
      <w:r w:rsidRPr="00E914BA">
        <w:rPr>
          <w:rFonts w:ascii="Arial" w:hAnsi="Arial" w:cs="Arial"/>
        </w:rPr>
        <w:t xml:space="preserve">Person-Centred Care places the individual at the centre of decisions about their health and wellbeing. </w:t>
      </w:r>
      <w:r w:rsidR="00191634" w:rsidRPr="00E914BA">
        <w:rPr>
          <w:rFonts w:ascii="Arial" w:hAnsi="Arial" w:cs="Arial"/>
        </w:rPr>
        <w:t>The Health Foundation (2016) highlights that person-centred practice involves treating people with dignity, involving them in decisions and providing care based on what matters most to them.</w:t>
      </w:r>
    </w:p>
    <w:p w14:paraId="2C6A4BAB" w14:textId="20F4B969" w:rsidR="00191634" w:rsidRPr="00E914BA" w:rsidRDefault="00480018" w:rsidP="00E914BA">
      <w:pPr>
        <w:spacing w:line="360" w:lineRule="auto"/>
        <w:jc w:val="both"/>
        <w:rPr>
          <w:rFonts w:ascii="Arial" w:hAnsi="Arial" w:cs="Arial"/>
        </w:rPr>
      </w:pPr>
      <w:r w:rsidRPr="00E914BA">
        <w:rPr>
          <w:rFonts w:ascii="Arial" w:hAnsi="Arial" w:cs="Arial"/>
        </w:rPr>
        <w:t>Person-Centred Care promotes shared decision-making by combining professional knowledge with individual preferences (NICE, 2021).</w:t>
      </w:r>
      <w:r w:rsidRPr="00E914BA">
        <w:rPr>
          <w:rFonts w:ascii="Arial" w:hAnsi="Arial" w:cs="Arial"/>
        </w:rPr>
        <w:t xml:space="preserve"> </w:t>
      </w:r>
      <w:r w:rsidRPr="00E914BA">
        <w:rPr>
          <w:rFonts w:ascii="Arial" w:hAnsi="Arial" w:cs="Arial"/>
        </w:rPr>
        <w:t>Rather than professionals making decisions alone, care is developed through shared decision-making that considers the individual’s circumstances.</w:t>
      </w:r>
      <w:r w:rsidRPr="00E914BA">
        <w:rPr>
          <w:rFonts w:ascii="Arial" w:hAnsi="Arial" w:cs="Arial"/>
        </w:rPr>
        <w:t xml:space="preserve"> </w:t>
      </w:r>
      <w:r w:rsidR="00191634" w:rsidRPr="00E914BA">
        <w:rPr>
          <w:rFonts w:ascii="Arial" w:hAnsi="Arial" w:cs="Arial"/>
        </w:rPr>
        <w:t xml:space="preserve">For example, within community diabetes services, dietary advice </w:t>
      </w:r>
      <w:r w:rsidR="00191634" w:rsidRPr="00E914BA">
        <w:rPr>
          <w:rFonts w:ascii="Arial" w:hAnsi="Arial" w:cs="Arial"/>
        </w:rPr>
        <w:lastRenderedPageBreak/>
        <w:t>should consider an individual's culture, finances and preferences to improve engagement and self-management.</w:t>
      </w:r>
    </w:p>
    <w:p w14:paraId="16171008" w14:textId="6D303150" w:rsidR="00053F4C" w:rsidRPr="00E914BA" w:rsidRDefault="00053F4C" w:rsidP="00E914BA">
      <w:pPr>
        <w:spacing w:line="360" w:lineRule="auto"/>
        <w:jc w:val="both"/>
        <w:rPr>
          <w:rFonts w:ascii="Arial" w:hAnsi="Arial" w:cs="Arial"/>
        </w:rPr>
      </w:pPr>
      <w:r w:rsidRPr="00E914BA">
        <w:rPr>
          <w:rFonts w:ascii="Arial" w:hAnsi="Arial" w:cs="Arial"/>
        </w:rPr>
        <w:t>Person-Centred Care benefits individuals and health services by empowering people to participate in decisions about their own care. Evidence suggests personalised care planning can improve involvement, communication and engagement in long-term condition management (Coulter et al., 2015). Effective communication builds trust and helps professionals identify barriers to better health (Health Foundation, 2016).</w:t>
      </w:r>
    </w:p>
    <w:p w14:paraId="2CB2A748" w14:textId="3FC81A72" w:rsidR="00053F4C" w:rsidRPr="00E914BA" w:rsidRDefault="00053F4C" w:rsidP="00E914BA">
      <w:pPr>
        <w:spacing w:line="360" w:lineRule="auto"/>
        <w:jc w:val="both"/>
        <w:rPr>
          <w:rFonts w:ascii="Arial" w:hAnsi="Arial" w:cs="Arial"/>
        </w:rPr>
      </w:pPr>
      <w:r w:rsidRPr="00E914BA">
        <w:rPr>
          <w:rFonts w:ascii="Arial" w:hAnsi="Arial" w:cs="Arial"/>
        </w:rPr>
        <w:t>Person-Centred Care can reduce health inequalities by recognising that health is influenced by wider social factors such as income, education, housing and support networks (World Health Organization, 2021). This allows professionals to develop realistic interventions based on individual circumstances.</w:t>
      </w:r>
    </w:p>
    <w:p w14:paraId="15889E3D" w14:textId="2716B1E0" w:rsidR="00191634" w:rsidRPr="00E914BA" w:rsidRDefault="00191634" w:rsidP="00E914BA">
      <w:pPr>
        <w:spacing w:line="360" w:lineRule="auto"/>
        <w:jc w:val="both"/>
        <w:rPr>
          <w:rFonts w:ascii="Arial" w:hAnsi="Arial" w:cs="Arial"/>
        </w:rPr>
      </w:pPr>
      <w:r w:rsidRPr="00E914BA">
        <w:rPr>
          <w:rFonts w:ascii="Arial" w:hAnsi="Arial" w:cs="Arial"/>
        </w:rPr>
        <w:t xml:space="preserve">However, Person-Centred Care has limitations. </w:t>
      </w:r>
      <w:r w:rsidR="00A87191" w:rsidRPr="00E914BA">
        <w:rPr>
          <w:rFonts w:ascii="Arial" w:hAnsi="Arial" w:cs="Arial"/>
        </w:rPr>
        <w:t>A major challenge is limited time and resources due to increasing demand and workforce pressures (Care Quality Commission, 2023).</w:t>
      </w:r>
      <w:r w:rsidR="00A87191" w:rsidRPr="00E914BA">
        <w:rPr>
          <w:rFonts w:ascii="Arial" w:hAnsi="Arial" w:cs="Arial"/>
        </w:rPr>
        <w:t xml:space="preserve"> </w:t>
      </w:r>
      <w:r w:rsidRPr="00E914BA">
        <w:rPr>
          <w:rFonts w:ascii="Arial" w:hAnsi="Arial" w:cs="Arial"/>
        </w:rPr>
        <w:t>Although personalised care is encouraged through policy, short appointments may make it difficult for professionals to fully explore an individual’s wider needs. Additionally, individuals have different preferences regarding involvement, with some wanting an active role in decision-making while others may prefer professionals to provide more direct guidance. Therefore, Person-Centred Care must be flexible and adapted to individual needs rather than expecting everyone to participate in the same way.</w:t>
      </w:r>
    </w:p>
    <w:p w14:paraId="0F0F3452" w14:textId="4D588CAD" w:rsidR="00CB0EC6" w:rsidRPr="00E914BA" w:rsidRDefault="00053F4C" w:rsidP="00E914BA">
      <w:pPr>
        <w:spacing w:line="360" w:lineRule="auto"/>
        <w:jc w:val="both"/>
        <w:rPr>
          <w:rFonts w:ascii="Arial" w:hAnsi="Arial" w:cs="Arial"/>
        </w:rPr>
      </w:pPr>
      <w:r w:rsidRPr="00E914BA">
        <w:rPr>
          <w:rFonts w:ascii="Arial" w:hAnsi="Arial" w:cs="Arial"/>
        </w:rPr>
        <w:t>Within community diabetes services, Person-Centred Care is important because Type 2 diabetes requires long-term self-management involving lifestyle changes, medication and monitoring. However, effective practice requires time, resources and communication to address both medical and social factors affecting diabetes management.</w:t>
      </w:r>
    </w:p>
    <w:p w14:paraId="3AA4A62F" w14:textId="70EC054C" w:rsidR="00AE57BB" w:rsidRPr="00E914BA" w:rsidRDefault="00AE57BB" w:rsidP="00E914BA">
      <w:pPr>
        <w:spacing w:line="360" w:lineRule="auto"/>
        <w:jc w:val="both"/>
        <w:rPr>
          <w:rFonts w:ascii="Arial" w:hAnsi="Arial" w:cs="Arial"/>
          <w:b/>
          <w:bCs/>
          <w:u w:val="single"/>
        </w:rPr>
      </w:pPr>
      <w:r w:rsidRPr="00E914BA">
        <w:rPr>
          <w:rFonts w:ascii="Arial" w:hAnsi="Arial" w:cs="Arial"/>
          <w:b/>
          <w:bCs/>
          <w:u w:val="single"/>
        </w:rPr>
        <w:t>Relevant Theories Underpinning Person-Centred Care</w:t>
      </w:r>
    </w:p>
    <w:p w14:paraId="50B6A379" w14:textId="77777777" w:rsidR="007D27D3" w:rsidRPr="00E914BA" w:rsidRDefault="007D27D3" w:rsidP="00E914BA">
      <w:pPr>
        <w:spacing w:line="360" w:lineRule="auto"/>
        <w:jc w:val="both"/>
        <w:rPr>
          <w:rFonts w:ascii="Arial" w:hAnsi="Arial" w:cs="Arial"/>
        </w:rPr>
      </w:pPr>
      <w:r w:rsidRPr="00E914BA">
        <w:rPr>
          <w:rFonts w:ascii="Arial" w:hAnsi="Arial" w:cs="Arial"/>
        </w:rPr>
        <w:t>Maslow’s Hierarchy of Needs (1943) supports Person-Centred Care by encouraging professionals to consider the whole person rather than focusing only on illness. Recognising physical, psychological and social needs supports a holistic approach where care is adapted to individual circumstances.</w:t>
      </w:r>
    </w:p>
    <w:p w14:paraId="53327BBF" w14:textId="24898673" w:rsidR="007D27D3" w:rsidRPr="00E914BA" w:rsidRDefault="007D27D3" w:rsidP="00E914BA">
      <w:pPr>
        <w:spacing w:line="360" w:lineRule="auto"/>
        <w:jc w:val="both"/>
        <w:rPr>
          <w:rFonts w:ascii="Arial" w:hAnsi="Arial" w:cs="Arial"/>
        </w:rPr>
      </w:pPr>
      <w:r w:rsidRPr="00E914BA">
        <w:rPr>
          <w:rFonts w:ascii="Arial" w:hAnsi="Arial" w:cs="Arial"/>
        </w:rPr>
        <w:t xml:space="preserve">Maslow’s Hierarchy of Needs (1943) suggests that human needs are organised into five levels: physiological, safety, belonging, esteem and self-actualisation. The theory highlights </w:t>
      </w:r>
      <w:r w:rsidRPr="00E914BA">
        <w:rPr>
          <w:rFonts w:ascii="Arial" w:hAnsi="Arial" w:cs="Arial"/>
        </w:rPr>
        <w:t>th</w:t>
      </w:r>
      <w:r w:rsidR="00A74A47" w:rsidRPr="00E914BA">
        <w:rPr>
          <w:rFonts w:ascii="Arial" w:hAnsi="Arial" w:cs="Arial"/>
        </w:rPr>
        <w:t>at</w:t>
      </w:r>
      <w:r w:rsidRPr="00E914BA">
        <w:rPr>
          <w:rFonts w:ascii="Arial" w:hAnsi="Arial" w:cs="Arial"/>
        </w:rPr>
        <w:t xml:space="preserve"> basic needs</w:t>
      </w:r>
      <w:r w:rsidRPr="00E914BA">
        <w:rPr>
          <w:rFonts w:ascii="Arial" w:hAnsi="Arial" w:cs="Arial"/>
        </w:rPr>
        <w:t xml:space="preserve"> such as food, shelter and safety influence wellbeing.</w:t>
      </w:r>
    </w:p>
    <w:p w14:paraId="114153FA" w14:textId="206E4BE7" w:rsidR="007D27D3" w:rsidRPr="00E914BA" w:rsidRDefault="007D27D3" w:rsidP="00E914BA">
      <w:pPr>
        <w:spacing w:line="360" w:lineRule="auto"/>
        <w:jc w:val="both"/>
        <w:rPr>
          <w:rFonts w:ascii="Arial" w:hAnsi="Arial" w:cs="Arial"/>
        </w:rPr>
      </w:pPr>
      <w:r w:rsidRPr="00E914BA">
        <w:rPr>
          <w:rFonts w:ascii="Arial" w:hAnsi="Arial" w:cs="Arial"/>
        </w:rPr>
        <w:t xml:space="preserve">Within community diabetes services, Maslow’s theory helps explain why some individuals may struggle to manage Type 2 diabetes. For example, dietary changes may be difficult when </w:t>
      </w:r>
      <w:r w:rsidRPr="00E914BA">
        <w:rPr>
          <w:rFonts w:ascii="Arial" w:hAnsi="Arial" w:cs="Arial"/>
        </w:rPr>
        <w:lastRenderedPageBreak/>
        <w:t>people experience financial difficulties, social isolation or limited resources. A person-centred approach requires professionals to explore these barriers and develop realistic care plans.</w:t>
      </w:r>
    </w:p>
    <w:p w14:paraId="3572A059" w14:textId="161F04BD" w:rsidR="00765246" w:rsidRPr="00E914BA" w:rsidRDefault="00765246" w:rsidP="00E914BA">
      <w:pPr>
        <w:spacing w:line="360" w:lineRule="auto"/>
        <w:jc w:val="both"/>
        <w:rPr>
          <w:rFonts w:ascii="Arial" w:hAnsi="Arial" w:cs="Arial"/>
        </w:rPr>
      </w:pPr>
      <w:r w:rsidRPr="00E914BA">
        <w:rPr>
          <w:rFonts w:ascii="Arial" w:hAnsi="Arial" w:cs="Arial"/>
        </w:rPr>
        <w:t xml:space="preserve">However, the theory has limitations because it suggests that human needs follow a fixed order, which may not reflect the complexity of individual experiences. </w:t>
      </w:r>
      <w:r w:rsidR="00A87191" w:rsidRPr="00E914BA">
        <w:rPr>
          <w:rFonts w:ascii="Arial" w:hAnsi="Arial" w:cs="Arial"/>
        </w:rPr>
        <w:t>People may prioritise needs differently depending on their circumstances.</w:t>
      </w:r>
      <w:r w:rsidR="00A87191" w:rsidRPr="00E914BA">
        <w:rPr>
          <w:rFonts w:ascii="Arial" w:hAnsi="Arial" w:cs="Arial"/>
        </w:rPr>
        <w:t xml:space="preserve"> </w:t>
      </w:r>
      <w:r w:rsidRPr="00E914BA">
        <w:rPr>
          <w:rFonts w:ascii="Arial" w:hAnsi="Arial" w:cs="Arial"/>
        </w:rPr>
        <w:t xml:space="preserve">For example, an individual living with Type 2 diabetes may prioritise emotional support or maintaining relationships even when other needs remain unmet. Therefore, healthcare professionals should apply Maslow’s theory flexibly and use it as a guide to understanding individual needs rather than </w:t>
      </w:r>
      <w:r w:rsidR="00A74A47" w:rsidRPr="00E914BA">
        <w:rPr>
          <w:rFonts w:ascii="Arial" w:hAnsi="Arial" w:cs="Arial"/>
        </w:rPr>
        <w:t xml:space="preserve">assuming </w:t>
      </w:r>
      <w:r w:rsidRPr="00E914BA">
        <w:rPr>
          <w:rFonts w:ascii="Arial" w:hAnsi="Arial" w:cs="Arial"/>
        </w:rPr>
        <w:t>everyone experiences needs in the same way.</w:t>
      </w:r>
    </w:p>
    <w:p w14:paraId="097E4EFA" w14:textId="7B496136" w:rsidR="00765246" w:rsidRPr="00E914BA" w:rsidRDefault="00765246" w:rsidP="00E914BA">
      <w:pPr>
        <w:spacing w:line="360" w:lineRule="auto"/>
        <w:jc w:val="both"/>
        <w:rPr>
          <w:rFonts w:ascii="Arial" w:hAnsi="Arial" w:cs="Arial"/>
        </w:rPr>
      </w:pPr>
      <w:r w:rsidRPr="00E914BA">
        <w:rPr>
          <w:rFonts w:ascii="Arial" w:hAnsi="Arial" w:cs="Arial"/>
        </w:rPr>
        <w:t xml:space="preserve">Furthermore, Wahba and Bridwell (1976) criticised Maslow’s hierarchy because they found limited evidence to support the idea that needs must be achieved in a specific sequence. </w:t>
      </w:r>
      <w:r w:rsidR="00260A97" w:rsidRPr="00E914BA">
        <w:rPr>
          <w:rFonts w:ascii="Arial" w:hAnsi="Arial" w:cs="Arial"/>
        </w:rPr>
        <w:t xml:space="preserve">This highlights that Maslow should be applied flexibly. </w:t>
      </w:r>
      <w:r w:rsidR="00A87191" w:rsidRPr="00E914BA">
        <w:rPr>
          <w:rFonts w:ascii="Arial" w:hAnsi="Arial" w:cs="Arial"/>
        </w:rPr>
        <w:t>Within community diabetes services, professionals should work with individuals to identify priorities for effective diabetes management.</w:t>
      </w:r>
    </w:p>
    <w:p w14:paraId="0615A3F1" w14:textId="0B354200" w:rsidR="0048688D" w:rsidRPr="00E914BA" w:rsidRDefault="0048688D" w:rsidP="00E914BA">
      <w:pPr>
        <w:spacing w:line="360" w:lineRule="auto"/>
        <w:jc w:val="both"/>
        <w:rPr>
          <w:rFonts w:ascii="Arial" w:hAnsi="Arial" w:cs="Arial"/>
          <w:b/>
          <w:bCs/>
          <w:u w:val="single"/>
        </w:rPr>
      </w:pPr>
      <w:r w:rsidRPr="00E914BA">
        <w:rPr>
          <w:rFonts w:ascii="Arial" w:hAnsi="Arial" w:cs="Arial"/>
          <w:b/>
          <w:bCs/>
          <w:u w:val="single"/>
        </w:rPr>
        <w:t xml:space="preserve">Ethical Fundamentals </w:t>
      </w:r>
    </w:p>
    <w:p w14:paraId="6D5347C6" w14:textId="3E286EB1" w:rsidR="006C53AC" w:rsidRPr="00E914BA" w:rsidRDefault="006C53AC" w:rsidP="00E914BA">
      <w:pPr>
        <w:spacing w:line="360" w:lineRule="auto"/>
        <w:jc w:val="both"/>
        <w:rPr>
          <w:rFonts w:ascii="Arial" w:hAnsi="Arial" w:cs="Arial"/>
        </w:rPr>
      </w:pPr>
      <w:r w:rsidRPr="00E914BA">
        <w:rPr>
          <w:rFonts w:ascii="Arial" w:hAnsi="Arial" w:cs="Arial"/>
        </w:rPr>
        <w:t>Ethical principles guide healthcare professionals when making decisions that affect individuals’ rights, safety and wellbeing. This aligns with the Nursing and Midwifery Council (2018) Code, which requires nurses to prioritise people, communicate effectively and provide safe, person-centred care. The four principles of biomedical ethics identified by Beauchamp and Childress (2019)—autonomy, beneficence, non-maleficence and justice—are closely linked to Person-Centred Care and Partnership Working.</w:t>
      </w:r>
    </w:p>
    <w:p w14:paraId="2EF56766" w14:textId="75240CA5" w:rsidR="006C53AC" w:rsidRPr="00E914BA" w:rsidRDefault="007D27D3" w:rsidP="00E914BA">
      <w:pPr>
        <w:spacing w:line="360" w:lineRule="auto"/>
        <w:jc w:val="both"/>
        <w:rPr>
          <w:rFonts w:ascii="Arial" w:hAnsi="Arial" w:cs="Arial"/>
        </w:rPr>
      </w:pPr>
      <w:r w:rsidRPr="00E914BA">
        <w:rPr>
          <w:rFonts w:ascii="Arial" w:hAnsi="Arial" w:cs="Arial"/>
        </w:rPr>
        <w:t>Autonomy refers to respecting an individual’s right to make informed decisions about their care. In community diabetes services, this involves providing information about treatment options and supporting choices based on personal values. However, challenges may occur when individuals make decisions professionals disagree with.</w:t>
      </w:r>
      <w:r w:rsidR="006C53AC" w:rsidRPr="00E914BA">
        <w:rPr>
          <w:rFonts w:ascii="Arial" w:hAnsi="Arial" w:cs="Arial"/>
        </w:rPr>
        <w:t xml:space="preserve"> For example, a person with poorly controlled Type 2 diabetes may refuse medication despite understanding the risks. From the individual’s perspective, this decision may reflect personal beliefs, concerns about treatment or a preference for managing their condition differently. However, professionals may be concerned about the increased risk of complications and their responsibility to promote wellbeing. Therefore, professionals should respect informed decisions while providing education, advice and ongoing support.</w:t>
      </w:r>
    </w:p>
    <w:p w14:paraId="19069013" w14:textId="798D64A2" w:rsidR="00CF2A1F" w:rsidRPr="00E914BA" w:rsidRDefault="00CF2A1F" w:rsidP="00E914BA">
      <w:pPr>
        <w:spacing w:line="360" w:lineRule="auto"/>
        <w:jc w:val="both"/>
        <w:rPr>
          <w:rFonts w:ascii="Arial" w:hAnsi="Arial" w:cs="Arial"/>
        </w:rPr>
      </w:pPr>
      <w:r w:rsidRPr="00E914BA">
        <w:rPr>
          <w:rFonts w:ascii="Arial" w:hAnsi="Arial" w:cs="Arial"/>
        </w:rPr>
        <w:t>Beneficence involves promoting health and wellbeing while recognising that individuals may define positive outcomes differently. Therefore, professionals must consider personal values alongside clinical priorities rather than focusing only on clinical measurements.</w:t>
      </w:r>
    </w:p>
    <w:p w14:paraId="04213368" w14:textId="7C6DBD5D" w:rsidR="006C53AC" w:rsidRPr="00E914BA" w:rsidRDefault="006C53AC" w:rsidP="00E914BA">
      <w:pPr>
        <w:spacing w:line="360" w:lineRule="auto"/>
        <w:jc w:val="both"/>
        <w:rPr>
          <w:rFonts w:ascii="Arial" w:hAnsi="Arial" w:cs="Arial"/>
        </w:rPr>
      </w:pPr>
      <w:r w:rsidRPr="00E914BA">
        <w:rPr>
          <w:rFonts w:ascii="Arial" w:hAnsi="Arial" w:cs="Arial"/>
        </w:rPr>
        <w:lastRenderedPageBreak/>
        <w:t>Non-maleficence requires professionals to avoid causing harm. For example, focusing only on health targets without considering an individual’s confidence or wellbeing may negatively affect engagement.</w:t>
      </w:r>
    </w:p>
    <w:p w14:paraId="4C034DBD" w14:textId="77777777" w:rsidR="007D27D3" w:rsidRPr="00E914BA" w:rsidRDefault="006C53AC" w:rsidP="00E914BA">
      <w:pPr>
        <w:spacing w:line="360" w:lineRule="auto"/>
        <w:jc w:val="both"/>
        <w:rPr>
          <w:rFonts w:ascii="Arial" w:hAnsi="Arial" w:cs="Arial"/>
        </w:rPr>
      </w:pPr>
      <w:r w:rsidRPr="00E914BA">
        <w:rPr>
          <w:rFonts w:ascii="Arial" w:hAnsi="Arial" w:cs="Arial"/>
        </w:rPr>
        <w:t>Justice refers to fairness and equal access to healthcare (Beauchamp and Childress, 2019). Within Partnership Working, professionals should recognise barriers that may prevent individuals receiving appropriate support, such as language difficulties, disability or socioeconomic disadvantage.</w:t>
      </w:r>
      <w:r w:rsidR="007D27D3" w:rsidRPr="00E914BA">
        <w:rPr>
          <w:rFonts w:ascii="Arial" w:hAnsi="Arial" w:cs="Arial"/>
        </w:rPr>
        <w:t xml:space="preserve"> </w:t>
      </w:r>
    </w:p>
    <w:p w14:paraId="7244E42B" w14:textId="12AB2DA8" w:rsidR="006C53AC" w:rsidRPr="00E914BA" w:rsidRDefault="006C53AC" w:rsidP="00E914BA">
      <w:pPr>
        <w:spacing w:line="360" w:lineRule="auto"/>
        <w:jc w:val="both"/>
        <w:rPr>
          <w:rFonts w:ascii="Arial" w:hAnsi="Arial" w:cs="Arial"/>
        </w:rPr>
      </w:pPr>
      <w:r w:rsidRPr="00E914BA">
        <w:rPr>
          <w:rFonts w:ascii="Arial" w:hAnsi="Arial" w:cs="Arial"/>
        </w:rPr>
        <w:t>Therefore, effective Person-Centred Care and Partnership Working depend on communication, respect and professional judgement.</w:t>
      </w:r>
    </w:p>
    <w:p w14:paraId="5BD1B8B2" w14:textId="303777B5" w:rsidR="00410E34" w:rsidRPr="00E914BA" w:rsidRDefault="00410E34" w:rsidP="00E914BA">
      <w:pPr>
        <w:spacing w:line="360" w:lineRule="auto"/>
        <w:jc w:val="both"/>
        <w:rPr>
          <w:rFonts w:ascii="Arial" w:hAnsi="Arial" w:cs="Arial"/>
          <w:b/>
          <w:bCs/>
          <w:u w:val="single"/>
        </w:rPr>
      </w:pPr>
      <w:r w:rsidRPr="00E914BA">
        <w:rPr>
          <w:rFonts w:ascii="Arial" w:hAnsi="Arial" w:cs="Arial"/>
          <w:b/>
          <w:bCs/>
          <w:u w:val="single"/>
        </w:rPr>
        <w:t>Evaluation of Partnership Working</w:t>
      </w:r>
    </w:p>
    <w:p w14:paraId="6DCEFFB2" w14:textId="6D333CD3" w:rsidR="00A74A47" w:rsidRPr="00E914BA" w:rsidRDefault="00A74A47" w:rsidP="00E914BA">
      <w:pPr>
        <w:spacing w:line="360" w:lineRule="auto"/>
        <w:jc w:val="both"/>
        <w:rPr>
          <w:rFonts w:ascii="Arial" w:hAnsi="Arial" w:cs="Arial"/>
        </w:rPr>
      </w:pPr>
      <w:r w:rsidRPr="00E914BA">
        <w:rPr>
          <w:rFonts w:ascii="Arial" w:hAnsi="Arial" w:cs="Arial"/>
        </w:rPr>
        <w:t>Partnership Working involves collaboration between individuals, families, healthcare professionals, community services and organisations to achieve shared outcomes. Complex health and social care needs require input from different professionals.</w:t>
      </w:r>
    </w:p>
    <w:p w14:paraId="26135C6D" w14:textId="7F43F9B1" w:rsidR="007D27D3" w:rsidRPr="00E914BA" w:rsidRDefault="007D27D3" w:rsidP="00E914BA">
      <w:pPr>
        <w:spacing w:line="360" w:lineRule="auto"/>
        <w:jc w:val="both"/>
        <w:rPr>
          <w:rFonts w:ascii="Arial" w:hAnsi="Arial" w:cs="Arial"/>
        </w:rPr>
      </w:pPr>
      <w:r w:rsidRPr="00E914BA">
        <w:rPr>
          <w:rFonts w:ascii="Arial" w:hAnsi="Arial" w:cs="Arial"/>
        </w:rPr>
        <w:t>Integrated Care Systems (ICSs) have strengthened Partnership Working by encouraging NHS organisations, local authorities and community services to collaborate. NHS England (2022) explains that integrated care improves coordination and places individuals at the centre of decision-making, reducing fragmentation between services.</w:t>
      </w:r>
    </w:p>
    <w:p w14:paraId="1F4BCFB8" w14:textId="0ECA3B19" w:rsidR="00410E34" w:rsidRPr="00E914BA" w:rsidRDefault="00410E34" w:rsidP="00E914BA">
      <w:pPr>
        <w:spacing w:line="360" w:lineRule="auto"/>
        <w:jc w:val="both"/>
        <w:rPr>
          <w:rFonts w:ascii="Arial" w:hAnsi="Arial" w:cs="Arial"/>
        </w:rPr>
      </w:pPr>
      <w:r w:rsidRPr="00E914BA">
        <w:rPr>
          <w:rFonts w:ascii="Arial" w:hAnsi="Arial" w:cs="Arial"/>
        </w:rPr>
        <w:t xml:space="preserve">Community diabetes services demonstrate why Partnership Working is necessary. Type 2 diabetes is a long-term condition requiring continuous support with medication, lifestyle choices, monitoring and education. A multidisciplinary team may include GPs, diabetes specialist nurses, dietitians, pharmacists, podiatrists and social care professionals (NHS England, 2022). </w:t>
      </w:r>
      <w:r w:rsidR="00D93AD0" w:rsidRPr="00E914BA">
        <w:rPr>
          <w:rFonts w:ascii="Arial" w:hAnsi="Arial" w:cs="Arial"/>
        </w:rPr>
        <w:t>Working collaboratively allows professionals to address both clinical and social factors affecting diabetes management.</w:t>
      </w:r>
      <w:r w:rsidR="00D93AD0" w:rsidRPr="00E914BA">
        <w:rPr>
          <w:rFonts w:ascii="Arial" w:hAnsi="Arial" w:cs="Arial"/>
        </w:rPr>
        <w:t xml:space="preserve"> </w:t>
      </w:r>
    </w:p>
    <w:p w14:paraId="3A6C7F04" w14:textId="77C3E9F9" w:rsidR="00410E34" w:rsidRPr="00E914BA" w:rsidRDefault="00410E34" w:rsidP="00E914BA">
      <w:pPr>
        <w:spacing w:line="360" w:lineRule="auto"/>
        <w:jc w:val="both"/>
        <w:rPr>
          <w:rFonts w:ascii="Arial" w:hAnsi="Arial" w:cs="Arial"/>
        </w:rPr>
      </w:pPr>
      <w:r w:rsidRPr="00E914BA">
        <w:rPr>
          <w:rFonts w:ascii="Arial" w:hAnsi="Arial" w:cs="Arial"/>
        </w:rPr>
        <w:t>Partnership Working strengthens Person-Centred Care because it ensures decisions are developed collaboratively. When professionals consider an individual’s preferences, circumstances and goals, care becomes more personalised and realistic.</w:t>
      </w:r>
    </w:p>
    <w:p w14:paraId="6F5186A1" w14:textId="77777777" w:rsidR="00410E34" w:rsidRPr="00E914BA" w:rsidRDefault="00410E34" w:rsidP="00E914BA">
      <w:pPr>
        <w:spacing w:line="360" w:lineRule="auto"/>
        <w:jc w:val="both"/>
        <w:rPr>
          <w:rFonts w:ascii="Arial" w:hAnsi="Arial" w:cs="Arial"/>
        </w:rPr>
      </w:pPr>
      <w:r w:rsidRPr="00E914BA">
        <w:rPr>
          <w:rFonts w:ascii="Arial" w:hAnsi="Arial" w:cs="Arial"/>
        </w:rPr>
        <w:t xml:space="preserve">However, Partnership Working also has challenges. Communication difficulties between organisations can affect care quality. Different record systems, unclear responsibilities and delays in information sharing may create barriers to effective collaboration (Care Quality Commission, 2023). In addition, professionals may have different priorities. For example, healthcare professionals may focus on clinical outcomes such as blood glucose levels, whereas social care professionals may prioritise independence and quality of life. Effective </w:t>
      </w:r>
      <w:r w:rsidRPr="00E914BA">
        <w:rPr>
          <w:rFonts w:ascii="Arial" w:hAnsi="Arial" w:cs="Arial"/>
        </w:rPr>
        <w:lastRenderedPageBreak/>
        <w:t>Partnership Working requires professionals to value different perspectives and work towards shared goals.</w:t>
      </w:r>
    </w:p>
    <w:p w14:paraId="25A6C7F3" w14:textId="43F7A130" w:rsidR="00410E34" w:rsidRPr="00E914BA" w:rsidRDefault="00410E34" w:rsidP="00E914BA">
      <w:pPr>
        <w:spacing w:line="360" w:lineRule="auto"/>
        <w:jc w:val="both"/>
        <w:rPr>
          <w:rFonts w:ascii="Arial" w:hAnsi="Arial" w:cs="Arial"/>
        </w:rPr>
      </w:pPr>
      <w:r w:rsidRPr="00E914BA">
        <w:rPr>
          <w:rFonts w:ascii="Arial" w:hAnsi="Arial" w:cs="Arial"/>
        </w:rPr>
        <w:t xml:space="preserve">Resource limitations also affect partnership approaches. Staff shortages, increasing demand and limited time can reduce opportunities for professionals to communicate effectively. </w:t>
      </w:r>
    </w:p>
    <w:p w14:paraId="0A5179B1" w14:textId="72FEF790" w:rsidR="00410E34" w:rsidRPr="00E914BA" w:rsidRDefault="00410E34" w:rsidP="00E914BA">
      <w:pPr>
        <w:spacing w:line="360" w:lineRule="auto"/>
        <w:jc w:val="both"/>
        <w:rPr>
          <w:rFonts w:ascii="Arial" w:hAnsi="Arial" w:cs="Arial"/>
          <w:b/>
          <w:bCs/>
          <w:u w:val="single"/>
        </w:rPr>
      </w:pPr>
      <w:r w:rsidRPr="00E914BA">
        <w:rPr>
          <w:rFonts w:ascii="Arial" w:hAnsi="Arial" w:cs="Arial"/>
          <w:b/>
          <w:bCs/>
          <w:u w:val="single"/>
        </w:rPr>
        <w:t>Application within Community Diabetes Services</w:t>
      </w:r>
    </w:p>
    <w:p w14:paraId="72B6288E" w14:textId="07D2B118" w:rsidR="00410E34" w:rsidRPr="00E914BA" w:rsidRDefault="00053F4C" w:rsidP="00E914BA">
      <w:pPr>
        <w:spacing w:line="360" w:lineRule="auto"/>
        <w:jc w:val="both"/>
        <w:rPr>
          <w:rFonts w:ascii="Arial" w:hAnsi="Arial" w:cs="Arial"/>
        </w:rPr>
      </w:pPr>
      <w:r w:rsidRPr="00E914BA">
        <w:rPr>
          <w:rFonts w:ascii="Arial" w:hAnsi="Arial" w:cs="Arial"/>
        </w:rPr>
        <w:t>Community diabetes services demonstrate how Person-Centred Care and Partnership Working operate together. NICE (2022) recommends structured education, lifestyle support and regular monitoring alongside personalised care. A person-centred approach begins by understanding the individual’s lifestyle, preferences and challenges (NICE, 2021).</w:t>
      </w:r>
      <w:r w:rsidRPr="00E914BA">
        <w:rPr>
          <w:rFonts w:ascii="Arial" w:hAnsi="Arial" w:cs="Arial"/>
        </w:rPr>
        <w:t xml:space="preserve"> </w:t>
      </w:r>
      <w:r w:rsidR="00410E34" w:rsidRPr="00E914BA">
        <w:rPr>
          <w:rFonts w:ascii="Arial" w:hAnsi="Arial" w:cs="Arial"/>
        </w:rPr>
        <w:t>For example, before recommending dietary changes, professionals should consider cultural preferences, financial circumstances and personal goals. This makes recommendations more realistic and increases the likelihood of long-term success.</w:t>
      </w:r>
    </w:p>
    <w:p w14:paraId="513EC4B3" w14:textId="4C7A1D15" w:rsidR="00410E34" w:rsidRPr="00E914BA" w:rsidRDefault="00892B63" w:rsidP="00E914BA">
      <w:pPr>
        <w:spacing w:line="360" w:lineRule="auto"/>
        <w:jc w:val="both"/>
        <w:rPr>
          <w:rFonts w:ascii="Arial" w:hAnsi="Arial" w:cs="Arial"/>
        </w:rPr>
      </w:pPr>
      <w:r w:rsidRPr="00E914BA">
        <w:rPr>
          <w:rFonts w:ascii="Arial" w:hAnsi="Arial" w:cs="Arial"/>
        </w:rPr>
        <w:t xml:space="preserve">Partnership Working ensures individuals receive support from different professionals. </w:t>
      </w:r>
      <w:r w:rsidR="00410E34" w:rsidRPr="00E914BA">
        <w:rPr>
          <w:rFonts w:ascii="Arial" w:hAnsi="Arial" w:cs="Arial"/>
        </w:rPr>
        <w:t>A diabetes specialist nurse may provide education about blood glucose monitoring, a dietitian may support healthy eating choices and a pharmacist may assist with medication management</w:t>
      </w:r>
      <w:r w:rsidR="00290A3E" w:rsidRPr="00E914BA">
        <w:rPr>
          <w:rFonts w:ascii="Arial" w:hAnsi="Arial" w:cs="Arial"/>
        </w:rPr>
        <w:t xml:space="preserve"> (NHS England, 2022</w:t>
      </w:r>
      <w:r w:rsidR="00A74A47" w:rsidRPr="00E914BA">
        <w:rPr>
          <w:rFonts w:ascii="Arial" w:hAnsi="Arial" w:cs="Arial"/>
        </w:rPr>
        <w:t>).</w:t>
      </w:r>
    </w:p>
    <w:p w14:paraId="700CDD44" w14:textId="0D07A071" w:rsidR="00410E34" w:rsidRPr="00E914BA" w:rsidRDefault="00D31FF0" w:rsidP="00E914BA">
      <w:pPr>
        <w:spacing w:line="360" w:lineRule="auto"/>
        <w:jc w:val="both"/>
        <w:rPr>
          <w:rFonts w:ascii="Arial" w:hAnsi="Arial" w:cs="Arial"/>
        </w:rPr>
      </w:pPr>
      <w:r w:rsidRPr="00E914BA">
        <w:rPr>
          <w:rFonts w:ascii="Arial" w:hAnsi="Arial" w:cs="Arial"/>
        </w:rPr>
        <w:t xml:space="preserve">If an individual struggles with appointments or treatment advice, professionals should explore barriers such as transport problems, limited understanding or social factors. </w:t>
      </w:r>
      <w:r w:rsidR="00410E34" w:rsidRPr="00E914BA">
        <w:rPr>
          <w:rFonts w:ascii="Arial" w:hAnsi="Arial" w:cs="Arial"/>
        </w:rPr>
        <w:t>Collaborative assessment allows professionals to develop solutions that meet the individual’s needs. Together, Person-Centred Care and Partnership Working support coordinated and individualised diabetes management.</w:t>
      </w:r>
    </w:p>
    <w:p w14:paraId="6B860B9C" w14:textId="7B2109C3" w:rsidR="003A775F" w:rsidRPr="00E914BA" w:rsidRDefault="003A775F" w:rsidP="00E914BA">
      <w:pPr>
        <w:spacing w:line="360" w:lineRule="auto"/>
        <w:jc w:val="both"/>
        <w:rPr>
          <w:rFonts w:ascii="Arial" w:hAnsi="Arial" w:cs="Arial"/>
          <w:b/>
          <w:bCs/>
          <w:u w:val="single"/>
        </w:rPr>
      </w:pPr>
      <w:r w:rsidRPr="00E914BA">
        <w:rPr>
          <w:rFonts w:ascii="Arial" w:hAnsi="Arial" w:cs="Arial"/>
          <w:b/>
          <w:bCs/>
          <w:u w:val="single"/>
        </w:rPr>
        <w:t>Policy and Legislative Framework</w:t>
      </w:r>
    </w:p>
    <w:p w14:paraId="7292C30F" w14:textId="484CA701" w:rsidR="00D73721" w:rsidRPr="00E914BA" w:rsidRDefault="00D93AD0" w:rsidP="00E914BA">
      <w:pPr>
        <w:spacing w:line="360" w:lineRule="auto"/>
        <w:jc w:val="both"/>
        <w:rPr>
          <w:rFonts w:ascii="Arial" w:hAnsi="Arial" w:cs="Arial"/>
        </w:rPr>
      </w:pPr>
      <w:r w:rsidRPr="00E914BA">
        <w:rPr>
          <w:rFonts w:ascii="Arial" w:hAnsi="Arial" w:cs="Arial"/>
        </w:rPr>
        <w:t>Person-Centred Care and Partnership Working are supported by UK policies and laws promoting quality, equality and collaboration.</w:t>
      </w:r>
      <w:r w:rsidRPr="00E914BA">
        <w:rPr>
          <w:rFonts w:ascii="Arial" w:hAnsi="Arial" w:cs="Arial"/>
        </w:rPr>
        <w:t xml:space="preserve"> </w:t>
      </w:r>
      <w:r w:rsidR="00D73721" w:rsidRPr="00E914BA">
        <w:rPr>
          <w:rFonts w:ascii="Arial" w:hAnsi="Arial" w:cs="Arial"/>
        </w:rPr>
        <w:t>The Health and Care Act 2022 (Health and Care Act, 2022) introduced Integrated Care Systems to strengthen collaboration between NHS organisations and local authorities, while the Health and Social Care Act 2012 (Health and Social Care Act, 2012) promoted integrated service delivery and greater patient involvement. Together, these policies support coordinated care within community diabetes services by enabling GPs, diabetes specialist nurses and dietitians to work together when planning and reviewing care. However, the effectiveness of integrated approaches depends on sufficient resources, effective communication systems and workforce capacity, meaning legislation alone cannot guarantee successful Partnership Working.</w:t>
      </w:r>
    </w:p>
    <w:p w14:paraId="0351FF21" w14:textId="7EF247E7" w:rsidR="00D73721" w:rsidRPr="00E914BA" w:rsidRDefault="00D73721" w:rsidP="00E914BA">
      <w:pPr>
        <w:spacing w:line="360" w:lineRule="auto"/>
        <w:jc w:val="both"/>
        <w:rPr>
          <w:rFonts w:ascii="Arial" w:hAnsi="Arial" w:cs="Arial"/>
        </w:rPr>
      </w:pPr>
      <w:r w:rsidRPr="00E914BA">
        <w:rPr>
          <w:rFonts w:ascii="Arial" w:hAnsi="Arial" w:cs="Arial"/>
        </w:rPr>
        <w:lastRenderedPageBreak/>
        <w:t xml:space="preserve">The Care Act 2014 (Care Act, 2014) requires organisations to promote wellbeing and involve individuals in decisions about their care, reinforcing the principles of choice, dignity and personalised support. Within community diabetes services, this means individuals with Type 2 diabetes should be involved in setting realistic goals for managing their condition. </w:t>
      </w:r>
      <w:r w:rsidR="00D93AD0" w:rsidRPr="00E914BA">
        <w:rPr>
          <w:rFonts w:ascii="Arial" w:hAnsi="Arial" w:cs="Arial"/>
        </w:rPr>
        <w:t>However, limited appointment times may restrict person-centred care.</w:t>
      </w:r>
    </w:p>
    <w:p w14:paraId="7BB53F05" w14:textId="77777777" w:rsidR="00D73721" w:rsidRPr="00E914BA" w:rsidRDefault="00D73721" w:rsidP="00E914BA">
      <w:pPr>
        <w:spacing w:line="360" w:lineRule="auto"/>
        <w:jc w:val="both"/>
        <w:rPr>
          <w:rFonts w:ascii="Arial" w:hAnsi="Arial" w:cs="Arial"/>
        </w:rPr>
      </w:pPr>
      <w:r w:rsidRPr="00E914BA">
        <w:rPr>
          <w:rFonts w:ascii="Arial" w:hAnsi="Arial" w:cs="Arial"/>
        </w:rPr>
        <w:t>The Equality Act 2010 (Equality Act, 2010) protects individuals from discrimination and requires services to make reasonable adjustments for diverse needs, such as disability, language or cultural differences. This supports equitable access to community diabetes services; however, practical barriers may remain if services lack resources to provide appropriate adjustments.</w:t>
      </w:r>
    </w:p>
    <w:p w14:paraId="733F9F32" w14:textId="77777777" w:rsidR="00D73721" w:rsidRPr="00E914BA" w:rsidRDefault="00D73721" w:rsidP="00E914BA">
      <w:pPr>
        <w:spacing w:line="360" w:lineRule="auto"/>
        <w:jc w:val="both"/>
        <w:rPr>
          <w:rFonts w:ascii="Arial" w:hAnsi="Arial" w:cs="Arial"/>
        </w:rPr>
      </w:pPr>
      <w:r w:rsidRPr="00E914BA">
        <w:rPr>
          <w:rFonts w:ascii="Arial" w:hAnsi="Arial" w:cs="Arial"/>
        </w:rPr>
        <w:t>The Human Rights Act 1998 (Human Rights Act, 1998) supports Person-Centred Care by protecting individuals’ rights, dignity and autonomy. This reinforces the importance of respecting individual choices and involving people in decisions about their care. Overall, these policies and laws provide an important framework for PCC and PW, but their impact depends on how effectively they are implemented within practice. In community diabetes services, professionals must combine legal responsibilities with person-centred communication, collaboration and adequate resources to achieve effective care.</w:t>
      </w:r>
    </w:p>
    <w:p w14:paraId="76CF8569" w14:textId="189BE966" w:rsidR="003A775F" w:rsidRPr="00E914BA" w:rsidRDefault="003A775F" w:rsidP="00E914BA">
      <w:pPr>
        <w:spacing w:line="360" w:lineRule="auto"/>
        <w:jc w:val="both"/>
        <w:rPr>
          <w:rFonts w:ascii="Arial" w:hAnsi="Arial" w:cs="Arial"/>
          <w:b/>
          <w:bCs/>
          <w:u w:val="single"/>
        </w:rPr>
      </w:pPr>
      <w:r w:rsidRPr="00E914BA">
        <w:rPr>
          <w:rFonts w:ascii="Arial" w:hAnsi="Arial" w:cs="Arial"/>
          <w:b/>
          <w:bCs/>
          <w:u w:val="single"/>
        </w:rPr>
        <w:t>Evidence-Based Recommendations</w:t>
      </w:r>
      <w:r w:rsidR="00C2006D" w:rsidRPr="00E914BA">
        <w:rPr>
          <w:rFonts w:ascii="Arial" w:hAnsi="Arial" w:cs="Arial"/>
          <w:b/>
          <w:bCs/>
          <w:u w:val="single"/>
        </w:rPr>
        <w:t xml:space="preserve"> </w:t>
      </w:r>
    </w:p>
    <w:p w14:paraId="7EA3D6E2" w14:textId="665DA1B2" w:rsidR="004A6705" w:rsidRPr="00E914BA" w:rsidRDefault="004A6705" w:rsidP="00E914BA">
      <w:pPr>
        <w:spacing w:line="360" w:lineRule="auto"/>
        <w:jc w:val="both"/>
        <w:rPr>
          <w:rFonts w:ascii="Arial" w:hAnsi="Arial" w:cs="Arial"/>
        </w:rPr>
      </w:pPr>
      <w:r w:rsidRPr="00E914BA">
        <w:rPr>
          <w:rFonts w:ascii="Arial" w:hAnsi="Arial" w:cs="Arial"/>
        </w:rPr>
        <w:t>Communication between professionals remains a challenge within community diabetes services, which can contribute to fragmented care and delays in information sharing (Care Quality Commission, 2023</w:t>
      </w:r>
      <w:r w:rsidR="00D93AD0" w:rsidRPr="00E914BA">
        <w:rPr>
          <w:rFonts w:ascii="Arial" w:hAnsi="Arial" w:cs="Arial"/>
        </w:rPr>
        <w:t xml:space="preserve">). </w:t>
      </w:r>
      <w:r w:rsidR="00D93AD0" w:rsidRPr="00E914BA">
        <w:rPr>
          <w:rFonts w:ascii="Arial" w:hAnsi="Arial" w:cs="Arial"/>
        </w:rPr>
        <w:t>Community diabetes services should implement shared digital records to improve communication and continuity of Person-Centred Care.</w:t>
      </w:r>
      <w:r w:rsidR="00D93AD0" w:rsidRPr="00E914BA">
        <w:rPr>
          <w:rFonts w:ascii="Arial" w:hAnsi="Arial" w:cs="Arial"/>
        </w:rPr>
        <w:t xml:space="preserve"> </w:t>
      </w:r>
      <w:r w:rsidR="00D93AD0" w:rsidRPr="00E914BA">
        <w:rPr>
          <w:rFonts w:ascii="Arial" w:hAnsi="Arial" w:cs="Arial"/>
        </w:rPr>
        <w:t>However, implementation depends on funding, compatible IT systems and staff training.</w:t>
      </w:r>
    </w:p>
    <w:p w14:paraId="6E779E53" w14:textId="1DA9B521" w:rsidR="004A6705" w:rsidRPr="00E914BA" w:rsidRDefault="004A6705" w:rsidP="00E914BA">
      <w:pPr>
        <w:spacing w:line="360" w:lineRule="auto"/>
        <w:jc w:val="both"/>
        <w:rPr>
          <w:rFonts w:ascii="Arial" w:hAnsi="Arial" w:cs="Arial"/>
        </w:rPr>
      </w:pPr>
      <w:r w:rsidRPr="00E914BA">
        <w:rPr>
          <w:rFonts w:ascii="Arial" w:hAnsi="Arial" w:cs="Arial"/>
        </w:rPr>
        <w:t>Another area requiring improvement is healthcare professionals’ communication and shared decision-making skills. NICE (2021) highlights the importance of involving individuals in decisions about their care; however, time pressures and differences in staff confidence may limit consistent person-centred practice.</w:t>
      </w:r>
      <w:r w:rsidR="00D93AD0" w:rsidRPr="00E914BA">
        <w:rPr>
          <w:rFonts w:ascii="Arial" w:hAnsi="Arial" w:cs="Arial"/>
        </w:rPr>
        <w:t xml:space="preserve"> </w:t>
      </w:r>
      <w:r w:rsidR="00D93AD0" w:rsidRPr="00E914BA">
        <w:rPr>
          <w:rFonts w:ascii="Arial" w:hAnsi="Arial" w:cs="Arial"/>
        </w:rPr>
        <w:t>Regular training should strengthen communication skills and support diabetes management</w:t>
      </w:r>
      <w:r w:rsidRPr="00E914BA">
        <w:rPr>
          <w:rFonts w:ascii="Arial" w:hAnsi="Arial" w:cs="Arial"/>
        </w:rPr>
        <w:t>. Nevertheless, workforce pressures and limited opportunities for professional development may create barriers to implementing ongoing training.</w:t>
      </w:r>
    </w:p>
    <w:p w14:paraId="7E01CAAA" w14:textId="0808B795" w:rsidR="004A6705" w:rsidRPr="00E914BA" w:rsidRDefault="007D27D3" w:rsidP="00E914BA">
      <w:pPr>
        <w:spacing w:line="360" w:lineRule="auto"/>
        <w:jc w:val="both"/>
        <w:rPr>
          <w:rFonts w:ascii="Arial" w:hAnsi="Arial" w:cs="Arial"/>
        </w:rPr>
      </w:pPr>
      <w:r w:rsidRPr="00E914BA">
        <w:rPr>
          <w:rFonts w:ascii="Arial" w:hAnsi="Arial" w:cs="Arial"/>
        </w:rPr>
        <w:t>A further recommendation is to strengthen partnerships between community diabetes services and local organisations to address social factors affecting Type 2 diabetes management.</w:t>
      </w:r>
      <w:r w:rsidRPr="00E914BA">
        <w:rPr>
          <w:rFonts w:ascii="Arial" w:hAnsi="Arial" w:cs="Arial"/>
        </w:rPr>
        <w:t xml:space="preserve"> </w:t>
      </w:r>
      <w:r w:rsidR="004A6705" w:rsidRPr="00E914BA">
        <w:rPr>
          <w:rFonts w:ascii="Arial" w:hAnsi="Arial" w:cs="Arial"/>
        </w:rPr>
        <w:t xml:space="preserve">Many individuals experience barriers such as financial difficulties, social isolation and limited access to community support, which can affect long-term self-management (World Health </w:t>
      </w:r>
      <w:r w:rsidR="004A6705" w:rsidRPr="00E914BA">
        <w:rPr>
          <w:rFonts w:ascii="Arial" w:hAnsi="Arial" w:cs="Arial"/>
        </w:rPr>
        <w:lastRenderedPageBreak/>
        <w:t xml:space="preserve">Organization, 2021). </w:t>
      </w:r>
      <w:r w:rsidR="00B61DA7" w:rsidRPr="00E914BA">
        <w:rPr>
          <w:rFonts w:ascii="Arial" w:hAnsi="Arial" w:cs="Arial"/>
        </w:rPr>
        <w:t>Stronger links with community services may provide practical and social support.</w:t>
      </w:r>
      <w:r w:rsidR="00B61DA7" w:rsidRPr="00E914BA">
        <w:rPr>
          <w:rFonts w:ascii="Arial" w:hAnsi="Arial" w:cs="Arial"/>
        </w:rPr>
        <w:t xml:space="preserve"> </w:t>
      </w:r>
      <w:r w:rsidR="004A6705" w:rsidRPr="00E914BA">
        <w:rPr>
          <w:rFonts w:ascii="Arial" w:hAnsi="Arial" w:cs="Arial"/>
        </w:rPr>
        <w:t xml:space="preserve">However, maintaining these partnerships may be challenging due to funding limitations, availability of local resources and organisational commitment. </w:t>
      </w:r>
    </w:p>
    <w:p w14:paraId="27C1B52C" w14:textId="0EBC8FF0" w:rsidR="003A775F" w:rsidRPr="00E914BA" w:rsidRDefault="003A775F" w:rsidP="00E914BA">
      <w:pPr>
        <w:spacing w:line="360" w:lineRule="auto"/>
        <w:jc w:val="both"/>
        <w:rPr>
          <w:rFonts w:ascii="Arial" w:hAnsi="Arial" w:cs="Arial"/>
          <w:b/>
          <w:bCs/>
          <w:u w:val="single"/>
        </w:rPr>
      </w:pPr>
      <w:r w:rsidRPr="00E914BA">
        <w:rPr>
          <w:rFonts w:ascii="Arial" w:hAnsi="Arial" w:cs="Arial"/>
          <w:b/>
          <w:bCs/>
          <w:u w:val="single"/>
        </w:rPr>
        <w:t>Conclusion</w:t>
      </w:r>
    </w:p>
    <w:p w14:paraId="3992B4A2" w14:textId="77777777" w:rsidR="007E5837" w:rsidRPr="00E914BA" w:rsidRDefault="007E5837" w:rsidP="00E914BA">
      <w:pPr>
        <w:spacing w:line="360" w:lineRule="auto"/>
        <w:jc w:val="both"/>
        <w:rPr>
          <w:rFonts w:ascii="Arial" w:hAnsi="Arial" w:cs="Arial"/>
        </w:rPr>
      </w:pPr>
      <w:r w:rsidRPr="00E914BA">
        <w:rPr>
          <w:rFonts w:ascii="Arial" w:hAnsi="Arial" w:cs="Arial"/>
        </w:rPr>
        <w:t>This report has demonstrated that Person-Centred Care and Partnership Working are essential components of effective health and social care practice. Within community diabetes services, these approaches support individuals to become active participants in managing Type 2 diabetes while ensuring professionals collaborate to provide coordinated care.</w:t>
      </w:r>
    </w:p>
    <w:p w14:paraId="4C286A9D" w14:textId="0ADC1AE6" w:rsidR="007E5837" w:rsidRPr="00E914BA" w:rsidRDefault="00487D9C" w:rsidP="00E914BA">
      <w:pPr>
        <w:spacing w:line="360" w:lineRule="auto"/>
        <w:jc w:val="both"/>
        <w:rPr>
          <w:rFonts w:ascii="Arial" w:hAnsi="Arial" w:cs="Arial"/>
        </w:rPr>
      </w:pPr>
      <w:r w:rsidRPr="00E914BA">
        <w:rPr>
          <w:rFonts w:ascii="Arial" w:hAnsi="Arial" w:cs="Arial"/>
        </w:rPr>
        <w:t xml:space="preserve">Person-Centred Care improves involvement and self-management by recognising individuals’ different needs and circumstances. </w:t>
      </w:r>
      <w:r w:rsidR="007E5837" w:rsidRPr="00E914BA">
        <w:rPr>
          <w:rFonts w:ascii="Arial" w:hAnsi="Arial" w:cs="Arial"/>
        </w:rPr>
        <w:t>However, limitations such as resource pressures and unequal access to support can affect implementation. Partnership Working strengthens care by combining the expertise of different professionals, although communication barriers and organisational challenges remain.</w:t>
      </w:r>
    </w:p>
    <w:p w14:paraId="458EF8FA" w14:textId="6FE0B1FA" w:rsidR="007E5837" w:rsidRPr="00E914BA" w:rsidRDefault="00CE4E51" w:rsidP="00E914BA">
      <w:pPr>
        <w:spacing w:line="360" w:lineRule="auto"/>
        <w:jc w:val="both"/>
        <w:rPr>
          <w:rFonts w:ascii="Arial" w:hAnsi="Arial" w:cs="Arial"/>
        </w:rPr>
      </w:pPr>
      <w:r w:rsidRPr="00E914BA">
        <w:rPr>
          <w:rFonts w:ascii="Arial" w:hAnsi="Arial" w:cs="Arial"/>
        </w:rPr>
        <w:t xml:space="preserve">The analysis demonstrates that effective healthcare requires more than treating illness. </w:t>
      </w:r>
      <w:r w:rsidR="007E5837" w:rsidRPr="00E914BA">
        <w:rPr>
          <w:rFonts w:ascii="Arial" w:hAnsi="Arial" w:cs="Arial"/>
        </w:rPr>
        <w:t xml:space="preserve">It requires understanding the individual, respecting choices and developing strong professional partnerships. Future improvements identified within this report include improving communication systems through better integration, enhancing professional training and strengthening collaboration between services. </w:t>
      </w:r>
      <w:r w:rsidR="00B61DA7" w:rsidRPr="00E914BA">
        <w:rPr>
          <w:rFonts w:ascii="Arial" w:hAnsi="Arial" w:cs="Arial"/>
        </w:rPr>
        <w:t>These developments are essential for personalised, equitable and effective community diabetes care.</w:t>
      </w:r>
    </w:p>
    <w:p w14:paraId="485C11B9" w14:textId="2FD73B9A" w:rsidR="003A775F" w:rsidRPr="00E914BA" w:rsidRDefault="003A775F" w:rsidP="00E914BA">
      <w:pPr>
        <w:spacing w:line="360" w:lineRule="auto"/>
        <w:rPr>
          <w:rFonts w:ascii="Arial" w:hAnsi="Arial" w:cs="Arial"/>
        </w:rPr>
      </w:pPr>
    </w:p>
    <w:p w14:paraId="217D78B3" w14:textId="77777777" w:rsidR="003A775F" w:rsidRPr="00E914BA" w:rsidRDefault="003A775F" w:rsidP="00E914BA">
      <w:pPr>
        <w:spacing w:line="360" w:lineRule="auto"/>
        <w:rPr>
          <w:rFonts w:ascii="Arial" w:hAnsi="Arial" w:cs="Arial"/>
          <w:b/>
          <w:bCs/>
          <w:u w:val="single"/>
        </w:rPr>
      </w:pPr>
    </w:p>
    <w:p w14:paraId="501E371F" w14:textId="77777777" w:rsidR="003A775F" w:rsidRPr="00E914BA" w:rsidRDefault="003A775F" w:rsidP="00E914BA">
      <w:pPr>
        <w:spacing w:line="360" w:lineRule="auto"/>
        <w:rPr>
          <w:rFonts w:ascii="Arial" w:hAnsi="Arial" w:cs="Arial"/>
          <w:b/>
          <w:bCs/>
          <w:u w:val="single"/>
        </w:rPr>
      </w:pPr>
    </w:p>
    <w:p w14:paraId="4C2EFFDD" w14:textId="77777777" w:rsidR="003A775F" w:rsidRPr="00E914BA" w:rsidRDefault="003A775F" w:rsidP="00E914BA">
      <w:pPr>
        <w:spacing w:line="360" w:lineRule="auto"/>
        <w:rPr>
          <w:rFonts w:ascii="Arial" w:hAnsi="Arial" w:cs="Arial"/>
          <w:b/>
          <w:bCs/>
          <w:u w:val="single"/>
        </w:rPr>
      </w:pPr>
    </w:p>
    <w:p w14:paraId="63A9E577" w14:textId="77777777" w:rsidR="00892B63" w:rsidRPr="00E914BA" w:rsidRDefault="00892B63" w:rsidP="00E914BA">
      <w:pPr>
        <w:spacing w:line="360" w:lineRule="auto"/>
        <w:rPr>
          <w:rFonts w:ascii="Arial" w:hAnsi="Arial" w:cs="Arial"/>
          <w:b/>
          <w:bCs/>
          <w:u w:val="single"/>
        </w:rPr>
      </w:pPr>
    </w:p>
    <w:p w14:paraId="0DA1D8D5" w14:textId="77777777" w:rsidR="00892B63" w:rsidRPr="00E914BA" w:rsidRDefault="00892B63" w:rsidP="00E914BA">
      <w:pPr>
        <w:spacing w:line="360" w:lineRule="auto"/>
        <w:rPr>
          <w:rFonts w:ascii="Arial" w:hAnsi="Arial" w:cs="Arial"/>
          <w:b/>
          <w:bCs/>
          <w:u w:val="single"/>
        </w:rPr>
      </w:pPr>
    </w:p>
    <w:p w14:paraId="30446520" w14:textId="77777777" w:rsidR="00D93AD0" w:rsidRPr="00E914BA" w:rsidRDefault="00D93AD0" w:rsidP="00E914BA">
      <w:pPr>
        <w:spacing w:line="360" w:lineRule="auto"/>
        <w:rPr>
          <w:rFonts w:ascii="Arial" w:hAnsi="Arial" w:cs="Arial"/>
          <w:b/>
          <w:bCs/>
          <w:u w:val="single"/>
        </w:rPr>
      </w:pPr>
    </w:p>
    <w:p w14:paraId="4D9D6CA9" w14:textId="77777777" w:rsidR="00D93AD0" w:rsidRPr="00E914BA" w:rsidRDefault="00D93AD0" w:rsidP="00E914BA">
      <w:pPr>
        <w:spacing w:line="360" w:lineRule="auto"/>
        <w:rPr>
          <w:rFonts w:ascii="Arial" w:hAnsi="Arial" w:cs="Arial"/>
          <w:b/>
          <w:bCs/>
          <w:u w:val="single"/>
        </w:rPr>
      </w:pPr>
    </w:p>
    <w:p w14:paraId="627617C2" w14:textId="77777777" w:rsidR="00D93AD0" w:rsidRPr="00E914BA" w:rsidRDefault="00D93AD0" w:rsidP="00E914BA">
      <w:pPr>
        <w:spacing w:line="360" w:lineRule="auto"/>
        <w:rPr>
          <w:rFonts w:ascii="Arial" w:hAnsi="Arial" w:cs="Arial"/>
          <w:b/>
          <w:bCs/>
          <w:u w:val="single"/>
        </w:rPr>
      </w:pPr>
    </w:p>
    <w:p w14:paraId="59DDB6C9" w14:textId="77777777" w:rsidR="00D93AD0" w:rsidRPr="00E914BA" w:rsidRDefault="00D93AD0" w:rsidP="00E914BA">
      <w:pPr>
        <w:spacing w:line="360" w:lineRule="auto"/>
        <w:rPr>
          <w:rFonts w:ascii="Arial" w:hAnsi="Arial" w:cs="Arial"/>
          <w:b/>
          <w:bCs/>
          <w:u w:val="single"/>
        </w:rPr>
      </w:pPr>
    </w:p>
    <w:p w14:paraId="648176C8" w14:textId="77777777" w:rsidR="00D93AD0" w:rsidRPr="00E914BA" w:rsidRDefault="00D93AD0" w:rsidP="00E914BA">
      <w:pPr>
        <w:spacing w:line="360" w:lineRule="auto"/>
        <w:rPr>
          <w:rFonts w:ascii="Arial" w:hAnsi="Arial" w:cs="Arial"/>
          <w:b/>
          <w:bCs/>
          <w:u w:val="single"/>
        </w:rPr>
      </w:pPr>
    </w:p>
    <w:p w14:paraId="28DD561B" w14:textId="4A0E9DFE" w:rsidR="00AB3727" w:rsidRPr="00E914BA" w:rsidRDefault="00AB3727" w:rsidP="00E914BA">
      <w:pPr>
        <w:spacing w:line="360" w:lineRule="auto"/>
        <w:rPr>
          <w:rFonts w:ascii="Arial" w:hAnsi="Arial" w:cs="Arial"/>
          <w:b/>
          <w:bCs/>
          <w:u w:val="single"/>
        </w:rPr>
      </w:pPr>
      <w:r w:rsidRPr="00E914BA">
        <w:rPr>
          <w:rFonts w:ascii="Arial" w:hAnsi="Arial" w:cs="Arial"/>
          <w:b/>
          <w:bCs/>
          <w:u w:val="single"/>
        </w:rPr>
        <w:lastRenderedPageBreak/>
        <w:t xml:space="preserve">Reference List </w:t>
      </w:r>
    </w:p>
    <w:p w14:paraId="05C67C0A" w14:textId="77777777" w:rsidR="00A74A47" w:rsidRPr="007337F4" w:rsidRDefault="00A74A47" w:rsidP="007337F4">
      <w:pPr>
        <w:spacing w:after="0" w:line="360" w:lineRule="auto"/>
        <w:jc w:val="both"/>
        <w:rPr>
          <w:rFonts w:ascii="Arial" w:hAnsi="Arial" w:cs="Arial"/>
        </w:rPr>
      </w:pPr>
      <w:r w:rsidRPr="007337F4">
        <w:rPr>
          <w:rFonts w:ascii="Arial" w:hAnsi="Arial" w:cs="Arial"/>
        </w:rPr>
        <w:t xml:space="preserve">Beauchamp, T.L. and Childress, J.F. (2019) </w:t>
      </w:r>
      <w:r w:rsidRPr="007337F4">
        <w:rPr>
          <w:rFonts w:ascii="Arial" w:hAnsi="Arial" w:cs="Arial"/>
          <w:i/>
          <w:iCs/>
        </w:rPr>
        <w:t>Principles of Biomedical Ethics</w:t>
      </w:r>
      <w:r w:rsidRPr="007337F4">
        <w:rPr>
          <w:rFonts w:ascii="Arial" w:hAnsi="Arial" w:cs="Arial"/>
        </w:rPr>
        <w:t>. 8th edn. Oxford: Oxford University Press.</w:t>
      </w:r>
    </w:p>
    <w:p w14:paraId="30E9D987" w14:textId="77777777" w:rsidR="00E914BA" w:rsidRPr="007337F4" w:rsidRDefault="00E914BA" w:rsidP="007337F4">
      <w:pPr>
        <w:spacing w:after="0" w:line="360" w:lineRule="auto"/>
        <w:jc w:val="both"/>
        <w:rPr>
          <w:rFonts w:ascii="Arial" w:hAnsi="Arial" w:cs="Arial"/>
        </w:rPr>
      </w:pPr>
    </w:p>
    <w:p w14:paraId="2A91360C" w14:textId="77777777" w:rsidR="00A74A47" w:rsidRPr="007337F4" w:rsidRDefault="00A74A47" w:rsidP="007337F4">
      <w:pPr>
        <w:spacing w:after="0" w:line="360" w:lineRule="auto"/>
        <w:jc w:val="both"/>
        <w:rPr>
          <w:rFonts w:ascii="Arial" w:hAnsi="Arial" w:cs="Arial"/>
        </w:rPr>
      </w:pPr>
      <w:r w:rsidRPr="007337F4">
        <w:rPr>
          <w:rFonts w:ascii="Arial" w:hAnsi="Arial" w:cs="Arial"/>
        </w:rPr>
        <w:t xml:space="preserve">Care Act 2014 (2014) </w:t>
      </w:r>
      <w:r w:rsidRPr="007337F4">
        <w:rPr>
          <w:rFonts w:ascii="Arial" w:hAnsi="Arial" w:cs="Arial"/>
          <w:i/>
          <w:iCs/>
        </w:rPr>
        <w:t>Care Act 2014</w:t>
      </w:r>
      <w:r w:rsidRPr="007337F4">
        <w:rPr>
          <w:rFonts w:ascii="Arial" w:hAnsi="Arial" w:cs="Arial"/>
        </w:rPr>
        <w:t xml:space="preserve">. London: The Stationery Office. Available at: </w:t>
      </w:r>
      <w:hyperlink r:id="rId6" w:tgtFrame="_new" w:history="1">
        <w:r w:rsidRPr="007337F4">
          <w:rPr>
            <w:rStyle w:val="Hyperlink"/>
            <w:rFonts w:ascii="Arial" w:hAnsi="Arial" w:cs="Arial"/>
          </w:rPr>
          <w:t>https://www.legislation.gov.uk/ukpga/2014/23/contents</w:t>
        </w:r>
      </w:hyperlink>
      <w:r w:rsidRPr="007337F4">
        <w:rPr>
          <w:rFonts w:ascii="Arial" w:hAnsi="Arial" w:cs="Arial"/>
        </w:rPr>
        <w:t xml:space="preserve"> (Accessed: 20 July 2026).</w:t>
      </w:r>
    </w:p>
    <w:p w14:paraId="52577C25" w14:textId="77777777" w:rsidR="00E914BA" w:rsidRPr="007337F4" w:rsidRDefault="00E914BA" w:rsidP="007337F4">
      <w:pPr>
        <w:spacing w:after="0" w:line="360" w:lineRule="auto"/>
        <w:jc w:val="both"/>
        <w:rPr>
          <w:rFonts w:ascii="Arial" w:hAnsi="Arial" w:cs="Arial"/>
        </w:rPr>
      </w:pPr>
    </w:p>
    <w:p w14:paraId="1FD32D7D" w14:textId="76DCBC5F" w:rsidR="00A74A47" w:rsidRPr="007337F4" w:rsidRDefault="00A74A47" w:rsidP="007337F4">
      <w:pPr>
        <w:spacing w:after="0" w:line="360" w:lineRule="auto"/>
        <w:jc w:val="both"/>
        <w:rPr>
          <w:rFonts w:ascii="Arial" w:hAnsi="Arial" w:cs="Arial"/>
        </w:rPr>
      </w:pPr>
      <w:r w:rsidRPr="007337F4">
        <w:rPr>
          <w:rFonts w:ascii="Arial" w:hAnsi="Arial" w:cs="Arial"/>
        </w:rPr>
        <w:t xml:space="preserve">Care Quality Commission (2023) </w:t>
      </w:r>
      <w:r w:rsidRPr="007337F4">
        <w:rPr>
          <w:rFonts w:ascii="Arial" w:hAnsi="Arial" w:cs="Arial"/>
          <w:i/>
          <w:iCs/>
        </w:rPr>
        <w:t>The state of health care and adult social care in England 2022/23</w:t>
      </w:r>
      <w:r w:rsidRPr="007337F4">
        <w:rPr>
          <w:rFonts w:ascii="Arial" w:hAnsi="Arial" w:cs="Arial"/>
        </w:rPr>
        <w:t>.</w:t>
      </w:r>
      <w:r w:rsidR="00E914BA" w:rsidRPr="007337F4">
        <w:rPr>
          <w:rFonts w:ascii="Arial" w:hAnsi="Arial" w:cs="Arial"/>
        </w:rPr>
        <w:t xml:space="preserve"> </w:t>
      </w:r>
      <w:r w:rsidRPr="007337F4">
        <w:rPr>
          <w:rFonts w:ascii="Arial" w:hAnsi="Arial" w:cs="Arial"/>
        </w:rPr>
        <w:t>London: Care Quality Commission. Available at:</w:t>
      </w:r>
      <w:r w:rsidR="00E914BA" w:rsidRPr="007337F4">
        <w:rPr>
          <w:rFonts w:ascii="Arial" w:hAnsi="Arial" w:cs="Arial"/>
        </w:rPr>
        <w:t xml:space="preserve"> </w:t>
      </w:r>
      <w:hyperlink r:id="rId7" w:history="1">
        <w:r w:rsidR="00E914BA" w:rsidRPr="007337F4">
          <w:rPr>
            <w:rStyle w:val="Hyperlink"/>
            <w:rFonts w:ascii="Arial" w:hAnsi="Arial" w:cs="Arial"/>
          </w:rPr>
          <w:t>https://www.cqc.org.uk/publications/major-report/state-care</w:t>
        </w:r>
      </w:hyperlink>
      <w:r w:rsidRPr="007337F4">
        <w:rPr>
          <w:rFonts w:ascii="Arial" w:hAnsi="Arial" w:cs="Arial"/>
        </w:rPr>
        <w:t xml:space="preserve"> (Accessed: 20 July 2026).</w:t>
      </w:r>
    </w:p>
    <w:p w14:paraId="6DA48174" w14:textId="77777777" w:rsidR="00E914BA" w:rsidRPr="007337F4" w:rsidRDefault="00E914BA" w:rsidP="007337F4">
      <w:pPr>
        <w:spacing w:after="0" w:line="360" w:lineRule="auto"/>
        <w:jc w:val="both"/>
        <w:rPr>
          <w:rFonts w:ascii="Arial" w:hAnsi="Arial" w:cs="Arial"/>
        </w:rPr>
      </w:pPr>
    </w:p>
    <w:p w14:paraId="0384D56A" w14:textId="77777777" w:rsidR="00A74A47" w:rsidRPr="007337F4" w:rsidRDefault="00A74A47" w:rsidP="007337F4">
      <w:pPr>
        <w:spacing w:after="0" w:line="360" w:lineRule="auto"/>
        <w:jc w:val="both"/>
        <w:rPr>
          <w:rFonts w:ascii="Arial" w:hAnsi="Arial" w:cs="Arial"/>
        </w:rPr>
      </w:pPr>
      <w:r w:rsidRPr="007337F4">
        <w:rPr>
          <w:rFonts w:ascii="Arial" w:hAnsi="Arial" w:cs="Arial"/>
        </w:rPr>
        <w:t xml:space="preserve">Coulter, A., Entwistle, V.A., Eccles, A., Ryan, S., Shepperd, S. and Perera, R. (2015) ‘Personalised care planning for adults with chronic or long-term health conditions’, </w:t>
      </w:r>
      <w:r w:rsidRPr="007337F4">
        <w:rPr>
          <w:rFonts w:ascii="Arial" w:hAnsi="Arial" w:cs="Arial"/>
          <w:i/>
          <w:iCs/>
        </w:rPr>
        <w:t>Cochrane Database of Systematic Reviews</w:t>
      </w:r>
      <w:r w:rsidRPr="007337F4">
        <w:rPr>
          <w:rFonts w:ascii="Arial" w:hAnsi="Arial" w:cs="Arial"/>
        </w:rPr>
        <w:t>, 2015(3), pp.1–95.</w:t>
      </w:r>
    </w:p>
    <w:p w14:paraId="07EF8795" w14:textId="77777777" w:rsidR="00E914BA" w:rsidRPr="007337F4" w:rsidRDefault="00E914BA" w:rsidP="007337F4">
      <w:pPr>
        <w:spacing w:after="0" w:line="360" w:lineRule="auto"/>
        <w:jc w:val="both"/>
        <w:rPr>
          <w:rFonts w:ascii="Arial" w:hAnsi="Arial" w:cs="Arial"/>
        </w:rPr>
      </w:pPr>
    </w:p>
    <w:p w14:paraId="19FBF9CC" w14:textId="77777777" w:rsidR="00A74A47" w:rsidRPr="007337F4" w:rsidRDefault="00A74A47" w:rsidP="007337F4">
      <w:pPr>
        <w:spacing w:after="0" w:line="360" w:lineRule="auto"/>
        <w:jc w:val="both"/>
        <w:rPr>
          <w:rFonts w:ascii="Arial" w:hAnsi="Arial" w:cs="Arial"/>
        </w:rPr>
      </w:pPr>
      <w:r w:rsidRPr="007337F4">
        <w:rPr>
          <w:rFonts w:ascii="Arial" w:hAnsi="Arial" w:cs="Arial"/>
        </w:rPr>
        <w:t xml:space="preserve">Equality Act 2010 (2010) </w:t>
      </w:r>
      <w:r w:rsidRPr="007337F4">
        <w:rPr>
          <w:rFonts w:ascii="Arial" w:hAnsi="Arial" w:cs="Arial"/>
          <w:i/>
          <w:iCs/>
        </w:rPr>
        <w:t>Equality Act 2010</w:t>
      </w:r>
      <w:r w:rsidRPr="007337F4">
        <w:rPr>
          <w:rFonts w:ascii="Arial" w:hAnsi="Arial" w:cs="Arial"/>
        </w:rPr>
        <w:t xml:space="preserve">. London: The Stationery Office. Available at: </w:t>
      </w:r>
      <w:hyperlink r:id="rId8" w:tgtFrame="_new" w:history="1">
        <w:r w:rsidRPr="007337F4">
          <w:rPr>
            <w:rStyle w:val="Hyperlink"/>
            <w:rFonts w:ascii="Arial" w:hAnsi="Arial" w:cs="Arial"/>
          </w:rPr>
          <w:t>https://www.legislation.gov.uk/ukpga/2010/15</w:t>
        </w:r>
      </w:hyperlink>
      <w:r w:rsidRPr="007337F4">
        <w:rPr>
          <w:rFonts w:ascii="Arial" w:hAnsi="Arial" w:cs="Arial"/>
        </w:rPr>
        <w:t xml:space="preserve"> (Accessed: 20 July 2026).</w:t>
      </w:r>
    </w:p>
    <w:p w14:paraId="0B72B8DB" w14:textId="77777777" w:rsidR="00E914BA" w:rsidRPr="007337F4" w:rsidRDefault="00E914BA" w:rsidP="007337F4">
      <w:pPr>
        <w:spacing w:after="0" w:line="360" w:lineRule="auto"/>
        <w:jc w:val="both"/>
        <w:rPr>
          <w:rFonts w:ascii="Arial" w:hAnsi="Arial" w:cs="Arial"/>
        </w:rPr>
      </w:pPr>
    </w:p>
    <w:p w14:paraId="72AABE5E" w14:textId="77777777" w:rsidR="00A74A47" w:rsidRPr="007337F4" w:rsidRDefault="00A74A47" w:rsidP="007337F4">
      <w:pPr>
        <w:spacing w:after="0" w:line="360" w:lineRule="auto"/>
        <w:jc w:val="both"/>
        <w:rPr>
          <w:rFonts w:ascii="Arial" w:hAnsi="Arial" w:cs="Arial"/>
        </w:rPr>
      </w:pPr>
      <w:r w:rsidRPr="007337F4">
        <w:rPr>
          <w:rFonts w:ascii="Arial" w:hAnsi="Arial" w:cs="Arial"/>
        </w:rPr>
        <w:t xml:space="preserve">Health and Care Act 2022 (2022) </w:t>
      </w:r>
      <w:r w:rsidRPr="007337F4">
        <w:rPr>
          <w:rFonts w:ascii="Arial" w:hAnsi="Arial" w:cs="Arial"/>
          <w:i/>
          <w:iCs/>
        </w:rPr>
        <w:t>Health and Care Act 2022</w:t>
      </w:r>
      <w:r w:rsidRPr="007337F4">
        <w:rPr>
          <w:rFonts w:ascii="Arial" w:hAnsi="Arial" w:cs="Arial"/>
        </w:rPr>
        <w:t xml:space="preserve">. London: The Stationery Office. Available at: </w:t>
      </w:r>
      <w:hyperlink r:id="rId9" w:tgtFrame="_new" w:history="1">
        <w:r w:rsidRPr="007337F4">
          <w:rPr>
            <w:rStyle w:val="Hyperlink"/>
            <w:rFonts w:ascii="Arial" w:hAnsi="Arial" w:cs="Arial"/>
          </w:rPr>
          <w:t>https://www.legislation.gov.uk/ukpga/2022/31/</w:t>
        </w:r>
      </w:hyperlink>
      <w:r w:rsidRPr="007337F4">
        <w:rPr>
          <w:rFonts w:ascii="Arial" w:hAnsi="Arial" w:cs="Arial"/>
        </w:rPr>
        <w:t xml:space="preserve"> (Accessed: 20 July 2026).</w:t>
      </w:r>
    </w:p>
    <w:p w14:paraId="312C2BDE" w14:textId="77777777" w:rsidR="00E914BA" w:rsidRPr="007337F4" w:rsidRDefault="00E914BA" w:rsidP="007337F4">
      <w:pPr>
        <w:spacing w:after="0" w:line="360" w:lineRule="auto"/>
        <w:jc w:val="both"/>
        <w:rPr>
          <w:rFonts w:ascii="Arial" w:hAnsi="Arial" w:cs="Arial"/>
        </w:rPr>
      </w:pPr>
    </w:p>
    <w:p w14:paraId="1B5607A3" w14:textId="77777777" w:rsidR="00A74A47" w:rsidRPr="007337F4" w:rsidRDefault="00A74A47" w:rsidP="007337F4">
      <w:pPr>
        <w:spacing w:after="0" w:line="360" w:lineRule="auto"/>
        <w:jc w:val="both"/>
        <w:rPr>
          <w:rFonts w:ascii="Arial" w:hAnsi="Arial" w:cs="Arial"/>
        </w:rPr>
      </w:pPr>
      <w:r w:rsidRPr="007337F4">
        <w:rPr>
          <w:rFonts w:ascii="Arial" w:hAnsi="Arial" w:cs="Arial"/>
        </w:rPr>
        <w:t xml:space="preserve">Health and Social Care Act 2012 (2012) </w:t>
      </w:r>
      <w:r w:rsidRPr="007337F4">
        <w:rPr>
          <w:rFonts w:ascii="Arial" w:hAnsi="Arial" w:cs="Arial"/>
          <w:i/>
          <w:iCs/>
        </w:rPr>
        <w:t>Health and Social Care Act 2012</w:t>
      </w:r>
      <w:r w:rsidRPr="007337F4">
        <w:rPr>
          <w:rFonts w:ascii="Arial" w:hAnsi="Arial" w:cs="Arial"/>
        </w:rPr>
        <w:t xml:space="preserve">. London: The Stationery Office. Available at: </w:t>
      </w:r>
      <w:hyperlink r:id="rId10" w:tgtFrame="_new" w:history="1">
        <w:r w:rsidRPr="007337F4">
          <w:rPr>
            <w:rStyle w:val="Hyperlink"/>
            <w:rFonts w:ascii="Arial" w:hAnsi="Arial" w:cs="Arial"/>
          </w:rPr>
          <w:t>https://www.legislation.gov.uk/ukpga/2012/7</w:t>
        </w:r>
      </w:hyperlink>
      <w:r w:rsidRPr="007337F4">
        <w:rPr>
          <w:rFonts w:ascii="Arial" w:hAnsi="Arial" w:cs="Arial"/>
        </w:rPr>
        <w:t xml:space="preserve"> (Accessed: 20 July 2026).</w:t>
      </w:r>
    </w:p>
    <w:p w14:paraId="1EF51F44" w14:textId="77777777" w:rsidR="00E914BA" w:rsidRPr="007337F4" w:rsidRDefault="00E914BA" w:rsidP="007337F4">
      <w:pPr>
        <w:spacing w:after="0" w:line="360" w:lineRule="auto"/>
        <w:jc w:val="both"/>
        <w:rPr>
          <w:rFonts w:ascii="Arial" w:hAnsi="Arial" w:cs="Arial"/>
        </w:rPr>
      </w:pPr>
    </w:p>
    <w:p w14:paraId="4E6FAE3D" w14:textId="77777777" w:rsidR="00A74A47" w:rsidRPr="007337F4" w:rsidRDefault="00A74A47" w:rsidP="007337F4">
      <w:pPr>
        <w:spacing w:after="0" w:line="360" w:lineRule="auto"/>
        <w:jc w:val="both"/>
        <w:rPr>
          <w:rFonts w:ascii="Arial" w:hAnsi="Arial" w:cs="Arial"/>
        </w:rPr>
      </w:pPr>
      <w:r w:rsidRPr="007337F4">
        <w:rPr>
          <w:rFonts w:ascii="Arial" w:hAnsi="Arial" w:cs="Arial"/>
        </w:rPr>
        <w:t xml:space="preserve">Health Foundation (2016) </w:t>
      </w:r>
      <w:r w:rsidRPr="007337F4">
        <w:rPr>
          <w:rFonts w:ascii="Arial" w:hAnsi="Arial" w:cs="Arial"/>
          <w:i/>
          <w:iCs/>
        </w:rPr>
        <w:t>Person-centred care made simple: What everyone should know about person-centred care</w:t>
      </w:r>
      <w:r w:rsidRPr="007337F4">
        <w:rPr>
          <w:rFonts w:ascii="Arial" w:hAnsi="Arial" w:cs="Arial"/>
        </w:rPr>
        <w:t xml:space="preserve">. London: The Health Foundation. Available at: </w:t>
      </w:r>
      <w:hyperlink r:id="rId11" w:tgtFrame="_new" w:history="1">
        <w:r w:rsidRPr="007337F4">
          <w:rPr>
            <w:rStyle w:val="Hyperlink"/>
            <w:rFonts w:ascii="Arial" w:hAnsi="Arial" w:cs="Arial"/>
          </w:rPr>
          <w:t>https://www.health.org.uk/resources-and-toolkits/quick-guides/person-centred-care-made-simple</w:t>
        </w:r>
      </w:hyperlink>
      <w:r w:rsidRPr="007337F4">
        <w:rPr>
          <w:rFonts w:ascii="Arial" w:hAnsi="Arial" w:cs="Arial"/>
        </w:rPr>
        <w:t xml:space="preserve"> (Accessed: 20 July 2026).</w:t>
      </w:r>
    </w:p>
    <w:p w14:paraId="431E58A5" w14:textId="77777777" w:rsidR="00E914BA" w:rsidRPr="007337F4" w:rsidRDefault="00E914BA" w:rsidP="007337F4">
      <w:pPr>
        <w:spacing w:after="0" w:line="360" w:lineRule="auto"/>
        <w:jc w:val="both"/>
        <w:rPr>
          <w:rFonts w:ascii="Arial" w:hAnsi="Arial" w:cs="Arial"/>
        </w:rPr>
      </w:pPr>
    </w:p>
    <w:p w14:paraId="2D7C3294" w14:textId="77777777" w:rsidR="00A74A47" w:rsidRPr="007337F4" w:rsidRDefault="00A74A47" w:rsidP="007337F4">
      <w:pPr>
        <w:spacing w:after="0" w:line="360" w:lineRule="auto"/>
        <w:jc w:val="both"/>
        <w:rPr>
          <w:rFonts w:ascii="Arial" w:hAnsi="Arial" w:cs="Arial"/>
        </w:rPr>
      </w:pPr>
      <w:r w:rsidRPr="007337F4">
        <w:rPr>
          <w:rFonts w:ascii="Arial" w:hAnsi="Arial" w:cs="Arial"/>
        </w:rPr>
        <w:t xml:space="preserve">Human Rights Act 1998 (1998) </w:t>
      </w:r>
      <w:r w:rsidRPr="007337F4">
        <w:rPr>
          <w:rFonts w:ascii="Arial" w:hAnsi="Arial" w:cs="Arial"/>
          <w:i/>
          <w:iCs/>
        </w:rPr>
        <w:t>Human Rights Act 1998</w:t>
      </w:r>
      <w:r w:rsidRPr="007337F4">
        <w:rPr>
          <w:rFonts w:ascii="Arial" w:hAnsi="Arial" w:cs="Arial"/>
        </w:rPr>
        <w:t xml:space="preserve">. London: The Stationery Office. Available at: </w:t>
      </w:r>
      <w:hyperlink r:id="rId12" w:tgtFrame="_new" w:history="1">
        <w:r w:rsidRPr="007337F4">
          <w:rPr>
            <w:rStyle w:val="Hyperlink"/>
            <w:rFonts w:ascii="Arial" w:hAnsi="Arial" w:cs="Arial"/>
          </w:rPr>
          <w:t>https://www.legislation.gov.uk/ukpga/1998/42/</w:t>
        </w:r>
      </w:hyperlink>
      <w:r w:rsidRPr="007337F4">
        <w:rPr>
          <w:rFonts w:ascii="Arial" w:hAnsi="Arial" w:cs="Arial"/>
        </w:rPr>
        <w:t xml:space="preserve"> (Accessed: 20 July 2026).</w:t>
      </w:r>
    </w:p>
    <w:p w14:paraId="4E4B9F5F" w14:textId="77777777" w:rsidR="00E914BA" w:rsidRPr="007337F4" w:rsidRDefault="00E914BA" w:rsidP="007337F4">
      <w:pPr>
        <w:spacing w:after="0" w:line="360" w:lineRule="auto"/>
        <w:jc w:val="both"/>
        <w:rPr>
          <w:rFonts w:ascii="Arial" w:hAnsi="Arial" w:cs="Arial"/>
        </w:rPr>
      </w:pPr>
    </w:p>
    <w:p w14:paraId="10AD1822" w14:textId="77777777" w:rsidR="00A74A47" w:rsidRPr="007337F4" w:rsidRDefault="00A74A47" w:rsidP="007337F4">
      <w:pPr>
        <w:spacing w:after="0" w:line="360" w:lineRule="auto"/>
        <w:jc w:val="both"/>
        <w:rPr>
          <w:rFonts w:ascii="Arial" w:hAnsi="Arial" w:cs="Arial"/>
        </w:rPr>
      </w:pPr>
      <w:r w:rsidRPr="007337F4">
        <w:rPr>
          <w:rFonts w:ascii="Arial" w:hAnsi="Arial" w:cs="Arial"/>
        </w:rPr>
        <w:t xml:space="preserve">Maslow, A.H. (1943) ‘A theory of human motivation’, </w:t>
      </w:r>
      <w:r w:rsidRPr="007337F4">
        <w:rPr>
          <w:rFonts w:ascii="Arial" w:hAnsi="Arial" w:cs="Arial"/>
          <w:i/>
          <w:iCs/>
        </w:rPr>
        <w:t>Psychological Review</w:t>
      </w:r>
      <w:r w:rsidRPr="007337F4">
        <w:rPr>
          <w:rFonts w:ascii="Arial" w:hAnsi="Arial" w:cs="Arial"/>
        </w:rPr>
        <w:t>, 50(4), pp.370–396.</w:t>
      </w:r>
    </w:p>
    <w:p w14:paraId="5B8384F3" w14:textId="77777777" w:rsidR="00A74A47" w:rsidRPr="007337F4" w:rsidRDefault="00A74A47" w:rsidP="007337F4">
      <w:pPr>
        <w:spacing w:after="0" w:line="360" w:lineRule="auto"/>
        <w:jc w:val="both"/>
        <w:rPr>
          <w:rFonts w:ascii="Arial" w:hAnsi="Arial" w:cs="Arial"/>
        </w:rPr>
      </w:pPr>
      <w:r w:rsidRPr="007337F4">
        <w:rPr>
          <w:rFonts w:ascii="Arial" w:hAnsi="Arial" w:cs="Arial"/>
        </w:rPr>
        <w:lastRenderedPageBreak/>
        <w:t xml:space="preserve">National Institute for Health and Care Excellence (2021) </w:t>
      </w:r>
      <w:r w:rsidRPr="007337F4">
        <w:rPr>
          <w:rFonts w:ascii="Arial" w:hAnsi="Arial" w:cs="Arial"/>
          <w:i/>
          <w:iCs/>
        </w:rPr>
        <w:t>Shared decision making (NG197)</w:t>
      </w:r>
      <w:r w:rsidRPr="007337F4">
        <w:rPr>
          <w:rFonts w:ascii="Arial" w:hAnsi="Arial" w:cs="Arial"/>
        </w:rPr>
        <w:t xml:space="preserve">. London: NICE. Available at: </w:t>
      </w:r>
      <w:hyperlink r:id="rId13" w:tgtFrame="_new" w:history="1">
        <w:r w:rsidRPr="007337F4">
          <w:rPr>
            <w:rStyle w:val="Hyperlink"/>
            <w:rFonts w:ascii="Arial" w:hAnsi="Arial" w:cs="Arial"/>
          </w:rPr>
          <w:t>https://www.nice.org.uk/guidance/ng197</w:t>
        </w:r>
      </w:hyperlink>
      <w:r w:rsidRPr="007337F4">
        <w:rPr>
          <w:rFonts w:ascii="Arial" w:hAnsi="Arial" w:cs="Arial"/>
        </w:rPr>
        <w:t xml:space="preserve"> (Accessed: 20 July 2026).</w:t>
      </w:r>
    </w:p>
    <w:p w14:paraId="665A35FD" w14:textId="77777777" w:rsidR="00E914BA" w:rsidRPr="007337F4" w:rsidRDefault="00E914BA" w:rsidP="007337F4">
      <w:pPr>
        <w:spacing w:after="0" w:line="360" w:lineRule="auto"/>
        <w:jc w:val="both"/>
        <w:rPr>
          <w:rFonts w:ascii="Arial" w:hAnsi="Arial" w:cs="Arial"/>
        </w:rPr>
      </w:pPr>
    </w:p>
    <w:p w14:paraId="5F904BBF" w14:textId="77777777" w:rsidR="00A74A47" w:rsidRPr="007337F4" w:rsidRDefault="00A74A47" w:rsidP="007337F4">
      <w:pPr>
        <w:spacing w:after="0" w:line="360" w:lineRule="auto"/>
        <w:jc w:val="both"/>
        <w:rPr>
          <w:rFonts w:ascii="Arial" w:hAnsi="Arial" w:cs="Arial"/>
        </w:rPr>
      </w:pPr>
      <w:r w:rsidRPr="007337F4">
        <w:rPr>
          <w:rFonts w:ascii="Arial" w:hAnsi="Arial" w:cs="Arial"/>
        </w:rPr>
        <w:t xml:space="preserve">National Institute for Health and Care Excellence (2022) </w:t>
      </w:r>
      <w:r w:rsidRPr="007337F4">
        <w:rPr>
          <w:rFonts w:ascii="Arial" w:hAnsi="Arial" w:cs="Arial"/>
          <w:i/>
          <w:iCs/>
        </w:rPr>
        <w:t>Type 2 diabetes in adults: management (NG28)</w:t>
      </w:r>
      <w:r w:rsidRPr="007337F4">
        <w:rPr>
          <w:rFonts w:ascii="Arial" w:hAnsi="Arial" w:cs="Arial"/>
        </w:rPr>
        <w:t xml:space="preserve">. London: NICE. Available at: </w:t>
      </w:r>
      <w:hyperlink r:id="rId14" w:tgtFrame="_new" w:history="1">
        <w:r w:rsidRPr="007337F4">
          <w:rPr>
            <w:rStyle w:val="Hyperlink"/>
            <w:rFonts w:ascii="Arial" w:hAnsi="Arial" w:cs="Arial"/>
          </w:rPr>
          <w:t>https://www.nice.org.uk/guidance/ng28</w:t>
        </w:r>
      </w:hyperlink>
      <w:r w:rsidRPr="007337F4">
        <w:rPr>
          <w:rFonts w:ascii="Arial" w:hAnsi="Arial" w:cs="Arial"/>
        </w:rPr>
        <w:t xml:space="preserve"> (Accessed: 20 July 2026).</w:t>
      </w:r>
    </w:p>
    <w:p w14:paraId="0921AD2A" w14:textId="77777777" w:rsidR="00E914BA" w:rsidRPr="007337F4" w:rsidRDefault="00E914BA" w:rsidP="007337F4">
      <w:pPr>
        <w:spacing w:after="0" w:line="360" w:lineRule="auto"/>
        <w:jc w:val="both"/>
        <w:rPr>
          <w:rFonts w:ascii="Arial" w:hAnsi="Arial" w:cs="Arial"/>
        </w:rPr>
      </w:pPr>
    </w:p>
    <w:p w14:paraId="3DB6C6B0" w14:textId="77777777" w:rsidR="00A74A47" w:rsidRPr="007337F4" w:rsidRDefault="00A74A47" w:rsidP="007337F4">
      <w:pPr>
        <w:spacing w:after="0" w:line="360" w:lineRule="auto"/>
        <w:jc w:val="both"/>
        <w:rPr>
          <w:rFonts w:ascii="Arial" w:hAnsi="Arial" w:cs="Arial"/>
        </w:rPr>
      </w:pPr>
      <w:r w:rsidRPr="007337F4">
        <w:rPr>
          <w:rFonts w:ascii="Arial" w:hAnsi="Arial" w:cs="Arial"/>
        </w:rPr>
        <w:t xml:space="preserve">NHS England (2022) </w:t>
      </w:r>
      <w:r w:rsidRPr="007337F4">
        <w:rPr>
          <w:rFonts w:ascii="Arial" w:hAnsi="Arial" w:cs="Arial"/>
          <w:i/>
          <w:iCs/>
        </w:rPr>
        <w:t>Integrated Care Systems: Design Framework</w:t>
      </w:r>
      <w:r w:rsidRPr="007337F4">
        <w:rPr>
          <w:rFonts w:ascii="Arial" w:hAnsi="Arial" w:cs="Arial"/>
        </w:rPr>
        <w:t xml:space="preserve">. London: NHS England. Available at: </w:t>
      </w:r>
      <w:hyperlink r:id="rId15" w:tgtFrame="_new" w:history="1">
        <w:r w:rsidRPr="007337F4">
          <w:rPr>
            <w:rStyle w:val="Hyperlink"/>
            <w:rFonts w:ascii="Arial" w:hAnsi="Arial" w:cs="Arial"/>
          </w:rPr>
          <w:t>https://www.england.nhs.uk/publication/integrated-care-systems-guidance/</w:t>
        </w:r>
      </w:hyperlink>
      <w:r w:rsidRPr="007337F4">
        <w:rPr>
          <w:rFonts w:ascii="Arial" w:hAnsi="Arial" w:cs="Arial"/>
        </w:rPr>
        <w:t xml:space="preserve"> (Accessed: 20 July 2026).</w:t>
      </w:r>
    </w:p>
    <w:p w14:paraId="5D12A2CC" w14:textId="77777777" w:rsidR="00E914BA" w:rsidRPr="007337F4" w:rsidRDefault="00E914BA" w:rsidP="007337F4">
      <w:pPr>
        <w:spacing w:after="0" w:line="360" w:lineRule="auto"/>
        <w:jc w:val="both"/>
        <w:rPr>
          <w:rFonts w:ascii="Arial" w:hAnsi="Arial" w:cs="Arial"/>
        </w:rPr>
      </w:pPr>
    </w:p>
    <w:p w14:paraId="27F121C9" w14:textId="77777777" w:rsidR="00A74A47" w:rsidRPr="007337F4" w:rsidRDefault="00A74A47" w:rsidP="007337F4">
      <w:pPr>
        <w:spacing w:after="0" w:line="360" w:lineRule="auto"/>
        <w:jc w:val="both"/>
        <w:rPr>
          <w:rFonts w:ascii="Arial" w:hAnsi="Arial" w:cs="Arial"/>
        </w:rPr>
      </w:pPr>
      <w:r w:rsidRPr="007337F4">
        <w:rPr>
          <w:rFonts w:ascii="Arial" w:hAnsi="Arial" w:cs="Arial"/>
        </w:rPr>
        <w:t xml:space="preserve">Nursing and Midwifery Council (2018) </w:t>
      </w:r>
      <w:r w:rsidRPr="007337F4">
        <w:rPr>
          <w:rFonts w:ascii="Arial" w:hAnsi="Arial" w:cs="Arial"/>
          <w:i/>
          <w:iCs/>
        </w:rPr>
        <w:t>The Code: Professional standards of practice and behaviour for nurses, midwives and nursing associates</w:t>
      </w:r>
      <w:r w:rsidRPr="007337F4">
        <w:rPr>
          <w:rFonts w:ascii="Arial" w:hAnsi="Arial" w:cs="Arial"/>
        </w:rPr>
        <w:t xml:space="preserve">. London: NMC. Available at: </w:t>
      </w:r>
      <w:hyperlink r:id="rId16" w:tgtFrame="_new" w:history="1">
        <w:r w:rsidRPr="007337F4">
          <w:rPr>
            <w:rStyle w:val="Hyperlink"/>
            <w:rFonts w:ascii="Arial" w:hAnsi="Arial" w:cs="Arial"/>
          </w:rPr>
          <w:t>https://www.</w:t>
        </w:r>
        <w:r w:rsidRPr="007337F4">
          <w:rPr>
            <w:rStyle w:val="Hyperlink"/>
            <w:rFonts w:ascii="Arial" w:hAnsi="Arial" w:cs="Arial"/>
          </w:rPr>
          <w:t>n</w:t>
        </w:r>
        <w:r w:rsidRPr="007337F4">
          <w:rPr>
            <w:rStyle w:val="Hyperlink"/>
            <w:rFonts w:ascii="Arial" w:hAnsi="Arial" w:cs="Arial"/>
          </w:rPr>
          <w:t>mc.org.uk/standards/code/</w:t>
        </w:r>
      </w:hyperlink>
      <w:r w:rsidRPr="007337F4">
        <w:rPr>
          <w:rFonts w:ascii="Arial" w:hAnsi="Arial" w:cs="Arial"/>
        </w:rPr>
        <w:t xml:space="preserve"> (Accessed: 20 July 2026).</w:t>
      </w:r>
    </w:p>
    <w:p w14:paraId="1FFA429B" w14:textId="77777777" w:rsidR="00E914BA" w:rsidRPr="007337F4" w:rsidRDefault="00E914BA" w:rsidP="007337F4">
      <w:pPr>
        <w:spacing w:after="0" w:line="360" w:lineRule="auto"/>
        <w:jc w:val="both"/>
        <w:rPr>
          <w:rFonts w:ascii="Arial" w:hAnsi="Arial" w:cs="Arial"/>
        </w:rPr>
      </w:pPr>
    </w:p>
    <w:p w14:paraId="68A9D94F" w14:textId="77777777" w:rsidR="00A74A47" w:rsidRPr="007337F4" w:rsidRDefault="00A74A47" w:rsidP="007337F4">
      <w:pPr>
        <w:spacing w:after="0" w:line="360" w:lineRule="auto"/>
        <w:jc w:val="both"/>
        <w:rPr>
          <w:rFonts w:ascii="Arial" w:hAnsi="Arial" w:cs="Arial"/>
        </w:rPr>
      </w:pPr>
      <w:r w:rsidRPr="007337F4">
        <w:rPr>
          <w:rFonts w:ascii="Arial" w:hAnsi="Arial" w:cs="Arial"/>
        </w:rPr>
        <w:t xml:space="preserve">Wahba, M.A. and Bridwell, L.G. (1976) ‘Maslow reconsidered: A review of research on the need hierarchy theory’, </w:t>
      </w:r>
      <w:r w:rsidRPr="007337F4">
        <w:rPr>
          <w:rFonts w:ascii="Arial" w:hAnsi="Arial" w:cs="Arial"/>
          <w:i/>
          <w:iCs/>
        </w:rPr>
        <w:t>Organizational Behavior and Human Performance</w:t>
      </w:r>
      <w:r w:rsidRPr="007337F4">
        <w:rPr>
          <w:rFonts w:ascii="Arial" w:hAnsi="Arial" w:cs="Arial"/>
        </w:rPr>
        <w:t>, 15(2), pp.212–240.</w:t>
      </w:r>
    </w:p>
    <w:p w14:paraId="6AE28191" w14:textId="77777777" w:rsidR="00E914BA" w:rsidRPr="007337F4" w:rsidRDefault="00E914BA" w:rsidP="007337F4">
      <w:pPr>
        <w:spacing w:after="0" w:line="360" w:lineRule="auto"/>
        <w:jc w:val="both"/>
        <w:rPr>
          <w:rFonts w:ascii="Arial" w:hAnsi="Arial" w:cs="Arial"/>
        </w:rPr>
      </w:pPr>
    </w:p>
    <w:p w14:paraId="57029BDE" w14:textId="77777777" w:rsidR="00A74A47" w:rsidRPr="007337F4" w:rsidRDefault="00A74A47" w:rsidP="007337F4">
      <w:pPr>
        <w:spacing w:after="0" w:line="360" w:lineRule="auto"/>
        <w:jc w:val="both"/>
        <w:rPr>
          <w:rFonts w:ascii="Arial" w:hAnsi="Arial" w:cs="Arial"/>
        </w:rPr>
      </w:pPr>
      <w:r w:rsidRPr="007337F4">
        <w:rPr>
          <w:rFonts w:ascii="Arial" w:hAnsi="Arial" w:cs="Arial"/>
        </w:rPr>
        <w:t xml:space="preserve">World Health Organization (2021) </w:t>
      </w:r>
      <w:r w:rsidRPr="007337F4">
        <w:rPr>
          <w:rFonts w:ascii="Arial" w:hAnsi="Arial" w:cs="Arial"/>
          <w:i/>
          <w:iCs/>
        </w:rPr>
        <w:t>Global report on diabetes</w:t>
      </w:r>
      <w:r w:rsidRPr="007337F4">
        <w:rPr>
          <w:rFonts w:ascii="Arial" w:hAnsi="Arial" w:cs="Arial"/>
        </w:rPr>
        <w:t xml:space="preserve">. Geneva: World Health Organization. Available at: </w:t>
      </w:r>
      <w:hyperlink r:id="rId17" w:tgtFrame="_new" w:history="1">
        <w:r w:rsidRPr="007337F4">
          <w:rPr>
            <w:rStyle w:val="Hyperlink"/>
            <w:rFonts w:ascii="Arial" w:hAnsi="Arial" w:cs="Arial"/>
          </w:rPr>
          <w:t>https:</w:t>
        </w:r>
        <w:r w:rsidRPr="007337F4">
          <w:rPr>
            <w:rStyle w:val="Hyperlink"/>
            <w:rFonts w:ascii="Arial" w:hAnsi="Arial" w:cs="Arial"/>
          </w:rPr>
          <w:t>/</w:t>
        </w:r>
        <w:r w:rsidRPr="007337F4">
          <w:rPr>
            <w:rStyle w:val="Hyperlink"/>
            <w:rFonts w:ascii="Arial" w:hAnsi="Arial" w:cs="Arial"/>
          </w:rPr>
          <w:t>/www.who.int/publications/i/item/9789241565257</w:t>
        </w:r>
      </w:hyperlink>
      <w:r w:rsidRPr="007337F4">
        <w:rPr>
          <w:rFonts w:ascii="Arial" w:hAnsi="Arial" w:cs="Arial"/>
        </w:rPr>
        <w:t xml:space="preserve"> (Accessed: 20 July 2026).</w:t>
      </w:r>
    </w:p>
    <w:p w14:paraId="12BD31D0" w14:textId="3E0904F2" w:rsidR="00AB3727" w:rsidRPr="00A74A47" w:rsidRDefault="00AB3727" w:rsidP="00E914BA">
      <w:pPr>
        <w:pStyle w:val="ListParagraph"/>
        <w:spacing w:line="360" w:lineRule="auto"/>
        <w:ind w:left="0"/>
        <w:jc w:val="both"/>
        <w:rPr>
          <w:rFonts w:ascii="Arial" w:hAnsi="Arial" w:cs="Arial"/>
        </w:rPr>
      </w:pPr>
    </w:p>
    <w:sectPr w:rsidR="00AB3727" w:rsidRPr="00A74A4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DD62DB"/>
    <w:multiLevelType w:val="hybridMultilevel"/>
    <w:tmpl w:val="76E801E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1871D3F"/>
    <w:multiLevelType w:val="multilevel"/>
    <w:tmpl w:val="5A9C770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2B664C9"/>
    <w:multiLevelType w:val="hybridMultilevel"/>
    <w:tmpl w:val="86C6C67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6E06165"/>
    <w:multiLevelType w:val="hybridMultilevel"/>
    <w:tmpl w:val="79F297B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40D4B71"/>
    <w:multiLevelType w:val="hybridMultilevel"/>
    <w:tmpl w:val="DE5061D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818227E"/>
    <w:multiLevelType w:val="hybridMultilevel"/>
    <w:tmpl w:val="E77AB7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A3950B0"/>
    <w:multiLevelType w:val="multilevel"/>
    <w:tmpl w:val="82CC70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094862617">
    <w:abstractNumId w:val="1"/>
  </w:num>
  <w:num w:numId="2" w16cid:durableId="368191129">
    <w:abstractNumId w:val="6"/>
  </w:num>
  <w:num w:numId="3" w16cid:durableId="536696784">
    <w:abstractNumId w:val="0"/>
  </w:num>
  <w:num w:numId="4" w16cid:durableId="1057818184">
    <w:abstractNumId w:val="2"/>
  </w:num>
  <w:num w:numId="5" w16cid:durableId="181631559">
    <w:abstractNumId w:val="3"/>
  </w:num>
  <w:num w:numId="6" w16cid:durableId="475223525">
    <w:abstractNumId w:val="5"/>
  </w:num>
  <w:num w:numId="7" w16cid:durableId="5736392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0BFC"/>
    <w:rsid w:val="00000916"/>
    <w:rsid w:val="0003389A"/>
    <w:rsid w:val="00045285"/>
    <w:rsid w:val="00053F4C"/>
    <w:rsid w:val="000C0BBE"/>
    <w:rsid w:val="000F0923"/>
    <w:rsid w:val="0019075A"/>
    <w:rsid w:val="00191634"/>
    <w:rsid w:val="001B043E"/>
    <w:rsid w:val="001B58CE"/>
    <w:rsid w:val="002200BE"/>
    <w:rsid w:val="00225958"/>
    <w:rsid w:val="002451CC"/>
    <w:rsid w:val="00260A97"/>
    <w:rsid w:val="00290A3E"/>
    <w:rsid w:val="002B7E25"/>
    <w:rsid w:val="002F249E"/>
    <w:rsid w:val="00302DCB"/>
    <w:rsid w:val="00374286"/>
    <w:rsid w:val="003817C3"/>
    <w:rsid w:val="003A775F"/>
    <w:rsid w:val="003E4DC1"/>
    <w:rsid w:val="00410E34"/>
    <w:rsid w:val="00451882"/>
    <w:rsid w:val="00462DC9"/>
    <w:rsid w:val="0047279B"/>
    <w:rsid w:val="00480018"/>
    <w:rsid w:val="0048688D"/>
    <w:rsid w:val="00487D9C"/>
    <w:rsid w:val="004911A6"/>
    <w:rsid w:val="004A6705"/>
    <w:rsid w:val="004B55C9"/>
    <w:rsid w:val="004F24A6"/>
    <w:rsid w:val="005921A9"/>
    <w:rsid w:val="00593874"/>
    <w:rsid w:val="00615D93"/>
    <w:rsid w:val="0067547E"/>
    <w:rsid w:val="006823B4"/>
    <w:rsid w:val="006838B4"/>
    <w:rsid w:val="006C0716"/>
    <w:rsid w:val="006C53AC"/>
    <w:rsid w:val="00717ABC"/>
    <w:rsid w:val="007337F4"/>
    <w:rsid w:val="00765246"/>
    <w:rsid w:val="00791C93"/>
    <w:rsid w:val="00794D65"/>
    <w:rsid w:val="007C0F21"/>
    <w:rsid w:val="007D27D3"/>
    <w:rsid w:val="007D6E8E"/>
    <w:rsid w:val="007E1404"/>
    <w:rsid w:val="007E5837"/>
    <w:rsid w:val="00812027"/>
    <w:rsid w:val="00824C94"/>
    <w:rsid w:val="00876CB2"/>
    <w:rsid w:val="00876EAA"/>
    <w:rsid w:val="008829E7"/>
    <w:rsid w:val="008925A1"/>
    <w:rsid w:val="00892B63"/>
    <w:rsid w:val="008E33F7"/>
    <w:rsid w:val="0094238F"/>
    <w:rsid w:val="00992222"/>
    <w:rsid w:val="009B7189"/>
    <w:rsid w:val="009D6EEA"/>
    <w:rsid w:val="00A74A47"/>
    <w:rsid w:val="00A82E48"/>
    <w:rsid w:val="00A87191"/>
    <w:rsid w:val="00A9153D"/>
    <w:rsid w:val="00AB3727"/>
    <w:rsid w:val="00AE57BB"/>
    <w:rsid w:val="00B41B22"/>
    <w:rsid w:val="00B61DA7"/>
    <w:rsid w:val="00B649DF"/>
    <w:rsid w:val="00BD10E7"/>
    <w:rsid w:val="00BD14D6"/>
    <w:rsid w:val="00BE3F1F"/>
    <w:rsid w:val="00C2006D"/>
    <w:rsid w:val="00C56420"/>
    <w:rsid w:val="00C76B0D"/>
    <w:rsid w:val="00CB0EC6"/>
    <w:rsid w:val="00CD0EF5"/>
    <w:rsid w:val="00CD7297"/>
    <w:rsid w:val="00CE4E51"/>
    <w:rsid w:val="00CF2A1F"/>
    <w:rsid w:val="00D21788"/>
    <w:rsid w:val="00D31FF0"/>
    <w:rsid w:val="00D73721"/>
    <w:rsid w:val="00D93AD0"/>
    <w:rsid w:val="00DB0054"/>
    <w:rsid w:val="00DB3619"/>
    <w:rsid w:val="00DB39DB"/>
    <w:rsid w:val="00DD5A00"/>
    <w:rsid w:val="00DE550F"/>
    <w:rsid w:val="00E438E6"/>
    <w:rsid w:val="00E57E1F"/>
    <w:rsid w:val="00E70BFC"/>
    <w:rsid w:val="00E914BA"/>
    <w:rsid w:val="00EB608F"/>
    <w:rsid w:val="00EC3154"/>
    <w:rsid w:val="00EC5B02"/>
    <w:rsid w:val="00ED6829"/>
    <w:rsid w:val="00F31D3F"/>
    <w:rsid w:val="00F55A73"/>
    <w:rsid w:val="00F97829"/>
    <w:rsid w:val="00FB0771"/>
    <w:rsid w:val="00FB4FE4"/>
    <w:rsid w:val="00FD30A6"/>
    <w:rsid w:val="00FE75CC"/>
    <w:rsid w:val="00FF5528"/>
    <w:rsid w:val="00FF59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9357B2"/>
  <w15:chartTrackingRefBased/>
  <w15:docId w15:val="{ED6B680F-C976-484D-896B-0B78E11E56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649DF"/>
  </w:style>
  <w:style w:type="paragraph" w:styleId="Heading1">
    <w:name w:val="heading 1"/>
    <w:basedOn w:val="Normal"/>
    <w:next w:val="Normal"/>
    <w:link w:val="Heading1Char"/>
    <w:uiPriority w:val="9"/>
    <w:qFormat/>
    <w:rsid w:val="00E70BF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70BF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70BF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70BF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70BF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70BF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70BF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70BF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70BF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70BF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70BF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70BF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70BF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70BF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70BF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70BF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70BF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70BFC"/>
    <w:rPr>
      <w:rFonts w:eastAsiaTheme="majorEastAsia" w:cstheme="majorBidi"/>
      <w:color w:val="272727" w:themeColor="text1" w:themeTint="D8"/>
    </w:rPr>
  </w:style>
  <w:style w:type="paragraph" w:styleId="Title">
    <w:name w:val="Title"/>
    <w:basedOn w:val="Normal"/>
    <w:next w:val="Normal"/>
    <w:link w:val="TitleChar"/>
    <w:uiPriority w:val="10"/>
    <w:qFormat/>
    <w:rsid w:val="00E70BF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70BF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70BF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70BF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70BFC"/>
    <w:pPr>
      <w:spacing w:before="160"/>
      <w:jc w:val="center"/>
    </w:pPr>
    <w:rPr>
      <w:i/>
      <w:iCs/>
      <w:color w:val="404040" w:themeColor="text1" w:themeTint="BF"/>
    </w:rPr>
  </w:style>
  <w:style w:type="character" w:customStyle="1" w:styleId="QuoteChar">
    <w:name w:val="Quote Char"/>
    <w:basedOn w:val="DefaultParagraphFont"/>
    <w:link w:val="Quote"/>
    <w:uiPriority w:val="29"/>
    <w:rsid w:val="00E70BFC"/>
    <w:rPr>
      <w:i/>
      <w:iCs/>
      <w:color w:val="404040" w:themeColor="text1" w:themeTint="BF"/>
    </w:rPr>
  </w:style>
  <w:style w:type="paragraph" w:styleId="ListParagraph">
    <w:name w:val="List Paragraph"/>
    <w:basedOn w:val="Normal"/>
    <w:uiPriority w:val="34"/>
    <w:qFormat/>
    <w:rsid w:val="00E70BFC"/>
    <w:pPr>
      <w:ind w:left="720"/>
      <w:contextualSpacing/>
    </w:pPr>
  </w:style>
  <w:style w:type="character" w:styleId="IntenseEmphasis">
    <w:name w:val="Intense Emphasis"/>
    <w:basedOn w:val="DefaultParagraphFont"/>
    <w:uiPriority w:val="21"/>
    <w:qFormat/>
    <w:rsid w:val="00E70BFC"/>
    <w:rPr>
      <w:i/>
      <w:iCs/>
      <w:color w:val="0F4761" w:themeColor="accent1" w:themeShade="BF"/>
    </w:rPr>
  </w:style>
  <w:style w:type="paragraph" w:styleId="IntenseQuote">
    <w:name w:val="Intense Quote"/>
    <w:basedOn w:val="Normal"/>
    <w:next w:val="Normal"/>
    <w:link w:val="IntenseQuoteChar"/>
    <w:uiPriority w:val="30"/>
    <w:qFormat/>
    <w:rsid w:val="00E70BF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70BFC"/>
    <w:rPr>
      <w:i/>
      <w:iCs/>
      <w:color w:val="0F4761" w:themeColor="accent1" w:themeShade="BF"/>
    </w:rPr>
  </w:style>
  <w:style w:type="character" w:styleId="IntenseReference">
    <w:name w:val="Intense Reference"/>
    <w:basedOn w:val="DefaultParagraphFont"/>
    <w:uiPriority w:val="32"/>
    <w:qFormat/>
    <w:rsid w:val="00E70BFC"/>
    <w:rPr>
      <w:b/>
      <w:bCs/>
      <w:smallCaps/>
      <w:color w:val="0F4761" w:themeColor="accent1" w:themeShade="BF"/>
      <w:spacing w:val="5"/>
    </w:rPr>
  </w:style>
  <w:style w:type="character" w:styleId="Hyperlink">
    <w:name w:val="Hyperlink"/>
    <w:basedOn w:val="DefaultParagraphFont"/>
    <w:uiPriority w:val="99"/>
    <w:unhideWhenUsed/>
    <w:rsid w:val="007C0F21"/>
    <w:rPr>
      <w:color w:val="467886" w:themeColor="hyperlink"/>
      <w:u w:val="single"/>
    </w:rPr>
  </w:style>
  <w:style w:type="character" w:styleId="UnresolvedMention">
    <w:name w:val="Unresolved Mention"/>
    <w:basedOn w:val="DefaultParagraphFont"/>
    <w:uiPriority w:val="99"/>
    <w:semiHidden/>
    <w:unhideWhenUsed/>
    <w:rsid w:val="007C0F21"/>
    <w:rPr>
      <w:color w:val="605E5C"/>
      <w:shd w:val="clear" w:color="auto" w:fill="E1DFDD"/>
    </w:rPr>
  </w:style>
  <w:style w:type="character" w:styleId="FollowedHyperlink">
    <w:name w:val="FollowedHyperlink"/>
    <w:basedOn w:val="DefaultParagraphFont"/>
    <w:uiPriority w:val="99"/>
    <w:semiHidden/>
    <w:unhideWhenUsed/>
    <w:rsid w:val="007C0F21"/>
    <w:rPr>
      <w:color w:val="96607D" w:themeColor="followedHyperlink"/>
      <w:u w:val="single"/>
    </w:rPr>
  </w:style>
  <w:style w:type="paragraph" w:styleId="NoSpacing">
    <w:name w:val="No Spacing"/>
    <w:uiPriority w:val="1"/>
    <w:qFormat/>
    <w:rsid w:val="007337F4"/>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gislation.gov.uk/ukpga/2010/15" TargetMode="External"/><Relationship Id="rId13" Type="http://schemas.openxmlformats.org/officeDocument/2006/relationships/hyperlink" Target="https://www.nice.org.uk/guidance/ng197"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www.cqc.org.uk/publications/major-report/state-care" TargetMode="External"/><Relationship Id="rId12" Type="http://schemas.openxmlformats.org/officeDocument/2006/relationships/hyperlink" Target="https://www.legislation.gov.uk/ukpga/1998/42/" TargetMode="External"/><Relationship Id="rId17" Type="http://schemas.openxmlformats.org/officeDocument/2006/relationships/hyperlink" Target="https://www.who.int/publications/i/item/9789241565257" TargetMode="External"/><Relationship Id="rId2" Type="http://schemas.openxmlformats.org/officeDocument/2006/relationships/numbering" Target="numbering.xml"/><Relationship Id="rId16" Type="http://schemas.openxmlformats.org/officeDocument/2006/relationships/hyperlink" Target="https://www.nmc.org.uk/standards/code/" TargetMode="External"/><Relationship Id="rId1" Type="http://schemas.openxmlformats.org/officeDocument/2006/relationships/customXml" Target="../customXml/item1.xml"/><Relationship Id="rId6" Type="http://schemas.openxmlformats.org/officeDocument/2006/relationships/hyperlink" Target="https://www.legislation.gov.uk/ukpga/2014/23/contents" TargetMode="External"/><Relationship Id="rId11" Type="http://schemas.openxmlformats.org/officeDocument/2006/relationships/hyperlink" Target="https://www.health.org.uk/resources-and-toolkits/quick-guides/person-centred-care-made-simple" TargetMode="External"/><Relationship Id="rId5" Type="http://schemas.openxmlformats.org/officeDocument/2006/relationships/webSettings" Target="webSettings.xml"/><Relationship Id="rId15" Type="http://schemas.openxmlformats.org/officeDocument/2006/relationships/hyperlink" Target="https://www.england.nhs.uk/publication/integrated-care-systems-guidance/" TargetMode="External"/><Relationship Id="rId10" Type="http://schemas.openxmlformats.org/officeDocument/2006/relationships/hyperlink" Target="https://www.legislation.gov.uk/ukpga/2012/7"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legislation.gov.uk/ukpga/2022/31/" TargetMode="External"/><Relationship Id="rId14" Type="http://schemas.openxmlformats.org/officeDocument/2006/relationships/hyperlink" Target="https://www.nice.org.uk/guidance/ng2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CE8694D-237E-4F77-BF97-354B1A28EC7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3200</Words>
  <Characters>18243</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21401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Romeenah Akhtar</dc:creator>
  <cp:keywords/>
  <dc:description/>
  <cp:lastModifiedBy>Romeenah Akhtar</cp:lastModifiedBy>
  <cp:revision>2</cp:revision>
  <dcterms:created xsi:type="dcterms:W3CDTF">2026-07-23T19:39:00Z</dcterms:created>
  <dcterms:modified xsi:type="dcterms:W3CDTF">2026-07-23T19:39:00Z</dcterms:modified>
</cp:coreProperties>
</file>