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961A9" w14:textId="77777777" w:rsidR="0004440E" w:rsidRDefault="0004440E" w:rsidP="0004440E">
      <w:pPr>
        <w:jc w:val="center"/>
        <w:rPr>
          <w:b/>
          <w:sz w:val="28"/>
        </w:rPr>
      </w:pPr>
      <w:r>
        <w:rPr>
          <w:b/>
          <w:sz w:val="28"/>
        </w:rPr>
        <w:t>Review of/commentary to a written source (Primary) from the Amarna Period.</w:t>
      </w:r>
    </w:p>
    <w:p w14:paraId="4B74801D" w14:textId="77777777" w:rsidR="0004440E" w:rsidRPr="0004440E" w:rsidRDefault="0004440E" w:rsidP="0004440E">
      <w:pPr>
        <w:jc w:val="center"/>
        <w:rPr>
          <w:b/>
          <w:sz w:val="28"/>
        </w:rPr>
      </w:pPr>
      <w:r>
        <w:rPr>
          <w:b/>
          <w:sz w:val="28"/>
        </w:rPr>
        <w:t>The Earlier Proclamation on the Boundary Stela at El-Amarna.</w:t>
      </w:r>
    </w:p>
    <w:p w14:paraId="4F63ABB4" w14:textId="3212AFA3" w:rsidR="0085404C" w:rsidRDefault="007933B0" w:rsidP="0004440E">
      <w:pPr>
        <w:jc w:val="both"/>
        <w:rPr>
          <w:sz w:val="24"/>
        </w:rPr>
      </w:pPr>
      <w:r w:rsidRPr="0004440E">
        <w:rPr>
          <w:sz w:val="24"/>
        </w:rPr>
        <w:t>The earlier proclamation found inscribed on Stelae K</w:t>
      </w:r>
      <w:r w:rsidR="00454BAC">
        <w:rPr>
          <w:sz w:val="24"/>
        </w:rPr>
        <w:t>,</w:t>
      </w:r>
      <w:r w:rsidRPr="0004440E">
        <w:rPr>
          <w:sz w:val="24"/>
        </w:rPr>
        <w:t xml:space="preserve"> which is located at the southern p</w:t>
      </w:r>
      <w:r w:rsidR="00415C21" w:rsidRPr="0004440E">
        <w:rPr>
          <w:sz w:val="24"/>
        </w:rPr>
        <w:t>oint</w:t>
      </w:r>
      <w:r w:rsidRPr="0004440E">
        <w:rPr>
          <w:sz w:val="24"/>
        </w:rPr>
        <w:t xml:space="preserve"> of Amarna’s, or </w:t>
      </w:r>
      <w:proofErr w:type="spellStart"/>
      <w:r w:rsidRPr="0004440E">
        <w:rPr>
          <w:sz w:val="24"/>
        </w:rPr>
        <w:t>Akhet</w:t>
      </w:r>
      <w:proofErr w:type="spellEnd"/>
      <w:r w:rsidRPr="0004440E">
        <w:rPr>
          <w:sz w:val="24"/>
        </w:rPr>
        <w:t>-</w:t>
      </w:r>
      <w:r w:rsidR="007C3B45">
        <w:rPr>
          <w:sz w:val="24"/>
        </w:rPr>
        <w:t>A</w:t>
      </w:r>
      <w:r w:rsidRPr="0004440E">
        <w:rPr>
          <w:sz w:val="24"/>
        </w:rPr>
        <w:t>ten</w:t>
      </w:r>
      <w:r w:rsidR="00415C21" w:rsidRPr="0004440E">
        <w:rPr>
          <w:sz w:val="24"/>
        </w:rPr>
        <w:t>’s, territory was actually a copy of the proclamation which was first inscribed on two other stelae. These stelae were located at the northern and southern points</w:t>
      </w:r>
      <w:r w:rsidR="00DB1A07" w:rsidRPr="0004440E">
        <w:rPr>
          <w:sz w:val="24"/>
        </w:rPr>
        <w:t>, Stelae X and M respectively,</w:t>
      </w:r>
      <w:r w:rsidR="00415C21" w:rsidRPr="0004440E">
        <w:rPr>
          <w:sz w:val="24"/>
        </w:rPr>
        <w:t xml:space="preserve"> of the eastern bank of the cit</w:t>
      </w:r>
      <w:r w:rsidR="008D2288" w:rsidRPr="0004440E">
        <w:rPr>
          <w:sz w:val="24"/>
        </w:rPr>
        <w:t>y’</w:t>
      </w:r>
      <w:r w:rsidR="00415C21" w:rsidRPr="0004440E">
        <w:rPr>
          <w:sz w:val="24"/>
        </w:rPr>
        <w:t xml:space="preserve">s territory, with Stelae K being located </w:t>
      </w:r>
      <w:r w:rsidR="00DB1A07" w:rsidRPr="0004440E">
        <w:rPr>
          <w:sz w:val="24"/>
        </w:rPr>
        <w:t>a bit further south than</w:t>
      </w:r>
      <w:r w:rsidR="008D2288" w:rsidRPr="0004440E">
        <w:rPr>
          <w:sz w:val="24"/>
        </w:rPr>
        <w:t xml:space="preserve"> its predecessor</w:t>
      </w:r>
      <w:r w:rsidR="00DB1A07" w:rsidRPr="0004440E">
        <w:rPr>
          <w:sz w:val="24"/>
        </w:rPr>
        <w:t xml:space="preserve"> Stelae M. Only a third of the text survives as the rest is </w:t>
      </w:r>
      <w:r w:rsidR="00F3052B" w:rsidRPr="0004440E">
        <w:rPr>
          <w:sz w:val="24"/>
        </w:rPr>
        <w:t>littered with</w:t>
      </w:r>
      <w:r w:rsidR="0020551C" w:rsidRPr="0004440E">
        <w:rPr>
          <w:sz w:val="24"/>
        </w:rPr>
        <w:t xml:space="preserve"> gaps that obscure the re</w:t>
      </w:r>
      <w:r w:rsidR="008D2288" w:rsidRPr="0004440E">
        <w:rPr>
          <w:sz w:val="24"/>
        </w:rPr>
        <w:t>mainder of the inscription</w:t>
      </w:r>
      <w:r w:rsidR="001A3CF4" w:rsidRPr="0004440E">
        <w:rPr>
          <w:sz w:val="24"/>
        </w:rPr>
        <w:t xml:space="preserve"> (Murnane and William, 1995: 73).</w:t>
      </w:r>
    </w:p>
    <w:p w14:paraId="3DBF0A0F" w14:textId="77777777" w:rsidR="0004440E" w:rsidRDefault="003B2FB8" w:rsidP="0004440E">
      <w:pPr>
        <w:jc w:val="both"/>
        <w:rPr>
          <w:sz w:val="24"/>
        </w:rPr>
      </w:pPr>
      <w:r>
        <w:rPr>
          <w:sz w:val="24"/>
        </w:rPr>
        <w:t>Boundary Stelae K comes to us from the f</w:t>
      </w:r>
      <w:r w:rsidR="0085414B">
        <w:rPr>
          <w:sz w:val="24"/>
        </w:rPr>
        <w:t xml:space="preserve">ifth </w:t>
      </w:r>
      <w:r>
        <w:rPr>
          <w:sz w:val="24"/>
        </w:rPr>
        <w:t>year of Akhenaten’s reign, more specifically, as inscribed on the stelae</w:t>
      </w:r>
      <w:r w:rsidR="0085414B">
        <w:rPr>
          <w:sz w:val="24"/>
        </w:rPr>
        <w:t xml:space="preserve">: </w:t>
      </w:r>
    </w:p>
    <w:p w14:paraId="64F1A9FA" w14:textId="77777777" w:rsidR="0085414B" w:rsidRDefault="0085414B" w:rsidP="0085414B">
      <w:pPr>
        <w:jc w:val="center"/>
        <w:rPr>
          <w:i/>
          <w:sz w:val="24"/>
        </w:rPr>
      </w:pPr>
      <w:r>
        <w:rPr>
          <w:i/>
          <w:sz w:val="24"/>
        </w:rPr>
        <w:t>“Regnal year 5, fourth month of the Growing Season, day 13.”</w:t>
      </w:r>
    </w:p>
    <w:p w14:paraId="2612D56E" w14:textId="77777777" w:rsidR="00AF409E" w:rsidRDefault="00AF409E" w:rsidP="007E17A0">
      <w:pPr>
        <w:jc w:val="both"/>
        <w:rPr>
          <w:sz w:val="24"/>
        </w:rPr>
      </w:pPr>
      <w:r>
        <w:rPr>
          <w:sz w:val="24"/>
        </w:rPr>
        <w:t>From analysis this tells us that the stelae was completed in early April, 1348 BCE (Montserrat, 2000:</w:t>
      </w:r>
      <w:r w:rsidR="00FD0C92">
        <w:rPr>
          <w:sz w:val="24"/>
        </w:rPr>
        <w:t xml:space="preserve"> 17)</w:t>
      </w:r>
      <w:r w:rsidR="000A1C59">
        <w:rPr>
          <w:sz w:val="24"/>
        </w:rPr>
        <w:t xml:space="preserve">, and the significance of this </w:t>
      </w:r>
      <w:r w:rsidR="00AA7D97">
        <w:rPr>
          <w:sz w:val="24"/>
        </w:rPr>
        <w:t>boundary stela is</w:t>
      </w:r>
      <w:r w:rsidR="00A609B1">
        <w:rPr>
          <w:sz w:val="24"/>
        </w:rPr>
        <w:t xml:space="preserve"> detailed out within the text</w:t>
      </w:r>
      <w:r w:rsidR="007D55BE">
        <w:rPr>
          <w:sz w:val="24"/>
        </w:rPr>
        <w:t xml:space="preserve">, and by it’s existence. Not only does the proclamation </w:t>
      </w:r>
      <w:r w:rsidR="002556E0">
        <w:rPr>
          <w:sz w:val="24"/>
        </w:rPr>
        <w:t>explain</w:t>
      </w:r>
      <w:r w:rsidR="007D55BE">
        <w:rPr>
          <w:sz w:val="24"/>
        </w:rPr>
        <w:t xml:space="preserve"> the reason</w:t>
      </w:r>
      <w:r w:rsidR="00E118AA">
        <w:rPr>
          <w:sz w:val="24"/>
        </w:rPr>
        <w:t xml:space="preserve"> why </w:t>
      </w:r>
      <w:r w:rsidR="007D55BE">
        <w:rPr>
          <w:sz w:val="24"/>
        </w:rPr>
        <w:t xml:space="preserve">the capital city </w:t>
      </w:r>
      <w:r w:rsidR="00E118AA">
        <w:rPr>
          <w:sz w:val="24"/>
        </w:rPr>
        <w:t>had</w:t>
      </w:r>
      <w:r w:rsidR="007D55BE">
        <w:rPr>
          <w:sz w:val="24"/>
        </w:rPr>
        <w:t xml:space="preserve"> </w:t>
      </w:r>
      <w:r w:rsidR="009466AF">
        <w:rPr>
          <w:sz w:val="24"/>
        </w:rPr>
        <w:t xml:space="preserve">to </w:t>
      </w:r>
      <w:r w:rsidR="007D55BE">
        <w:rPr>
          <w:sz w:val="24"/>
        </w:rPr>
        <w:t xml:space="preserve">move away from Thebes to this untouched site, it also </w:t>
      </w:r>
      <w:r w:rsidR="00E118AA">
        <w:rPr>
          <w:sz w:val="24"/>
        </w:rPr>
        <w:t>details out Akhenaten’s intentions</w:t>
      </w:r>
      <w:r w:rsidR="009466AF">
        <w:rPr>
          <w:sz w:val="24"/>
        </w:rPr>
        <w:t xml:space="preserve"> from this point onward.</w:t>
      </w:r>
      <w:r w:rsidR="002556E0">
        <w:rPr>
          <w:sz w:val="24"/>
        </w:rPr>
        <w:t xml:space="preserve"> </w:t>
      </w:r>
    </w:p>
    <w:p w14:paraId="3B92AF3C" w14:textId="129A513A" w:rsidR="00837D77" w:rsidRDefault="00837D77" w:rsidP="007E17A0">
      <w:pPr>
        <w:jc w:val="both"/>
        <w:rPr>
          <w:sz w:val="24"/>
        </w:rPr>
      </w:pPr>
      <w:r>
        <w:rPr>
          <w:sz w:val="24"/>
        </w:rPr>
        <w:t>The decision to move the capital is not unique within ancient Egypt</w:t>
      </w:r>
      <w:r w:rsidR="00635046">
        <w:rPr>
          <w:sz w:val="24"/>
        </w:rPr>
        <w:t>ian</w:t>
      </w:r>
      <w:r>
        <w:rPr>
          <w:sz w:val="24"/>
        </w:rPr>
        <w:t xml:space="preserve"> history, however, when it comes to the motivation for the move</w:t>
      </w:r>
      <w:r w:rsidR="00974F1C">
        <w:rPr>
          <w:sz w:val="24"/>
        </w:rPr>
        <w:t>, it was</w:t>
      </w:r>
      <w:r w:rsidR="00072749">
        <w:rPr>
          <w:sz w:val="24"/>
        </w:rPr>
        <w:t xml:space="preserve"> mostly likely</w:t>
      </w:r>
      <w:r w:rsidR="00974F1C">
        <w:rPr>
          <w:sz w:val="24"/>
        </w:rPr>
        <w:t xml:space="preserve"> done in order to promote Akhenaten’s theological beliefs.</w:t>
      </w:r>
      <w:r w:rsidR="00635046">
        <w:rPr>
          <w:sz w:val="24"/>
        </w:rPr>
        <w:t xml:space="preserve"> However, it has also been suggested that this was done in order to seed power away from the Amun priesthood, although the effectiveness of this decision </w:t>
      </w:r>
      <w:r w:rsidR="007B1F3A">
        <w:rPr>
          <w:sz w:val="24"/>
        </w:rPr>
        <w:t xml:space="preserve">is debatable (Montserrat, 2000: 17). How the </w:t>
      </w:r>
      <w:r w:rsidR="00B57B07">
        <w:rPr>
          <w:sz w:val="24"/>
        </w:rPr>
        <w:t xml:space="preserve">proclamation </w:t>
      </w:r>
      <w:r w:rsidR="007B1F3A">
        <w:rPr>
          <w:sz w:val="24"/>
        </w:rPr>
        <w:t>illustrates that the move was done in order to promote Akhenaten’s theological beliefs is clear from the text:</w:t>
      </w:r>
    </w:p>
    <w:p w14:paraId="05595536" w14:textId="220CB9C1" w:rsidR="007B1F3A" w:rsidRDefault="007B1F3A" w:rsidP="00DF75B1">
      <w:pPr>
        <w:jc w:val="center"/>
        <w:rPr>
          <w:sz w:val="24"/>
        </w:rPr>
      </w:pPr>
      <w:r>
        <w:rPr>
          <w:i/>
          <w:sz w:val="24"/>
        </w:rPr>
        <w:t>“</w:t>
      </w:r>
      <w:r w:rsidR="00DF75B1">
        <w:rPr>
          <w:i/>
          <w:sz w:val="24"/>
        </w:rPr>
        <w:t>Behold Aten</w:t>
      </w:r>
      <w:r w:rsidR="00DC24D5">
        <w:rPr>
          <w:i/>
          <w:sz w:val="24"/>
        </w:rPr>
        <w:t>!</w:t>
      </w:r>
      <w:r w:rsidR="00DF75B1">
        <w:rPr>
          <w:i/>
          <w:sz w:val="24"/>
        </w:rPr>
        <w:t xml:space="preserve"> The Aten wishes to have [something] made for him as a monument with an eternal and everlasting name…</w:t>
      </w:r>
      <w:proofErr w:type="spellStart"/>
      <w:r w:rsidR="00DF75B1">
        <w:rPr>
          <w:i/>
          <w:sz w:val="24"/>
        </w:rPr>
        <w:t>Akhet</w:t>
      </w:r>
      <w:proofErr w:type="spellEnd"/>
      <w:r w:rsidR="00DF75B1">
        <w:rPr>
          <w:i/>
          <w:sz w:val="24"/>
        </w:rPr>
        <w:t>-Aten.”</w:t>
      </w:r>
    </w:p>
    <w:p w14:paraId="644073B0" w14:textId="558728EF" w:rsidR="007F6F92" w:rsidRDefault="009A7AE6" w:rsidP="007F6F92">
      <w:pPr>
        <w:jc w:val="both"/>
        <w:rPr>
          <w:sz w:val="24"/>
        </w:rPr>
      </w:pPr>
      <w:r>
        <w:rPr>
          <w:sz w:val="24"/>
        </w:rPr>
        <w:t>As we can see Akhenaten has proclaimed that</w:t>
      </w:r>
      <w:r w:rsidR="0005313D">
        <w:rPr>
          <w:sz w:val="24"/>
        </w:rPr>
        <w:t xml:space="preserve">, Aten, his father </w:t>
      </w:r>
      <w:r w:rsidR="009E13E3">
        <w:rPr>
          <w:sz w:val="24"/>
        </w:rPr>
        <w:t xml:space="preserve">wished for the city of </w:t>
      </w:r>
      <w:proofErr w:type="spellStart"/>
      <w:r w:rsidR="009E13E3">
        <w:rPr>
          <w:sz w:val="24"/>
        </w:rPr>
        <w:t>Akhet</w:t>
      </w:r>
      <w:proofErr w:type="spellEnd"/>
      <w:r w:rsidR="009E13E3">
        <w:rPr>
          <w:sz w:val="24"/>
        </w:rPr>
        <w:t xml:space="preserve">-Aten to be built in honour of him. </w:t>
      </w:r>
      <w:r w:rsidR="009C33CA">
        <w:rPr>
          <w:sz w:val="24"/>
        </w:rPr>
        <w:t xml:space="preserve">The specific location for this new city </w:t>
      </w:r>
      <w:r w:rsidR="00E5737B">
        <w:rPr>
          <w:sz w:val="24"/>
        </w:rPr>
        <w:t>was the perfect landscape for what Akhenaten hoped would be a city that would worship a solar deity</w:t>
      </w:r>
      <w:r w:rsidR="00E810E4">
        <w:rPr>
          <w:sz w:val="24"/>
        </w:rPr>
        <w:t xml:space="preserve">, as </w:t>
      </w:r>
      <w:r w:rsidR="00EA76FF">
        <w:rPr>
          <w:sz w:val="24"/>
        </w:rPr>
        <w:t>“</w:t>
      </w:r>
      <w:r w:rsidR="00E810E4">
        <w:rPr>
          <w:sz w:val="24"/>
        </w:rPr>
        <w:t>the sun rises in a break in the surrounding cliffs</w:t>
      </w:r>
      <w:r w:rsidR="00EA76FF">
        <w:rPr>
          <w:sz w:val="24"/>
        </w:rPr>
        <w:t>” (Montserrat, 2000</w:t>
      </w:r>
      <w:r w:rsidR="00D960BA">
        <w:rPr>
          <w:sz w:val="24"/>
        </w:rPr>
        <w:t xml:space="preserve">: 19) </w:t>
      </w:r>
      <w:r w:rsidR="00E810E4">
        <w:rPr>
          <w:sz w:val="24"/>
        </w:rPr>
        <w:t xml:space="preserve"> on the Eastern side of Amarna</w:t>
      </w:r>
      <w:r w:rsidR="00D960BA">
        <w:rPr>
          <w:sz w:val="24"/>
        </w:rPr>
        <w:t>,</w:t>
      </w:r>
      <w:r w:rsidR="00D420ED">
        <w:rPr>
          <w:sz w:val="24"/>
        </w:rPr>
        <w:t xml:space="preserve"> </w:t>
      </w:r>
      <w:r w:rsidR="00D960BA">
        <w:rPr>
          <w:sz w:val="24"/>
        </w:rPr>
        <w:t>making it so that the hieroglyph for</w:t>
      </w:r>
      <w:r w:rsidR="00FA09C0">
        <w:rPr>
          <w:sz w:val="24"/>
        </w:rPr>
        <w:t xml:space="preserve"> this new city’s name,</w:t>
      </w:r>
      <w:r w:rsidR="00D960BA">
        <w:rPr>
          <w:sz w:val="24"/>
        </w:rPr>
        <w:t xml:space="preserve"> </w:t>
      </w:r>
      <w:proofErr w:type="spellStart"/>
      <w:r w:rsidR="00D960BA">
        <w:rPr>
          <w:sz w:val="24"/>
        </w:rPr>
        <w:t>Akhet</w:t>
      </w:r>
      <w:proofErr w:type="spellEnd"/>
      <w:r w:rsidR="00D960BA">
        <w:rPr>
          <w:sz w:val="24"/>
        </w:rPr>
        <w:t>-Aten</w:t>
      </w:r>
      <w:r w:rsidR="00FA09C0">
        <w:rPr>
          <w:sz w:val="24"/>
        </w:rPr>
        <w:t xml:space="preserve"> </w:t>
      </w:r>
      <w:r w:rsidR="000F35B1">
        <w:rPr>
          <w:sz w:val="24"/>
        </w:rPr>
        <w:t xml:space="preserve">which translates to the Horizon of the Aten, could be read within the sunrise. </w:t>
      </w:r>
      <w:r w:rsidR="001574DF">
        <w:rPr>
          <w:sz w:val="24"/>
        </w:rPr>
        <w:t xml:space="preserve">Furthermore, this location has been </w:t>
      </w:r>
      <w:r w:rsidR="000F2C7D">
        <w:rPr>
          <w:sz w:val="24"/>
        </w:rPr>
        <w:t>chosen because of the fact that there is no know</w:t>
      </w:r>
      <w:r w:rsidR="00FE59AB">
        <w:rPr>
          <w:sz w:val="24"/>
        </w:rPr>
        <w:t>n</w:t>
      </w:r>
      <w:r w:rsidR="000F2C7D">
        <w:rPr>
          <w:sz w:val="24"/>
        </w:rPr>
        <w:t xml:space="preserve"> ruler of the area, whether they be male or female, god or goddess, which is significant because of the fact that the Egyptian’s </w:t>
      </w:r>
      <w:r w:rsidR="00C65A5D">
        <w:rPr>
          <w:sz w:val="24"/>
        </w:rPr>
        <w:t xml:space="preserve">liked </w:t>
      </w:r>
      <w:r w:rsidR="00475C84">
        <w:rPr>
          <w:sz w:val="24"/>
        </w:rPr>
        <w:t xml:space="preserve">their sacred spaces to </w:t>
      </w:r>
      <w:r w:rsidR="00A3022D">
        <w:rPr>
          <w:sz w:val="24"/>
        </w:rPr>
        <w:t>b</w:t>
      </w:r>
      <w:r w:rsidR="00D13DD5">
        <w:rPr>
          <w:sz w:val="24"/>
        </w:rPr>
        <w:t>e “sanctified by a long history of religious use rather than created afresh” (Montserrat, 2000:</w:t>
      </w:r>
      <w:r w:rsidR="00A3022D">
        <w:rPr>
          <w:sz w:val="24"/>
        </w:rPr>
        <w:t xml:space="preserve"> 19)</w:t>
      </w:r>
      <w:r w:rsidR="002A5239">
        <w:rPr>
          <w:sz w:val="24"/>
        </w:rPr>
        <w:t>. However, this could be the reason wh</w:t>
      </w:r>
      <w:r w:rsidR="000D6BF2">
        <w:rPr>
          <w:sz w:val="24"/>
        </w:rPr>
        <w:t>y</w:t>
      </w:r>
      <w:r w:rsidR="002A5239">
        <w:rPr>
          <w:sz w:val="24"/>
        </w:rPr>
        <w:t xml:space="preserve"> t</w:t>
      </w:r>
      <w:r w:rsidR="000D6BF2">
        <w:rPr>
          <w:sz w:val="24"/>
        </w:rPr>
        <w:t>he</w:t>
      </w:r>
      <w:r w:rsidR="002A5239">
        <w:rPr>
          <w:sz w:val="24"/>
        </w:rPr>
        <w:t xml:space="preserve"> stelae tells us o</w:t>
      </w:r>
      <w:r w:rsidR="005F6CEF">
        <w:rPr>
          <w:sz w:val="24"/>
        </w:rPr>
        <w:t>f the intention to</w:t>
      </w:r>
      <w:r w:rsidR="005F3055">
        <w:rPr>
          <w:sz w:val="24"/>
        </w:rPr>
        <w:t xml:space="preserve"> mov</w:t>
      </w:r>
      <w:r w:rsidR="005F6CEF">
        <w:rPr>
          <w:sz w:val="24"/>
        </w:rPr>
        <w:t>e</w:t>
      </w:r>
      <w:r w:rsidR="005F3055">
        <w:rPr>
          <w:sz w:val="24"/>
        </w:rPr>
        <w:t xml:space="preserve"> </w:t>
      </w:r>
      <w:r w:rsidR="00FE59AB">
        <w:rPr>
          <w:sz w:val="24"/>
        </w:rPr>
        <w:t>the</w:t>
      </w:r>
      <w:r w:rsidR="005F3055">
        <w:rPr>
          <w:sz w:val="24"/>
        </w:rPr>
        <w:t xml:space="preserve"> divine bull of Heliopolis</w:t>
      </w:r>
      <w:r w:rsidR="005A2027">
        <w:rPr>
          <w:sz w:val="24"/>
        </w:rPr>
        <w:t xml:space="preserve"> to a cemetery by the eastern mountains</w:t>
      </w:r>
      <w:r w:rsidR="0092380C">
        <w:rPr>
          <w:sz w:val="24"/>
        </w:rPr>
        <w:t xml:space="preserve">, linking the sacred bull to </w:t>
      </w:r>
      <w:r w:rsidR="00AD5677">
        <w:rPr>
          <w:sz w:val="24"/>
        </w:rPr>
        <w:t>Aten</w:t>
      </w:r>
      <w:r w:rsidR="00804F5D">
        <w:rPr>
          <w:sz w:val="24"/>
        </w:rPr>
        <w:t>, and thus easing the minds of the ancient Egyptians.</w:t>
      </w:r>
    </w:p>
    <w:p w14:paraId="2CA7AE7F" w14:textId="7FE4A920" w:rsidR="006C22A8" w:rsidRDefault="00922CED" w:rsidP="007F6F92">
      <w:pPr>
        <w:jc w:val="both"/>
        <w:rPr>
          <w:sz w:val="24"/>
        </w:rPr>
      </w:pPr>
      <w:r>
        <w:rPr>
          <w:sz w:val="24"/>
        </w:rPr>
        <w:lastRenderedPageBreak/>
        <w:t>As mentioned above, the significance of Stelae K</w:t>
      </w:r>
      <w:r w:rsidR="004A34EA">
        <w:rPr>
          <w:sz w:val="24"/>
        </w:rPr>
        <w:t xml:space="preserve"> also lies in its very existence</w:t>
      </w:r>
      <w:r w:rsidR="00DC4E09">
        <w:rPr>
          <w:sz w:val="24"/>
        </w:rPr>
        <w:t xml:space="preserve">, and this </w:t>
      </w:r>
      <w:r w:rsidR="00903790">
        <w:rPr>
          <w:sz w:val="24"/>
        </w:rPr>
        <w:t>is because of the fact that</w:t>
      </w:r>
      <w:r w:rsidR="00A63983">
        <w:rPr>
          <w:sz w:val="24"/>
        </w:rPr>
        <w:t>,</w:t>
      </w:r>
      <w:r w:rsidR="00903790">
        <w:rPr>
          <w:sz w:val="24"/>
        </w:rPr>
        <w:t xml:space="preserve"> along with 14 other boundary stela</w:t>
      </w:r>
      <w:r w:rsidR="005560F5">
        <w:rPr>
          <w:sz w:val="24"/>
        </w:rPr>
        <w:t>e</w:t>
      </w:r>
      <w:r w:rsidR="00903790">
        <w:rPr>
          <w:sz w:val="24"/>
        </w:rPr>
        <w:t xml:space="preserve">, it helps to mark </w:t>
      </w:r>
      <w:r w:rsidR="00B87C61">
        <w:rPr>
          <w:sz w:val="24"/>
        </w:rPr>
        <w:t>“the geographical area of the residence” (</w:t>
      </w:r>
      <w:proofErr w:type="spellStart"/>
      <w:r w:rsidR="00BA23B5">
        <w:rPr>
          <w:sz w:val="24"/>
        </w:rPr>
        <w:t>Hanus</w:t>
      </w:r>
      <w:proofErr w:type="spellEnd"/>
      <w:r w:rsidR="00BA23B5">
        <w:rPr>
          <w:sz w:val="24"/>
        </w:rPr>
        <w:t xml:space="preserve">, 2013: </w:t>
      </w:r>
      <w:r w:rsidR="00250C37">
        <w:rPr>
          <w:sz w:val="24"/>
        </w:rPr>
        <w:t>35)</w:t>
      </w:r>
      <w:r w:rsidR="00A63983">
        <w:rPr>
          <w:sz w:val="24"/>
        </w:rPr>
        <w:t>.</w:t>
      </w:r>
      <w:r w:rsidR="00CE5373">
        <w:rPr>
          <w:sz w:val="24"/>
        </w:rPr>
        <w:t xml:space="preserve"> The importance of this boundary is also alluded to within the inscription as Akhenaten declares that </w:t>
      </w:r>
      <w:proofErr w:type="spellStart"/>
      <w:r w:rsidR="0095532F">
        <w:rPr>
          <w:sz w:val="24"/>
        </w:rPr>
        <w:t>Akhet</w:t>
      </w:r>
      <w:proofErr w:type="spellEnd"/>
      <w:r w:rsidR="0095532F">
        <w:rPr>
          <w:sz w:val="24"/>
        </w:rPr>
        <w:t xml:space="preserve">-Aten will not be built anywhere </w:t>
      </w:r>
      <w:r w:rsidR="00AE6807">
        <w:rPr>
          <w:sz w:val="24"/>
        </w:rPr>
        <w:t>other than where the Aten has specified. It is because of this declaration that the</w:t>
      </w:r>
      <w:r w:rsidR="00B87C61">
        <w:rPr>
          <w:sz w:val="24"/>
        </w:rPr>
        <w:t xml:space="preserve"> city is contained within </w:t>
      </w:r>
      <w:r w:rsidR="00250C37">
        <w:rPr>
          <w:sz w:val="24"/>
        </w:rPr>
        <w:t>the boundary stela border.</w:t>
      </w:r>
    </w:p>
    <w:p w14:paraId="35067161" w14:textId="20B95E82" w:rsidR="00250C37" w:rsidRDefault="00D26B0E" w:rsidP="007F6F92">
      <w:pPr>
        <w:jc w:val="both"/>
        <w:rPr>
          <w:sz w:val="24"/>
        </w:rPr>
      </w:pPr>
      <w:r>
        <w:rPr>
          <w:sz w:val="24"/>
        </w:rPr>
        <w:t>The proclamation also gives a glimpse into the theological beliefs that Akhenaten held</w:t>
      </w:r>
      <w:r w:rsidR="005C71EC">
        <w:rPr>
          <w:sz w:val="24"/>
        </w:rPr>
        <w:t xml:space="preserve"> and how he would implement these beliefs into the religious system of the time. </w:t>
      </w:r>
      <w:r w:rsidR="002D5B19">
        <w:rPr>
          <w:sz w:val="24"/>
        </w:rPr>
        <w:t xml:space="preserve">Within this proclamation </w:t>
      </w:r>
      <w:r w:rsidR="00E20A9C">
        <w:rPr>
          <w:sz w:val="24"/>
        </w:rPr>
        <w:t>great importance is bestowed upon the god Aten</w:t>
      </w:r>
      <w:r w:rsidR="007963ED">
        <w:rPr>
          <w:sz w:val="24"/>
        </w:rPr>
        <w:t xml:space="preserve">, placing this god above all others that the ancient Egyptians worshipped. </w:t>
      </w:r>
      <w:r w:rsidR="00B4353B">
        <w:rPr>
          <w:sz w:val="24"/>
        </w:rPr>
        <w:t xml:space="preserve">However, there is recognition within the text that other gods do exist, </w:t>
      </w:r>
      <w:r w:rsidR="00F5707A">
        <w:rPr>
          <w:sz w:val="24"/>
        </w:rPr>
        <w:t xml:space="preserve">and because it is known that </w:t>
      </w:r>
      <w:r w:rsidR="004001EE">
        <w:rPr>
          <w:sz w:val="24"/>
        </w:rPr>
        <w:t xml:space="preserve">within other parts of Egypt during the time of Akhenaten’s reign </w:t>
      </w:r>
      <w:r w:rsidR="0019650F">
        <w:rPr>
          <w:sz w:val="24"/>
        </w:rPr>
        <w:t xml:space="preserve">that these other gods continued to be </w:t>
      </w:r>
      <w:r w:rsidR="005F527C">
        <w:rPr>
          <w:sz w:val="24"/>
        </w:rPr>
        <w:t>acknowledged by the populace</w:t>
      </w:r>
      <w:r w:rsidR="00497EF5">
        <w:rPr>
          <w:sz w:val="24"/>
        </w:rPr>
        <w:t xml:space="preserve"> means that the most appropriate term for the type of worship observed during the Amarna period was that of </w:t>
      </w:r>
      <w:r w:rsidR="006841AA">
        <w:rPr>
          <w:sz w:val="24"/>
        </w:rPr>
        <w:t>h</w:t>
      </w:r>
      <w:r w:rsidR="00497EF5">
        <w:rPr>
          <w:sz w:val="24"/>
        </w:rPr>
        <w:t>enotheism</w:t>
      </w:r>
      <w:r w:rsidR="00832044">
        <w:rPr>
          <w:sz w:val="24"/>
        </w:rPr>
        <w:t xml:space="preserve">, which </w:t>
      </w:r>
      <w:r w:rsidR="00734A64">
        <w:rPr>
          <w:sz w:val="24"/>
        </w:rPr>
        <w:t>“</w:t>
      </w:r>
      <w:r w:rsidR="00832044">
        <w:rPr>
          <w:sz w:val="24"/>
        </w:rPr>
        <w:t xml:space="preserve">is the belief </w:t>
      </w:r>
      <w:r w:rsidR="002A7D74">
        <w:rPr>
          <w:sz w:val="24"/>
        </w:rPr>
        <w:t>in one god without denying the existence of other gods</w:t>
      </w:r>
      <w:r w:rsidR="00734A64">
        <w:rPr>
          <w:sz w:val="24"/>
        </w:rPr>
        <w:t>” (</w:t>
      </w:r>
      <w:proofErr w:type="spellStart"/>
      <w:r w:rsidR="00AB539F">
        <w:rPr>
          <w:sz w:val="24"/>
        </w:rPr>
        <w:t>Wakins</w:t>
      </w:r>
      <w:proofErr w:type="spellEnd"/>
      <w:r w:rsidR="00AB539F">
        <w:rPr>
          <w:sz w:val="24"/>
        </w:rPr>
        <w:t xml:space="preserve"> and Maria, 2013: 134</w:t>
      </w:r>
      <w:r w:rsidR="0026565D">
        <w:rPr>
          <w:sz w:val="24"/>
        </w:rPr>
        <w:t>)</w:t>
      </w:r>
      <w:r w:rsidR="007C2032">
        <w:rPr>
          <w:sz w:val="24"/>
        </w:rPr>
        <w:t>, as well as the continued worship of the</w:t>
      </w:r>
      <w:r w:rsidR="00314FB1">
        <w:rPr>
          <w:sz w:val="24"/>
        </w:rPr>
        <w:t xml:space="preserve"> other gods</w:t>
      </w:r>
      <w:r w:rsidR="00C95DC3">
        <w:rPr>
          <w:sz w:val="24"/>
        </w:rPr>
        <w:t>.</w:t>
      </w:r>
      <w:r w:rsidR="0026565D">
        <w:rPr>
          <w:sz w:val="24"/>
        </w:rPr>
        <w:t xml:space="preserve"> </w:t>
      </w:r>
      <w:r w:rsidR="00C95DC3">
        <w:rPr>
          <w:sz w:val="24"/>
        </w:rPr>
        <w:t xml:space="preserve"> This </w:t>
      </w:r>
      <w:r w:rsidR="0026565D">
        <w:rPr>
          <w:sz w:val="24"/>
        </w:rPr>
        <w:t>is not to</w:t>
      </w:r>
      <w:r w:rsidR="007C2032">
        <w:rPr>
          <w:sz w:val="24"/>
        </w:rPr>
        <w:t>o</w:t>
      </w:r>
      <w:r w:rsidR="0026565D">
        <w:rPr>
          <w:sz w:val="24"/>
        </w:rPr>
        <w:t xml:space="preserve"> far off what</w:t>
      </w:r>
      <w:r w:rsidR="00D87BBF">
        <w:rPr>
          <w:sz w:val="24"/>
        </w:rPr>
        <w:t xml:space="preserve"> </w:t>
      </w:r>
      <w:proofErr w:type="spellStart"/>
      <w:r w:rsidR="00D87BBF">
        <w:rPr>
          <w:sz w:val="24"/>
        </w:rPr>
        <w:t>Akhen</w:t>
      </w:r>
      <w:proofErr w:type="spellEnd"/>
      <w:r w:rsidR="00D87BBF">
        <w:rPr>
          <w:sz w:val="24"/>
        </w:rPr>
        <w:t>aten tried to establish</w:t>
      </w:r>
      <w:r w:rsidR="00376247">
        <w:rPr>
          <w:sz w:val="24"/>
        </w:rPr>
        <w:t>, which was slightly</w:t>
      </w:r>
      <w:r w:rsidR="00D87BBF">
        <w:rPr>
          <w:sz w:val="24"/>
        </w:rPr>
        <w:t xml:space="preserve"> different style of worship, that of </w:t>
      </w:r>
      <w:proofErr w:type="spellStart"/>
      <w:r w:rsidR="00D87BBF">
        <w:rPr>
          <w:sz w:val="24"/>
        </w:rPr>
        <w:t>monolatrism</w:t>
      </w:r>
      <w:proofErr w:type="spellEnd"/>
      <w:r w:rsidR="002712DD">
        <w:rPr>
          <w:sz w:val="24"/>
        </w:rPr>
        <w:t xml:space="preserve">, which </w:t>
      </w:r>
      <w:r w:rsidR="007C354D">
        <w:rPr>
          <w:sz w:val="24"/>
        </w:rPr>
        <w:t>is the recognition that other deities exist, but the consistent worship of a single</w:t>
      </w:r>
      <w:r w:rsidR="00376247">
        <w:rPr>
          <w:sz w:val="24"/>
        </w:rPr>
        <w:t xml:space="preserve"> worthy</w:t>
      </w:r>
      <w:r w:rsidR="007C354D">
        <w:rPr>
          <w:sz w:val="24"/>
        </w:rPr>
        <w:t xml:space="preserve"> deity (</w:t>
      </w:r>
      <w:r w:rsidR="009F2E73">
        <w:rPr>
          <w:sz w:val="24"/>
        </w:rPr>
        <w:t xml:space="preserve">Definitions.net, 2019). </w:t>
      </w:r>
    </w:p>
    <w:p w14:paraId="731C626B" w14:textId="734A3EC3" w:rsidR="001D4933" w:rsidRDefault="0078283D" w:rsidP="007F6F92">
      <w:pPr>
        <w:jc w:val="both"/>
        <w:rPr>
          <w:sz w:val="24"/>
        </w:rPr>
      </w:pPr>
      <w:r>
        <w:rPr>
          <w:sz w:val="24"/>
        </w:rPr>
        <w:t xml:space="preserve">The earlier proclamation inscribed on </w:t>
      </w:r>
      <w:r w:rsidR="00962C59">
        <w:rPr>
          <w:sz w:val="24"/>
        </w:rPr>
        <w:t xml:space="preserve">boundary Stelae K also details out the building works that Akhenaten </w:t>
      </w:r>
      <w:r w:rsidR="0005664E">
        <w:rPr>
          <w:sz w:val="24"/>
        </w:rPr>
        <w:t xml:space="preserve">decreed would be built. </w:t>
      </w:r>
      <w:r w:rsidR="00BC5C6C">
        <w:rPr>
          <w:sz w:val="24"/>
        </w:rPr>
        <w:t xml:space="preserve">Akhenaten </w:t>
      </w:r>
      <w:r w:rsidR="00775D6F">
        <w:rPr>
          <w:sz w:val="24"/>
        </w:rPr>
        <w:t>decrees that a House of Aten, Mansion of Aten, a</w:t>
      </w:r>
      <w:r w:rsidR="002373DB">
        <w:rPr>
          <w:sz w:val="24"/>
        </w:rPr>
        <w:t xml:space="preserve"> sunshade under the domain of Nefertiti, and a House of Rejoicing </w:t>
      </w:r>
      <w:r w:rsidR="00721BB1">
        <w:rPr>
          <w:sz w:val="24"/>
        </w:rPr>
        <w:t xml:space="preserve">would be built for the Aten, his father. </w:t>
      </w:r>
      <w:r w:rsidR="00A03FF5">
        <w:rPr>
          <w:sz w:val="24"/>
        </w:rPr>
        <w:t>While only a residence and tomb would be built for Akhenaten himself, as well as Nefertiti</w:t>
      </w:r>
      <w:r w:rsidR="00AF1183">
        <w:rPr>
          <w:sz w:val="24"/>
        </w:rPr>
        <w:t xml:space="preserve">, and his daughter </w:t>
      </w:r>
      <w:proofErr w:type="spellStart"/>
      <w:r w:rsidR="00AF1183">
        <w:rPr>
          <w:sz w:val="24"/>
        </w:rPr>
        <w:t>Meri</w:t>
      </w:r>
      <w:r w:rsidR="00112777">
        <w:rPr>
          <w:sz w:val="24"/>
        </w:rPr>
        <w:t>t</w:t>
      </w:r>
      <w:r w:rsidR="00AF1183">
        <w:rPr>
          <w:sz w:val="24"/>
        </w:rPr>
        <w:t>aten</w:t>
      </w:r>
      <w:proofErr w:type="spellEnd"/>
      <w:r w:rsidR="00112777">
        <w:rPr>
          <w:sz w:val="24"/>
        </w:rPr>
        <w:t>.</w:t>
      </w:r>
      <w:r w:rsidR="00F61536">
        <w:rPr>
          <w:sz w:val="24"/>
        </w:rPr>
        <w:t xml:space="preserve"> Of these building works, Akhenaten was able to complete most of t</w:t>
      </w:r>
      <w:r w:rsidR="000D4D8C">
        <w:rPr>
          <w:sz w:val="24"/>
        </w:rPr>
        <w:t>hem, with the only unfinished work being that of a subsi</w:t>
      </w:r>
      <w:r w:rsidR="00F228D6">
        <w:rPr>
          <w:sz w:val="24"/>
        </w:rPr>
        <w:t xml:space="preserve">diary tomb of royal type, that was either intended for Nefertiti or </w:t>
      </w:r>
      <w:proofErr w:type="spellStart"/>
      <w:r w:rsidR="00F228D6">
        <w:rPr>
          <w:sz w:val="24"/>
        </w:rPr>
        <w:t>Meritaten</w:t>
      </w:r>
      <w:proofErr w:type="spellEnd"/>
      <w:r w:rsidR="00F228D6">
        <w:rPr>
          <w:sz w:val="24"/>
        </w:rPr>
        <w:t xml:space="preserve">, Akhenaten’s own tomb was completed </w:t>
      </w:r>
      <w:r w:rsidR="007C4FC8">
        <w:rPr>
          <w:sz w:val="24"/>
        </w:rPr>
        <w:t>(Kemp, 2012:</w:t>
      </w:r>
      <w:r w:rsidR="00966E48">
        <w:rPr>
          <w:sz w:val="24"/>
        </w:rPr>
        <w:t xml:space="preserve"> 36, 37</w:t>
      </w:r>
      <w:r w:rsidR="00DE60FC">
        <w:rPr>
          <w:sz w:val="24"/>
        </w:rPr>
        <w:t>, 123)</w:t>
      </w:r>
      <w:r w:rsidR="00B024E0">
        <w:rPr>
          <w:sz w:val="24"/>
        </w:rPr>
        <w:t>. From this we can see that Akhenaten was an extremely determined individual</w:t>
      </w:r>
      <w:r w:rsidR="006941B0">
        <w:rPr>
          <w:sz w:val="24"/>
        </w:rPr>
        <w:t xml:space="preserve">, as he was able to produce all that he </w:t>
      </w:r>
      <w:r w:rsidR="00814F66">
        <w:rPr>
          <w:sz w:val="24"/>
        </w:rPr>
        <w:t xml:space="preserve">proclaimed. </w:t>
      </w:r>
    </w:p>
    <w:p w14:paraId="0F5960E0" w14:textId="10A5F992" w:rsidR="00814F66" w:rsidRDefault="00F52406" w:rsidP="007F6F92">
      <w:pPr>
        <w:jc w:val="both"/>
        <w:rPr>
          <w:sz w:val="24"/>
        </w:rPr>
      </w:pPr>
      <w:r>
        <w:rPr>
          <w:sz w:val="24"/>
        </w:rPr>
        <w:t>One last thing that could be commented on within this review is that of</w:t>
      </w:r>
      <w:r w:rsidR="00F75607">
        <w:rPr>
          <w:sz w:val="24"/>
        </w:rPr>
        <w:t xml:space="preserve"> the connection with Akhenaten’s father</w:t>
      </w:r>
      <w:bookmarkStart w:id="0" w:name="_GoBack"/>
      <w:bookmarkEnd w:id="0"/>
      <w:r w:rsidR="00F75607">
        <w:rPr>
          <w:sz w:val="24"/>
        </w:rPr>
        <w:t xml:space="preserve"> that is alluded to within </w:t>
      </w:r>
      <w:r w:rsidR="005E6F96">
        <w:rPr>
          <w:sz w:val="24"/>
        </w:rPr>
        <w:t>the proclamation</w:t>
      </w:r>
      <w:r w:rsidR="00F75607">
        <w:rPr>
          <w:sz w:val="24"/>
        </w:rPr>
        <w:t xml:space="preserve">. As it was Amenhotep III </w:t>
      </w:r>
      <w:r w:rsidR="00701D02">
        <w:rPr>
          <w:sz w:val="24"/>
        </w:rPr>
        <w:t>that</w:t>
      </w:r>
      <w:r w:rsidR="00406DA6">
        <w:rPr>
          <w:sz w:val="24"/>
        </w:rPr>
        <w:t xml:space="preserve"> first “</w:t>
      </w:r>
      <w:r w:rsidR="000605EA">
        <w:rPr>
          <w:sz w:val="24"/>
        </w:rPr>
        <w:t>championed the supremacy of solar theology”</w:t>
      </w:r>
      <w:r w:rsidR="00406DA6">
        <w:rPr>
          <w:sz w:val="24"/>
        </w:rPr>
        <w:t xml:space="preserve"> (</w:t>
      </w:r>
      <w:proofErr w:type="spellStart"/>
      <w:r w:rsidR="00406DA6">
        <w:rPr>
          <w:sz w:val="24"/>
        </w:rPr>
        <w:t>Hanus</w:t>
      </w:r>
      <w:proofErr w:type="spellEnd"/>
      <w:r w:rsidR="00406DA6">
        <w:rPr>
          <w:sz w:val="24"/>
        </w:rPr>
        <w:t>, 2013: 32)</w:t>
      </w:r>
      <w:r w:rsidR="005E6F96">
        <w:rPr>
          <w:sz w:val="24"/>
        </w:rPr>
        <w:t xml:space="preserve">, and as Akhenaten clearly displays the same beliefs within the boundary stela </w:t>
      </w:r>
      <w:r w:rsidR="005644B0">
        <w:rPr>
          <w:sz w:val="24"/>
        </w:rPr>
        <w:t xml:space="preserve">it could be said that he is continuing, as well as further developing, these beliefs because of his fathers influence. </w:t>
      </w:r>
      <w:r w:rsidR="007C1653">
        <w:rPr>
          <w:sz w:val="24"/>
        </w:rPr>
        <w:t xml:space="preserve">Furthermore, as Akhenaten continuously proclaims that the Aten is his father, this is a further link to his actual father, because it could </w:t>
      </w:r>
      <w:r w:rsidR="0025382E">
        <w:rPr>
          <w:sz w:val="24"/>
        </w:rPr>
        <w:t>interpreted that it was Amenhotep III that advised Akhenaten in where to build</w:t>
      </w:r>
      <w:r w:rsidR="00491756">
        <w:rPr>
          <w:sz w:val="24"/>
        </w:rPr>
        <w:t xml:space="preserve"> the city which would be known as </w:t>
      </w:r>
      <w:proofErr w:type="spellStart"/>
      <w:r w:rsidR="00491756">
        <w:rPr>
          <w:sz w:val="24"/>
        </w:rPr>
        <w:t>Akhet</w:t>
      </w:r>
      <w:proofErr w:type="spellEnd"/>
      <w:r w:rsidR="00491756">
        <w:rPr>
          <w:sz w:val="24"/>
        </w:rPr>
        <w:t xml:space="preserve">-Aten, as a continuation of Amenhotep III’s efforts in </w:t>
      </w:r>
      <w:r w:rsidR="00F7563A">
        <w:rPr>
          <w:sz w:val="24"/>
        </w:rPr>
        <w:t xml:space="preserve">lessening the power of the Amun priesthood. </w:t>
      </w:r>
    </w:p>
    <w:p w14:paraId="1C89D3C3" w14:textId="77777777" w:rsidR="00B87C61" w:rsidRPr="00337FA4" w:rsidRDefault="00B87C61" w:rsidP="007F6F92">
      <w:pPr>
        <w:jc w:val="both"/>
        <w:rPr>
          <w:sz w:val="24"/>
        </w:rPr>
      </w:pPr>
    </w:p>
    <w:p w14:paraId="4F26A5E0" w14:textId="77777777" w:rsidR="00AF409E" w:rsidRDefault="00AF409E" w:rsidP="0085414B">
      <w:pPr>
        <w:rPr>
          <w:b/>
          <w:sz w:val="24"/>
          <w:u w:val="single"/>
        </w:rPr>
      </w:pPr>
      <w:r>
        <w:rPr>
          <w:b/>
          <w:sz w:val="24"/>
          <w:u w:val="single"/>
        </w:rPr>
        <w:t>Reference List</w:t>
      </w:r>
    </w:p>
    <w:p w14:paraId="0BA1E6C7" w14:textId="77777777" w:rsidR="008057CF" w:rsidRDefault="008057CF" w:rsidP="00BA23B5">
      <w:pPr>
        <w:jc w:val="both"/>
        <w:rPr>
          <w:sz w:val="24"/>
        </w:rPr>
      </w:pPr>
      <w:r w:rsidRPr="009F2E73">
        <w:rPr>
          <w:sz w:val="24"/>
        </w:rPr>
        <w:t xml:space="preserve">Definitions.net. (2019). What does </w:t>
      </w:r>
      <w:proofErr w:type="spellStart"/>
      <w:r w:rsidRPr="009F2E73">
        <w:rPr>
          <w:sz w:val="24"/>
        </w:rPr>
        <w:t>monolatrism</w:t>
      </w:r>
      <w:proofErr w:type="spellEnd"/>
      <w:r w:rsidRPr="009F2E73">
        <w:rPr>
          <w:sz w:val="24"/>
        </w:rPr>
        <w:t xml:space="preserve"> mean?. [online] Available at: https://www.definitions.net/definition/monolatrism [Accessed 19 May 2019].</w:t>
      </w:r>
    </w:p>
    <w:p w14:paraId="5D1F071B" w14:textId="77777777" w:rsidR="008057CF" w:rsidRPr="00AF409E" w:rsidRDefault="008057CF" w:rsidP="00BA23B5">
      <w:pPr>
        <w:jc w:val="both"/>
        <w:rPr>
          <w:sz w:val="24"/>
        </w:rPr>
      </w:pPr>
      <w:proofErr w:type="spellStart"/>
      <w:r w:rsidRPr="00BA23B5">
        <w:rPr>
          <w:sz w:val="24"/>
        </w:rPr>
        <w:lastRenderedPageBreak/>
        <w:t>Hanus</w:t>
      </w:r>
      <w:proofErr w:type="spellEnd"/>
      <w:r w:rsidRPr="00BA23B5">
        <w:rPr>
          <w:sz w:val="24"/>
        </w:rPr>
        <w:t xml:space="preserve">, C. (2013). Before and After Amarna - the Beginnings and Consequences of the Cult of the Aten. In: F. </w:t>
      </w:r>
      <w:proofErr w:type="spellStart"/>
      <w:r w:rsidRPr="00BA23B5">
        <w:rPr>
          <w:sz w:val="24"/>
        </w:rPr>
        <w:t>Seyfried</w:t>
      </w:r>
      <w:proofErr w:type="spellEnd"/>
      <w:r w:rsidRPr="00BA23B5">
        <w:rPr>
          <w:sz w:val="24"/>
        </w:rPr>
        <w:t xml:space="preserve">, ed., In the Light of Amarna: 100 years of the Nefertiti Discovery. Berlin: </w:t>
      </w:r>
      <w:proofErr w:type="spellStart"/>
      <w:r w:rsidRPr="00BA23B5">
        <w:rPr>
          <w:sz w:val="24"/>
        </w:rPr>
        <w:t>Agyptisches</w:t>
      </w:r>
      <w:proofErr w:type="spellEnd"/>
      <w:r w:rsidRPr="00BA23B5">
        <w:rPr>
          <w:sz w:val="24"/>
        </w:rPr>
        <w:t xml:space="preserve"> Museum und </w:t>
      </w:r>
      <w:proofErr w:type="spellStart"/>
      <w:r w:rsidRPr="00BA23B5">
        <w:rPr>
          <w:sz w:val="24"/>
        </w:rPr>
        <w:t>Papyrussammiung</w:t>
      </w:r>
      <w:proofErr w:type="spellEnd"/>
      <w:r w:rsidRPr="00BA23B5">
        <w:rPr>
          <w:sz w:val="24"/>
        </w:rPr>
        <w:t xml:space="preserve"> Staatliche </w:t>
      </w:r>
      <w:proofErr w:type="spellStart"/>
      <w:r w:rsidRPr="00BA23B5">
        <w:rPr>
          <w:sz w:val="24"/>
        </w:rPr>
        <w:t>Museen</w:t>
      </w:r>
      <w:proofErr w:type="spellEnd"/>
      <w:r w:rsidRPr="00BA23B5">
        <w:rPr>
          <w:sz w:val="24"/>
        </w:rPr>
        <w:t xml:space="preserve"> </w:t>
      </w:r>
      <w:proofErr w:type="spellStart"/>
      <w:r w:rsidRPr="00BA23B5">
        <w:rPr>
          <w:sz w:val="24"/>
        </w:rPr>
        <w:t>zu</w:t>
      </w:r>
      <w:proofErr w:type="spellEnd"/>
      <w:r w:rsidRPr="00BA23B5">
        <w:rPr>
          <w:sz w:val="24"/>
        </w:rPr>
        <w:t xml:space="preserve"> Berlin.</w:t>
      </w:r>
    </w:p>
    <w:p w14:paraId="0A607419" w14:textId="77777777" w:rsidR="008057CF" w:rsidRDefault="008057CF" w:rsidP="00BA23B5">
      <w:pPr>
        <w:jc w:val="both"/>
        <w:rPr>
          <w:sz w:val="24"/>
        </w:rPr>
      </w:pPr>
      <w:r w:rsidRPr="008057CF">
        <w:rPr>
          <w:sz w:val="24"/>
        </w:rPr>
        <w:t>Kemp, B. (2012). The City of Akhenaten and Nefertiti: Amarna and its People. London: Thames &amp; Hudson.</w:t>
      </w:r>
    </w:p>
    <w:p w14:paraId="31529C07" w14:textId="77777777" w:rsidR="008057CF" w:rsidRDefault="008057CF" w:rsidP="00BA23B5">
      <w:pPr>
        <w:jc w:val="both"/>
        <w:rPr>
          <w:sz w:val="24"/>
        </w:rPr>
      </w:pPr>
      <w:r w:rsidRPr="00AF409E">
        <w:rPr>
          <w:sz w:val="24"/>
        </w:rPr>
        <w:t xml:space="preserve">Montserrat, D. (2000). </w:t>
      </w:r>
      <w:r w:rsidRPr="00FD0C92">
        <w:rPr>
          <w:sz w:val="24"/>
        </w:rPr>
        <w:t>Akhenaten: History, Fantasy and Ancient Egypt</w:t>
      </w:r>
      <w:r w:rsidRPr="00AF409E">
        <w:rPr>
          <w:sz w:val="24"/>
        </w:rPr>
        <w:t>. London: Routledge.</w:t>
      </w:r>
    </w:p>
    <w:p w14:paraId="4938942E" w14:textId="77777777" w:rsidR="008057CF" w:rsidRDefault="008057CF" w:rsidP="00BA23B5">
      <w:pPr>
        <w:jc w:val="both"/>
        <w:rPr>
          <w:sz w:val="24"/>
        </w:rPr>
      </w:pPr>
      <w:r>
        <w:rPr>
          <w:sz w:val="24"/>
        </w:rPr>
        <w:t xml:space="preserve">Murnane and William J. (1995). </w:t>
      </w:r>
      <w:r>
        <w:rPr>
          <w:i/>
          <w:sz w:val="24"/>
        </w:rPr>
        <w:t xml:space="preserve"> Texts from the Amarna Period in Egypt. </w:t>
      </w:r>
      <w:r>
        <w:rPr>
          <w:sz w:val="24"/>
        </w:rPr>
        <w:t>73 – 81. Atlanta: Scholars Press.</w:t>
      </w:r>
    </w:p>
    <w:p w14:paraId="1A99882C" w14:textId="77777777" w:rsidR="008057CF" w:rsidRDefault="008057CF" w:rsidP="00BA23B5">
      <w:pPr>
        <w:jc w:val="both"/>
        <w:rPr>
          <w:sz w:val="24"/>
        </w:rPr>
      </w:pPr>
      <w:r w:rsidRPr="001B7891">
        <w:rPr>
          <w:sz w:val="24"/>
        </w:rPr>
        <w:t xml:space="preserve">Watkins, R. and Maria, L. (2013). Polytheism? - Henotheism! - (Monotheism). Res </w:t>
      </w:r>
      <w:proofErr w:type="spellStart"/>
      <w:r w:rsidRPr="001B7891">
        <w:rPr>
          <w:sz w:val="24"/>
        </w:rPr>
        <w:t>Antiquitatis</w:t>
      </w:r>
      <w:proofErr w:type="spellEnd"/>
      <w:r w:rsidRPr="001B7891">
        <w:rPr>
          <w:sz w:val="24"/>
        </w:rPr>
        <w:t>: Journal of Ancient History, 4, pp.131-148.</w:t>
      </w:r>
    </w:p>
    <w:sectPr w:rsidR="008057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3B0"/>
    <w:rsid w:val="0004440E"/>
    <w:rsid w:val="0005313D"/>
    <w:rsid w:val="0005664E"/>
    <w:rsid w:val="000605EA"/>
    <w:rsid w:val="00072749"/>
    <w:rsid w:val="000A1C59"/>
    <w:rsid w:val="000C0F33"/>
    <w:rsid w:val="000D4D8C"/>
    <w:rsid w:val="000D6BF2"/>
    <w:rsid w:val="000F2C7D"/>
    <w:rsid w:val="000F35B1"/>
    <w:rsid w:val="00112777"/>
    <w:rsid w:val="001574DF"/>
    <w:rsid w:val="0019650F"/>
    <w:rsid w:val="001A3CF4"/>
    <w:rsid w:val="001B7891"/>
    <w:rsid w:val="001D2841"/>
    <w:rsid w:val="001D4933"/>
    <w:rsid w:val="001D7984"/>
    <w:rsid w:val="0020551C"/>
    <w:rsid w:val="00237231"/>
    <w:rsid w:val="002373DB"/>
    <w:rsid w:val="002404DF"/>
    <w:rsid w:val="00250C37"/>
    <w:rsid w:val="0025382E"/>
    <w:rsid w:val="002556E0"/>
    <w:rsid w:val="0026565D"/>
    <w:rsid w:val="002712DD"/>
    <w:rsid w:val="002A5239"/>
    <w:rsid w:val="002A7D74"/>
    <w:rsid w:val="002D5B19"/>
    <w:rsid w:val="00314FB1"/>
    <w:rsid w:val="00337FA4"/>
    <w:rsid w:val="00376247"/>
    <w:rsid w:val="0038263D"/>
    <w:rsid w:val="003B2FB8"/>
    <w:rsid w:val="004001EE"/>
    <w:rsid w:val="00403C7B"/>
    <w:rsid w:val="00406DA6"/>
    <w:rsid w:val="00415C21"/>
    <w:rsid w:val="00426CA9"/>
    <w:rsid w:val="00454BAC"/>
    <w:rsid w:val="00475C84"/>
    <w:rsid w:val="00491756"/>
    <w:rsid w:val="00497EF5"/>
    <w:rsid w:val="004A34EA"/>
    <w:rsid w:val="004D52DB"/>
    <w:rsid w:val="005560F5"/>
    <w:rsid w:val="005644B0"/>
    <w:rsid w:val="005A2027"/>
    <w:rsid w:val="005C71EC"/>
    <w:rsid w:val="005E6F96"/>
    <w:rsid w:val="005F3055"/>
    <w:rsid w:val="005F527C"/>
    <w:rsid w:val="005F6CEF"/>
    <w:rsid w:val="00600C5E"/>
    <w:rsid w:val="00635046"/>
    <w:rsid w:val="00681325"/>
    <w:rsid w:val="006841AA"/>
    <w:rsid w:val="006941B0"/>
    <w:rsid w:val="006C22A8"/>
    <w:rsid w:val="006C4C16"/>
    <w:rsid w:val="00701D02"/>
    <w:rsid w:val="00721BB1"/>
    <w:rsid w:val="00734A64"/>
    <w:rsid w:val="00771266"/>
    <w:rsid w:val="00775D6F"/>
    <w:rsid w:val="0078283D"/>
    <w:rsid w:val="007933B0"/>
    <w:rsid w:val="007963ED"/>
    <w:rsid w:val="007B1F3A"/>
    <w:rsid w:val="007C1653"/>
    <w:rsid w:val="007C2032"/>
    <w:rsid w:val="007C354D"/>
    <w:rsid w:val="007C3B45"/>
    <w:rsid w:val="007C4FC8"/>
    <w:rsid w:val="007D2758"/>
    <w:rsid w:val="007D55BE"/>
    <w:rsid w:val="007E17A0"/>
    <w:rsid w:val="007F22CB"/>
    <w:rsid w:val="007F6F92"/>
    <w:rsid w:val="00804F5D"/>
    <w:rsid w:val="008057CF"/>
    <w:rsid w:val="00806E05"/>
    <w:rsid w:val="00814F66"/>
    <w:rsid w:val="00832044"/>
    <w:rsid w:val="00837D77"/>
    <w:rsid w:val="0085404C"/>
    <w:rsid w:val="0085414B"/>
    <w:rsid w:val="008D2288"/>
    <w:rsid w:val="00903790"/>
    <w:rsid w:val="00922CED"/>
    <w:rsid w:val="0092380C"/>
    <w:rsid w:val="00936896"/>
    <w:rsid w:val="009466AF"/>
    <w:rsid w:val="0095532F"/>
    <w:rsid w:val="00962C59"/>
    <w:rsid w:val="00966E48"/>
    <w:rsid w:val="00974F1C"/>
    <w:rsid w:val="009A7AE6"/>
    <w:rsid w:val="009C33CA"/>
    <w:rsid w:val="009E13E3"/>
    <w:rsid w:val="009F2E73"/>
    <w:rsid w:val="00A03FF5"/>
    <w:rsid w:val="00A3022D"/>
    <w:rsid w:val="00A34E99"/>
    <w:rsid w:val="00A609B1"/>
    <w:rsid w:val="00A63983"/>
    <w:rsid w:val="00AA7D97"/>
    <w:rsid w:val="00AB539F"/>
    <w:rsid w:val="00AD5677"/>
    <w:rsid w:val="00AE6807"/>
    <w:rsid w:val="00AF1183"/>
    <w:rsid w:val="00AF409E"/>
    <w:rsid w:val="00B024E0"/>
    <w:rsid w:val="00B4353B"/>
    <w:rsid w:val="00B57B07"/>
    <w:rsid w:val="00B87C61"/>
    <w:rsid w:val="00BA23B5"/>
    <w:rsid w:val="00BC5C6C"/>
    <w:rsid w:val="00C6150F"/>
    <w:rsid w:val="00C65A5D"/>
    <w:rsid w:val="00C95DC3"/>
    <w:rsid w:val="00CE5373"/>
    <w:rsid w:val="00D13DD5"/>
    <w:rsid w:val="00D1695B"/>
    <w:rsid w:val="00D26B0E"/>
    <w:rsid w:val="00D420ED"/>
    <w:rsid w:val="00D87BBF"/>
    <w:rsid w:val="00D960BA"/>
    <w:rsid w:val="00DB1A07"/>
    <w:rsid w:val="00DC24D5"/>
    <w:rsid w:val="00DC4E09"/>
    <w:rsid w:val="00DE60FC"/>
    <w:rsid w:val="00DF6986"/>
    <w:rsid w:val="00DF75B1"/>
    <w:rsid w:val="00E118AA"/>
    <w:rsid w:val="00E20A9C"/>
    <w:rsid w:val="00E5737B"/>
    <w:rsid w:val="00E810E4"/>
    <w:rsid w:val="00E9509C"/>
    <w:rsid w:val="00EA76FF"/>
    <w:rsid w:val="00F228D6"/>
    <w:rsid w:val="00F3052B"/>
    <w:rsid w:val="00F52406"/>
    <w:rsid w:val="00F5707A"/>
    <w:rsid w:val="00F61536"/>
    <w:rsid w:val="00F75607"/>
    <w:rsid w:val="00F7563A"/>
    <w:rsid w:val="00FA09C0"/>
    <w:rsid w:val="00FC7ECB"/>
    <w:rsid w:val="00FD0C92"/>
    <w:rsid w:val="00FE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521FF"/>
  <w15:chartTrackingRefBased/>
  <w15:docId w15:val="{7E16F455-319B-442C-89FD-B6A86FFC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Leer</dc:creator>
  <cp:keywords/>
  <dc:description/>
  <cp:lastModifiedBy>Caroline Leer</cp:lastModifiedBy>
  <cp:revision>123</cp:revision>
  <dcterms:created xsi:type="dcterms:W3CDTF">2019-05-19T15:10:00Z</dcterms:created>
  <dcterms:modified xsi:type="dcterms:W3CDTF">2019-05-19T22:26:00Z</dcterms:modified>
</cp:coreProperties>
</file>