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74A593" w14:textId="77777777" w:rsidR="00BA219A" w:rsidRDefault="00BA219A" w:rsidP="00BA219A">
      <w:pPr>
        <w:spacing w:line="360" w:lineRule="auto"/>
        <w:jc w:val="both"/>
        <w:rPr>
          <w:rFonts w:ascii="Arial" w:hAnsi="Arial" w:cs="Arial"/>
          <w:sz w:val="22"/>
          <w:szCs w:val="22"/>
        </w:rPr>
      </w:pPr>
      <w:r>
        <w:rPr>
          <w:rFonts w:ascii="Arial" w:hAnsi="Arial" w:cs="Arial"/>
          <w:sz w:val="22"/>
          <w:szCs w:val="22"/>
        </w:rPr>
        <w:t>In this assignment matters such as Health, well-being, and sustainable development will be looked into. Sustainable development and what strategies are being used for such developments will be investigated. Strategies that are being used within the UK within the health and social care system will be explored. Lastly, five changes which will allow the UK to create a sustainable health and social care system, a system which will put people first will be critically examined and evaluated.</w:t>
      </w:r>
    </w:p>
    <w:p w14:paraId="3C00D5D7" w14:textId="77777777" w:rsidR="00BA219A" w:rsidRDefault="00BA219A" w:rsidP="00BA219A">
      <w:pPr>
        <w:spacing w:line="360" w:lineRule="auto"/>
        <w:jc w:val="both"/>
        <w:rPr>
          <w:rFonts w:ascii="Arial" w:hAnsi="Arial" w:cs="Arial"/>
          <w:sz w:val="22"/>
          <w:szCs w:val="22"/>
        </w:rPr>
      </w:pPr>
      <w:r>
        <w:rPr>
          <w:rFonts w:ascii="Arial" w:hAnsi="Arial" w:cs="Arial"/>
          <w:sz w:val="22"/>
          <w:szCs w:val="22"/>
        </w:rPr>
        <w:t>Sustainable development can be looked at in many different ways, it is a development that caters for our present needs without comprising future generations ability to meet their own Sustainable development is a need against the awareness of the environment and the social and economic limitations we face together in society. On many occasions’ development is often driven by one particular need without thinking about how it will impact us in the future, the damage caused has already been witnessed from wider financial crises caused by careless banking, also the changes in global climate changes. The longer we take to implement sustainable development the more severe consequences we will face, action needs to be taken as soon as possible (Sustainable development Commission, Nd).</w:t>
      </w:r>
    </w:p>
    <w:p w14:paraId="07185FFE" w14:textId="77777777" w:rsidR="00BA219A" w:rsidRDefault="00BA219A" w:rsidP="00BA219A">
      <w:pPr>
        <w:spacing w:line="360" w:lineRule="auto"/>
        <w:jc w:val="both"/>
        <w:rPr>
          <w:rFonts w:ascii="Arial" w:hAnsi="Arial" w:cs="Arial"/>
          <w:sz w:val="22"/>
          <w:szCs w:val="22"/>
        </w:rPr>
      </w:pPr>
      <w:r>
        <w:rPr>
          <w:rFonts w:ascii="Arial" w:hAnsi="Arial" w:cs="Arial"/>
          <w:sz w:val="22"/>
          <w:szCs w:val="22"/>
        </w:rPr>
        <w:t xml:space="preserve">The main objectives of sustainable development are to secure economic growth, to provide social equity and justice and to protect the environment. These three factors may all work well with one another but are found to often cause conflict with one another (Sustainable Environment 2019). Similarly, </w:t>
      </w:r>
      <w:proofErr w:type="spellStart"/>
      <w:r>
        <w:rPr>
          <w:rFonts w:ascii="Arial" w:hAnsi="Arial" w:cs="Arial"/>
          <w:sz w:val="22"/>
          <w:szCs w:val="22"/>
        </w:rPr>
        <w:t>Mitlin</w:t>
      </w:r>
      <w:proofErr w:type="spellEnd"/>
      <w:r>
        <w:rPr>
          <w:rFonts w:ascii="Arial" w:hAnsi="Arial" w:cs="Arial"/>
          <w:sz w:val="22"/>
          <w:szCs w:val="22"/>
        </w:rPr>
        <w:t xml:space="preserve"> (1992) has also stated that many authors have opposed the perception on the relationship between economic growth and achieving sustainable development , it is argued that they are not compatible, continued economic growth will lead to the environment becoming degraded and the lack of development opportunities. Some may argue that economic growth is important as it will provide the resources to meet the needs of development and to resist the pattern of using up natural resources, and some authors argue that poverty is the main cause of environmental degradation. </w:t>
      </w:r>
    </w:p>
    <w:p w14:paraId="4D27404E" w14:textId="77777777" w:rsidR="00BA219A" w:rsidRPr="008E1D40" w:rsidRDefault="00BA219A" w:rsidP="00BA219A">
      <w:pPr>
        <w:spacing w:line="360" w:lineRule="auto"/>
        <w:jc w:val="both"/>
        <w:rPr>
          <w:rFonts w:ascii="Arial" w:hAnsi="Arial" w:cs="Arial"/>
          <w:sz w:val="22"/>
          <w:szCs w:val="22"/>
        </w:rPr>
      </w:pPr>
      <w:r>
        <w:rPr>
          <w:rFonts w:ascii="Arial" w:hAnsi="Arial" w:cs="Arial"/>
          <w:sz w:val="22"/>
          <w:szCs w:val="22"/>
        </w:rPr>
        <w:t>The sustainable development goals are a new set of universal goals, targets, and indicators that all UN member countries are expected to use to set out their agendas and political policies over a period of 15 years. The SDG’s (Sustainable Development Goals) follow on and expand on the millennium development goals which were agreed upon by governments in the year 2001 and are due to expire in the year 2015. The MDG’s were considers to be to narrow and did not consider the main root cause of poverty, overlooked gender inequality, and take into consideration of the holistic nature of development. The goals also did not mention human rights and did not emphasise on economic development. Theoretically the MDG’s did apply to all countries but in reality, were targeted for the poorer countries (</w:t>
      </w:r>
      <w:r w:rsidRPr="00D65C6D">
        <w:rPr>
          <w:rFonts w:ascii="Arial" w:hAnsi="Arial" w:cs="Arial"/>
          <w:sz w:val="22"/>
          <w:szCs w:val="22"/>
          <w:shd w:val="clear" w:color="auto" w:fill="FFFFFF"/>
        </w:rPr>
        <w:t>Ford,</w:t>
      </w:r>
      <w:r>
        <w:rPr>
          <w:rFonts w:ascii="Arial" w:hAnsi="Arial" w:cs="Arial"/>
          <w:sz w:val="22"/>
          <w:szCs w:val="22"/>
          <w:shd w:val="clear" w:color="auto" w:fill="FFFFFF"/>
        </w:rPr>
        <w:t xml:space="preserve"> </w:t>
      </w:r>
      <w:r w:rsidRPr="00D65C6D">
        <w:rPr>
          <w:rFonts w:ascii="Arial" w:hAnsi="Arial" w:cs="Arial"/>
          <w:sz w:val="22"/>
          <w:szCs w:val="22"/>
          <w:shd w:val="clear" w:color="auto" w:fill="FFFFFF"/>
        </w:rPr>
        <w:t>2015).</w:t>
      </w:r>
      <w:r>
        <w:rPr>
          <w:rFonts w:ascii="Arial" w:hAnsi="Arial" w:cs="Arial"/>
          <w:sz w:val="22"/>
          <w:szCs w:val="22"/>
          <w:shd w:val="clear" w:color="auto" w:fill="FFFFFF"/>
        </w:rPr>
        <w:t xml:space="preserve"> The 17 Sustainable development goals (Appendix 1) as stated by </w:t>
      </w:r>
      <w:r w:rsidRPr="005C5713">
        <w:rPr>
          <w:rFonts w:ascii="Arial" w:hAnsi="Arial" w:cs="Arial"/>
          <w:sz w:val="22"/>
          <w:szCs w:val="22"/>
          <w:shd w:val="clear" w:color="auto" w:fill="FFFFFF"/>
        </w:rPr>
        <w:t>Howard-Grenville, J</w:t>
      </w:r>
      <w:r>
        <w:rPr>
          <w:rFonts w:ascii="Arial" w:hAnsi="Arial" w:cs="Arial"/>
          <w:sz w:val="22"/>
          <w:szCs w:val="22"/>
          <w:shd w:val="clear" w:color="auto" w:fill="FFFFFF"/>
        </w:rPr>
        <w:t xml:space="preserve"> et al (2017),195 UN member countries adopted the 17 sustainable development goals with the main objectives to end poverty, protect the country and to make sure that everyone has the chance to prosper </w:t>
      </w:r>
      <w:r>
        <w:rPr>
          <w:rFonts w:ascii="Arial" w:hAnsi="Arial" w:cs="Arial"/>
          <w:sz w:val="22"/>
          <w:szCs w:val="22"/>
          <w:shd w:val="clear" w:color="auto" w:fill="FFFFFF"/>
        </w:rPr>
        <w:lastRenderedPageBreak/>
        <w:t xml:space="preserve">as part of the new global “Agenda 2030” governments, businesses, society and citizens all need to make a joint effort in achieving these goals. </w:t>
      </w:r>
      <w:r w:rsidRPr="008E1D40">
        <w:rPr>
          <w:rFonts w:ascii="Arial" w:hAnsi="Arial" w:cs="Arial"/>
          <w:sz w:val="22"/>
          <w:szCs w:val="22"/>
          <w:shd w:val="clear" w:color="auto" w:fill="FFFFFF"/>
        </w:rPr>
        <w:t>T</w:t>
      </w:r>
      <w:r>
        <w:rPr>
          <w:rFonts w:ascii="Arial" w:hAnsi="Arial" w:cs="Arial"/>
          <w:sz w:val="22"/>
          <w:szCs w:val="22"/>
          <w:shd w:val="clear" w:color="auto" w:fill="FFFFFF"/>
        </w:rPr>
        <w:t xml:space="preserve">he main objective of such goal is to </w:t>
      </w:r>
      <w:r w:rsidRPr="008E1D40">
        <w:rPr>
          <w:rFonts w:ascii="Arial" w:hAnsi="Arial" w:cs="Arial"/>
          <w:sz w:val="22"/>
          <w:szCs w:val="22"/>
          <w:shd w:val="clear" w:color="auto" w:fill="FFFFFF"/>
        </w:rPr>
        <w:t>make the world a better and safer place to live in</w:t>
      </w:r>
      <w:r>
        <w:rPr>
          <w:rFonts w:ascii="Arial" w:hAnsi="Arial" w:cs="Arial"/>
          <w:sz w:val="22"/>
          <w:szCs w:val="22"/>
          <w:shd w:val="clear" w:color="auto" w:fill="FFFFFF"/>
        </w:rPr>
        <w:t>.</w:t>
      </w:r>
    </w:p>
    <w:p w14:paraId="75DAD08A" w14:textId="77777777" w:rsidR="00BA219A" w:rsidRDefault="00BA219A" w:rsidP="00BA219A">
      <w:pPr>
        <w:spacing w:line="360" w:lineRule="auto"/>
        <w:jc w:val="both"/>
        <w:rPr>
          <w:rFonts w:ascii="Arial" w:hAnsi="Arial" w:cs="Arial"/>
          <w:sz w:val="22"/>
          <w:szCs w:val="22"/>
          <w:shd w:val="clear" w:color="auto" w:fill="FFFFFF"/>
        </w:rPr>
      </w:pPr>
      <w:r w:rsidRPr="00784F09">
        <w:rPr>
          <w:rFonts w:ascii="Arial" w:hAnsi="Arial" w:cs="Arial"/>
          <w:sz w:val="22"/>
          <w:szCs w:val="22"/>
          <w:shd w:val="clear" w:color="auto" w:fill="FFFFFF"/>
        </w:rPr>
        <w:t>Stafford-Smith</w:t>
      </w:r>
      <w:r>
        <w:rPr>
          <w:rFonts w:ascii="Arial" w:hAnsi="Arial" w:cs="Arial"/>
          <w:sz w:val="22"/>
          <w:szCs w:val="22"/>
          <w:shd w:val="clear" w:color="auto" w:fill="FFFFFF"/>
        </w:rPr>
        <w:t xml:space="preserve">. M, et al (2017) states that the 17 goals have 169 targets set out in an agenda for all nations to embrace economic growth, social inclusion, and to protect the environment. The agenda has moved from agreeing the goals to implementing and achieving the set goals. 42 targets concentrate on how to implement the goals, the final goal, goal 17 is focused on the implementation of the goals. </w:t>
      </w:r>
    </w:p>
    <w:p w14:paraId="667F4706" w14:textId="77777777" w:rsidR="00BA219A" w:rsidRDefault="00BA219A" w:rsidP="00BA219A">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Institutions as well as many governments have found it challenging in taking the concept of sustainable development and implementing it. A vast number of overlapping barriers are the main cause of effective development and implementation. </w:t>
      </w:r>
      <w:r w:rsidRPr="00D5523E">
        <w:rPr>
          <w:rFonts w:ascii="Arial" w:hAnsi="Arial" w:cs="Arial"/>
          <w:sz w:val="22"/>
          <w:szCs w:val="22"/>
          <w:shd w:val="clear" w:color="auto" w:fill="FFFFFF"/>
        </w:rPr>
        <w:t xml:space="preserve">Governments and institutions have </w:t>
      </w:r>
      <w:r>
        <w:rPr>
          <w:rFonts w:ascii="Arial" w:hAnsi="Arial" w:cs="Arial"/>
          <w:sz w:val="22"/>
          <w:szCs w:val="22"/>
          <w:shd w:val="clear" w:color="auto" w:fill="FFFFFF"/>
        </w:rPr>
        <w:t>struggled</w:t>
      </w:r>
      <w:r w:rsidRPr="00D5523E">
        <w:rPr>
          <w:rFonts w:ascii="Arial" w:hAnsi="Arial" w:cs="Arial"/>
          <w:sz w:val="22"/>
          <w:szCs w:val="22"/>
          <w:shd w:val="clear" w:color="auto" w:fill="FFFFFF"/>
        </w:rPr>
        <w:t xml:space="preserve"> with the challenge </w:t>
      </w:r>
      <w:r>
        <w:rPr>
          <w:rFonts w:ascii="Arial" w:hAnsi="Arial" w:cs="Arial"/>
          <w:sz w:val="22"/>
          <w:szCs w:val="22"/>
          <w:shd w:val="clear" w:color="auto" w:fill="FFFFFF"/>
        </w:rPr>
        <w:t xml:space="preserve">of implementing the </w:t>
      </w:r>
      <w:r w:rsidRPr="00D5523E">
        <w:rPr>
          <w:rFonts w:ascii="Arial" w:hAnsi="Arial" w:cs="Arial"/>
          <w:sz w:val="22"/>
          <w:szCs w:val="22"/>
          <w:shd w:val="clear" w:color="auto" w:fill="FFFFFF"/>
        </w:rPr>
        <w:t>sustainable development and putting it into practice. So far it would probably be fair to say that none has succeeded. There appear to be several overlapping barriers to the effective development and implementation of sustainable development strategies at the highest level</w:t>
      </w:r>
      <w:r>
        <w:rPr>
          <w:rFonts w:ascii="Arial" w:hAnsi="Arial" w:cs="Arial"/>
          <w:sz w:val="22"/>
          <w:szCs w:val="22"/>
          <w:shd w:val="clear" w:color="auto" w:fill="FFFFFF"/>
        </w:rPr>
        <w:t xml:space="preserve"> </w:t>
      </w:r>
      <w:r w:rsidRPr="000D3FF9">
        <w:rPr>
          <w:rFonts w:ascii="Arial" w:hAnsi="Arial" w:cs="Arial"/>
          <w:sz w:val="22"/>
          <w:szCs w:val="22"/>
          <w:shd w:val="clear" w:color="auto" w:fill="FFFFFF"/>
        </w:rPr>
        <w:t>(</w:t>
      </w:r>
      <w:hyperlink r:id="rId9" w:history="1">
        <w:r w:rsidRPr="000D3FF9">
          <w:rPr>
            <w:rStyle w:val="Hyperlink"/>
            <w:rFonts w:ascii="Arial" w:hAnsi="Arial" w:cs="Arial"/>
            <w:sz w:val="22"/>
            <w:szCs w:val="22"/>
            <w:shd w:val="clear" w:color="auto" w:fill="FFFFFF"/>
          </w:rPr>
          <w:t>Parliment.uk</w:t>
        </w:r>
      </w:hyperlink>
      <w:r w:rsidRPr="000D3FF9">
        <w:rPr>
          <w:rFonts w:ascii="Arial" w:hAnsi="Arial" w:cs="Arial"/>
          <w:sz w:val="22"/>
          <w:szCs w:val="22"/>
          <w:shd w:val="clear" w:color="auto" w:fill="FFFFFF"/>
        </w:rPr>
        <w:t xml:space="preserve"> 2000).</w:t>
      </w:r>
    </w:p>
    <w:p w14:paraId="3BD4ABFD" w14:textId="77777777" w:rsidR="00BA219A" w:rsidRDefault="00BA219A" w:rsidP="00BA219A">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The country that was as the forefront in negotiating the goals was the UK and has said to be at the lead upon implementation (Gov.uk 2021).</w:t>
      </w:r>
    </w:p>
    <w:p w14:paraId="68D6D795" w14:textId="77777777" w:rsidR="00BA219A" w:rsidRDefault="00BA219A" w:rsidP="00BA219A">
      <w:pPr>
        <w:spacing w:after="160" w:line="36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The U.K has a number of strategies for achieving each goal: - </w:t>
      </w:r>
    </w:p>
    <w:p w14:paraId="151964B2" w14:textId="77777777" w:rsidR="00BA219A" w:rsidRDefault="00BA219A" w:rsidP="00BA219A">
      <w:pPr>
        <w:spacing w:after="160" w:line="360" w:lineRule="auto"/>
        <w:jc w:val="both"/>
        <w:rPr>
          <w:rFonts w:ascii="Arial" w:hAnsi="Arial" w:cs="Arial"/>
          <w:sz w:val="22"/>
          <w:szCs w:val="22"/>
          <w:shd w:val="clear" w:color="auto" w:fill="FFFFFF"/>
        </w:rPr>
      </w:pPr>
      <w:r w:rsidRPr="00E8339F">
        <w:rPr>
          <w:rFonts w:ascii="Arial" w:hAnsi="Arial" w:cs="Arial"/>
          <w:sz w:val="22"/>
          <w:szCs w:val="22"/>
          <w:shd w:val="clear" w:color="auto" w:fill="FFFFFF"/>
        </w:rPr>
        <w:t xml:space="preserve">Goal 2 – To end hunger, achieve food security and improved nutrition and promote sustainable agriculture.   As stated by </w:t>
      </w:r>
      <w:proofErr w:type="spellStart"/>
      <w:r w:rsidRPr="00E8339F">
        <w:rPr>
          <w:rFonts w:ascii="Arial" w:hAnsi="Arial" w:cs="Arial"/>
          <w:sz w:val="22"/>
          <w:szCs w:val="22"/>
          <w:shd w:val="clear" w:color="auto" w:fill="FFFFFF"/>
        </w:rPr>
        <w:t>Saha</w:t>
      </w:r>
      <w:proofErr w:type="spellEnd"/>
      <w:r w:rsidRPr="00E8339F">
        <w:rPr>
          <w:rFonts w:ascii="Arial" w:hAnsi="Arial" w:cs="Arial"/>
          <w:sz w:val="22"/>
          <w:szCs w:val="22"/>
          <w:shd w:val="clear" w:color="auto" w:fill="FFFFFF"/>
        </w:rPr>
        <w:t xml:space="preserve"> </w:t>
      </w:r>
      <w:r w:rsidRPr="00E8339F">
        <w:rPr>
          <w:rFonts w:ascii="Arial" w:hAnsi="Arial" w:cs="Arial"/>
          <w:i/>
          <w:iCs/>
          <w:sz w:val="22"/>
          <w:szCs w:val="22"/>
          <w:shd w:val="clear" w:color="auto" w:fill="FFFFFF"/>
        </w:rPr>
        <w:t>et al</w:t>
      </w:r>
      <w:r w:rsidRPr="00E8339F">
        <w:rPr>
          <w:rFonts w:ascii="Arial" w:hAnsi="Arial" w:cs="Arial"/>
          <w:sz w:val="22"/>
          <w:szCs w:val="22"/>
          <w:shd w:val="clear" w:color="auto" w:fill="FFFFFF"/>
        </w:rPr>
        <w:t xml:space="preserve"> (2021) the determinants of carbon emission Climate change are one of the greatest challenges we face internationally and has become the centre of attention from the SDG’s. It has become one of the top 17 priorities to be achieve by 2030. The governments UK Low-Carbon Transition plan 2009 was updated in 2015 when the UK committed to the SDG goals. In June 2019 the plan was amended again to have a target to have zero contribution to global warming by 2050. </w:t>
      </w:r>
    </w:p>
    <w:p w14:paraId="0A38B3EB" w14:textId="77777777" w:rsidR="00BA219A" w:rsidRPr="00E8339F" w:rsidRDefault="00BA219A" w:rsidP="00BA219A">
      <w:pPr>
        <w:spacing w:after="160" w:line="360" w:lineRule="auto"/>
        <w:jc w:val="both"/>
        <w:rPr>
          <w:rFonts w:ascii="Arial" w:hAnsi="Arial" w:cs="Arial"/>
          <w:sz w:val="22"/>
          <w:szCs w:val="22"/>
          <w:shd w:val="clear" w:color="auto" w:fill="FFFFFF"/>
        </w:rPr>
      </w:pPr>
      <w:r w:rsidRPr="00E8339F">
        <w:rPr>
          <w:rFonts w:ascii="Arial" w:hAnsi="Arial" w:cs="Arial"/>
          <w:sz w:val="22"/>
          <w:szCs w:val="22"/>
          <w:shd w:val="clear" w:color="auto" w:fill="FFFFFF"/>
        </w:rPr>
        <w:t xml:space="preserve">Goal 3 – Ensure healthy lives and promote well-being for all at all ages.  The Department of Health and Social Care (2018) in their report “Prevention is better than cure” have mentioned a few strategies to improve the health and wellbeing for people in the U.K with the vision of ensuring people can enjoy 5 extra independent living and healthy years at a minimum, whilst bringing down the gap between the experiences of the rich and poor. The First loneliness strategy to reduce the level of loneliness and isolation was published in early 2018 “ A Connected Society” outlines several commitments to build social connections, expand on social prescribing, employers pledge to support the wellbeing of their employees at work and to consider loneliness at a wider range in policymaking. The government will support all local health and social care systems by 2023 to carry out prescribing connector schemes across the nation. The Home Office will implement a scheme where local authorities, private </w:t>
      </w:r>
      <w:r w:rsidRPr="00E8339F">
        <w:rPr>
          <w:rFonts w:ascii="Arial" w:hAnsi="Arial" w:cs="Arial"/>
          <w:sz w:val="22"/>
          <w:szCs w:val="22"/>
          <w:shd w:val="clear" w:color="auto" w:fill="FFFFFF"/>
        </w:rPr>
        <w:lastRenderedPageBreak/>
        <w:t xml:space="preserve">enterprises, local voluntary groups, and the Royal mail will help identify and support elderly individuals who are lonely. Ministers will oversee the progress of the connector scheme and publish their finding every year. Ministers from various departments have added loneliness to their portfolios. </w:t>
      </w:r>
    </w:p>
    <w:p w14:paraId="3C5AFB23" w14:textId="77777777" w:rsidR="00BA219A" w:rsidRDefault="00BA219A" w:rsidP="00BA219A">
      <w:pPr>
        <w:spacing w:after="160" w:line="360" w:lineRule="auto"/>
        <w:jc w:val="both"/>
        <w:rPr>
          <w:rFonts w:ascii="Arial" w:hAnsi="Arial" w:cs="Arial"/>
          <w:sz w:val="22"/>
          <w:szCs w:val="22"/>
          <w:shd w:val="clear" w:color="auto" w:fill="FFFFFF"/>
        </w:rPr>
      </w:pPr>
      <w:r w:rsidRPr="00696249">
        <w:rPr>
          <w:rFonts w:ascii="Arial" w:hAnsi="Arial" w:cs="Arial"/>
          <w:sz w:val="22"/>
          <w:szCs w:val="22"/>
          <w:shd w:val="clear" w:color="auto" w:fill="FFFFFF"/>
        </w:rPr>
        <w:t>Goal 7 – Affordable and clean energy. The number of people with access to electricity has risen by 1.7 billion between 1990 and 2010 as the global population also continues to rise so will the need for cheaper energy. Drastic changes to our climate system occur as a result of the reliance of fossil fuels and the increase of greenhouse gases, which is having a noticeable impact across the globe. In 2011 renewable energy accounted for 20% of global power generated but is still lacking as one in five people lack access to electricity globally, the demand for electricity continues to rise. Renewable energy across the world needs to be substantially increased to produce energy across the globe. To achieve goal 7 by 2030 investment in clean energy such as wind, thermal and solar energy needs to be accessible and affordable to all. Implementing cost effective standards for a larger range of technologies could also help to reduce the global electricity by building’s and industries by 14%. All developing countries would need to expand on their infrastructure and upgrade their technology to produce clean energy sources which can encourage growth and help the environment (Sustainable energy goal</w:t>
      </w:r>
      <w:r>
        <w:rPr>
          <w:rFonts w:ascii="Arial" w:hAnsi="Arial" w:cs="Arial"/>
          <w:sz w:val="22"/>
          <w:szCs w:val="22"/>
          <w:shd w:val="clear" w:color="auto" w:fill="FFFFFF"/>
        </w:rPr>
        <w:t>,</w:t>
      </w:r>
      <w:r w:rsidRPr="00696249">
        <w:rPr>
          <w:rFonts w:ascii="Arial" w:hAnsi="Arial" w:cs="Arial"/>
          <w:sz w:val="22"/>
          <w:szCs w:val="22"/>
          <w:shd w:val="clear" w:color="auto" w:fill="FFFFFF"/>
        </w:rPr>
        <w:t xml:space="preserve"> </w:t>
      </w:r>
      <w:proofErr w:type="spellStart"/>
      <w:r w:rsidRPr="00696249">
        <w:rPr>
          <w:rFonts w:ascii="Arial" w:hAnsi="Arial" w:cs="Arial"/>
          <w:sz w:val="22"/>
          <w:szCs w:val="22"/>
          <w:shd w:val="clear" w:color="auto" w:fill="FFFFFF"/>
        </w:rPr>
        <w:t>n.d</w:t>
      </w:r>
      <w:proofErr w:type="spellEnd"/>
      <w:r w:rsidRPr="00696249">
        <w:rPr>
          <w:rFonts w:ascii="Arial" w:hAnsi="Arial" w:cs="Arial"/>
          <w:sz w:val="22"/>
          <w:szCs w:val="22"/>
          <w:shd w:val="clear" w:color="auto" w:fill="FFFFFF"/>
        </w:rPr>
        <w:t xml:space="preserve">). Tyagi, R et al </w:t>
      </w:r>
      <w:r>
        <w:rPr>
          <w:rFonts w:ascii="Arial" w:hAnsi="Arial" w:cs="Arial"/>
          <w:sz w:val="22"/>
          <w:szCs w:val="22"/>
          <w:shd w:val="clear" w:color="auto" w:fill="FFFFFF"/>
        </w:rPr>
        <w:t>(</w:t>
      </w:r>
      <w:r w:rsidRPr="00696249">
        <w:rPr>
          <w:rFonts w:ascii="Arial" w:hAnsi="Arial" w:cs="Arial"/>
          <w:sz w:val="22"/>
          <w:szCs w:val="22"/>
          <w:shd w:val="clear" w:color="auto" w:fill="FFFFFF"/>
        </w:rPr>
        <w:t>2020</w:t>
      </w:r>
      <w:r>
        <w:rPr>
          <w:rFonts w:ascii="Arial" w:hAnsi="Arial" w:cs="Arial"/>
          <w:sz w:val="22"/>
          <w:szCs w:val="22"/>
          <w:shd w:val="clear" w:color="auto" w:fill="FFFFFF"/>
        </w:rPr>
        <w:t>)</w:t>
      </w:r>
      <w:r w:rsidRPr="00696249">
        <w:rPr>
          <w:rFonts w:ascii="Arial" w:hAnsi="Arial" w:cs="Arial"/>
          <w:sz w:val="22"/>
          <w:szCs w:val="22"/>
          <w:shd w:val="clear" w:color="auto" w:fill="FFFFFF"/>
        </w:rPr>
        <w:t xml:space="preserve"> have stated that there is a strong role of human intervention required to achieve sustainable energy goals. Businesses can drive forward the transition of affordable, sustainable, and reliable energy systems by investing in energy sources that are renewable, by adopting clean energy technologies and infrastructure and focusing on energy efficient practices. Prioritizing energy efficient practices in the residential sector will reduced the overall demand for energy. </w:t>
      </w:r>
    </w:p>
    <w:p w14:paraId="09615379" w14:textId="77777777" w:rsidR="00BA219A" w:rsidRDefault="00BA219A" w:rsidP="00BA219A">
      <w:pPr>
        <w:spacing w:after="160" w:line="360" w:lineRule="auto"/>
        <w:jc w:val="both"/>
        <w:rPr>
          <w:rFonts w:ascii="Arial" w:hAnsi="Arial" w:cs="Arial"/>
          <w:sz w:val="22"/>
          <w:szCs w:val="22"/>
          <w:shd w:val="clear" w:color="auto" w:fill="FFFFFF"/>
        </w:rPr>
      </w:pPr>
      <w:r w:rsidRPr="00696249">
        <w:rPr>
          <w:rFonts w:ascii="Arial" w:hAnsi="Arial" w:cs="Arial"/>
          <w:sz w:val="22"/>
          <w:szCs w:val="22"/>
          <w:shd w:val="clear" w:color="auto" w:fill="FFFFFF"/>
        </w:rPr>
        <w:t>The U.K government are working with the committee on climate change who are independent experts and a statutory public body created by the Climate Change Act 2008.  The CCC assess how the UK can achieve its target to reduce emissions between the years 2020-2050, assessment is also made by the CCC on the UKs progress on meeting the statutory carbon budgets. In December 2011 the U.K published the Carbon plan with a view to achieve a reduction in emissions and help the UK meet its goal by 2050 (</w:t>
      </w:r>
      <w:hyperlink r:id="rId10" w:history="1">
        <w:r w:rsidRPr="0081553F">
          <w:rPr>
            <w:rStyle w:val="Hyperlink"/>
            <w:rFonts w:ascii="Arial" w:hAnsi="Arial" w:cs="Arial"/>
            <w:sz w:val="22"/>
            <w:szCs w:val="22"/>
            <w:shd w:val="clear" w:color="auto" w:fill="FFFFFF"/>
          </w:rPr>
          <w:t>Gov.uk</w:t>
        </w:r>
      </w:hyperlink>
      <w:r w:rsidRPr="00696249">
        <w:rPr>
          <w:rFonts w:ascii="Arial" w:hAnsi="Arial" w:cs="Arial"/>
          <w:sz w:val="22"/>
          <w:szCs w:val="22"/>
          <w:shd w:val="clear" w:color="auto" w:fill="FFFFFF"/>
        </w:rPr>
        <w:t xml:space="preserve"> 2015). It is hope</w:t>
      </w:r>
      <w:r>
        <w:rPr>
          <w:rFonts w:ascii="Arial" w:hAnsi="Arial" w:cs="Arial"/>
          <w:sz w:val="22"/>
          <w:szCs w:val="22"/>
          <w:shd w:val="clear" w:color="auto" w:fill="FFFFFF"/>
        </w:rPr>
        <w:t>d</w:t>
      </w:r>
      <w:r w:rsidRPr="00696249">
        <w:rPr>
          <w:rFonts w:ascii="Arial" w:hAnsi="Arial" w:cs="Arial"/>
          <w:sz w:val="22"/>
          <w:szCs w:val="22"/>
          <w:shd w:val="clear" w:color="auto" w:fill="FFFFFF"/>
        </w:rPr>
        <w:t xml:space="preserve"> that in the next decade the UK will have completed its installation of proven and cost-efficient technologies that will be suitable to install in future scenarios. All homes are expected to be fully insulated by 2020, the fuel efficiency of internal combustion engine car</w:t>
      </w:r>
      <w:r>
        <w:rPr>
          <w:rFonts w:ascii="Arial" w:hAnsi="Arial" w:cs="Arial"/>
          <w:sz w:val="22"/>
          <w:szCs w:val="22"/>
          <w:shd w:val="clear" w:color="auto" w:fill="FFFFFF"/>
        </w:rPr>
        <w:t>s</w:t>
      </w:r>
      <w:r w:rsidRPr="00696249">
        <w:rPr>
          <w:rFonts w:ascii="Arial" w:hAnsi="Arial" w:cs="Arial"/>
          <w:sz w:val="22"/>
          <w:szCs w:val="22"/>
          <w:shd w:val="clear" w:color="auto" w:fill="FFFFFF"/>
        </w:rPr>
        <w:t xml:space="preserve"> will improve substantially as CO2 emissions from new cars will fall by around a third. It is hoped that many of the UK’s coal fired power stations will close and be replaced by gas and renewables. Fuel cost will be cut as more efficient buildings and cars are produced. Different sources of electricity will improve energy security and reduce the import of fossil fuel imports and the </w:t>
      </w:r>
      <w:r w:rsidRPr="00696249">
        <w:rPr>
          <w:rFonts w:ascii="Arial" w:hAnsi="Arial" w:cs="Arial"/>
          <w:sz w:val="22"/>
          <w:szCs w:val="22"/>
          <w:shd w:val="clear" w:color="auto" w:fill="FFFFFF"/>
        </w:rPr>
        <w:lastRenderedPageBreak/>
        <w:t>increase in price. It has been noted by Hill et al (2019), that road transport makes up 91% of domestic transport emissions, 56% accountable are cars and taxis of all transport CO2 emissions in 2016. The U.K strategy and focus is to shift to electric vehicle and to facilitate this the U.K government has publish</w:t>
      </w:r>
      <w:r>
        <w:rPr>
          <w:rFonts w:ascii="Arial" w:hAnsi="Arial" w:cs="Arial"/>
          <w:sz w:val="22"/>
          <w:szCs w:val="22"/>
          <w:shd w:val="clear" w:color="auto" w:fill="FFFFFF"/>
        </w:rPr>
        <w:t>ed</w:t>
      </w:r>
      <w:r w:rsidRPr="00696249">
        <w:rPr>
          <w:rFonts w:ascii="Arial" w:hAnsi="Arial" w:cs="Arial"/>
          <w:sz w:val="22"/>
          <w:szCs w:val="22"/>
          <w:shd w:val="clear" w:color="auto" w:fill="FFFFFF"/>
        </w:rPr>
        <w:t xml:space="preserve"> a policy paper ‘clean growth strategy’. This policy paper will describe the role of the electric vehicles both in driving and decarbonising the UK’s economy, in addition to the policy paper ‘Road to Zero’. The ownership of electric vehicles increased by 180% in 2017 with 53,000 new registration vehicles, even though an increase in the use of electric vehicles can be seen a clear bigger shift is needed to achieve the CO2 2050 reduction of emissions target. The Committee for Climate Change has estimated that by 2030 around 60% of all newly registered vehicles will need to be electric powered. </w:t>
      </w:r>
      <w:r>
        <w:rPr>
          <w:rFonts w:ascii="Arial" w:hAnsi="Arial" w:cs="Arial"/>
          <w:sz w:val="22"/>
          <w:szCs w:val="22"/>
          <w:shd w:val="clear" w:color="auto" w:fill="FFFFFF"/>
        </w:rPr>
        <w:t>Similarly, Bunce et al (2014) has stated that the UK government has made significant investments in the use of electric transport to reduce CO2 emissions. Responses from electric vehicle drivers who used recharging plug in battery vehicles in a trail after completing questionnaires and interviews showed that the drivers had a positive attitude about recharging and preferred it over refuelling and became more relaxed over time about constant recharging. There was a very interesting difference in driver’s awareness in relation to CO2 emissions.</w:t>
      </w:r>
    </w:p>
    <w:p w14:paraId="75CBEFB1" w14:textId="77777777" w:rsidR="00BA219A" w:rsidRDefault="00BA219A" w:rsidP="00BA219A">
      <w:pPr>
        <w:spacing w:after="160" w:line="360" w:lineRule="auto"/>
        <w:jc w:val="both"/>
        <w:rPr>
          <w:rFonts w:ascii="Arial" w:hAnsi="Arial" w:cs="Arial"/>
          <w:sz w:val="22"/>
          <w:szCs w:val="22"/>
          <w:shd w:val="clear" w:color="auto" w:fill="FFFFFF"/>
        </w:rPr>
      </w:pPr>
      <w:r>
        <w:rPr>
          <w:rFonts w:ascii="Arial" w:hAnsi="Arial" w:cs="Arial"/>
          <w:sz w:val="22"/>
          <w:szCs w:val="22"/>
          <w:shd w:val="clear" w:color="auto" w:fill="FFFFFF"/>
        </w:rPr>
        <w:t>The World Health Organization made a statement in 1948 whereupon they defined health as not merely being the absence of a disease or infirmity but being in a state of complete mental, physical, and social wellbeing (</w:t>
      </w:r>
      <w:proofErr w:type="spellStart"/>
      <w:r>
        <w:rPr>
          <w:rFonts w:ascii="Arial" w:hAnsi="Arial" w:cs="Arial"/>
          <w:sz w:val="22"/>
          <w:szCs w:val="22"/>
          <w:shd w:val="clear" w:color="auto" w:fill="FFFFFF"/>
        </w:rPr>
        <w:t>Misselbrook</w:t>
      </w:r>
      <w:proofErr w:type="spellEnd"/>
      <w:r>
        <w:rPr>
          <w:rFonts w:ascii="Arial" w:hAnsi="Arial" w:cs="Arial"/>
          <w:sz w:val="22"/>
          <w:szCs w:val="22"/>
          <w:shd w:val="clear" w:color="auto" w:fill="FFFFFF"/>
        </w:rPr>
        <w:t xml:space="preserve"> 2014). Policy maker and social scientist have dedicated vast attention to wellbeing, it is a concept that can be referred to as people’s capacity to live, healthy, fulfilling, and creative lives. There are two conceptual approaches that dominate research in wellbeing, an objective approach in wellbeing examines the objective components of a good life, the subjective approach looks at people’s evaluations of their lives (</w:t>
      </w:r>
      <w:r w:rsidRPr="00E54D60">
        <w:rPr>
          <w:rFonts w:ascii="Arial" w:hAnsi="Arial" w:cs="Arial"/>
          <w:color w:val="000000" w:themeColor="text1"/>
          <w:sz w:val="22"/>
          <w:szCs w:val="22"/>
          <w:shd w:val="clear" w:color="auto" w:fill="FFFFFF"/>
        </w:rPr>
        <w:t>Western</w:t>
      </w:r>
      <w:r>
        <w:rPr>
          <w:rFonts w:ascii="Arial" w:hAnsi="Arial" w:cs="Arial"/>
          <w:color w:val="000000" w:themeColor="text1"/>
          <w:sz w:val="22"/>
          <w:szCs w:val="22"/>
          <w:shd w:val="clear" w:color="auto" w:fill="FFFFFF"/>
        </w:rPr>
        <w:t xml:space="preserve"> </w:t>
      </w:r>
      <w:r w:rsidRPr="00E54D60">
        <w:rPr>
          <w:rFonts w:ascii="Arial" w:hAnsi="Arial" w:cs="Arial"/>
          <w:color w:val="000000" w:themeColor="text1"/>
          <w:sz w:val="22"/>
          <w:szCs w:val="22"/>
          <w:shd w:val="clear" w:color="auto" w:fill="FFFFFF"/>
        </w:rPr>
        <w:t>&amp; Tomaszewski 2016)</w:t>
      </w:r>
      <w:r>
        <w:rPr>
          <w:rFonts w:ascii="Arial" w:hAnsi="Arial" w:cs="Arial"/>
          <w:sz w:val="22"/>
          <w:szCs w:val="22"/>
          <w:shd w:val="clear" w:color="auto" w:fill="FFFFFF"/>
        </w:rPr>
        <w:t xml:space="preserve">. Subjective wellbeing can be defined as peoples long term effects of happiness, unpleasant affect, and overall life satisfaction. Subjective wellbeing self -report measurements show enough validity, reliability, factor invariance and sensitivity to change. More and more sophisticated approaches to define and measure subjective wellbeing are possible, affect now can include respondents facial, behavioural, motivational, physiological, and cognitive components (Diener 2009). </w:t>
      </w:r>
    </w:p>
    <w:p w14:paraId="2BB755FC" w14:textId="77777777" w:rsidR="00BA219A" w:rsidRDefault="00BA219A" w:rsidP="00BA219A">
      <w:pPr>
        <w:spacing w:after="160" w:line="360" w:lineRule="auto"/>
        <w:jc w:val="both"/>
        <w:rPr>
          <w:rFonts w:ascii="Arial" w:hAnsi="Arial" w:cs="Arial"/>
          <w:color w:val="000000" w:themeColor="text1"/>
          <w:sz w:val="22"/>
          <w:szCs w:val="22"/>
          <w:shd w:val="clear" w:color="auto" w:fill="FFFFFF"/>
        </w:rPr>
      </w:pPr>
      <w:r>
        <w:rPr>
          <w:rFonts w:ascii="Arial" w:hAnsi="Arial" w:cs="Arial"/>
          <w:sz w:val="22"/>
          <w:szCs w:val="22"/>
          <w:shd w:val="clear" w:color="auto" w:fill="FFFFFF"/>
        </w:rPr>
        <w:t xml:space="preserve">Goal 3 of the Sustainable Development Goals focuses on good health and wellbeing for all with the mission to ensure healthy lives and promote wellbeing for all at all ages. Thirteen targets can be used by everyone to achieve goal 3 namely, reduce maternal mortality, end all preventable deaths under the age of 5 years, fight communicable diseases, reduce mortality from non-communicable diseases and promote mental health, prevent and treat substance abuse, reduce road injuries and deaths, universal access to sexual health and reproductive care, family planning and education, achieve universal health coverage, reduce illnesses and </w:t>
      </w:r>
      <w:r>
        <w:rPr>
          <w:rFonts w:ascii="Arial" w:hAnsi="Arial" w:cs="Arial"/>
          <w:sz w:val="22"/>
          <w:szCs w:val="22"/>
          <w:shd w:val="clear" w:color="auto" w:fill="FFFFFF"/>
        </w:rPr>
        <w:lastRenderedPageBreak/>
        <w:t>deaths from hazardous chemicals and pollution, implement the WHO framework convention on tobacco control, support research, development and universal access to affordable vaccines and medicines, increase health financing and support health workforce in developing countries and finally to improve early warning systems for global health risks (The Global goals 2021). All governments across the world play an important part in achieving goal 7, on the way people live and the everyday choices that they make. Different government sectors, levels, people and communities need to work together in a whole society approach to inform, develop and implement successful interventions and policies that are conductive to sustainable development in health, wellbeing, equity, peace, security and prosperity. Investing in a health planet leads to inclusive and sustainable growth, fair and secure societies leads to happy, healthy, resilient, and empowered communities, families, and people (</w:t>
      </w:r>
      <w:proofErr w:type="spellStart"/>
      <w:r w:rsidRPr="00680436">
        <w:rPr>
          <w:rFonts w:ascii="Arial" w:hAnsi="Arial" w:cs="Arial"/>
          <w:color w:val="000000" w:themeColor="text1"/>
          <w:sz w:val="22"/>
          <w:szCs w:val="22"/>
          <w:shd w:val="clear" w:color="auto" w:fill="FFFFFF"/>
        </w:rPr>
        <w:t>Dyakova</w:t>
      </w:r>
      <w:proofErr w:type="spellEnd"/>
      <w:r w:rsidRPr="00680436">
        <w:rPr>
          <w:rFonts w:ascii="Arial" w:hAnsi="Arial" w:cs="Arial"/>
          <w:color w:val="000000" w:themeColor="text1"/>
          <w:sz w:val="22"/>
          <w:szCs w:val="22"/>
          <w:shd w:val="clear" w:color="auto" w:fill="FFFFFF"/>
        </w:rPr>
        <w:t>, 2017).</w:t>
      </w:r>
      <w:r>
        <w:rPr>
          <w:rFonts w:ascii="Arial" w:hAnsi="Arial" w:cs="Arial"/>
          <w:color w:val="000000" w:themeColor="text1"/>
          <w:sz w:val="22"/>
          <w:szCs w:val="22"/>
          <w:shd w:val="clear" w:color="auto" w:fill="FFFFFF"/>
        </w:rPr>
        <w:t xml:space="preserve"> The U.K reports “The voluntary national review” has outlined all that has been done and achieved towards the sustainable development goal. Goal 3 outlines all efforts endeavoured to achieve this goal. England has set out many strategies to achieve goal 3 such as The NHS England Long Term Plan which was published on the 7</w:t>
      </w:r>
      <w:r w:rsidRPr="00EF0B8D">
        <w:rPr>
          <w:rFonts w:ascii="Arial" w:hAnsi="Arial" w:cs="Arial"/>
          <w:color w:val="000000" w:themeColor="text1"/>
          <w:sz w:val="22"/>
          <w:szCs w:val="22"/>
          <w:shd w:val="clear" w:color="auto" w:fill="FFFFFF"/>
          <w:vertAlign w:val="superscript"/>
        </w:rPr>
        <w:t>th</w:t>
      </w:r>
      <w:r>
        <w:rPr>
          <w:rFonts w:ascii="Arial" w:hAnsi="Arial" w:cs="Arial"/>
          <w:color w:val="000000" w:themeColor="text1"/>
          <w:sz w:val="22"/>
          <w:szCs w:val="22"/>
          <w:shd w:val="clear" w:color="auto" w:fill="FFFFFF"/>
        </w:rPr>
        <w:t xml:space="preserve"> of January 2019, outlines and represents another step change for preventative services with primary and community care being at the centre of the planning of health and care services. The National Institute for Health Research (NIHR) who are the UK’s largest funder of health and care research underpin the advances. Goals 3.1 and 3.2 (maternal and neonatal) since 2010 have shown a fall in still births by 18.8% and maternal mortality by 8%. £40 million pounds was invested in England’s maternity services during this period over time. A further £9 million pounds of additional funding was invested to support activities such as safety training for multidisciplinary maternity teams, to support the aim to reduce the rate of stillbirths, maternal deaths, brain injuries and neonatal deaths in babies soon after being born by 50% by the year 2025. However, to make a real difference towards this global target goal it demands focus on populations most at risk across all four nations of the U.K. Mothers from the black, Asian, minority ethnic group as  well as women from poor backgrounds are at a higher risk of their baby dying in their womb or sometime soon after birth. (Voluntary National Review of progress towards the Sustainable Development Goals 2019). Jessica Morris and Dougal Hargreaves from the </w:t>
      </w:r>
      <w:proofErr w:type="spellStart"/>
      <w:r>
        <w:rPr>
          <w:rFonts w:ascii="Arial" w:hAnsi="Arial" w:cs="Arial"/>
          <w:color w:val="000000" w:themeColor="text1"/>
          <w:sz w:val="22"/>
          <w:szCs w:val="22"/>
          <w:shd w:val="clear" w:color="auto" w:fill="FFFFFF"/>
        </w:rPr>
        <w:t>Nuttfield</w:t>
      </w:r>
      <w:proofErr w:type="spellEnd"/>
      <w:r>
        <w:rPr>
          <w:rFonts w:ascii="Arial" w:hAnsi="Arial" w:cs="Arial"/>
          <w:color w:val="000000" w:themeColor="text1"/>
          <w:sz w:val="22"/>
          <w:szCs w:val="22"/>
          <w:shd w:val="clear" w:color="auto" w:fill="FFFFFF"/>
        </w:rPr>
        <w:t xml:space="preserve"> Trust have stated that the UK has made less progress than other developing countries in reducing still births, neonatal and infant deaths over the last two decades. The UK’s infant death rate has remained stagnant at 3.9 deaths per 1,000 live births, the rate for neonatal death remains the same at 2.7 deaths per 1,000 live births with a slight increase to 2.8 deaths per 1,000 live births in 2016. A report by the Royal College of Paediatrics and Child Health found that if current trends continue the infant mortality in the U.K will be more than doubled against the median value for comparable countries by 2030. On a positive note the government has strengthened and repeated its ambitions to improve the outcome in pregnancies. The </w:t>
      </w:r>
      <w:r>
        <w:rPr>
          <w:rFonts w:ascii="Arial" w:hAnsi="Arial" w:cs="Arial"/>
          <w:color w:val="000000" w:themeColor="text1"/>
          <w:sz w:val="22"/>
          <w:szCs w:val="22"/>
          <w:shd w:val="clear" w:color="auto" w:fill="FFFFFF"/>
        </w:rPr>
        <w:lastRenderedPageBreak/>
        <w:t xml:space="preserve">Department of Health did announce that they were on track to meet their goal to reduce neonatal and still births in England by 20% by 2020. The government decided to reset it target with the ambition to half the deaths rates by 2025 after the neonatal death rate only dropped by 10% and the stillbirth rate at 16%. Unfortunately, the government has no specific target to reduce the overall infant mortality rate. </w:t>
      </w:r>
    </w:p>
    <w:p w14:paraId="336A619D" w14:textId="77777777" w:rsidR="00BA219A" w:rsidRDefault="00BA219A" w:rsidP="00BA219A">
      <w:pPr>
        <w:spacing w:after="160"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 Public Health England (PHE) has set out a 2020 – 2025 strategy aimed to protect and improve the overall health of the public and to reduce any inequalities within in the health and social care system. The PHE strategy will make effort to support delivery of its strategic objectives and broad activities by building capability within organisations. PHE has published a full version of the strategy which looks into more detail of the aims and activities proposed over the next 5 years </w:t>
      </w:r>
      <w:r w:rsidRPr="00BD0765">
        <w:rPr>
          <w:rFonts w:ascii="Arial" w:hAnsi="Arial" w:cs="Arial"/>
          <w:sz w:val="22"/>
          <w:szCs w:val="22"/>
          <w:shd w:val="clear" w:color="auto" w:fill="FFFFFF"/>
        </w:rPr>
        <w:t>(</w:t>
      </w:r>
      <w:hyperlink r:id="rId11" w:history="1">
        <w:r w:rsidRPr="00BD0765">
          <w:rPr>
            <w:rStyle w:val="Hyperlink"/>
            <w:rFonts w:ascii="Arial" w:hAnsi="Arial" w:cs="Arial"/>
            <w:sz w:val="22"/>
            <w:szCs w:val="22"/>
            <w:shd w:val="clear" w:color="auto" w:fill="FFFFFF"/>
          </w:rPr>
          <w:t>www.Gov.uk</w:t>
        </w:r>
      </w:hyperlink>
      <w:r>
        <w:rPr>
          <w:rFonts w:ascii="Arial" w:hAnsi="Arial" w:cs="Arial"/>
          <w:color w:val="000000" w:themeColor="text1"/>
          <w:sz w:val="22"/>
          <w:szCs w:val="22"/>
          <w:shd w:val="clear" w:color="auto" w:fill="FFFFFF"/>
        </w:rPr>
        <w:t xml:space="preserve"> 2019). </w:t>
      </w:r>
    </w:p>
    <w:p w14:paraId="132F9F4D" w14:textId="77777777" w:rsidR="00BA219A" w:rsidRDefault="00BA219A" w:rsidP="00BA219A">
      <w:pPr>
        <w:spacing w:after="160" w:line="360" w:lineRule="auto"/>
        <w:jc w:val="both"/>
        <w:rPr>
          <w:rFonts w:ascii="Arial" w:hAnsi="Arial" w:cs="Arial"/>
          <w:color w:val="000000" w:themeColor="text1"/>
          <w:sz w:val="22"/>
          <w:szCs w:val="22"/>
          <w:shd w:val="clear" w:color="auto" w:fill="FFFFFF"/>
        </w:rPr>
      </w:pPr>
      <w:proofErr w:type="spellStart"/>
      <w:r>
        <w:rPr>
          <w:rFonts w:ascii="Arial" w:hAnsi="Arial" w:cs="Arial"/>
          <w:color w:val="000000" w:themeColor="text1"/>
          <w:sz w:val="22"/>
          <w:szCs w:val="22"/>
          <w:shd w:val="clear" w:color="auto" w:fill="FFFFFF"/>
        </w:rPr>
        <w:t>Hopskinson</w:t>
      </w:r>
      <w:proofErr w:type="spellEnd"/>
      <w:r>
        <w:rPr>
          <w:rFonts w:ascii="Arial" w:hAnsi="Arial" w:cs="Arial"/>
          <w:color w:val="000000" w:themeColor="text1"/>
          <w:sz w:val="22"/>
          <w:szCs w:val="22"/>
          <w:shd w:val="clear" w:color="auto" w:fill="FFFFFF"/>
        </w:rPr>
        <w:t xml:space="preserve">, </w:t>
      </w:r>
      <w:r w:rsidRPr="00827ED7">
        <w:rPr>
          <w:rFonts w:ascii="Arial" w:hAnsi="Arial" w:cs="Arial"/>
          <w:i/>
          <w:iCs/>
          <w:color w:val="000000" w:themeColor="text1"/>
          <w:sz w:val="22"/>
          <w:szCs w:val="22"/>
          <w:shd w:val="clear" w:color="auto" w:fill="FFFFFF"/>
        </w:rPr>
        <w:t>et al</w:t>
      </w:r>
      <w:r>
        <w:rPr>
          <w:rFonts w:ascii="Arial" w:hAnsi="Arial" w:cs="Arial"/>
          <w:color w:val="000000" w:themeColor="text1"/>
          <w:sz w:val="22"/>
          <w:szCs w:val="22"/>
          <w:shd w:val="clear" w:color="auto" w:fill="FFFFFF"/>
        </w:rPr>
        <w:t xml:space="preserve"> (2021) has informed us that two years ago from today the U.K government announced its vision to make the country smoke free by 2030. This vison wishes to make smoked tobacco disused altogether with the aim of smokers quitting or moving on to products such as e-cigarettes which are a reduced risk than smoking tobacco. It has been acknowledged that this move will be very challenging, to date there is still no sign of any significant action by the government as promised to fulfil this crucial public health objective. The U.K is a world leader in tobacco control but the current rate of decline in smoking is insufficient to meet the vision.  Since the announcement of the U.K vision to have a smoke free society 200 000 children under the age of 16 have taken up smoking, with the risk of two thirds of them becoming regular smokers. Unless swift action is taken by the U.K government smoking will continue to kill more people, more than the number of deaths in the pandemic. Disadvantaged groups and disadvantaged regions will benefit the most from a smoke free society as half the difference in life expectancy is between the rich and the poor as a result of smoking. Similarly Gilroy (2019) states that the Advancing Our health Green Paper sets out several aims to make 2020 “the decade of proactive, predictive and personalised prevention, with the most inspiring goal to make England smoke free by 2030.The report looks into raising funds to support smoking cessation, and also included a new measure to offer smoking cessation services for any smoker who is admitted into hospital. It is difficult to vision a smoke free society with smoking embedded in many social interactions and can be described as an element of British pub culture. </w:t>
      </w:r>
    </w:p>
    <w:p w14:paraId="24FF0997" w14:textId="77777777" w:rsidR="00BA219A" w:rsidRDefault="00BA219A" w:rsidP="00BA219A">
      <w:pPr>
        <w:spacing w:after="160" w:line="360" w:lineRule="auto"/>
        <w:jc w:val="both"/>
        <w:rPr>
          <w:rFonts w:ascii="Arial" w:hAnsi="Arial" w:cs="Arial"/>
          <w:sz w:val="22"/>
          <w:szCs w:val="22"/>
          <w:shd w:val="clear" w:color="auto" w:fill="FFFFFF"/>
        </w:rPr>
      </w:pPr>
      <w:r>
        <w:rPr>
          <w:rFonts w:ascii="Arial" w:hAnsi="Arial" w:cs="Arial"/>
          <w:color w:val="000000" w:themeColor="text1"/>
          <w:sz w:val="22"/>
          <w:szCs w:val="22"/>
          <w:shd w:val="clear" w:color="auto" w:fill="FFFFFF"/>
        </w:rPr>
        <w:t>Stott et al (2019) has mentioned that the UK Health Alliance sent a letter on climate change to the UK Prime Minister  on the 29</w:t>
      </w:r>
      <w:r w:rsidRPr="00510E3E">
        <w:rPr>
          <w:rFonts w:ascii="Arial" w:hAnsi="Arial" w:cs="Arial"/>
          <w:color w:val="000000" w:themeColor="text1"/>
          <w:sz w:val="22"/>
          <w:szCs w:val="22"/>
          <w:shd w:val="clear" w:color="auto" w:fill="FFFFFF"/>
          <w:vertAlign w:val="superscript"/>
        </w:rPr>
        <w:t>th</w:t>
      </w:r>
      <w:r>
        <w:rPr>
          <w:rFonts w:ascii="Arial" w:hAnsi="Arial" w:cs="Arial"/>
          <w:color w:val="000000" w:themeColor="text1"/>
          <w:sz w:val="22"/>
          <w:szCs w:val="22"/>
          <w:shd w:val="clear" w:color="auto" w:fill="FFFFFF"/>
        </w:rPr>
        <w:t xml:space="preserve"> of November 2019 to look into legislation for carbon net zero by 2030 to preserve the planet and human health. Sir David Attenborough and the Intergovernmental Panel on Climate Change (IPCC) stated that the climate crisis has reached </w:t>
      </w:r>
      <w:r>
        <w:rPr>
          <w:rFonts w:ascii="Arial" w:hAnsi="Arial" w:cs="Arial"/>
          <w:color w:val="000000" w:themeColor="text1"/>
          <w:sz w:val="22"/>
          <w:szCs w:val="22"/>
          <w:shd w:val="clear" w:color="auto" w:fill="FFFFFF"/>
        </w:rPr>
        <w:lastRenderedPageBreak/>
        <w:t xml:space="preserve">a new level of severity. </w:t>
      </w:r>
      <w:r w:rsidRPr="00043E09">
        <w:rPr>
          <w:rFonts w:ascii="Arial" w:hAnsi="Arial" w:cs="Arial"/>
          <w:sz w:val="22"/>
          <w:szCs w:val="22"/>
          <w:shd w:val="clear" w:color="auto" w:fill="FFFFFF"/>
        </w:rPr>
        <w:t>Russell-Jones</w:t>
      </w:r>
      <w:r>
        <w:rPr>
          <w:rFonts w:ascii="Arial" w:hAnsi="Arial" w:cs="Arial"/>
          <w:sz w:val="22"/>
          <w:szCs w:val="22"/>
          <w:shd w:val="clear" w:color="auto" w:fill="FFFFFF"/>
        </w:rPr>
        <w:t xml:space="preserve"> et al (2021) has noted that we are often being told by government ministers that the air quality in the UK is improving, sulphur dioxide has largely been eliminated by the use of low sulphur fuels and desulphurisation equipment. The UK along with other EU countries have been closing coal fired power stations but in urban areas where traffic is the major source for air pollution has been much more difficult to achieve.  In September 2020 in the UK the sales of hybrid and electric vehicles overturned the sale of new diesel vehicles. </w:t>
      </w:r>
    </w:p>
    <w:p w14:paraId="671FBDAB" w14:textId="77777777" w:rsidR="00BA219A" w:rsidRDefault="00BA219A" w:rsidP="00BA219A">
      <w:pPr>
        <w:spacing w:after="160" w:line="36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Sustainable diets can be described as diets that have a low environmental impact which provide food and nutrition for a healthier life for present and for future generations. Sustainable diets are economically fair and affordable, protective, and respectful of biodiversity and ecosystems, affordable and economically fair, safe, and healthy while utilising natural and human </w:t>
      </w:r>
      <w:r w:rsidRPr="00143A74">
        <w:rPr>
          <w:rFonts w:ascii="Arial" w:hAnsi="Arial" w:cs="Arial"/>
          <w:sz w:val="22"/>
          <w:szCs w:val="22"/>
          <w:shd w:val="clear" w:color="auto" w:fill="FFFFFF"/>
        </w:rPr>
        <w:t xml:space="preserve">resources </w:t>
      </w:r>
      <w:r>
        <w:rPr>
          <w:rFonts w:ascii="Arial" w:hAnsi="Arial" w:cs="Arial"/>
          <w:sz w:val="22"/>
          <w:szCs w:val="22"/>
          <w:shd w:val="clear" w:color="auto" w:fill="FFFFFF"/>
        </w:rPr>
        <w:t>(</w:t>
      </w:r>
      <w:proofErr w:type="spellStart"/>
      <w:r w:rsidRPr="00143A74">
        <w:rPr>
          <w:rFonts w:ascii="Arial" w:hAnsi="Arial" w:cs="Arial"/>
          <w:sz w:val="22"/>
          <w:szCs w:val="22"/>
          <w:shd w:val="clear" w:color="auto" w:fill="FFFFFF"/>
        </w:rPr>
        <w:t>Steenson</w:t>
      </w:r>
      <w:proofErr w:type="spellEnd"/>
      <w:r w:rsidRPr="00143A74">
        <w:rPr>
          <w:rFonts w:ascii="Arial" w:hAnsi="Arial" w:cs="Arial"/>
          <w:sz w:val="22"/>
          <w:szCs w:val="22"/>
          <w:shd w:val="clear" w:color="auto" w:fill="FFFFFF"/>
        </w:rPr>
        <w:t xml:space="preserve"> &amp; </w:t>
      </w:r>
      <w:proofErr w:type="spellStart"/>
      <w:r w:rsidRPr="00143A74">
        <w:rPr>
          <w:rFonts w:ascii="Arial" w:hAnsi="Arial" w:cs="Arial"/>
          <w:sz w:val="22"/>
          <w:szCs w:val="22"/>
          <w:shd w:val="clear" w:color="auto" w:fill="FFFFFF"/>
        </w:rPr>
        <w:t>Buttriss</w:t>
      </w:r>
      <w:proofErr w:type="spellEnd"/>
      <w:r w:rsidRPr="00143A74">
        <w:rPr>
          <w:rFonts w:ascii="Arial" w:hAnsi="Arial" w:cs="Arial"/>
          <w:sz w:val="22"/>
          <w:szCs w:val="22"/>
          <w:shd w:val="clear" w:color="auto" w:fill="FFFFFF"/>
        </w:rPr>
        <w:t>, 2021</w:t>
      </w:r>
      <w:r>
        <w:rPr>
          <w:rFonts w:ascii="Arial" w:hAnsi="Arial" w:cs="Arial"/>
          <w:sz w:val="22"/>
          <w:szCs w:val="22"/>
          <w:shd w:val="clear" w:color="auto" w:fill="FFFFFF"/>
        </w:rPr>
        <w:t>)</w:t>
      </w:r>
      <w:r w:rsidRPr="00143A74">
        <w:rPr>
          <w:rFonts w:ascii="Arial" w:hAnsi="Arial" w:cs="Arial"/>
          <w:sz w:val="22"/>
          <w:szCs w:val="22"/>
          <w:shd w:val="clear" w:color="auto" w:fill="FFFFFF"/>
        </w:rPr>
        <w:t xml:space="preserve">. </w:t>
      </w:r>
      <w:r w:rsidRPr="000F1626">
        <w:rPr>
          <w:rFonts w:ascii="Arial" w:hAnsi="Arial" w:cs="Arial"/>
          <w:sz w:val="22"/>
          <w:szCs w:val="22"/>
          <w:shd w:val="clear" w:color="auto" w:fill="FFFFFF"/>
        </w:rPr>
        <w:t>Mason</w:t>
      </w:r>
      <w:r>
        <w:rPr>
          <w:rFonts w:ascii="Arial" w:hAnsi="Arial" w:cs="Arial"/>
          <w:sz w:val="22"/>
          <w:szCs w:val="22"/>
          <w:shd w:val="clear" w:color="auto" w:fill="FFFFFF"/>
        </w:rPr>
        <w:t xml:space="preserve"> et al (2021) has stated that childhood obesity is rising in disadvantaged areas with the UK. </w:t>
      </w:r>
      <w:proofErr w:type="gramStart"/>
      <w:r>
        <w:rPr>
          <w:rFonts w:ascii="Arial" w:hAnsi="Arial" w:cs="Arial"/>
          <w:sz w:val="22"/>
          <w:szCs w:val="22"/>
          <w:shd w:val="clear" w:color="auto" w:fill="FFFFFF"/>
        </w:rPr>
        <w:t>Sure</w:t>
      </w:r>
      <w:proofErr w:type="gramEnd"/>
      <w:r>
        <w:rPr>
          <w:rFonts w:ascii="Arial" w:hAnsi="Arial" w:cs="Arial"/>
          <w:sz w:val="22"/>
          <w:szCs w:val="22"/>
          <w:shd w:val="clear" w:color="auto" w:fill="FFFFFF"/>
        </w:rPr>
        <w:t xml:space="preserve"> Start children centres provide a community based service for children under the age of 5 and for their parents, with services such as supporting healthy weight. Austerity driven cuts to local authorities since 2010 means that services were substantially reduced. </w:t>
      </w:r>
    </w:p>
    <w:p w14:paraId="47BC44D4" w14:textId="77777777" w:rsidR="00BA219A" w:rsidRDefault="00BA219A" w:rsidP="00BA219A">
      <w:pPr>
        <w:spacing w:after="160" w:line="360" w:lineRule="auto"/>
        <w:jc w:val="both"/>
        <w:rPr>
          <w:rFonts w:ascii="Arial" w:hAnsi="Arial" w:cs="Arial"/>
          <w:sz w:val="22"/>
          <w:szCs w:val="22"/>
          <w:shd w:val="clear" w:color="auto" w:fill="FFFFFF"/>
        </w:rPr>
      </w:pPr>
      <w:r>
        <w:rPr>
          <w:rFonts w:ascii="Arial" w:hAnsi="Arial" w:cs="Arial"/>
          <w:sz w:val="22"/>
          <w:szCs w:val="22"/>
          <w:shd w:val="clear" w:color="auto" w:fill="FFFFFF"/>
        </w:rPr>
        <w:t>40% of children in London are considered to be obese. A ten-year programme has been introduced by an organisation ‘Impact on Urban Health’ to improve the health of children living in urban areas. London has the largest rates of obesity than any other global city, in particular in the borough of Lambeth and Southwark. The programme is designed in working to change the food environments where families and children spend their time so that eating well is the easiest and not the hardest thing to do. (Impact on Urban Health 2021).</w:t>
      </w:r>
    </w:p>
    <w:p w14:paraId="1CA94E96" w14:textId="77777777" w:rsidR="00BA219A" w:rsidRDefault="00BA219A" w:rsidP="00BA219A">
      <w:pPr>
        <w:spacing w:after="160" w:line="360" w:lineRule="auto"/>
        <w:jc w:val="both"/>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U.K’s</w:t>
      </w:r>
      <w:proofErr w:type="gramEnd"/>
      <w:r>
        <w:rPr>
          <w:rFonts w:ascii="Arial" w:hAnsi="Arial" w:cs="Arial"/>
          <w:sz w:val="22"/>
          <w:szCs w:val="22"/>
        </w:rPr>
        <w:t xml:space="preserve"> </w:t>
      </w:r>
      <w:proofErr w:type="spellStart"/>
      <w:r>
        <w:rPr>
          <w:rFonts w:ascii="Arial" w:hAnsi="Arial" w:cs="Arial"/>
          <w:sz w:val="22"/>
          <w:szCs w:val="22"/>
        </w:rPr>
        <w:t>Phe</w:t>
      </w:r>
      <w:proofErr w:type="spellEnd"/>
      <w:r>
        <w:rPr>
          <w:rFonts w:ascii="Arial" w:hAnsi="Arial" w:cs="Arial"/>
          <w:sz w:val="22"/>
          <w:szCs w:val="22"/>
        </w:rPr>
        <w:t xml:space="preserve"> strategy also aim t</w:t>
      </w:r>
      <w:r w:rsidRPr="0064006F">
        <w:rPr>
          <w:rFonts w:ascii="Arial" w:hAnsi="Arial" w:cs="Arial"/>
          <w:sz w:val="22"/>
          <w:szCs w:val="22"/>
        </w:rPr>
        <w:t>o contribute towards measurable improvements in mental healt</w:t>
      </w:r>
      <w:r>
        <w:rPr>
          <w:rFonts w:ascii="Arial" w:hAnsi="Arial" w:cs="Arial"/>
          <w:sz w:val="22"/>
          <w:szCs w:val="22"/>
        </w:rPr>
        <w:t xml:space="preserve">h. One of the main aims is to reduce suicide rates by 10% by 2021/22 and to maintain a downward trend beyond 2022. (PHE Strategy 2020-2025, 2021). The Office for National Statistic (UK) has revealed that the suicide rate for 2020 was lower than that in 2019 but this may be due to the delay in registration of deaths due to the pandemic (Office For National Statistics 2021). These figures show that mental health has not significantly improved in the U.K. More needs to be done across communities and the government. </w:t>
      </w:r>
    </w:p>
    <w:p w14:paraId="2638949B" w14:textId="77777777" w:rsidR="00BA219A" w:rsidRDefault="00BA219A" w:rsidP="00BA219A">
      <w:pPr>
        <w:spacing w:after="160" w:line="360" w:lineRule="auto"/>
        <w:jc w:val="both"/>
        <w:rPr>
          <w:rFonts w:ascii="Arial" w:hAnsi="Arial" w:cs="Arial"/>
          <w:sz w:val="22"/>
          <w:szCs w:val="22"/>
        </w:rPr>
      </w:pPr>
      <w:r>
        <w:rPr>
          <w:rFonts w:ascii="Arial" w:hAnsi="Arial" w:cs="Arial"/>
          <w:sz w:val="22"/>
          <w:szCs w:val="22"/>
        </w:rPr>
        <w:t xml:space="preserve">The PHE Strategy also states that is will work towards a fairer society and give children and their families the best start in life. Britain is said to have lost a decade as it shows that health has stopped improving and health inequalities have grown even more. In parts of England life expectancy has fallen amongst women in deprived communities. The U. K’s health has not been improving year after year but shockingly becoming worse (Marmot 2020). </w:t>
      </w:r>
    </w:p>
    <w:p w14:paraId="63A9B60E" w14:textId="77777777" w:rsidR="00BA219A" w:rsidRPr="00A43D22" w:rsidRDefault="00BA219A" w:rsidP="00BA219A">
      <w:pPr>
        <w:spacing w:after="160" w:line="360" w:lineRule="auto"/>
        <w:jc w:val="both"/>
        <w:rPr>
          <w:rFonts w:ascii="Arial" w:hAnsi="Arial" w:cs="Arial"/>
          <w:sz w:val="22"/>
          <w:szCs w:val="22"/>
        </w:rPr>
      </w:pPr>
      <w:r>
        <w:rPr>
          <w:rFonts w:ascii="Arial" w:hAnsi="Arial" w:cs="Arial"/>
          <w:sz w:val="22"/>
          <w:szCs w:val="22"/>
        </w:rPr>
        <w:lastRenderedPageBreak/>
        <w:t xml:space="preserve">Anderson et al (2021) has noted that around 13% of the overall workforce within the UK is employed in one of its biggest sectors namely Health and Social care. Even though great efforts have been made to make this sector effective it has been criticised. The training, education and the work force have criticised in that the response to changes in health and in care have not been responded to. This has resulted in constant vacancies within the health and social care sector, low spirit, and low maintenance. Shortfalls of staff have resulted in the UK employing foreign and temporary staff, skill mix being of small-scale changes and reliance of enhanced recruitment drives. The impending challenges that the UK faces in the health and social care workforce are factors such growing multimorbidity, a rising shortfall in the supply of unpaid carers, and the declining attractiveness to be employed in the UK’s National Health Service (NHS), across an international level. The arguments to secure a sustainable and a health care work force that is fit for purpose include integration, education and training needs to be updated to keep up to date with roles and skill mix and the trend of multidisciplinary working. Career development opportunities need to be more enhanced as well as the promotion of staff wellbeing, and demolishing discrimination within the NHS are all factors to improve recruitment, retention and the morale of current staff and future staff. </w:t>
      </w:r>
    </w:p>
    <w:p w14:paraId="00BA1653" w14:textId="77777777" w:rsidR="00BA219A" w:rsidRPr="00472704" w:rsidRDefault="00BA219A" w:rsidP="00BA219A">
      <w:pPr>
        <w:spacing w:after="160" w:line="360" w:lineRule="auto"/>
        <w:jc w:val="both"/>
        <w:rPr>
          <w:rFonts w:ascii="Arial" w:hAnsi="Arial" w:cs="Arial"/>
          <w:color w:val="222222"/>
        </w:rPr>
      </w:pPr>
      <w:r>
        <w:rPr>
          <w:rFonts w:ascii="Arial" w:hAnsi="Arial" w:cs="Arial"/>
          <w:sz w:val="22"/>
          <w:szCs w:val="22"/>
        </w:rPr>
        <w:t>Leal et al (2020) has stated that current trends suggest that the implementation of the SDG’s may be delayed due to the current pandemic. The level of priority given to implement the goals has been lowered due to many socio-economic pressures and setbacks. However, SDG’s such as fighting poverty and eradicating hunger may be partly undermined by Covid-19. Implementing the SDG’s is more vital now than ever so that the quality of life can be improved for all. The pandemic may lead to a transformation which is still currently a threat and viewed as a global opportunity providing a new impulse to lead the realization of the UN Agenda 2030 and in particular the SDG’s.</w:t>
      </w:r>
    </w:p>
    <w:p w14:paraId="34BF170F" w14:textId="77777777" w:rsidR="00D52170" w:rsidRDefault="00F73723"/>
    <w:sectPr w:rsidR="00D521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94E65C" w14:textId="77777777" w:rsidR="00985F00" w:rsidRDefault="00985F00" w:rsidP="00985F00">
      <w:r>
        <w:separator/>
      </w:r>
    </w:p>
  </w:endnote>
  <w:endnote w:type="continuationSeparator" w:id="0">
    <w:p w14:paraId="68386649" w14:textId="77777777" w:rsidR="00985F00" w:rsidRDefault="00985F00" w:rsidP="00985F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A3C22F" w14:textId="77777777" w:rsidR="00985F00" w:rsidRDefault="00985F00" w:rsidP="00985F00">
      <w:r>
        <w:separator/>
      </w:r>
    </w:p>
  </w:footnote>
  <w:footnote w:type="continuationSeparator" w:id="0">
    <w:p w14:paraId="7C44C0E5" w14:textId="77777777" w:rsidR="00985F00" w:rsidRDefault="00985F00" w:rsidP="00985F0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3AB"/>
    <w:rsid w:val="001633AB"/>
    <w:rsid w:val="00436F77"/>
    <w:rsid w:val="00521A56"/>
    <w:rsid w:val="0074752F"/>
    <w:rsid w:val="00972FDB"/>
    <w:rsid w:val="00985F00"/>
    <w:rsid w:val="00A5229B"/>
    <w:rsid w:val="00BA219A"/>
    <w:rsid w:val="00C65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F87D7"/>
  <w15:chartTrackingRefBased/>
  <w15:docId w15:val="{63941381-B6FD-4F28-BD09-F4A155B02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3A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33AB"/>
    <w:rPr>
      <w:color w:val="0000FF"/>
      <w:u w:val="single"/>
    </w:rPr>
  </w:style>
  <w:style w:type="paragraph" w:styleId="BalloonText">
    <w:name w:val="Balloon Text"/>
    <w:basedOn w:val="Normal"/>
    <w:link w:val="BalloonTextChar"/>
    <w:uiPriority w:val="99"/>
    <w:semiHidden/>
    <w:unhideWhenUsed/>
    <w:rsid w:val="001633A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33AB"/>
    <w:rPr>
      <w:rFonts w:ascii="Segoe UI" w:eastAsia="Times New Roman" w:hAnsi="Segoe UI" w:cs="Segoe UI"/>
      <w:sz w:val="18"/>
      <w:szCs w:val="18"/>
      <w:lang w:eastAsia="en-GB"/>
    </w:rPr>
  </w:style>
  <w:style w:type="paragraph" w:styleId="Header">
    <w:name w:val="header"/>
    <w:basedOn w:val="Normal"/>
    <w:link w:val="HeaderChar"/>
    <w:uiPriority w:val="99"/>
    <w:unhideWhenUsed/>
    <w:rsid w:val="00985F00"/>
    <w:pPr>
      <w:tabs>
        <w:tab w:val="center" w:pos="4513"/>
        <w:tab w:val="right" w:pos="9026"/>
      </w:tabs>
    </w:pPr>
  </w:style>
  <w:style w:type="character" w:customStyle="1" w:styleId="HeaderChar">
    <w:name w:val="Header Char"/>
    <w:basedOn w:val="DefaultParagraphFont"/>
    <w:link w:val="Header"/>
    <w:uiPriority w:val="99"/>
    <w:rsid w:val="00985F0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85F00"/>
    <w:pPr>
      <w:tabs>
        <w:tab w:val="center" w:pos="4513"/>
        <w:tab w:val="right" w:pos="9026"/>
      </w:tabs>
    </w:pPr>
  </w:style>
  <w:style w:type="character" w:customStyle="1" w:styleId="FooterChar">
    <w:name w:val="Footer Char"/>
    <w:basedOn w:val="DefaultParagraphFont"/>
    <w:link w:val="Footer"/>
    <w:uiPriority w:val="99"/>
    <w:rsid w:val="00985F0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Gov.uk" TargetMode="External"/><Relationship Id="rId5" Type="http://schemas.openxmlformats.org/officeDocument/2006/relationships/settings" Target="settings.xml"/><Relationship Id="rId10" Type="http://schemas.openxmlformats.org/officeDocument/2006/relationships/hyperlink" Target="http://Www.Gov.uk" TargetMode="External"/><Relationship Id="rId4" Type="http://schemas.openxmlformats.org/officeDocument/2006/relationships/styles" Target="styles.xml"/><Relationship Id="rId9" Type="http://schemas.openxmlformats.org/officeDocument/2006/relationships/hyperlink" Target="http://WWW.Parliment.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f7f964f0dc11e8cb87b2fbff62d8d6b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b10e2653281f92e1226b5581b579c4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A4AF438-2216-46EE-A054-16980A9C38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5B6026-AD16-46E3-A1E1-15715E5977D5}">
  <ds:schemaRefs>
    <ds:schemaRef ds:uri="http://schemas.microsoft.com/office/2006/metadata/properties"/>
    <ds:schemaRef ds:uri="http://purl.org/dc/elements/1.1/"/>
    <ds:schemaRef ds:uri="8e4cb740-4a10-46c5-90de-9cf76d8df684"/>
    <ds:schemaRef ds:uri="http://purl.org/dc/terms/"/>
    <ds:schemaRef ds:uri="http://schemas.openxmlformats.org/package/2006/metadata/core-properties"/>
    <ds:schemaRef ds:uri="http://purl.org/dc/dcmitype/"/>
    <ds:schemaRef ds:uri="http://schemas.microsoft.com/office/infopath/2007/PartnerControls"/>
    <ds:schemaRef ds:uri="6ce03418-4b85-46e6-9705-46dd5ee7fda4"/>
    <ds:schemaRef ds:uri="http://schemas.microsoft.com/office/2006/documentManagement/types"/>
    <ds:schemaRef ds:uri="http://www.w3.org/XML/1998/namespace"/>
  </ds:schemaRefs>
</ds:datastoreItem>
</file>

<file path=customXml/itemProps3.xml><?xml version="1.0" encoding="utf-8"?>
<ds:datastoreItem xmlns:ds="http://schemas.openxmlformats.org/officeDocument/2006/customXml" ds:itemID="{9B8576EB-CED4-466E-99EC-0623FE4E375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3639</Words>
  <Characters>20743</Characters>
  <Application>Microsoft Office Word</Application>
  <DocSecurity>0</DocSecurity>
  <Lines>172</Lines>
  <Paragraphs>48</Paragraphs>
  <ScaleCrop>false</ScaleCrop>
  <Company/>
  <LinksUpToDate>false</LinksUpToDate>
  <CharactersWithSpaces>24334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Khan (1807432)</dc:creator>
  <cp:keywords/>
  <dc:description/>
  <cp:lastModifiedBy>Naseem Khan (1807432)</cp:lastModifiedBy>
  <cp:revision>2</cp:revision>
  <dcterms:created xsi:type="dcterms:W3CDTF">2021-12-06T20:53:00Z</dcterms:created>
  <dcterms:modified xsi:type="dcterms:W3CDTF">2021-12-06T20:53:00Z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