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2F9F" w:rsidRDefault="009D2F9F" w:rsidP="009D2F9F">
      <w:r w:rsidRPr="009D2F9F">
        <w:t>"In the sense in which there are processes (including mental processes) which are characteristic of understanding, understanding is not a mental process." (PI 154) What is Wittgenstein's point here?</w:t>
      </w:r>
    </w:p>
    <w:p w:rsidR="009D2F9F" w:rsidRDefault="009D2F9F" w:rsidP="009D2F9F">
      <w:r>
        <w:t xml:space="preserve">Wittgenstein opens the “Philisophical Investigations” with an extract from Augustine, which is used to elucidate the themes with which the PI </w:t>
      </w:r>
      <w:r w:rsidR="000A715A">
        <w:t>quarrels, those of language and the way we prescribe meaning and names. The quote from Augustine describes ostensive teaching and how he learnt the meaning of objects by correctly prescribing their names, and how these names can be placed into combinations to form sentences.</w:t>
      </w:r>
    </w:p>
    <w:p w:rsidR="000304EC" w:rsidRDefault="000A715A" w:rsidP="009D2F9F">
      <w:r>
        <w:t xml:space="preserve">However this idea becomes problematic when phenomena that seemingly have no material essence or denote no object, love, justice, metaphysics. If it cannot be pointed to, or its name is used in reference to an overabundance of things, it can become almost meaningless. </w:t>
      </w:r>
      <w:r w:rsidR="002C29C6">
        <w:t xml:space="preserve"> </w:t>
      </w:r>
      <w:r>
        <w:t xml:space="preserve">Plato wrote a Dialog on the subject, Socrates asked half of Athens the meaning of words they had used, and philosophy </w:t>
      </w:r>
      <w:r w:rsidR="000304EC">
        <w:t xml:space="preserve">it could be said loosely that Wittgenstein believed lost its way.    </w:t>
      </w:r>
    </w:p>
    <w:p w:rsidR="002C29C6" w:rsidRDefault="002C29C6" w:rsidP="009D2F9F">
      <w:r>
        <w:t xml:space="preserve">The name theory, </w:t>
      </w:r>
      <w:r w:rsidRPr="002C29C6">
        <w:t xml:space="preserve">can be argued against by saying that even when using a correct name, the name refers to a sample for the word, which you then apply the rules of grammar, </w:t>
      </w:r>
      <w:r w:rsidR="007174C2" w:rsidRPr="002C29C6">
        <w:t>and</w:t>
      </w:r>
      <w:r w:rsidR="007174C2">
        <w:t xml:space="preserve"> </w:t>
      </w:r>
      <w:r w:rsidR="007174C2" w:rsidRPr="002C29C6">
        <w:t>there</w:t>
      </w:r>
      <w:r w:rsidR="007174C2">
        <w:t xml:space="preserve"> </w:t>
      </w:r>
      <w:r w:rsidRPr="002C29C6">
        <w:t>could be other grammar other rules.</w:t>
      </w:r>
    </w:p>
    <w:p w:rsidR="000304EC" w:rsidRDefault="000304EC" w:rsidP="009D2F9F">
      <w:r>
        <w:t>The Pi has been referred to as a cure for the d</w:t>
      </w:r>
      <w:r w:rsidR="007174C2">
        <w:t>isease of the understanding</w:t>
      </w:r>
      <w:r>
        <w:t xml:space="preserve"> and it is by dissolving the misconceptions of our understanding of language and grammar that Wittgenstein’s PI will clear the confusion.</w:t>
      </w:r>
    </w:p>
    <w:p w:rsidR="002C29C6" w:rsidRDefault="000304EC" w:rsidP="009D2F9F">
      <w:r>
        <w:t xml:space="preserve">Why it is important to remove the Understanding from a set that combines all the other supposed “mental processes”, to gain a way of understanding </w:t>
      </w:r>
      <w:r w:rsidR="002C29C6">
        <w:t>that allows us to examine in a new light the ideas that have reoccurred in and continued philosophy.</w:t>
      </w:r>
    </w:p>
    <w:p w:rsidR="002C29C6" w:rsidRDefault="002C29C6" w:rsidP="009D2F9F">
      <w:r>
        <w:t>If the Understanding were a mental process, then my understanding of other and of propositions and language would all be something only I could have a viewpoint on, my understanding of others would also be private, my ability to deduce their emotional states left to inference, leaving each individual isolated from the objective world</w:t>
      </w:r>
      <w:r w:rsidR="00EC6268">
        <w:t>, this has grave effects on what can be known to be true, a theme philosophy is based upon.</w:t>
      </w:r>
    </w:p>
    <w:p w:rsidR="00EC6268" w:rsidRDefault="00EC6268" w:rsidP="009D2F9F">
      <w:r>
        <w:t>And an idea Wittgenstein provoked, if we look at a comment from the PI concerning understanding, it would become clearer what the point of this endeavour is.</w:t>
      </w:r>
    </w:p>
    <w:p w:rsidR="00EC6268" w:rsidRDefault="00EC6268" w:rsidP="009D2F9F">
      <w:r>
        <w:t>After asking what it is to understand a picture, he follows:</w:t>
      </w:r>
    </w:p>
    <w:p w:rsidR="00EC6268" w:rsidRDefault="00EC6268" w:rsidP="009D2F9F">
      <w:r>
        <w:t xml:space="preserve">  “Here to there is understanding and failure to understand. And here to these expressions may mean various kinds of thing.”</w:t>
      </w:r>
    </w:p>
    <w:p w:rsidR="00D30831" w:rsidRDefault="00EC6268" w:rsidP="009D2F9F">
      <w:r>
        <w:t>The quote give light on his views of the understand</w:t>
      </w:r>
      <w:r w:rsidR="00D30831">
        <w:t>ing</w:t>
      </w:r>
      <w:r>
        <w:t xml:space="preserve"> it as I see it. By asking what it is to understand something which itself can be seen as an aspect of understanding as he has the ability to query the world</w:t>
      </w:r>
      <w:r w:rsidR="00D30831">
        <w:t xml:space="preserve"> which shows that there must be a supposed structure of the world that you have to be able to query it asking questions about something means you must see it one way or the other, understand it one way or the other. </w:t>
      </w:r>
    </w:p>
    <w:p w:rsidR="00D30831" w:rsidRDefault="00D30831" w:rsidP="009D2F9F">
      <w:r>
        <w:t>Also</w:t>
      </w:r>
      <w:r w:rsidR="00EC6268">
        <w:t xml:space="preserve"> to notice </w:t>
      </w:r>
      <w:r>
        <w:t>discrepancies,</w:t>
      </w:r>
      <w:r w:rsidR="00EC6268">
        <w:t xml:space="preserve"> and by showing the supposed problematic contradiction of understanding and not understanding he show</w:t>
      </w:r>
      <w:r>
        <w:t>s</w:t>
      </w:r>
      <w:r w:rsidR="00EC6268">
        <w:t xml:space="preserve"> the problem in our thought of the understanding.</w:t>
      </w:r>
      <w:r>
        <w:t xml:space="preserve"> He questions his understanding because of the inability to name some of the objects, if they’re objects that feature upon the still life picture when seen in its metaphorical setting is analogical with philosophy’s behaviour towards meaning, if we cannot correctly prescribe its name then it cannot be understood.</w:t>
      </w:r>
    </w:p>
    <w:p w:rsidR="00D30831" w:rsidRDefault="00D30831" w:rsidP="009D2F9F">
      <w:r>
        <w:lastRenderedPageBreak/>
        <w:t>A way of thinking about why this is wrong and how the Understanding is not a mental process but is the thing that is done, for instance to show my understanding of 2+2= after the equals I will write 4 without the requirement of aid, is too look at what leads to my understanding of things</w:t>
      </w:r>
      <w:r w:rsidR="000C4DC3">
        <w:t>, I believe that Wittgenstein would be open to the idea that understanding is gained through appropriation rather than approximation as the latter relies on a certain level of inference.</w:t>
      </w:r>
    </w:p>
    <w:p w:rsidR="00EC6268" w:rsidRDefault="00EC6268" w:rsidP="009D2F9F">
      <w:r>
        <w:t xml:space="preserve"> </w:t>
      </w:r>
      <w:r w:rsidR="000C4DC3">
        <w:t>to teach anyone the sum 2+2=4 will not result in them having an understanding of mathematics, if this is all they know of maths then it is probable that they have no understanding of why it =4, what 4 is how it can be broken down into four 1’s etc. it would be a fair question to ask if anyone could understand the entirety of mathematics, however we say that an accountant will have a much better or a working understanding compare to someone who has studied math’s only at school. Which could be said to show how experience lends to understanding however we can be shown the superior understanding by the accountant’s ability to work with a wider range of mathematical propositions, the way he uses numbers and equations to carry out his work.</w:t>
      </w:r>
    </w:p>
    <w:p w:rsidR="000C4DC3" w:rsidRDefault="00CE0784" w:rsidP="009D2F9F">
      <w:r>
        <w:t>This shows that experience is not the same as the understanding, it can help form, but is not the way that the understanding is manifested.</w:t>
      </w:r>
    </w:p>
    <w:p w:rsidR="00CE0784" w:rsidRDefault="00CE0784" w:rsidP="009D2F9F">
      <w:r>
        <w:t>Another example of a mental process that may be used in the configuration of a person’s understanding of the subject and which also presupposes some sort of understanding of the phenomena it manipulates is the imagination, the imaginations is crucial in forming an understanding, to give an example, to teach a child a colour by pointing towards it, in theory sounds great to us, however, we know what to point is, we also know it is used to signify the objected pointed at, a baby knows none of this, and unless it is able to create a link between the two distinct entities of pointing and objected pointed at  it will not know or understand what I am doing.</w:t>
      </w:r>
    </w:p>
    <w:p w:rsidR="00CE0784" w:rsidRDefault="00CE0784" w:rsidP="009D2F9F">
      <w:r>
        <w:t>The imagination allows us to create, it is not rational that an adult with one arm stretched and one finger stretched, is trying to get me to look at an object separate from the adult, it is a possibility, which is what the imagination creates. Yet this is not the sole engine of the understanding, I can quite easily make links that turn out to be false in the objective, material world and falsity is the fire for understanding.</w:t>
      </w:r>
    </w:p>
    <w:p w:rsidR="009D2726" w:rsidRDefault="009D2726" w:rsidP="009D2F9F">
      <w:r>
        <w:t xml:space="preserve">The Understanding is not the separate elements found within the reaction, it is the complete product, the answer we write down, my essay shows my understanding and lack of understanding of Wittgenstein, the thoughts I have about him are not until they are actual words upon a page, or utterance upon the world. </w:t>
      </w:r>
    </w:p>
    <w:p w:rsidR="00CE0784" w:rsidRDefault="009D2726" w:rsidP="009D2F9F">
      <w:r>
        <w:t>Wittgenstein’s pursuit of what understanding is, all amounts in him using it to show how we can start to understand the meaning of words within our complex language, words to Wittgenstein are tools</w:t>
      </w:r>
      <w:r w:rsidR="00EB4EC7">
        <w:t xml:space="preserve">, some are capable of multiple jobs, some are specialized and are used only for certain tasks as they will damage other tools when used with them, which in philosophical terms leads to the problems of Language Games. </w:t>
      </w:r>
      <w:r w:rsidR="00032A27">
        <w:t xml:space="preserve">Our using the wrong tool in the wrong situation amounts in Wittgenstein terms of rule breaking, there are rules to Grammar and my ability to follow these rules amounts to my understanding the rules and word. </w:t>
      </w:r>
      <w:r w:rsidR="00EB4EC7">
        <w:t xml:space="preserve">Our understanding of a word </w:t>
      </w:r>
      <w:r w:rsidR="00032A27">
        <w:t>is our ability to use it within its appropriate context and there are some words which we must admit we do not understand the use of or have particular uses to oneself.</w:t>
      </w:r>
    </w:p>
    <w:p w:rsidR="00EB4EC7" w:rsidRDefault="00EB4EC7" w:rsidP="009D2F9F"/>
    <w:p w:rsidR="000304EC" w:rsidRDefault="000304EC" w:rsidP="009D2F9F">
      <w:r>
        <w:t xml:space="preserve">                   </w:t>
      </w:r>
    </w:p>
    <w:p w:rsidR="000A715A" w:rsidRDefault="000304EC" w:rsidP="009D2F9F">
      <w:r>
        <w:t xml:space="preserve"> </w:t>
      </w:r>
    </w:p>
    <w:p w:rsidR="000A715A" w:rsidRDefault="007174C2" w:rsidP="009D2F9F">
      <w:r>
        <w:lastRenderedPageBreak/>
        <w:t>Bibliography</w:t>
      </w:r>
    </w:p>
    <w:p w:rsidR="007174C2" w:rsidRDefault="007174C2" w:rsidP="009D2F9F">
      <w:r>
        <w:t>Glock, Hans-Johann, 1960</w:t>
      </w:r>
    </w:p>
    <w:p w:rsidR="007174C2" w:rsidRDefault="007174C2" w:rsidP="009D2F9F">
      <w:r>
        <w:t>A Wittgenstein Dictionary ( The Blackwell philosophers dictionaries)</w:t>
      </w:r>
    </w:p>
    <w:p w:rsidR="007174C2" w:rsidRDefault="007174C2" w:rsidP="009D2F9F"/>
    <w:p w:rsidR="007174C2" w:rsidRDefault="007174C2" w:rsidP="009D2F9F">
      <w:r>
        <w:t>Philisophical Investigations</w:t>
      </w:r>
    </w:p>
    <w:p w:rsidR="007174C2" w:rsidRPr="009D2F9F" w:rsidRDefault="007174C2" w:rsidP="009D2F9F">
      <w:r>
        <w:t>Ludwig Wittgenstein.</w:t>
      </w:r>
      <w:bookmarkStart w:id="0" w:name="_GoBack"/>
      <w:bookmarkEnd w:id="0"/>
    </w:p>
    <w:sectPr w:rsidR="007174C2" w:rsidRPr="009D2F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4D1B" w:rsidRDefault="00A64D1B" w:rsidP="00032A27">
      <w:pPr>
        <w:spacing w:after="0" w:line="240" w:lineRule="auto"/>
      </w:pPr>
      <w:r>
        <w:separator/>
      </w:r>
    </w:p>
  </w:endnote>
  <w:endnote w:type="continuationSeparator" w:id="0">
    <w:p w:rsidR="00A64D1B" w:rsidRDefault="00A64D1B" w:rsidP="00032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4D1B" w:rsidRDefault="00A64D1B" w:rsidP="00032A27">
      <w:pPr>
        <w:spacing w:after="0" w:line="240" w:lineRule="auto"/>
      </w:pPr>
      <w:r>
        <w:separator/>
      </w:r>
    </w:p>
  </w:footnote>
  <w:footnote w:type="continuationSeparator" w:id="0">
    <w:p w:rsidR="00A64D1B" w:rsidRDefault="00A64D1B" w:rsidP="00032A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F9F"/>
    <w:rsid w:val="000304EC"/>
    <w:rsid w:val="00032A27"/>
    <w:rsid w:val="000A715A"/>
    <w:rsid w:val="000C4DC3"/>
    <w:rsid w:val="002306B6"/>
    <w:rsid w:val="002C29C6"/>
    <w:rsid w:val="007174C2"/>
    <w:rsid w:val="009D2726"/>
    <w:rsid w:val="009D2F9F"/>
    <w:rsid w:val="00A64D1B"/>
    <w:rsid w:val="00CE0784"/>
    <w:rsid w:val="00D30831"/>
    <w:rsid w:val="00EB4EC7"/>
    <w:rsid w:val="00EC6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9994C"/>
  <w15:chartTrackingRefBased/>
  <w15:docId w15:val="{4E8F96D5-8E4F-4D39-A935-1685D7226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032A2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32A27"/>
    <w:rPr>
      <w:sz w:val="20"/>
      <w:szCs w:val="20"/>
    </w:rPr>
  </w:style>
  <w:style w:type="character" w:styleId="EndnoteReference">
    <w:name w:val="endnote reference"/>
    <w:basedOn w:val="DefaultParagraphFont"/>
    <w:uiPriority w:val="99"/>
    <w:semiHidden/>
    <w:unhideWhenUsed/>
    <w:rsid w:val="00032A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A659B-EC40-4AC2-B916-04E404178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Pages>
  <Words>1076</Words>
  <Characters>6134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 Robert Jamieson</dc:creator>
  <cp:keywords/>
  <dc:description/>
  <cp:lastModifiedBy>Scot Jamieson (1501527)</cp:lastModifiedBy>
  <cp:revision>3</cp:revision>
  <dcterms:created xsi:type="dcterms:W3CDTF">2018-01-17T18:42:00Z</dcterms:created>
  <dcterms:modified xsi:type="dcterms:W3CDTF">2018-01-17T20:27:00Z</dcterms:modified>
</cp:coreProperties>
</file>