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highlight w:val="white"/>
        </w:rPr>
      </w:pPr>
      <w:r w:rsidDel="00000000" w:rsidR="00000000" w:rsidRPr="00000000">
        <w:rPr>
          <w:rtl w:val="0"/>
        </w:rPr>
      </w:r>
    </w:p>
    <w:p w:rsidR="00000000" w:rsidDel="00000000" w:rsidP="00000000" w:rsidRDefault="00000000" w:rsidRPr="00000000" w14:paraId="00000002">
      <w:pPr>
        <w:rPr>
          <w:highlight w:val="white"/>
        </w:rPr>
      </w:pPr>
      <w:r w:rsidDel="00000000" w:rsidR="00000000" w:rsidRPr="00000000">
        <w:rPr>
          <w:rtl w:val="0"/>
        </w:rPr>
      </w:r>
    </w:p>
    <w:p w:rsidR="00000000" w:rsidDel="00000000" w:rsidP="00000000" w:rsidRDefault="00000000" w:rsidRPr="00000000" w14:paraId="00000003">
      <w:pPr>
        <w:rPr>
          <w:shd w:fill="d5a6bd" w:val="clear"/>
        </w:rPr>
      </w:pPr>
      <w:r w:rsidDel="00000000" w:rsidR="00000000" w:rsidRPr="00000000">
        <w:rPr>
          <w:rtl w:val="0"/>
        </w:rPr>
      </w:r>
    </w:p>
    <w:p w:rsidR="00000000" w:rsidDel="00000000" w:rsidP="00000000" w:rsidRDefault="00000000" w:rsidRPr="00000000" w14:paraId="00000004">
      <w:pPr>
        <w:jc w:val="center"/>
        <w:rPr>
          <w:shd w:fill="d5a6bd" w:val="clear"/>
        </w:rPr>
      </w:pPr>
      <w:r w:rsidDel="00000000" w:rsidR="00000000" w:rsidRPr="00000000">
        <w:rPr>
          <w:shd w:fill="d5a6bd" w:val="clear"/>
          <w:rtl w:val="0"/>
        </w:rPr>
        <w:t xml:space="preserve">What are the main characteristics that define ‘Genocide’? Your answer should pay due attention to the UN Convention of 1948. </w:t>
      </w:r>
    </w:p>
    <w:p w:rsidR="00000000" w:rsidDel="00000000" w:rsidP="00000000" w:rsidRDefault="00000000" w:rsidRPr="00000000" w14:paraId="00000005">
      <w:pPr>
        <w:pBdr>
          <w:top w:color="auto" w:space="0" w:sz="0" w:val="none"/>
          <w:bottom w:color="auto" w:space="0" w:sz="0" w:val="none"/>
          <w:right w:color="auto" w:space="0" w:sz="0" w:val="none"/>
          <w:between w:color="auto" w:space="0" w:sz="0" w:val="none"/>
        </w:pBdr>
        <w:shd w:fill="ffffff" w:val="clear"/>
        <w:spacing w:after="600" w:lineRule="auto"/>
        <w:rPr>
          <w:rFonts w:ascii="Roboto" w:cs="Roboto" w:eastAsia="Roboto" w:hAnsi="Roboto"/>
          <w:color w:val="2b2b2b"/>
          <w:sz w:val="24"/>
          <w:szCs w:val="24"/>
          <w:highlight w:val="white"/>
        </w:rPr>
      </w:pPr>
      <w:r w:rsidDel="00000000" w:rsidR="00000000" w:rsidRPr="00000000">
        <w:rPr>
          <w:rtl w:val="0"/>
        </w:rPr>
      </w:r>
    </w:p>
    <w:p w:rsidR="00000000" w:rsidDel="00000000" w:rsidP="00000000" w:rsidRDefault="00000000" w:rsidRPr="00000000" w14:paraId="00000006">
      <w:pPr>
        <w:pBdr>
          <w:top w:color="auto" w:space="0" w:sz="0" w:val="none"/>
          <w:bottom w:color="auto" w:space="0" w:sz="0" w:val="none"/>
          <w:right w:color="auto" w:space="0" w:sz="0" w:val="none"/>
          <w:between w:color="auto" w:space="0" w:sz="0" w:val="none"/>
        </w:pBdr>
        <w:shd w:fill="ffffff" w:val="clear"/>
        <w:spacing w:after="0" w:lineRule="auto"/>
        <w:jc w:val="both"/>
        <w:rPr>
          <w:rFonts w:ascii="Roboto" w:cs="Roboto" w:eastAsia="Roboto" w:hAnsi="Roboto"/>
          <w:color w:val="2b2b2b"/>
          <w:sz w:val="24"/>
          <w:szCs w:val="24"/>
          <w:highlight w:val="white"/>
        </w:rPr>
      </w:pPr>
      <w:r w:rsidDel="00000000" w:rsidR="00000000" w:rsidRPr="00000000">
        <w:rPr>
          <w:rFonts w:ascii="Roboto" w:cs="Roboto" w:eastAsia="Roboto" w:hAnsi="Roboto"/>
          <w:color w:val="2b2b2b"/>
          <w:sz w:val="24"/>
          <w:szCs w:val="24"/>
          <w:highlight w:val="white"/>
          <w:rtl w:val="0"/>
        </w:rPr>
        <w:t xml:space="preserve">Genocide is more than just the eradication, or attempted eradication of a group of people. There are many characteristics of genocide, perhaps the most commonly known being that genocide is a crime with the intent of destroying a body of people, this can include the intent to destroy just part of a group. However, this does not mean that any attempt has to be successful. For a crime to be considered a genocide there are five points outlined in the Genocide Convention of 1948 that cover the acts that may be committed in an attempt to destroy the aforementioned group: The first is killing members of the group, this is what most people think of when asked to define genocide; The second act is causing significant bodily or mental harm; The third is forcing the group to suffer conditions that are calculated to cause their destruction, this could include unsafe living arrangements that would knowingly spread disease and illness such as the buildings used to house prisoners at concentration camps such as Auchwitz; Next is purposely implementing measures that intend to prevent births within the group, this can include procedures such as chemical castration and hysterectomies in order to prevent conception as well as the abortion of fetus’ that are already concieved; The final act is forcibly transferring children from within the targeted group into another group.</w:t>
      </w:r>
      <w:r w:rsidDel="00000000" w:rsidR="00000000" w:rsidRPr="00000000">
        <w:rPr>
          <w:rFonts w:ascii="Roboto" w:cs="Roboto" w:eastAsia="Roboto" w:hAnsi="Roboto"/>
          <w:color w:val="2b2b2b"/>
          <w:sz w:val="24"/>
          <w:szCs w:val="24"/>
          <w:highlight w:val="white"/>
          <w:vertAlign w:val="superscript"/>
        </w:rPr>
        <w:footnoteReference w:customMarkFollows="0" w:id="0"/>
      </w:r>
      <w:r w:rsidDel="00000000" w:rsidR="00000000" w:rsidRPr="00000000">
        <w:rPr>
          <w:rtl w:val="0"/>
        </w:rPr>
      </w:r>
    </w:p>
    <w:p w:rsidR="00000000" w:rsidDel="00000000" w:rsidP="00000000" w:rsidRDefault="00000000" w:rsidRPr="00000000" w14:paraId="00000007">
      <w:pPr>
        <w:pBdr>
          <w:top w:color="auto" w:space="0" w:sz="0" w:val="none"/>
          <w:bottom w:color="auto" w:space="0" w:sz="0" w:val="none"/>
          <w:right w:color="auto" w:space="0" w:sz="0" w:val="none"/>
          <w:between w:color="auto" w:space="0" w:sz="0" w:val="none"/>
        </w:pBdr>
        <w:shd w:fill="ffffff" w:val="clear"/>
        <w:spacing w:after="0" w:lineRule="auto"/>
        <w:jc w:val="both"/>
        <w:rPr>
          <w:rFonts w:ascii="Roboto" w:cs="Roboto" w:eastAsia="Roboto" w:hAnsi="Roboto"/>
          <w:color w:val="2b2b2b"/>
          <w:sz w:val="24"/>
          <w:szCs w:val="24"/>
          <w:highlight w:val="white"/>
        </w:rPr>
      </w:pPr>
      <w:r w:rsidDel="00000000" w:rsidR="00000000" w:rsidRPr="00000000">
        <w:rPr>
          <w:rFonts w:ascii="Roboto" w:cs="Roboto" w:eastAsia="Roboto" w:hAnsi="Roboto"/>
          <w:color w:val="2b2b2b"/>
          <w:sz w:val="24"/>
          <w:szCs w:val="24"/>
          <w:highlight w:val="white"/>
          <w:rtl w:val="0"/>
        </w:rPr>
        <w:t xml:space="preserve">When we discuss genocide, many people will think about World War Two and the events of the Holocaust, however genocide is a crime that can take place in both times of war and peace</w:t>
      </w:r>
      <w:r w:rsidDel="00000000" w:rsidR="00000000" w:rsidRPr="00000000">
        <w:rPr>
          <w:rFonts w:ascii="Roboto" w:cs="Roboto" w:eastAsia="Roboto" w:hAnsi="Roboto"/>
          <w:color w:val="2b2b2b"/>
          <w:sz w:val="24"/>
          <w:szCs w:val="24"/>
          <w:highlight w:val="white"/>
          <w:vertAlign w:val="superscript"/>
        </w:rPr>
        <w:footnoteReference w:customMarkFollows="0" w:id="1"/>
      </w:r>
      <w:r w:rsidDel="00000000" w:rsidR="00000000" w:rsidRPr="00000000">
        <w:rPr>
          <w:rFonts w:ascii="Roboto" w:cs="Roboto" w:eastAsia="Roboto" w:hAnsi="Roboto"/>
          <w:color w:val="2b2b2b"/>
          <w:sz w:val="24"/>
          <w:szCs w:val="24"/>
          <w:highlight w:val="white"/>
          <w:rtl w:val="0"/>
        </w:rPr>
        <w:t xml:space="preserve">. This means that events such as the terrorist attacks of September 11th 2001 could be classed as a Genocide, this is because this was an attack caused purposeful harm to a group of people with the intent to wipe out part of the group. The identifiable group would be the Americans, meaning that this genocide was based on nationality rather than religion which we see in the case of the Jews during the Holocaust. By crashing the planes into key buildings such as the Twin Towers of the World Trade Center, the hijackers not only caused serious mental and bodily harm as well as killing the people on the planes, but also those within the buildings and in the surrounding area. </w:t>
      </w:r>
      <w:r w:rsidDel="00000000" w:rsidR="00000000" w:rsidRPr="00000000">
        <w:rPr>
          <w:rFonts w:ascii="Roboto" w:cs="Roboto" w:eastAsia="Roboto" w:hAnsi="Roboto"/>
          <w:color w:val="2b2b2b"/>
          <w:sz w:val="24"/>
          <w:szCs w:val="24"/>
          <w:highlight w:val="white"/>
          <w:rtl w:val="0"/>
        </w:rPr>
        <w:t xml:space="preserve">Although this genocide took place in a time of peace, it did provoke America into invading Afghanistan to destroy the group that had attacked them: Al Qaeda.</w:t>
      </w:r>
      <w:r w:rsidDel="00000000" w:rsidR="00000000" w:rsidRPr="00000000">
        <w:rPr>
          <w:rtl w:val="0"/>
        </w:rPr>
      </w:r>
    </w:p>
    <w:p w:rsidR="00000000" w:rsidDel="00000000" w:rsidP="00000000" w:rsidRDefault="00000000" w:rsidRPr="00000000" w14:paraId="00000008">
      <w:pPr>
        <w:pBdr>
          <w:top w:color="auto" w:space="0" w:sz="0" w:val="none"/>
          <w:bottom w:color="auto" w:space="0" w:sz="0" w:val="none"/>
          <w:right w:color="auto" w:space="0" w:sz="0" w:val="none"/>
          <w:between w:color="auto" w:space="0" w:sz="0" w:val="none"/>
        </w:pBdr>
        <w:shd w:fill="ffffff" w:val="clear"/>
        <w:spacing w:after="0" w:lineRule="auto"/>
        <w:jc w:val="both"/>
        <w:rPr>
          <w:rFonts w:ascii="Roboto" w:cs="Roboto" w:eastAsia="Roboto" w:hAnsi="Roboto"/>
          <w:color w:val="2b2b2b"/>
          <w:sz w:val="24"/>
          <w:szCs w:val="24"/>
          <w:highlight w:val="white"/>
        </w:rPr>
      </w:pPr>
      <w:r w:rsidDel="00000000" w:rsidR="00000000" w:rsidRPr="00000000">
        <w:rPr>
          <w:rFonts w:ascii="Roboto" w:cs="Roboto" w:eastAsia="Roboto" w:hAnsi="Roboto"/>
          <w:color w:val="2b2b2b"/>
          <w:sz w:val="24"/>
          <w:szCs w:val="24"/>
          <w:highlight w:val="white"/>
          <w:rtl w:val="0"/>
        </w:rPr>
        <w:t xml:space="preserve">In order to be considered genocide, the crime must be targeted toward a group as a whole rather than the individuals within it. There are four identifiable groups outlined in the Genocide Convention of 1848, these are: National, Ethnical, Racial or Religious</w:t>
      </w:r>
      <w:r w:rsidDel="00000000" w:rsidR="00000000" w:rsidRPr="00000000">
        <w:rPr>
          <w:rFonts w:ascii="Roboto" w:cs="Roboto" w:eastAsia="Roboto" w:hAnsi="Roboto"/>
          <w:color w:val="2b2b2b"/>
          <w:sz w:val="24"/>
          <w:szCs w:val="24"/>
          <w:highlight w:val="white"/>
          <w:vertAlign w:val="superscript"/>
        </w:rPr>
        <w:footnoteReference w:customMarkFollows="0" w:id="2"/>
      </w:r>
      <w:r w:rsidDel="00000000" w:rsidR="00000000" w:rsidRPr="00000000">
        <w:rPr>
          <w:rFonts w:ascii="Roboto" w:cs="Roboto" w:eastAsia="Roboto" w:hAnsi="Roboto"/>
          <w:color w:val="2b2b2b"/>
          <w:sz w:val="24"/>
          <w:szCs w:val="24"/>
          <w:highlight w:val="white"/>
          <w:rtl w:val="0"/>
        </w:rPr>
        <w:t xml:space="preserve">. For example the Rwandan genocide, which took place in 1994, targeted the Tutsi population meaning that it was a genocide of an ethnic group. This differs from the Holocaust which primarily targeted the Jewish population as a religious group but also grew to include examples of the other identifiable groups such as the Poles (National), Jehovah’s Witnesses (Religious) and the Roma or Romany Gypsies (Ethnic). However the Holocaust also affected people who did not explicitly fall into these groups such as the disabled, this raises the question of whether a group truly has to fall into one of the outlined groups to have a mass killing of the group considered as a genocide. This question is raised because as well as killing the disabled and forcing them to live in unacceptable conditions at concentration camps, those with suspected disabilities were often sterilised to prevent them from reproducing or forced to abort any children they may have been carrying. This means that many of the characteristics required in order to consider these acts a genocide are very clearly present even though those with disabilities are not a protected group under the Genocide Convention of 1848. Because of this we are left to wonder why those with disabilities are not an explicitly protected group given that they were greatly affected by the atrocities of the Holocaust during World War Two and these events in specific were the main reason for the Convention being adopted in the first place in order to prevent events such as these from ever taking place again.</w:t>
      </w:r>
      <w:r w:rsidDel="00000000" w:rsidR="00000000" w:rsidRPr="00000000">
        <w:rPr>
          <w:rtl w:val="0"/>
        </w:rPr>
      </w:r>
    </w:p>
    <w:p w:rsidR="00000000" w:rsidDel="00000000" w:rsidP="00000000" w:rsidRDefault="00000000" w:rsidRPr="00000000" w14:paraId="00000009">
      <w:pPr>
        <w:pBdr>
          <w:top w:color="auto" w:space="0" w:sz="0" w:val="none"/>
          <w:bottom w:color="auto" w:space="0" w:sz="0" w:val="none"/>
          <w:right w:color="auto" w:space="0" w:sz="0" w:val="none"/>
          <w:between w:color="auto" w:space="0" w:sz="0" w:val="none"/>
        </w:pBdr>
        <w:shd w:fill="ffffff" w:val="clear"/>
        <w:spacing w:after="0" w:lineRule="auto"/>
        <w:jc w:val="both"/>
        <w:rPr>
          <w:rFonts w:ascii="Roboto" w:cs="Roboto" w:eastAsia="Roboto" w:hAnsi="Roboto"/>
          <w:color w:val="2b2b2b"/>
          <w:sz w:val="24"/>
          <w:szCs w:val="24"/>
          <w:highlight w:val="white"/>
        </w:rPr>
      </w:pPr>
      <w:r w:rsidDel="00000000" w:rsidR="00000000" w:rsidRPr="00000000">
        <w:rPr>
          <w:rFonts w:ascii="Roboto" w:cs="Roboto" w:eastAsia="Roboto" w:hAnsi="Roboto"/>
          <w:color w:val="2b2b2b"/>
          <w:sz w:val="24"/>
          <w:szCs w:val="24"/>
          <w:highlight w:val="white"/>
          <w:rtl w:val="0"/>
        </w:rPr>
        <w:t xml:space="preserve">Article Two of the convention contains a brief definition of the crime of genocide which states that there must be both a mental and physical element to the crime</w:t>
      </w:r>
      <w:r w:rsidDel="00000000" w:rsidR="00000000" w:rsidRPr="00000000">
        <w:rPr>
          <w:rFonts w:ascii="Roboto" w:cs="Roboto" w:eastAsia="Roboto" w:hAnsi="Roboto"/>
          <w:color w:val="2b2b2b"/>
          <w:sz w:val="24"/>
          <w:szCs w:val="24"/>
          <w:highlight w:val="white"/>
          <w:vertAlign w:val="superscript"/>
        </w:rPr>
        <w:footnoteReference w:customMarkFollows="0" w:id="3"/>
      </w:r>
      <w:r w:rsidDel="00000000" w:rsidR="00000000" w:rsidRPr="00000000">
        <w:rPr>
          <w:rFonts w:ascii="Roboto" w:cs="Roboto" w:eastAsia="Roboto" w:hAnsi="Roboto"/>
          <w:color w:val="2b2b2b"/>
          <w:sz w:val="24"/>
          <w:szCs w:val="24"/>
          <w:highlight w:val="white"/>
          <w:rtl w:val="0"/>
        </w:rPr>
        <w:t xml:space="preserve">. This means that the perpetrator must have a motive or reasoning for the crime and to have undertaken some thought process as well as committing the physical acts which amount to genocide. An example of this can be seen within the Nazi regimen during the Holocaust. Adolf Hitler, amongst others in the group, believed that those of Jewish descent were not beneficial to Germany and that they all fell under the same bracket of being money hogging and evil. Many illustrations from the time that were included in Nazi propaganda show the Jewish portrayed as overweight and big-nosed as well as some portraying them as rodents or apes, spreading the Nazi ideology of Jewish people being vermin and less superior or less evolved than others within the community. This propaganda proves the mental element of the crime as we can see the alleged reasoning behind the crime, we can see the premeditation that took place</w:t>
      </w:r>
      <w:r w:rsidDel="00000000" w:rsidR="00000000" w:rsidRPr="00000000">
        <w:rPr>
          <w:rFonts w:ascii="Roboto" w:cs="Roboto" w:eastAsia="Roboto" w:hAnsi="Roboto"/>
          <w:color w:val="2b2b2b"/>
          <w:sz w:val="24"/>
          <w:szCs w:val="24"/>
          <w:highlight w:val="white"/>
          <w:rtl w:val="0"/>
        </w:rPr>
        <w:t xml:space="preserve">.</w:t>
      </w:r>
      <w:r w:rsidDel="00000000" w:rsidR="00000000" w:rsidRPr="00000000">
        <w:rPr>
          <w:rtl w:val="0"/>
        </w:rPr>
      </w:r>
    </w:p>
    <w:p w:rsidR="00000000" w:rsidDel="00000000" w:rsidP="00000000" w:rsidRDefault="00000000" w:rsidRPr="00000000" w14:paraId="0000000A">
      <w:pPr>
        <w:pBdr>
          <w:top w:color="auto" w:space="0" w:sz="0" w:val="none"/>
          <w:bottom w:color="auto" w:space="0" w:sz="0" w:val="none"/>
          <w:right w:color="auto" w:space="0" w:sz="0" w:val="none"/>
          <w:between w:color="auto" w:space="0" w:sz="0" w:val="none"/>
        </w:pBdr>
        <w:shd w:fill="ffffff" w:val="clear"/>
        <w:spacing w:after="600" w:lineRule="auto"/>
        <w:jc w:val="both"/>
        <w:rPr>
          <w:rFonts w:ascii="Roboto" w:cs="Roboto" w:eastAsia="Roboto" w:hAnsi="Roboto"/>
          <w:color w:val="2b2b2b"/>
          <w:sz w:val="24"/>
          <w:szCs w:val="24"/>
          <w:highlight w:val="white"/>
        </w:rPr>
      </w:pPr>
      <w:r w:rsidDel="00000000" w:rsidR="00000000" w:rsidRPr="00000000">
        <w:rPr>
          <w:rFonts w:ascii="Roboto" w:cs="Roboto" w:eastAsia="Roboto" w:hAnsi="Roboto"/>
          <w:color w:val="2b2b2b"/>
          <w:sz w:val="24"/>
          <w:szCs w:val="24"/>
          <w:highlight w:val="white"/>
          <w:rtl w:val="0"/>
        </w:rPr>
        <w:t xml:space="preserve">The definition provided within the convention also states that there absolutely must be proven intent in cases of genocide which can be difficult to determine. The intent behind a genocide is more than just cultural destruction or intending to disperse a group, this is known as special intent or dolus specialis, which is unique to the act of genocide</w:t>
      </w:r>
      <w:r w:rsidDel="00000000" w:rsidR="00000000" w:rsidRPr="00000000">
        <w:rPr>
          <w:rFonts w:ascii="Roboto" w:cs="Roboto" w:eastAsia="Roboto" w:hAnsi="Roboto"/>
          <w:color w:val="2b2b2b"/>
          <w:sz w:val="24"/>
          <w:szCs w:val="24"/>
          <w:highlight w:val="white"/>
          <w:vertAlign w:val="superscript"/>
        </w:rPr>
        <w:footnoteReference w:customMarkFollows="0" w:id="4"/>
      </w:r>
      <w:r w:rsidDel="00000000" w:rsidR="00000000" w:rsidRPr="00000000">
        <w:rPr>
          <w:rFonts w:ascii="Roboto" w:cs="Roboto" w:eastAsia="Roboto" w:hAnsi="Roboto"/>
          <w:color w:val="2b2b2b"/>
          <w:sz w:val="24"/>
          <w:szCs w:val="24"/>
          <w:highlight w:val="white"/>
          <w:rtl w:val="0"/>
        </w:rPr>
        <w:t xml:space="preserve">. </w:t>
      </w:r>
      <w:r w:rsidDel="00000000" w:rsidR="00000000" w:rsidRPr="00000000">
        <w:rPr>
          <w:rFonts w:ascii="Roboto" w:cs="Roboto" w:eastAsia="Roboto" w:hAnsi="Roboto"/>
          <w:color w:val="2b2b2b"/>
          <w:sz w:val="24"/>
          <w:szCs w:val="24"/>
          <w:highlight w:val="white"/>
          <w:rtl w:val="0"/>
        </w:rPr>
        <w:t xml:space="preserve">The dolus specialis is different to general intent (or just dolus), it is described as an additional “intent to destroy” under general intent, the perpetrator must be aware that his or her actions directly affect one of the four previously mentioned groups that are deemed to be protected by the Convention on the Prevention and Punishment of the Crime of Genocide. However the dolus specialis is almost like a surplus of intent where the offender is goal-oriented, this ‘intent to destroy’ complements the general intent and is often an intent to achieve more damage than realistically achievable, for example wishing to eradicate an entire group but only succeeding in killing some members within the group</w:t>
      </w:r>
      <w:r w:rsidDel="00000000" w:rsidR="00000000" w:rsidRPr="00000000">
        <w:rPr>
          <w:rFonts w:ascii="Roboto" w:cs="Roboto" w:eastAsia="Roboto" w:hAnsi="Roboto"/>
          <w:color w:val="2b2b2b"/>
          <w:sz w:val="24"/>
          <w:szCs w:val="24"/>
          <w:highlight w:val="white"/>
          <w:vertAlign w:val="superscript"/>
        </w:rPr>
        <w:footnoteReference w:customMarkFollows="0" w:id="5"/>
      </w:r>
      <w:r w:rsidDel="00000000" w:rsidR="00000000" w:rsidRPr="00000000">
        <w:rPr>
          <w:rFonts w:ascii="Roboto" w:cs="Roboto" w:eastAsia="Roboto" w:hAnsi="Roboto"/>
          <w:color w:val="2b2b2b"/>
          <w:sz w:val="24"/>
          <w:szCs w:val="24"/>
          <w:highlight w:val="white"/>
          <w:rtl w:val="0"/>
        </w:rPr>
        <w:t xml:space="preserve">.</w:t>
      </w:r>
    </w:p>
    <w:p w:rsidR="00000000" w:rsidDel="00000000" w:rsidP="00000000" w:rsidRDefault="00000000" w:rsidRPr="00000000" w14:paraId="0000000B">
      <w:pPr>
        <w:pBdr>
          <w:top w:color="auto" w:space="0" w:sz="0" w:val="none"/>
          <w:bottom w:color="auto" w:space="0" w:sz="0" w:val="none"/>
          <w:right w:color="auto" w:space="0" w:sz="0" w:val="none"/>
          <w:between w:color="auto" w:space="0" w:sz="0" w:val="none"/>
        </w:pBdr>
        <w:shd w:fill="ffffff" w:val="clear"/>
        <w:spacing w:after="0" w:lineRule="auto"/>
        <w:jc w:val="both"/>
        <w:rPr>
          <w:rFonts w:ascii="Roboto" w:cs="Roboto" w:eastAsia="Roboto" w:hAnsi="Roboto"/>
          <w:color w:val="2b2b2b"/>
          <w:sz w:val="24"/>
          <w:szCs w:val="24"/>
          <w:highlight w:val="white"/>
        </w:rPr>
      </w:pPr>
      <w:r w:rsidDel="00000000" w:rsidR="00000000" w:rsidRPr="00000000">
        <w:rPr>
          <w:rFonts w:ascii="Roboto" w:cs="Roboto" w:eastAsia="Roboto" w:hAnsi="Roboto"/>
          <w:color w:val="2b2b2b"/>
          <w:sz w:val="24"/>
          <w:szCs w:val="24"/>
          <w:highlight w:val="white"/>
          <w:rtl w:val="0"/>
        </w:rPr>
        <w:t xml:space="preserve">Another common characteristic of genocide we often see that is not outlined by the convention is a segregation between “us” and “them”, by being ignorant of the differences between two parties this divide can easily be created. This is also known as classification and is known as the first stage of genocide, it is commonly followed by a visual way of enforcing differences such as a symbol or name like the yellow star worn by the Jews during the holocaust. These symbols make the group easily identifiable, widening the separation between “us” and “them” and makes it easier to discriminate against the targeted group when rules and laws are put into place to deny the group access to rights. Following this, it is common for the group under threat to be stripped of their rights completely much like the Jews who were forced into ghettos before being sent into camps. This stripping of rights, alongside comparing them to vermin such as rats, dehumanises the group making it easier for them to be villainized or criminalised later in time</w:t>
      </w:r>
      <w:r w:rsidDel="00000000" w:rsidR="00000000" w:rsidRPr="00000000">
        <w:rPr>
          <w:rFonts w:ascii="Roboto" w:cs="Roboto" w:eastAsia="Roboto" w:hAnsi="Roboto"/>
          <w:color w:val="2b2b2b"/>
          <w:sz w:val="24"/>
          <w:szCs w:val="24"/>
          <w:highlight w:val="white"/>
          <w:vertAlign w:val="superscript"/>
        </w:rPr>
        <w:footnoteReference w:customMarkFollows="0" w:id="6"/>
      </w:r>
      <w:r w:rsidDel="00000000" w:rsidR="00000000" w:rsidRPr="00000000">
        <w:rPr>
          <w:rFonts w:ascii="Roboto" w:cs="Roboto" w:eastAsia="Roboto" w:hAnsi="Roboto"/>
          <w:color w:val="2b2b2b"/>
          <w:sz w:val="24"/>
          <w:szCs w:val="24"/>
          <w:highlight w:val="white"/>
          <w:rtl w:val="0"/>
        </w:rPr>
        <w:t xml:space="preserve">. </w:t>
      </w:r>
    </w:p>
    <w:p w:rsidR="00000000" w:rsidDel="00000000" w:rsidP="00000000" w:rsidRDefault="00000000" w:rsidRPr="00000000" w14:paraId="0000000C">
      <w:pPr>
        <w:pBdr>
          <w:top w:color="auto" w:space="0" w:sz="0" w:val="none"/>
          <w:bottom w:color="auto" w:space="0" w:sz="0" w:val="none"/>
          <w:right w:color="auto" w:space="0" w:sz="0" w:val="none"/>
          <w:between w:color="auto" w:space="0" w:sz="0" w:val="none"/>
        </w:pBdr>
        <w:shd w:fill="ffffff" w:val="clear"/>
        <w:spacing w:after="0" w:lineRule="auto"/>
        <w:jc w:val="both"/>
        <w:rPr>
          <w:rFonts w:ascii="Roboto" w:cs="Roboto" w:eastAsia="Roboto" w:hAnsi="Roboto"/>
          <w:color w:val="2b2b2b"/>
          <w:sz w:val="24"/>
          <w:szCs w:val="24"/>
          <w:highlight w:val="white"/>
        </w:rPr>
      </w:pPr>
      <w:r w:rsidDel="00000000" w:rsidR="00000000" w:rsidRPr="00000000">
        <w:rPr>
          <w:rFonts w:ascii="Roboto" w:cs="Roboto" w:eastAsia="Roboto" w:hAnsi="Roboto"/>
          <w:color w:val="2b2b2b"/>
          <w:sz w:val="24"/>
          <w:szCs w:val="24"/>
          <w:highlight w:val="white"/>
          <w:rtl w:val="0"/>
        </w:rPr>
        <w:t xml:space="preserve">We commonly see the perpetrators of genocidal acts attempting to justify their behaviour, again using the Holocaust as an example we see the killings being compared to a cleansing of those who are inferior. This links directly back to the dehumanisation and criminalisation of the targeted group, if the general populous is not led to believe that those being actively separated and exterminated are not in some way a threat or hindrance then it is more likely that the genocide would be unsuccessful. German citizens were led to believe that the Jewish population were greedy and dirty, linking again to the use of imagery in Nazi propaganda showing Jews as overweight, unclean and unkind - portraying them as literal vermin. This portrayal directly assists the perpetrator by persuading others to support and follow their views.</w:t>
      </w:r>
      <w:r w:rsidDel="00000000" w:rsidR="00000000" w:rsidRPr="00000000">
        <w:rPr>
          <w:rtl w:val="0"/>
        </w:rPr>
      </w:r>
    </w:p>
    <w:p w:rsidR="00000000" w:rsidDel="00000000" w:rsidP="00000000" w:rsidRDefault="00000000" w:rsidRPr="00000000" w14:paraId="0000000D">
      <w:pPr>
        <w:pBdr>
          <w:top w:color="auto" w:space="0" w:sz="0" w:val="none"/>
          <w:bottom w:color="auto" w:space="0" w:sz="0" w:val="none"/>
          <w:right w:color="auto" w:space="0" w:sz="0" w:val="none"/>
          <w:between w:color="auto" w:space="0" w:sz="0" w:val="none"/>
        </w:pBdr>
        <w:shd w:fill="ffffff" w:val="clear"/>
        <w:spacing w:after="0" w:lineRule="auto"/>
        <w:jc w:val="both"/>
        <w:rPr>
          <w:rFonts w:ascii="Roboto" w:cs="Roboto" w:eastAsia="Roboto" w:hAnsi="Roboto"/>
          <w:color w:val="2b2b2b"/>
          <w:sz w:val="24"/>
          <w:szCs w:val="24"/>
          <w:highlight w:val="white"/>
        </w:rPr>
      </w:pPr>
      <w:r w:rsidDel="00000000" w:rsidR="00000000" w:rsidRPr="00000000">
        <w:rPr>
          <w:rFonts w:ascii="Roboto" w:cs="Roboto" w:eastAsia="Roboto" w:hAnsi="Roboto"/>
          <w:color w:val="2b2b2b"/>
          <w:sz w:val="24"/>
          <w:szCs w:val="24"/>
          <w:highlight w:val="white"/>
          <w:rtl w:val="0"/>
        </w:rPr>
        <w:t xml:space="preserve">Linking back to the mental element of genocide, we often find that the act of genocide is well organised. Plans of killings are often made before the actual killings take place, in cases where the genocide is state organised - such as the holocaust, armies are formed and trained in preparation for the coming events that have been premeditated</w:t>
      </w:r>
      <w:r w:rsidDel="00000000" w:rsidR="00000000" w:rsidRPr="00000000">
        <w:rPr>
          <w:rFonts w:ascii="Roboto" w:cs="Roboto" w:eastAsia="Roboto" w:hAnsi="Roboto"/>
          <w:color w:val="2b2b2b"/>
          <w:sz w:val="24"/>
          <w:szCs w:val="24"/>
          <w:highlight w:val="white"/>
          <w:vertAlign w:val="superscript"/>
        </w:rPr>
        <w:footnoteReference w:customMarkFollows="0" w:id="7"/>
      </w:r>
      <w:r w:rsidDel="00000000" w:rsidR="00000000" w:rsidRPr="00000000">
        <w:rPr>
          <w:rFonts w:ascii="Roboto" w:cs="Roboto" w:eastAsia="Roboto" w:hAnsi="Roboto"/>
          <w:color w:val="2b2b2b"/>
          <w:sz w:val="24"/>
          <w:szCs w:val="24"/>
          <w:highlight w:val="white"/>
          <w:rtl w:val="0"/>
        </w:rPr>
        <w:t xml:space="preserve">. </w:t>
      </w:r>
    </w:p>
    <w:p w:rsidR="00000000" w:rsidDel="00000000" w:rsidP="00000000" w:rsidRDefault="00000000" w:rsidRPr="00000000" w14:paraId="0000000E">
      <w:pPr>
        <w:pBdr>
          <w:top w:color="auto" w:space="0" w:sz="0" w:val="none"/>
          <w:bottom w:color="auto" w:space="0" w:sz="0" w:val="none"/>
          <w:right w:color="auto" w:space="0" w:sz="0" w:val="none"/>
          <w:between w:color="auto" w:space="0" w:sz="0" w:val="none"/>
        </w:pBdr>
        <w:shd w:fill="ffffff" w:val="clear"/>
        <w:spacing w:after="0" w:lineRule="auto"/>
        <w:jc w:val="both"/>
        <w:rPr>
          <w:rFonts w:ascii="Roboto" w:cs="Roboto" w:eastAsia="Roboto" w:hAnsi="Roboto"/>
          <w:color w:val="2b2b2b"/>
          <w:sz w:val="24"/>
          <w:szCs w:val="24"/>
          <w:highlight w:val="white"/>
        </w:rPr>
      </w:pPr>
      <w:r w:rsidDel="00000000" w:rsidR="00000000" w:rsidRPr="00000000">
        <w:rPr>
          <w:rtl w:val="0"/>
        </w:rPr>
      </w:r>
    </w:p>
    <w:p w:rsidR="00000000" w:rsidDel="00000000" w:rsidP="00000000" w:rsidRDefault="00000000" w:rsidRPr="00000000" w14:paraId="0000000F">
      <w:pPr>
        <w:pBdr>
          <w:top w:color="auto" w:space="0" w:sz="0" w:val="none"/>
          <w:bottom w:color="auto" w:space="0" w:sz="0" w:val="none"/>
          <w:right w:color="auto" w:space="0" w:sz="0" w:val="none"/>
          <w:between w:color="auto" w:space="0" w:sz="0" w:val="none"/>
        </w:pBdr>
        <w:shd w:fill="ffffff" w:val="clear"/>
        <w:spacing w:after="0" w:lineRule="auto"/>
        <w:jc w:val="both"/>
        <w:rPr>
          <w:rFonts w:ascii="Roboto" w:cs="Roboto" w:eastAsia="Roboto" w:hAnsi="Roboto"/>
          <w:color w:val="2b2b2b"/>
          <w:sz w:val="24"/>
          <w:szCs w:val="24"/>
          <w:highlight w:val="white"/>
        </w:rPr>
      </w:pPr>
      <w:r w:rsidDel="00000000" w:rsidR="00000000" w:rsidRPr="00000000">
        <w:rPr>
          <w:rFonts w:ascii="Roboto" w:cs="Roboto" w:eastAsia="Roboto" w:hAnsi="Roboto"/>
          <w:color w:val="2b2b2b"/>
          <w:sz w:val="24"/>
          <w:szCs w:val="24"/>
          <w:highlight w:val="white"/>
          <w:rtl w:val="0"/>
        </w:rPr>
        <w:t xml:space="preserve">It could be argued that the most important character of genocide is the denial that follows the act. Once again in the case of the Holocaust, the heinous acts that occured have been denied since the end of World War Two, Nazi officers attempted to cover their tracks as camps were burned down and buried over before they were discovered by opposing forces, they went as far as to uproot and replant adult trees to disguise what were once the grounds of concentration camps. They tried to make it seem as though none of it had ever happened, however there was just too much evidence left behind which can be tethered in to the organisational characteristic of genocide. Every jewish person within Germany was documented, Jews within camps were photographed and tattooed, copies of documentation were made; it was simply impossible to erase it all. Yet still today, there are people who claim that the holocaust could not have happened, there is no way that 6 million were killed, people such as Fred A. Leuchter who actively attempt to disprove the Holocaust - illegally gathering samples from the sites of concentration camps and submitting them for analysis in order to disprove the killings of 6 million innocent people. If these events never took place, then where did the 6 million go? How are there living testimonies from witnesses of these events? Not only do people attempt to deny that such genocides ever took place, they attempt to blame the victims for the atrocities that have befallen them. Luckily, those such as Dr Caroline Sturdy Colls combat these ideals and support the communities that have been so severely damaged by genocides, Dr Sturdy Colls assisted with the excavation of the Treblinka camp as she was interested in finding evidence that would be extremely difficult for Holocaust deniers to disprove as well as assisting the Jewish community with finding a suitable place to erect a memorial for those they had lost.</w:t>
      </w:r>
    </w:p>
    <w:p w:rsidR="00000000" w:rsidDel="00000000" w:rsidP="00000000" w:rsidRDefault="00000000" w:rsidRPr="00000000" w14:paraId="00000010">
      <w:pPr>
        <w:pBdr>
          <w:top w:color="auto" w:space="0" w:sz="0" w:val="none"/>
          <w:bottom w:color="auto" w:space="0" w:sz="0" w:val="none"/>
          <w:right w:color="auto" w:space="0" w:sz="0" w:val="none"/>
          <w:between w:color="auto" w:space="0" w:sz="0" w:val="none"/>
        </w:pBdr>
        <w:shd w:fill="ffffff" w:val="clear"/>
        <w:spacing w:after="0" w:lineRule="auto"/>
        <w:jc w:val="both"/>
        <w:rPr>
          <w:rFonts w:ascii="Roboto" w:cs="Roboto" w:eastAsia="Roboto" w:hAnsi="Roboto"/>
          <w:color w:val="2b2b2b"/>
          <w:sz w:val="24"/>
          <w:szCs w:val="24"/>
          <w:highlight w:val="white"/>
        </w:rPr>
      </w:pPr>
      <w:r w:rsidDel="00000000" w:rsidR="00000000" w:rsidRPr="00000000">
        <w:rPr>
          <w:rtl w:val="0"/>
        </w:rPr>
      </w:r>
    </w:p>
    <w:p w:rsidR="00000000" w:rsidDel="00000000" w:rsidP="00000000" w:rsidRDefault="00000000" w:rsidRPr="00000000" w14:paraId="00000011">
      <w:pPr>
        <w:pBdr>
          <w:top w:color="auto" w:space="0" w:sz="0" w:val="none"/>
          <w:bottom w:color="auto" w:space="0" w:sz="0" w:val="none"/>
          <w:right w:color="auto" w:space="0" w:sz="0" w:val="none"/>
          <w:between w:color="auto" w:space="0" w:sz="0" w:val="none"/>
        </w:pBdr>
        <w:shd w:fill="ffffff" w:val="clear"/>
        <w:spacing w:after="0" w:lineRule="auto"/>
        <w:jc w:val="both"/>
        <w:rPr>
          <w:rFonts w:ascii="Roboto" w:cs="Roboto" w:eastAsia="Roboto" w:hAnsi="Roboto"/>
          <w:color w:val="2b2b2b"/>
          <w:sz w:val="24"/>
          <w:szCs w:val="24"/>
          <w:highlight w:val="white"/>
        </w:rPr>
      </w:pPr>
      <w:r w:rsidDel="00000000" w:rsidR="00000000" w:rsidRPr="00000000">
        <w:rPr>
          <w:rFonts w:ascii="Roboto" w:cs="Roboto" w:eastAsia="Roboto" w:hAnsi="Roboto"/>
          <w:color w:val="2b2b2b"/>
          <w:sz w:val="24"/>
          <w:szCs w:val="24"/>
          <w:highlight w:val="white"/>
          <w:rtl w:val="0"/>
        </w:rPr>
        <w:t xml:space="preserve">In conclusion, the main characteristics that define genocide are the intent and intent to destroy of the perpetrator, the group targeted by the acts, the mental and physical elements of the crime and the successful killing of at least some members of the targeted group, without these characteristics the crime simply can not qualify as a genocide in compliance with the 1948 Convention of the Prevention and Punishent of the Crime of Genocide. Although there are many other defining characteristics, these are arguably the most important due to the unique nature of the crime.</w:t>
      </w:r>
    </w:p>
    <w:p w:rsidR="00000000" w:rsidDel="00000000" w:rsidP="00000000" w:rsidRDefault="00000000" w:rsidRPr="00000000" w14:paraId="00000012">
      <w:pPr>
        <w:pBdr>
          <w:top w:color="auto" w:space="0" w:sz="0" w:val="none"/>
          <w:bottom w:color="auto" w:space="0" w:sz="0" w:val="none"/>
          <w:right w:color="auto" w:space="0" w:sz="0" w:val="none"/>
          <w:between w:color="auto" w:space="0" w:sz="0" w:val="none"/>
        </w:pBdr>
        <w:shd w:fill="ffffff" w:val="clear"/>
        <w:spacing w:after="0" w:lineRule="auto"/>
        <w:jc w:val="both"/>
        <w:rPr>
          <w:rFonts w:ascii="Roboto" w:cs="Roboto" w:eastAsia="Roboto" w:hAnsi="Roboto"/>
          <w:color w:val="2b2b2b"/>
          <w:sz w:val="24"/>
          <w:szCs w:val="24"/>
          <w:highlight w:val="white"/>
        </w:rPr>
      </w:pPr>
      <w:r w:rsidDel="00000000" w:rsidR="00000000" w:rsidRPr="00000000">
        <w:rPr>
          <w:rtl w:val="0"/>
        </w:rPr>
      </w:r>
    </w:p>
    <w:p w:rsidR="00000000" w:rsidDel="00000000" w:rsidP="00000000" w:rsidRDefault="00000000" w:rsidRPr="00000000" w14:paraId="00000013">
      <w:pPr>
        <w:pBdr>
          <w:top w:color="auto" w:space="0" w:sz="0" w:val="none"/>
          <w:bottom w:color="auto" w:space="0" w:sz="0" w:val="none"/>
          <w:right w:color="auto" w:space="0" w:sz="0" w:val="none"/>
          <w:between w:color="auto" w:space="0" w:sz="0" w:val="none"/>
        </w:pBdr>
        <w:shd w:fill="ffffff" w:val="clear"/>
        <w:spacing w:after="0" w:lineRule="auto"/>
        <w:jc w:val="both"/>
        <w:rPr>
          <w:rFonts w:ascii="Roboto" w:cs="Roboto" w:eastAsia="Roboto" w:hAnsi="Roboto"/>
          <w:color w:val="2b2b2b"/>
          <w:sz w:val="24"/>
          <w:szCs w:val="24"/>
          <w:highlight w:val="white"/>
        </w:rPr>
      </w:pPr>
      <w:r w:rsidDel="00000000" w:rsidR="00000000" w:rsidRPr="00000000">
        <w:rPr>
          <w:rtl w:val="0"/>
        </w:rPr>
      </w:r>
    </w:p>
    <w:p w:rsidR="00000000" w:rsidDel="00000000" w:rsidP="00000000" w:rsidRDefault="00000000" w:rsidRPr="00000000" w14:paraId="00000014">
      <w:pPr>
        <w:pBdr>
          <w:top w:color="auto" w:space="0" w:sz="0" w:val="none"/>
          <w:bottom w:color="auto" w:space="0" w:sz="0" w:val="none"/>
          <w:right w:color="auto" w:space="0" w:sz="0" w:val="none"/>
          <w:between w:color="auto" w:space="0" w:sz="0" w:val="none"/>
        </w:pBdr>
        <w:shd w:fill="ffffff" w:val="clear"/>
        <w:spacing w:after="600" w:lineRule="auto"/>
        <w:jc w:val="both"/>
        <w:rPr>
          <w:rFonts w:ascii="Roboto" w:cs="Roboto" w:eastAsia="Roboto" w:hAnsi="Roboto"/>
          <w:color w:val="2b2b2b"/>
          <w:sz w:val="24"/>
          <w:szCs w:val="24"/>
          <w:highlight w:val="white"/>
        </w:rPr>
      </w:pPr>
      <w:r w:rsidDel="00000000" w:rsidR="00000000" w:rsidRPr="00000000">
        <w:rPr>
          <w:rtl w:val="0"/>
        </w:rPr>
      </w:r>
    </w:p>
    <w:p w:rsidR="00000000" w:rsidDel="00000000" w:rsidP="00000000" w:rsidRDefault="00000000" w:rsidRPr="00000000" w14:paraId="00000015">
      <w:pPr>
        <w:pBdr>
          <w:top w:color="auto" w:space="0" w:sz="0" w:val="none"/>
          <w:bottom w:color="auto" w:space="0" w:sz="0" w:val="none"/>
          <w:right w:color="auto" w:space="0" w:sz="0" w:val="none"/>
          <w:between w:color="auto" w:space="0" w:sz="0" w:val="none"/>
        </w:pBdr>
        <w:shd w:fill="ffffff" w:val="clear"/>
        <w:spacing w:after="0" w:lineRule="auto"/>
        <w:jc w:val="both"/>
        <w:rPr>
          <w:rFonts w:ascii="Roboto" w:cs="Roboto" w:eastAsia="Roboto" w:hAnsi="Roboto"/>
          <w:color w:val="2b2b2b"/>
          <w:sz w:val="24"/>
          <w:szCs w:val="24"/>
          <w:highlight w:val="white"/>
        </w:rPr>
      </w:pPr>
      <w:r w:rsidDel="00000000" w:rsidR="00000000" w:rsidRPr="00000000">
        <w:rPr>
          <w:rtl w:val="0"/>
        </w:rPr>
      </w:r>
    </w:p>
    <w:p w:rsidR="00000000" w:rsidDel="00000000" w:rsidP="00000000" w:rsidRDefault="00000000" w:rsidRPr="00000000" w14:paraId="00000016">
      <w:pPr>
        <w:keepLines w:val="1"/>
        <w:pBdr>
          <w:top w:color="auto" w:space="0" w:sz="0" w:val="none"/>
          <w:bottom w:color="auto" w:space="0" w:sz="0" w:val="none"/>
          <w:right w:color="auto" w:space="0" w:sz="0" w:val="none"/>
          <w:between w:color="auto" w:space="0" w:sz="0" w:val="none"/>
        </w:pBdr>
        <w:shd w:fill="ffffff" w:val="clear"/>
        <w:spacing w:after="600" w:lineRule="auto"/>
        <w:jc w:val="both"/>
        <w:rPr>
          <w:rFonts w:ascii="Roboto" w:cs="Roboto" w:eastAsia="Roboto" w:hAnsi="Roboto"/>
          <w:color w:val="2b2b2b"/>
          <w:sz w:val="24"/>
          <w:szCs w:val="24"/>
          <w:highlight w:val="white"/>
        </w:rPr>
      </w:pPr>
      <w:r w:rsidDel="00000000" w:rsidR="00000000" w:rsidRPr="00000000">
        <w:rPr>
          <w:rtl w:val="0"/>
        </w:rPr>
      </w:r>
    </w:p>
    <w:p w:rsidR="00000000" w:rsidDel="00000000" w:rsidP="00000000" w:rsidRDefault="00000000" w:rsidRPr="00000000" w14:paraId="00000017">
      <w:pPr>
        <w:pBdr>
          <w:top w:color="auto" w:space="0" w:sz="0" w:val="none"/>
          <w:bottom w:color="auto" w:space="0" w:sz="0" w:val="none"/>
          <w:right w:color="auto" w:space="0" w:sz="0" w:val="none"/>
          <w:between w:color="auto" w:space="0" w:sz="0" w:val="none"/>
        </w:pBdr>
        <w:shd w:fill="ffffff" w:val="clear"/>
        <w:spacing w:after="600" w:lineRule="auto"/>
        <w:jc w:val="both"/>
        <w:rPr>
          <w:rFonts w:ascii="Roboto" w:cs="Roboto" w:eastAsia="Roboto" w:hAnsi="Roboto"/>
          <w:color w:val="2b2b2b"/>
          <w:sz w:val="24"/>
          <w:szCs w:val="24"/>
          <w:highlight w:val="white"/>
        </w:rPr>
      </w:pPr>
      <w:r w:rsidDel="00000000" w:rsidR="00000000" w:rsidRPr="00000000">
        <w:rPr>
          <w:rtl w:val="0"/>
        </w:rPr>
      </w:r>
    </w:p>
    <w:p w:rsidR="00000000" w:rsidDel="00000000" w:rsidP="00000000" w:rsidRDefault="00000000" w:rsidRPr="00000000" w14:paraId="00000018">
      <w:pPr>
        <w:pBdr>
          <w:top w:color="auto" w:space="0" w:sz="0" w:val="none"/>
          <w:bottom w:color="auto" w:space="0" w:sz="0" w:val="none"/>
          <w:right w:color="auto" w:space="0" w:sz="0" w:val="none"/>
          <w:between w:color="auto" w:space="0" w:sz="0" w:val="none"/>
        </w:pBdr>
        <w:shd w:fill="ffffff" w:val="clear"/>
        <w:spacing w:after="600" w:line="240" w:lineRule="auto"/>
        <w:jc w:val="center"/>
        <w:rPr>
          <w:rFonts w:ascii="Roboto" w:cs="Roboto" w:eastAsia="Roboto" w:hAnsi="Roboto"/>
          <w:color w:val="2b2b2b"/>
          <w:sz w:val="24"/>
          <w:szCs w:val="24"/>
          <w:highlight w:val="white"/>
        </w:rPr>
      </w:pPr>
      <w:r w:rsidDel="00000000" w:rsidR="00000000" w:rsidRPr="00000000">
        <w:rPr>
          <w:rtl w:val="0"/>
        </w:rPr>
      </w:r>
    </w:p>
    <w:p w:rsidR="00000000" w:rsidDel="00000000" w:rsidP="00000000" w:rsidRDefault="00000000" w:rsidRPr="00000000" w14:paraId="00000019">
      <w:pPr>
        <w:pBdr>
          <w:top w:color="auto" w:space="0" w:sz="0" w:val="none"/>
          <w:bottom w:color="auto" w:space="0" w:sz="0" w:val="none"/>
          <w:right w:color="auto" w:space="0" w:sz="0" w:val="none"/>
          <w:between w:color="auto" w:space="0" w:sz="0" w:val="none"/>
        </w:pBdr>
        <w:shd w:fill="ffffff" w:val="clear"/>
        <w:spacing w:after="920" w:lineRule="auto"/>
        <w:rPr>
          <w:rFonts w:ascii="Roboto" w:cs="Roboto" w:eastAsia="Roboto" w:hAnsi="Roboto"/>
          <w:i w:val="1"/>
          <w:color w:val="2b2b2b"/>
          <w:sz w:val="24"/>
          <w:szCs w:val="24"/>
          <w:highlight w:val="white"/>
        </w:rPr>
      </w:pPr>
      <w:r w:rsidDel="00000000" w:rsidR="00000000" w:rsidRPr="00000000">
        <w:rPr>
          <w:rtl w:val="0"/>
        </w:rPr>
      </w:r>
    </w:p>
    <w:p w:rsidR="00000000" w:rsidDel="00000000" w:rsidP="00000000" w:rsidRDefault="00000000" w:rsidRPr="00000000" w14:paraId="0000001A">
      <w:pPr>
        <w:pBdr>
          <w:top w:color="auto" w:space="0" w:sz="0" w:val="none"/>
          <w:bottom w:color="auto" w:space="0" w:sz="0" w:val="none"/>
          <w:right w:color="auto" w:space="0" w:sz="0" w:val="none"/>
          <w:between w:color="auto" w:space="0" w:sz="0" w:val="none"/>
        </w:pBdr>
        <w:shd w:fill="ffffff" w:val="clear"/>
        <w:spacing w:after="920" w:lineRule="auto"/>
        <w:rPr>
          <w:rFonts w:ascii="Roboto" w:cs="Roboto" w:eastAsia="Roboto" w:hAnsi="Roboto"/>
          <w:i w:val="1"/>
          <w:color w:val="2b2b2b"/>
          <w:sz w:val="24"/>
          <w:szCs w:val="24"/>
          <w:highlight w:val="white"/>
        </w:rPr>
      </w:pPr>
      <w:r w:rsidDel="00000000" w:rsidR="00000000" w:rsidRPr="00000000">
        <w:rPr>
          <w:rtl w:val="0"/>
        </w:rPr>
      </w:r>
    </w:p>
    <w:p w:rsidR="00000000" w:rsidDel="00000000" w:rsidP="00000000" w:rsidRDefault="00000000" w:rsidRPr="00000000" w14:paraId="0000001B">
      <w:pPr>
        <w:pBdr>
          <w:top w:color="auto" w:space="0" w:sz="0" w:val="none"/>
          <w:bottom w:color="auto" w:space="0" w:sz="0" w:val="none"/>
          <w:right w:color="auto" w:space="0" w:sz="0" w:val="none"/>
          <w:between w:color="auto" w:space="0" w:sz="0" w:val="none"/>
        </w:pBdr>
        <w:shd w:fill="ffffff" w:val="clear"/>
        <w:spacing w:after="920" w:lineRule="auto"/>
        <w:rPr>
          <w:rFonts w:ascii="Roboto" w:cs="Roboto" w:eastAsia="Roboto" w:hAnsi="Roboto"/>
          <w:color w:val="2b2b2b"/>
          <w:sz w:val="24"/>
          <w:szCs w:val="24"/>
          <w:highlight w:val="white"/>
        </w:rPr>
      </w:pPr>
      <w:r w:rsidDel="00000000" w:rsidR="00000000" w:rsidRPr="00000000">
        <w:rPr>
          <w:rtl w:val="0"/>
        </w:rPr>
      </w:r>
    </w:p>
    <w:sectPr>
      <w:headerReference r:id="rId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2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"Genocide Convention - the United Nations." </w:t>
      </w:r>
      <w:hyperlink r:id="rId1">
        <w:r w:rsidDel="00000000" w:rsidR="00000000" w:rsidRPr="00000000">
          <w:rPr>
            <w:color w:val="1155cc"/>
            <w:sz w:val="20"/>
            <w:szCs w:val="20"/>
            <w:u w:val="single"/>
            <w:rtl w:val="0"/>
          </w:rPr>
          <w:t xml:space="preserve">https://www.un.org/en/genocideprevention/genocide-convention.shtml</w:t>
        </w:r>
      </w:hyperlink>
      <w:r w:rsidDel="00000000" w:rsidR="00000000" w:rsidRPr="00000000">
        <w:rPr>
          <w:sz w:val="20"/>
          <w:szCs w:val="20"/>
          <w:rtl w:val="0"/>
        </w:rPr>
        <w:t xml:space="preserve">. Accessed 18 Oct. 2020.</w:t>
      </w:r>
    </w:p>
  </w:footnote>
  <w:footnote w:id="0">
    <w:p w:rsidR="00000000" w:rsidDel="00000000" w:rsidP="00000000" w:rsidRDefault="00000000" w:rsidRPr="00000000" w14:paraId="0000002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"United Nations Office on Genocide ...." </w:t>
      </w:r>
      <w:hyperlink r:id="rId2">
        <w:r w:rsidDel="00000000" w:rsidR="00000000" w:rsidRPr="00000000">
          <w:rPr>
            <w:color w:val="1155cc"/>
            <w:sz w:val="20"/>
            <w:szCs w:val="20"/>
            <w:u w:val="single"/>
            <w:rtl w:val="0"/>
          </w:rPr>
          <w:t xml:space="preserve">https://www.un.org/en/genocideprevention/genocide.shtml</w:t>
        </w:r>
      </w:hyperlink>
      <w:r w:rsidDel="00000000" w:rsidR="00000000" w:rsidRPr="00000000">
        <w:rPr>
          <w:sz w:val="20"/>
          <w:szCs w:val="20"/>
          <w:rtl w:val="0"/>
        </w:rPr>
        <w:t xml:space="preserve">. Accessed 18 Oct. 2020.</w:t>
      </w:r>
    </w:p>
  </w:footnote>
  <w:footnote w:id="2">
    <w:p w:rsidR="00000000" w:rsidDel="00000000" w:rsidP="00000000" w:rsidRDefault="00000000" w:rsidRPr="00000000" w14:paraId="0000002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"Convention on the Prevention and Punishment of the Crime of ...." </w:t>
      </w:r>
      <w:hyperlink r:id="rId3">
        <w:r w:rsidDel="00000000" w:rsidR="00000000" w:rsidRPr="00000000">
          <w:rPr>
            <w:color w:val="1155cc"/>
            <w:sz w:val="20"/>
            <w:szCs w:val="20"/>
            <w:u w:val="single"/>
            <w:rtl w:val="0"/>
          </w:rPr>
          <w:t xml:space="preserve">https://www.un.org/en/genocideprevention/documents/atrocity-crimes/Doc.1_Convention%20on%20the%20Prevention%20and%20Punishment%20of%20the%20Crime%20of%20Genocide.pdf</w:t>
        </w:r>
      </w:hyperlink>
      <w:r w:rsidDel="00000000" w:rsidR="00000000" w:rsidRPr="00000000">
        <w:rPr>
          <w:sz w:val="20"/>
          <w:szCs w:val="20"/>
          <w:rtl w:val="0"/>
        </w:rPr>
        <w:t xml:space="preserve">. Accessed 18 Oct. 2020.</w:t>
      </w:r>
    </w:p>
  </w:footnote>
  <w:footnote w:id="3">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Roboto" w:cs="Roboto" w:eastAsia="Roboto" w:hAnsi="Roboto"/>
          <w:color w:val="2b2b2b"/>
          <w:sz w:val="24"/>
          <w:szCs w:val="24"/>
          <w:highlight w:val="white"/>
          <w:rtl w:val="0"/>
        </w:rPr>
        <w:t xml:space="preserve">"United Nations Office on Genocide ...." </w:t>
      </w:r>
      <w:hyperlink r:id="rId4">
        <w:r w:rsidDel="00000000" w:rsidR="00000000" w:rsidRPr="00000000">
          <w:rPr>
            <w:rFonts w:ascii="Roboto" w:cs="Roboto" w:eastAsia="Roboto" w:hAnsi="Roboto"/>
            <w:color w:val="1155cc"/>
            <w:sz w:val="24"/>
            <w:szCs w:val="24"/>
            <w:highlight w:val="white"/>
            <w:u w:val="single"/>
            <w:rtl w:val="0"/>
          </w:rPr>
          <w:t xml:space="preserve">https://www.un.org/en/genocideprevention/genocide.shtml</w:t>
        </w:r>
      </w:hyperlink>
      <w:r w:rsidDel="00000000" w:rsidR="00000000" w:rsidRPr="00000000">
        <w:rPr>
          <w:rFonts w:ascii="Roboto" w:cs="Roboto" w:eastAsia="Roboto" w:hAnsi="Roboto"/>
          <w:color w:val="2b2b2b"/>
          <w:sz w:val="24"/>
          <w:szCs w:val="24"/>
          <w:highlight w:val="white"/>
          <w:rtl w:val="0"/>
        </w:rPr>
        <w:t xml:space="preserve">. Accessed 18 Oct. 2020.</w:t>
      </w:r>
      <w:r w:rsidDel="00000000" w:rsidR="00000000" w:rsidRPr="00000000">
        <w:rPr>
          <w:rtl w:val="0"/>
        </w:rPr>
      </w:r>
    </w:p>
  </w:footnote>
  <w:footnote w:id="4">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"United Nations Office on Genocide ...." </w:t>
      </w:r>
      <w:hyperlink r:id="rId5">
        <w:r w:rsidDel="00000000" w:rsidR="00000000" w:rsidRPr="00000000">
          <w:rPr>
            <w:color w:val="1155cc"/>
            <w:sz w:val="20"/>
            <w:szCs w:val="20"/>
            <w:u w:val="single"/>
            <w:rtl w:val="0"/>
          </w:rPr>
          <w:t xml:space="preserve">https://www.un.org/en/genocideprevention/genocide.shtml</w:t>
        </w:r>
      </w:hyperlink>
      <w:r w:rsidDel="00000000" w:rsidR="00000000" w:rsidRPr="00000000">
        <w:rPr>
          <w:sz w:val="20"/>
          <w:szCs w:val="20"/>
          <w:rtl w:val="0"/>
        </w:rPr>
        <w:t xml:space="preserve">. Accessed 18 Oct. 2020.</w:t>
      </w:r>
    </w:p>
  </w:footnote>
  <w:footnote w:id="5">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Roboto" w:cs="Roboto" w:eastAsia="Roboto" w:hAnsi="Roboto"/>
          <w:color w:val="2b2b2b"/>
          <w:sz w:val="24"/>
          <w:szCs w:val="24"/>
          <w:highlight w:val="white"/>
          <w:rtl w:val="0"/>
        </w:rPr>
        <w:t xml:space="preserve">"What does 'intent to destroy' in genocide mean? - Cambridge ...." </w:t>
      </w:r>
      <w:hyperlink r:id="rId6">
        <w:r w:rsidDel="00000000" w:rsidR="00000000" w:rsidRPr="00000000">
          <w:rPr>
            <w:rFonts w:ascii="Roboto" w:cs="Roboto" w:eastAsia="Roboto" w:hAnsi="Roboto"/>
            <w:color w:val="1155cc"/>
            <w:sz w:val="24"/>
            <w:szCs w:val="24"/>
            <w:highlight w:val="white"/>
            <w:u w:val="single"/>
            <w:rtl w:val="0"/>
          </w:rPr>
          <w:t xml:space="preserve">https://www.cambridge.org/core/services/aop-cambridge-core/content/view/S1816383110000056</w:t>
        </w:r>
      </w:hyperlink>
      <w:r w:rsidDel="00000000" w:rsidR="00000000" w:rsidRPr="00000000">
        <w:rPr>
          <w:rFonts w:ascii="Roboto" w:cs="Roboto" w:eastAsia="Roboto" w:hAnsi="Roboto"/>
          <w:color w:val="2b2b2b"/>
          <w:sz w:val="24"/>
          <w:szCs w:val="24"/>
          <w:highlight w:val="white"/>
          <w:rtl w:val="0"/>
        </w:rPr>
        <w:t xml:space="preserve">. Accessed 18 Oct. 2020.</w:t>
      </w:r>
      <w:r w:rsidDel="00000000" w:rsidR="00000000" w:rsidRPr="00000000">
        <w:rPr>
          <w:rtl w:val="0"/>
        </w:rPr>
      </w:r>
    </w:p>
  </w:footnote>
  <w:footnote w:id="6">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"10 Stages to Genocide - UCU." </w:t>
      </w:r>
      <w:hyperlink r:id="rId7">
        <w:r w:rsidDel="00000000" w:rsidR="00000000" w:rsidRPr="00000000">
          <w:rPr>
            <w:color w:val="1155cc"/>
            <w:sz w:val="20"/>
            <w:szCs w:val="20"/>
            <w:u w:val="single"/>
            <w:rtl w:val="0"/>
          </w:rPr>
          <w:t xml:space="preserve">https://www.ucu.org.uk/media/9609/10-Stages-to-Genocide/pdf/10_Stages_to_Genocide.pdf</w:t>
        </w:r>
      </w:hyperlink>
      <w:r w:rsidDel="00000000" w:rsidR="00000000" w:rsidRPr="00000000">
        <w:rPr>
          <w:sz w:val="20"/>
          <w:szCs w:val="20"/>
          <w:rtl w:val="0"/>
        </w:rPr>
        <w:t xml:space="preserve">. Accessed 18 Oct. 2020.</w:t>
      </w:r>
    </w:p>
  </w:footnote>
  <w:footnote w:id="7">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"Illuminating the 10 Stages of Genocide through Rywka's Diary ...." </w:t>
      </w:r>
      <w:hyperlink r:id="rId8">
        <w:r w:rsidDel="00000000" w:rsidR="00000000" w:rsidRPr="00000000">
          <w:rPr>
            <w:color w:val="1155cc"/>
            <w:sz w:val="20"/>
            <w:szCs w:val="20"/>
            <w:u w:val="single"/>
            <w:rtl w:val="0"/>
          </w:rPr>
          <w:t xml:space="preserve">https://jewishmuseummilwaukee.org/10-stages-of-genocide/</w:t>
        </w:r>
      </w:hyperlink>
      <w:r w:rsidDel="00000000" w:rsidR="00000000" w:rsidRPr="00000000">
        <w:rPr>
          <w:sz w:val="20"/>
          <w:szCs w:val="20"/>
          <w:rtl w:val="0"/>
        </w:rPr>
        <w:t xml:space="preserve">. Accessed 18 Oct. 2020.</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C">
    <w:pPr>
      <w:rPr/>
    </w:pPr>
    <w:r w:rsidDel="00000000" w:rsidR="00000000" w:rsidRPr="00000000">
      <w:rPr>
        <w:rtl w:val="0"/>
      </w:rPr>
      <w:t xml:space="preserve">Zara Louise Matthewson</w:t>
    </w:r>
  </w:p>
  <w:p w:rsidR="00000000" w:rsidDel="00000000" w:rsidP="00000000" w:rsidRDefault="00000000" w:rsidRPr="00000000" w14:paraId="0000001D">
    <w:pPr>
      <w:rPr/>
    </w:pPr>
    <w:r w:rsidDel="00000000" w:rsidR="00000000" w:rsidRPr="00000000">
      <w:rPr>
        <w:rtl w:val="0"/>
      </w:rPr>
      <w:t xml:space="preserve">HPHP4009</w:t>
    </w:r>
  </w:p>
  <w:p w:rsidR="00000000" w:rsidDel="00000000" w:rsidP="00000000" w:rsidRDefault="00000000" w:rsidRPr="00000000" w14:paraId="0000001E">
    <w:pPr>
      <w:rPr/>
    </w:pPr>
    <w:r w:rsidDel="00000000" w:rsidR="00000000" w:rsidRPr="00000000">
      <w:rPr>
        <w:rtl w:val="0"/>
      </w:rPr>
      <w:t xml:space="preserve">”Pathways to Evil”: Genocide - History, Theory and Denial</w:t>
    </w:r>
  </w:p>
  <w:p w:rsidR="00000000" w:rsidDel="00000000" w:rsidP="00000000" w:rsidRDefault="00000000" w:rsidRPr="00000000" w14:paraId="0000001F">
    <w:pPr>
      <w:rPr/>
    </w:pPr>
    <w:r w:rsidDel="00000000" w:rsidR="00000000" w:rsidRPr="00000000">
      <w:rPr>
        <w:rtl w:val="0"/>
      </w:rPr>
      <w:t xml:space="preserve">Assignment Two: 2000 Word Essay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www.un.org/en/genocideprevention/genocide-convention.shtml" TargetMode="External"/><Relationship Id="rId2" Type="http://schemas.openxmlformats.org/officeDocument/2006/relationships/hyperlink" Target="https://www.un.org/en/genocideprevention/genocide.shtml" TargetMode="External"/><Relationship Id="rId3" Type="http://schemas.openxmlformats.org/officeDocument/2006/relationships/hyperlink" Target="https://www.un.org/en/genocideprevention/documents/atrocity-crimes/Doc.1_Convention%20on%20the%20Prevention%20and%20Punishment%20of%20the%20Crime%20of%20Genocide.pdf" TargetMode="External"/><Relationship Id="rId4" Type="http://schemas.openxmlformats.org/officeDocument/2006/relationships/hyperlink" Target="https://www.un.org/en/genocideprevention/genocide.shtml" TargetMode="External"/><Relationship Id="rId5" Type="http://schemas.openxmlformats.org/officeDocument/2006/relationships/hyperlink" Target="https://www.un.org/en/genocideprevention/genocide.shtml" TargetMode="External"/><Relationship Id="rId6" Type="http://schemas.openxmlformats.org/officeDocument/2006/relationships/hyperlink" Target="https://www.cambridge.org/core/services/aop-cambridge-core/content/view/S1816383110000056" TargetMode="External"/><Relationship Id="rId7" Type="http://schemas.openxmlformats.org/officeDocument/2006/relationships/hyperlink" Target="https://www.ucu.org.uk/media/9609/10-Stages-to-Genocide/pdf/10_Stages_to_Genocide.pdf" TargetMode="External"/><Relationship Id="rId8" Type="http://schemas.openxmlformats.org/officeDocument/2006/relationships/hyperlink" Target="https://jewishmuseummilwaukee.org/10-stages-of-genoc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