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7470" w:rsidRPr="0086409A" w:rsidRDefault="007D7470" w:rsidP="007D7470">
      <w:pPr>
        <w:shd w:val="clear" w:color="auto" w:fill="FFFFFF"/>
        <w:spacing w:after="150" w:line="330" w:lineRule="atLeast"/>
        <w:jc w:val="center"/>
        <w:textAlignment w:val="baseline"/>
        <w:rPr>
          <w:rFonts w:ascii="Arial" w:hAnsi="Arial" w:cs="Arial"/>
          <w:b/>
          <w:sz w:val="20"/>
          <w:szCs w:val="20"/>
        </w:rPr>
      </w:pPr>
      <w:bookmarkStart w:id="0" w:name="_Hlk503288226"/>
      <w:r w:rsidRPr="0086409A">
        <w:rPr>
          <w:rFonts w:ascii="Arial" w:hAnsi="Arial" w:cs="Arial"/>
          <w:noProof/>
          <w:sz w:val="20"/>
          <w:szCs w:val="20"/>
          <w:lang w:eastAsia="en-IN"/>
        </w:rPr>
        <w:drawing>
          <wp:inline distT="0" distB="0" distL="0" distR="0" wp14:anchorId="4627BD26" wp14:editId="7D90305F">
            <wp:extent cx="2143125" cy="2143125"/>
            <wp:effectExtent l="0" t="0" r="9525" b="9525"/>
            <wp:docPr id="1" name="Picture 0" descr="download.jpg"/>
            <wp:cNvGraphicFramePr/>
            <a:graphic xmlns:a="http://schemas.openxmlformats.org/drawingml/2006/main">
              <a:graphicData uri="http://schemas.openxmlformats.org/drawingml/2006/picture">
                <pic:pic xmlns:pic="http://schemas.openxmlformats.org/drawingml/2006/picture">
                  <pic:nvPicPr>
                    <pic:cNvPr id="1" name="Picture 0" descr="download.jpg"/>
                    <pic:cNvPicPr/>
                  </pic:nvPicPr>
                  <pic:blipFill>
                    <a:blip r:embed="rId7"/>
                    <a:stretch>
                      <a:fillRect/>
                    </a:stretch>
                  </pic:blipFill>
                  <pic:spPr>
                    <a:xfrm>
                      <a:off x="0" y="0"/>
                      <a:ext cx="2143125" cy="2143125"/>
                    </a:xfrm>
                    <a:prstGeom prst="rect">
                      <a:avLst/>
                    </a:prstGeom>
                  </pic:spPr>
                </pic:pic>
              </a:graphicData>
            </a:graphic>
          </wp:inline>
        </w:drawing>
      </w: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797F24" w:rsidRDefault="007D7470" w:rsidP="007D7470">
      <w:pPr>
        <w:shd w:val="clear" w:color="auto" w:fill="FFFFFF"/>
        <w:spacing w:after="150" w:line="330" w:lineRule="atLeast"/>
        <w:jc w:val="center"/>
        <w:textAlignment w:val="baseline"/>
        <w:rPr>
          <w:rFonts w:ascii="Arial" w:hAnsi="Arial" w:cs="Arial"/>
          <w:b/>
          <w:sz w:val="40"/>
          <w:szCs w:val="40"/>
        </w:rPr>
      </w:pPr>
      <w:r w:rsidRPr="00797F24">
        <w:rPr>
          <w:rFonts w:ascii="Arial" w:hAnsi="Arial" w:cs="Arial"/>
          <w:b/>
          <w:sz w:val="40"/>
          <w:szCs w:val="40"/>
        </w:rPr>
        <w:t>Financial Management</w:t>
      </w:r>
    </w:p>
    <w:p w:rsidR="007D7470" w:rsidRPr="00797F24" w:rsidRDefault="007D7470" w:rsidP="007D7470">
      <w:pPr>
        <w:shd w:val="clear" w:color="auto" w:fill="FFFFFF"/>
        <w:spacing w:after="150" w:line="330" w:lineRule="atLeast"/>
        <w:jc w:val="center"/>
        <w:textAlignment w:val="baseline"/>
        <w:rPr>
          <w:rFonts w:ascii="Arial" w:hAnsi="Arial" w:cs="Arial"/>
          <w:b/>
          <w:sz w:val="40"/>
          <w:szCs w:val="40"/>
        </w:rPr>
      </w:pPr>
      <w:r>
        <w:rPr>
          <w:rFonts w:ascii="Arial" w:hAnsi="Arial" w:cs="Arial"/>
          <w:b/>
          <w:sz w:val="40"/>
          <w:szCs w:val="40"/>
        </w:rPr>
        <w:t>Ratio Analysis of</w:t>
      </w:r>
    </w:p>
    <w:p w:rsidR="007D7470" w:rsidRPr="00797F24" w:rsidRDefault="007D7470" w:rsidP="007D7470">
      <w:pPr>
        <w:shd w:val="clear" w:color="auto" w:fill="FFFFFF"/>
        <w:spacing w:after="150" w:line="330" w:lineRule="atLeast"/>
        <w:jc w:val="center"/>
        <w:textAlignment w:val="baseline"/>
        <w:rPr>
          <w:rFonts w:ascii="Arial" w:eastAsia="Times New Roman" w:hAnsi="Arial" w:cs="Arial"/>
          <w:b/>
          <w:sz w:val="40"/>
          <w:szCs w:val="40"/>
          <w:lang w:eastAsia="en-IN"/>
        </w:rPr>
      </w:pPr>
      <w:r w:rsidRPr="00797F24">
        <w:rPr>
          <w:rFonts w:ascii="Arial" w:eastAsia="Times New Roman" w:hAnsi="Arial" w:cs="Arial"/>
          <w:b/>
          <w:sz w:val="40"/>
          <w:szCs w:val="40"/>
          <w:lang w:eastAsia="en-IN"/>
        </w:rPr>
        <w:t>Hilton food Plc</w:t>
      </w:r>
    </w:p>
    <w:p w:rsidR="007D7470" w:rsidRPr="0086409A" w:rsidRDefault="007D7470" w:rsidP="007D7470">
      <w:pPr>
        <w:shd w:val="clear" w:color="auto" w:fill="FFFFFF"/>
        <w:spacing w:after="150" w:line="330" w:lineRule="atLeast"/>
        <w:jc w:val="center"/>
        <w:textAlignment w:val="baseline"/>
        <w:rPr>
          <w:rFonts w:ascii="Arial" w:eastAsia="Times New Roman" w:hAnsi="Arial" w:cs="Arial"/>
          <w:b/>
          <w:sz w:val="20"/>
          <w:szCs w:val="20"/>
          <w:lang w:eastAsia="en-IN"/>
        </w:rPr>
      </w:pPr>
    </w:p>
    <w:tbl>
      <w:tblPr>
        <w:tblStyle w:val="TableGrid"/>
        <w:tblW w:w="0" w:type="auto"/>
        <w:tblLook w:val="04A0" w:firstRow="1" w:lastRow="0" w:firstColumn="1" w:lastColumn="0" w:noHBand="0" w:noVBand="1"/>
      </w:tblPr>
      <w:tblGrid>
        <w:gridCol w:w="4491"/>
        <w:gridCol w:w="4525"/>
      </w:tblGrid>
      <w:tr w:rsidR="007D7470" w:rsidRPr="0086409A" w:rsidTr="00223EC0">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Name</w:t>
            </w:r>
          </w:p>
        </w:tc>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proofErr w:type="spellStart"/>
            <w:r w:rsidRPr="0061414E">
              <w:rPr>
                <w:rFonts w:ascii="Arial" w:eastAsia="Times New Roman" w:hAnsi="Arial" w:cs="Arial"/>
                <w:b/>
                <w:sz w:val="30"/>
                <w:szCs w:val="30"/>
                <w:lang w:eastAsia="en-IN"/>
              </w:rPr>
              <w:t>Satishchandra</w:t>
            </w:r>
            <w:proofErr w:type="spellEnd"/>
            <w:r w:rsidRPr="0061414E">
              <w:rPr>
                <w:rFonts w:ascii="Arial" w:eastAsia="Times New Roman" w:hAnsi="Arial" w:cs="Arial"/>
                <w:b/>
                <w:sz w:val="30"/>
                <w:szCs w:val="30"/>
                <w:lang w:eastAsia="en-IN"/>
              </w:rPr>
              <w:t xml:space="preserve"> </w:t>
            </w:r>
            <w:proofErr w:type="spellStart"/>
            <w:r w:rsidRPr="0061414E">
              <w:rPr>
                <w:rFonts w:ascii="Arial" w:eastAsia="Times New Roman" w:hAnsi="Arial" w:cs="Arial"/>
                <w:b/>
                <w:sz w:val="30"/>
                <w:szCs w:val="30"/>
                <w:lang w:eastAsia="en-IN"/>
              </w:rPr>
              <w:t>Sonera</w:t>
            </w:r>
            <w:proofErr w:type="spellEnd"/>
          </w:p>
        </w:tc>
      </w:tr>
      <w:tr w:rsidR="007D7470" w:rsidRPr="0086409A" w:rsidTr="00223EC0">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Student ID</w:t>
            </w:r>
          </w:p>
        </w:tc>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1705988</w:t>
            </w:r>
          </w:p>
        </w:tc>
      </w:tr>
      <w:tr w:rsidR="007D7470" w:rsidRPr="0086409A" w:rsidTr="00223EC0">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Module Code</w:t>
            </w:r>
          </w:p>
        </w:tc>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SBMA7100_FIM</w:t>
            </w:r>
          </w:p>
        </w:tc>
      </w:tr>
      <w:tr w:rsidR="007D7470" w:rsidRPr="0086409A" w:rsidTr="00223EC0">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Submitted To</w:t>
            </w:r>
          </w:p>
        </w:tc>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proofErr w:type="spellStart"/>
            <w:r w:rsidRPr="0061414E">
              <w:rPr>
                <w:rFonts w:ascii="Arial" w:eastAsia="Times New Roman" w:hAnsi="Arial" w:cs="Arial"/>
                <w:b/>
                <w:sz w:val="30"/>
                <w:szCs w:val="30"/>
                <w:lang w:eastAsia="en-IN"/>
              </w:rPr>
              <w:t>Dr.</w:t>
            </w:r>
            <w:proofErr w:type="spellEnd"/>
            <w:r w:rsidRPr="0061414E">
              <w:rPr>
                <w:rFonts w:ascii="Arial" w:eastAsia="Times New Roman" w:hAnsi="Arial" w:cs="Arial"/>
                <w:b/>
                <w:sz w:val="30"/>
                <w:szCs w:val="30"/>
                <w:lang w:eastAsia="en-IN"/>
              </w:rPr>
              <w:t xml:space="preserve"> Jia Miao</w:t>
            </w:r>
          </w:p>
        </w:tc>
      </w:tr>
      <w:tr w:rsidR="007D7470" w:rsidRPr="0086409A" w:rsidTr="00223EC0">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Submitted Date</w:t>
            </w:r>
          </w:p>
        </w:tc>
        <w:tc>
          <w:tcPr>
            <w:tcW w:w="4621" w:type="dxa"/>
            <w:shd w:val="clear" w:color="auto" w:fill="D9D9D9" w:themeFill="background1" w:themeFillShade="D9"/>
          </w:tcPr>
          <w:p w:rsidR="007D7470" w:rsidRPr="0061414E" w:rsidRDefault="007D7470" w:rsidP="00223EC0">
            <w:pPr>
              <w:spacing w:after="150" w:line="330" w:lineRule="atLeast"/>
              <w:jc w:val="center"/>
              <w:textAlignment w:val="baseline"/>
              <w:rPr>
                <w:rFonts w:ascii="Arial" w:eastAsia="Times New Roman" w:hAnsi="Arial" w:cs="Arial"/>
                <w:b/>
                <w:sz w:val="30"/>
                <w:szCs w:val="30"/>
                <w:lang w:eastAsia="en-IN"/>
              </w:rPr>
            </w:pPr>
            <w:r w:rsidRPr="0061414E">
              <w:rPr>
                <w:rFonts w:ascii="Arial" w:eastAsia="Times New Roman" w:hAnsi="Arial" w:cs="Arial"/>
                <w:b/>
                <w:sz w:val="30"/>
                <w:szCs w:val="30"/>
                <w:lang w:eastAsia="en-IN"/>
              </w:rPr>
              <w:t>9</w:t>
            </w:r>
            <w:r w:rsidRPr="0061414E">
              <w:rPr>
                <w:rFonts w:ascii="Arial" w:eastAsia="Times New Roman" w:hAnsi="Arial" w:cs="Arial"/>
                <w:b/>
                <w:sz w:val="30"/>
                <w:szCs w:val="30"/>
                <w:vertAlign w:val="superscript"/>
                <w:lang w:eastAsia="en-IN"/>
              </w:rPr>
              <w:t>Th</w:t>
            </w:r>
            <w:r w:rsidRPr="0061414E">
              <w:rPr>
                <w:rFonts w:ascii="Arial" w:eastAsia="Times New Roman" w:hAnsi="Arial" w:cs="Arial"/>
                <w:b/>
                <w:sz w:val="30"/>
                <w:szCs w:val="30"/>
                <w:lang w:eastAsia="en-IN"/>
              </w:rPr>
              <w:t xml:space="preserve"> January 2018</w:t>
            </w:r>
          </w:p>
        </w:tc>
      </w:tr>
    </w:tbl>
    <w:p w:rsidR="007D7470" w:rsidRPr="0086409A" w:rsidRDefault="007D7470" w:rsidP="007D7470">
      <w:pPr>
        <w:shd w:val="clear" w:color="auto" w:fill="FFFFFF"/>
        <w:spacing w:after="150" w:line="330" w:lineRule="atLeast"/>
        <w:jc w:val="both"/>
        <w:textAlignment w:val="baseline"/>
        <w:rPr>
          <w:rFonts w:ascii="Arial" w:eastAsia="Times New Roman" w:hAnsi="Arial" w:cs="Arial"/>
          <w:sz w:val="20"/>
          <w:szCs w:val="20"/>
          <w:lang w:eastAsia="en-IN"/>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Pr="0086409A" w:rsidRDefault="007D7470" w:rsidP="007D7470">
      <w:pPr>
        <w:shd w:val="clear" w:color="auto" w:fill="FFFFFF"/>
        <w:spacing w:after="150" w:line="330" w:lineRule="atLeast"/>
        <w:jc w:val="both"/>
        <w:textAlignment w:val="baseline"/>
        <w:rPr>
          <w:rFonts w:ascii="Arial" w:hAnsi="Arial" w:cs="Arial"/>
          <w:b/>
          <w:sz w:val="20"/>
          <w:szCs w:val="20"/>
        </w:rPr>
      </w:pPr>
    </w:p>
    <w:p w:rsidR="007D7470" w:rsidRDefault="007D7470" w:rsidP="007D7470">
      <w:pPr>
        <w:pStyle w:val="TOC2"/>
      </w:pPr>
      <w:bookmarkStart w:id="1" w:name="_Hlk503288088"/>
    </w:p>
    <w:p w:rsidR="00275038" w:rsidRDefault="007D7470" w:rsidP="00275038">
      <w:pPr>
        <w:pStyle w:val="TOC2"/>
        <w:rPr>
          <w:rFonts w:ascii="Arial" w:hAnsi="Arial" w:cs="Arial"/>
          <w:b/>
          <w:sz w:val="20"/>
          <w:szCs w:val="20"/>
          <w:u w:val="single"/>
        </w:rPr>
      </w:pPr>
      <w:r w:rsidRPr="0023272E">
        <w:rPr>
          <w:rFonts w:ascii="Arial" w:hAnsi="Arial" w:cs="Arial"/>
          <w:b/>
          <w:sz w:val="20"/>
          <w:szCs w:val="20"/>
          <w:u w:val="single"/>
        </w:rPr>
        <w:lastRenderedPageBreak/>
        <w:t>Contents</w:t>
      </w:r>
    </w:p>
    <w:p w:rsidR="007D7470" w:rsidRPr="00275038" w:rsidRDefault="007D7470" w:rsidP="00275038">
      <w:pPr>
        <w:pStyle w:val="TOC2"/>
        <w:ind w:left="0"/>
        <w:rPr>
          <w:rFonts w:ascii="Arial" w:hAnsi="Arial" w:cs="Arial"/>
          <w:b/>
          <w:sz w:val="20"/>
          <w:szCs w:val="20"/>
          <w:u w:val="single"/>
        </w:rPr>
      </w:pPr>
      <w:r w:rsidRPr="0023272E">
        <w:rPr>
          <w:rFonts w:ascii="Arial" w:hAnsi="Arial" w:cs="Arial"/>
          <w:sz w:val="20"/>
          <w:szCs w:val="20"/>
        </w:rPr>
        <w:t>History and background …………………………………………………………………………………</w:t>
      </w:r>
      <w:r w:rsidR="00275038" w:rsidRPr="0023272E">
        <w:rPr>
          <w:rFonts w:ascii="Arial" w:hAnsi="Arial" w:cs="Arial"/>
          <w:sz w:val="20"/>
          <w:szCs w:val="20"/>
        </w:rPr>
        <w:t>…</w:t>
      </w:r>
      <w:r w:rsidR="00275038">
        <w:rPr>
          <w:rFonts w:ascii="Arial" w:hAnsi="Arial" w:cs="Arial"/>
          <w:sz w:val="20"/>
          <w:szCs w:val="20"/>
        </w:rPr>
        <w:t>….</w:t>
      </w:r>
      <w:r w:rsidRPr="0023272E">
        <w:rPr>
          <w:rFonts w:ascii="Arial" w:hAnsi="Arial" w:cs="Arial"/>
          <w:sz w:val="20"/>
          <w:szCs w:val="20"/>
        </w:rPr>
        <w:t>3</w:t>
      </w:r>
    </w:p>
    <w:p w:rsidR="007D7470" w:rsidRPr="0023272E" w:rsidRDefault="007D7470" w:rsidP="00275038">
      <w:pPr>
        <w:pStyle w:val="TOC2"/>
        <w:ind w:left="0"/>
        <w:rPr>
          <w:rFonts w:ascii="Arial" w:hAnsi="Arial" w:cs="Arial"/>
          <w:sz w:val="20"/>
          <w:szCs w:val="20"/>
        </w:rPr>
      </w:pPr>
      <w:r w:rsidRPr="0023272E">
        <w:rPr>
          <w:rFonts w:ascii="Arial" w:hAnsi="Arial" w:cs="Arial"/>
          <w:sz w:val="20"/>
          <w:szCs w:val="20"/>
        </w:rPr>
        <w:t xml:space="preserve">Objectives </w:t>
      </w:r>
      <w:r w:rsidR="00275038">
        <w:rPr>
          <w:rFonts w:ascii="Arial" w:hAnsi="Arial" w:cs="Arial"/>
          <w:sz w:val="20"/>
          <w:szCs w:val="20"/>
        </w:rPr>
        <w:t>o</w:t>
      </w:r>
      <w:r w:rsidRPr="0023272E">
        <w:rPr>
          <w:rFonts w:ascii="Arial" w:hAnsi="Arial" w:cs="Arial"/>
          <w:sz w:val="20"/>
          <w:szCs w:val="20"/>
        </w:rPr>
        <w:t>f Ratio Analysis………………………………………………………………………………...</w:t>
      </w:r>
      <w:r w:rsidR="00275038">
        <w:rPr>
          <w:rFonts w:ascii="Arial" w:hAnsi="Arial" w:cs="Arial"/>
          <w:sz w:val="20"/>
          <w:szCs w:val="20"/>
        </w:rPr>
        <w:t>...</w:t>
      </w:r>
      <w:r w:rsidRPr="0023272E">
        <w:rPr>
          <w:rFonts w:ascii="Arial" w:hAnsi="Arial" w:cs="Arial"/>
          <w:sz w:val="20"/>
          <w:szCs w:val="20"/>
        </w:rPr>
        <w:t>4</w:t>
      </w:r>
    </w:p>
    <w:p w:rsidR="007D7470" w:rsidRPr="0023272E" w:rsidRDefault="007D7470" w:rsidP="007D7470">
      <w:pPr>
        <w:rPr>
          <w:rFonts w:ascii="Arial" w:hAnsi="Arial" w:cs="Arial"/>
          <w:sz w:val="20"/>
          <w:szCs w:val="20"/>
          <w:lang w:val="en-US"/>
        </w:rPr>
      </w:pPr>
      <w:r w:rsidRPr="0023272E">
        <w:rPr>
          <w:rFonts w:ascii="Arial" w:hAnsi="Arial" w:cs="Arial"/>
          <w:sz w:val="20"/>
          <w:szCs w:val="20"/>
          <w:lang w:val="en-US"/>
        </w:rPr>
        <w:t>Calculation of Different Financial Ratios</w:t>
      </w:r>
    </w:p>
    <w:p w:rsidR="007D7470" w:rsidRPr="0023272E" w:rsidRDefault="007D7470" w:rsidP="00275038">
      <w:pPr>
        <w:pStyle w:val="TOC2"/>
        <w:ind w:left="0"/>
        <w:rPr>
          <w:rFonts w:ascii="Arial" w:hAnsi="Arial" w:cs="Arial"/>
          <w:sz w:val="20"/>
          <w:szCs w:val="20"/>
        </w:rPr>
      </w:pPr>
      <w:r w:rsidRPr="0023272E">
        <w:rPr>
          <w:rFonts w:ascii="Arial" w:hAnsi="Arial" w:cs="Arial"/>
          <w:sz w:val="20"/>
          <w:szCs w:val="20"/>
        </w:rPr>
        <w:t xml:space="preserve">Calculation </w:t>
      </w:r>
      <w:r w:rsidR="00275038">
        <w:rPr>
          <w:rFonts w:ascii="Arial" w:hAnsi="Arial" w:cs="Arial"/>
          <w:sz w:val="20"/>
          <w:szCs w:val="20"/>
        </w:rPr>
        <w:t>o</w:t>
      </w:r>
      <w:r w:rsidRPr="0023272E">
        <w:rPr>
          <w:rFonts w:ascii="Arial" w:hAnsi="Arial" w:cs="Arial"/>
          <w:sz w:val="20"/>
          <w:szCs w:val="20"/>
        </w:rPr>
        <w:t>f Liquidity Ratio………………………………………………………………………………</w:t>
      </w:r>
      <w:r w:rsidR="00275038">
        <w:rPr>
          <w:rFonts w:ascii="Arial" w:hAnsi="Arial" w:cs="Arial"/>
          <w:sz w:val="20"/>
          <w:szCs w:val="20"/>
        </w:rPr>
        <w:t>…...</w:t>
      </w:r>
      <w:r w:rsidRPr="0023272E">
        <w:rPr>
          <w:rFonts w:ascii="Arial" w:hAnsi="Arial" w:cs="Arial"/>
          <w:sz w:val="20"/>
          <w:szCs w:val="20"/>
        </w:rPr>
        <w:t>4</w:t>
      </w:r>
    </w:p>
    <w:p w:rsidR="007D7470" w:rsidRPr="0023272E" w:rsidRDefault="007D7470" w:rsidP="00275038">
      <w:pPr>
        <w:pStyle w:val="TOC2"/>
        <w:ind w:left="0"/>
        <w:rPr>
          <w:rFonts w:ascii="Arial" w:hAnsi="Arial" w:cs="Arial"/>
          <w:sz w:val="20"/>
          <w:szCs w:val="20"/>
        </w:rPr>
      </w:pPr>
      <w:r w:rsidRPr="0023272E">
        <w:rPr>
          <w:rFonts w:ascii="Arial" w:hAnsi="Arial" w:cs="Arial"/>
          <w:sz w:val="20"/>
          <w:szCs w:val="20"/>
        </w:rPr>
        <w:t xml:space="preserve">Calculation </w:t>
      </w:r>
      <w:r w:rsidR="00275038">
        <w:rPr>
          <w:rFonts w:ascii="Arial" w:hAnsi="Arial" w:cs="Arial"/>
          <w:sz w:val="20"/>
          <w:szCs w:val="20"/>
        </w:rPr>
        <w:t>o</w:t>
      </w:r>
      <w:r w:rsidRPr="0023272E">
        <w:rPr>
          <w:rFonts w:ascii="Arial" w:hAnsi="Arial" w:cs="Arial"/>
          <w:sz w:val="20"/>
          <w:szCs w:val="20"/>
        </w:rPr>
        <w:t>f Profitability Ratio……………………………………………………………………………</w:t>
      </w:r>
      <w:proofErr w:type="gramStart"/>
      <w:r w:rsidR="00275038">
        <w:rPr>
          <w:rFonts w:ascii="Arial" w:hAnsi="Arial" w:cs="Arial"/>
          <w:sz w:val="20"/>
          <w:szCs w:val="20"/>
        </w:rPr>
        <w:t>…..</w:t>
      </w:r>
      <w:proofErr w:type="gramEnd"/>
      <w:r w:rsidRPr="0023272E">
        <w:rPr>
          <w:rFonts w:ascii="Arial" w:hAnsi="Arial" w:cs="Arial"/>
          <w:sz w:val="20"/>
          <w:szCs w:val="20"/>
        </w:rPr>
        <w:t>5</w:t>
      </w:r>
    </w:p>
    <w:p w:rsidR="007D7470" w:rsidRPr="0023272E" w:rsidRDefault="007D7470" w:rsidP="00275038">
      <w:pPr>
        <w:pStyle w:val="TOC2"/>
        <w:ind w:left="0"/>
        <w:rPr>
          <w:rFonts w:ascii="Arial" w:hAnsi="Arial" w:cs="Arial"/>
          <w:b/>
          <w:sz w:val="20"/>
          <w:szCs w:val="20"/>
        </w:rPr>
      </w:pPr>
      <w:r w:rsidRPr="0023272E">
        <w:rPr>
          <w:rFonts w:ascii="Arial" w:hAnsi="Arial" w:cs="Arial"/>
          <w:sz w:val="20"/>
          <w:szCs w:val="20"/>
        </w:rPr>
        <w:t xml:space="preserve">Calculation </w:t>
      </w:r>
      <w:r w:rsidR="00275038">
        <w:rPr>
          <w:rFonts w:ascii="Arial" w:hAnsi="Arial" w:cs="Arial"/>
          <w:sz w:val="20"/>
          <w:szCs w:val="20"/>
        </w:rPr>
        <w:t>o</w:t>
      </w:r>
      <w:r w:rsidRPr="0023272E">
        <w:rPr>
          <w:rFonts w:ascii="Arial" w:hAnsi="Arial" w:cs="Arial"/>
          <w:sz w:val="20"/>
          <w:szCs w:val="20"/>
        </w:rPr>
        <w:t>f Leverage Ratio………………………………………………………………………………</w:t>
      </w:r>
      <w:r w:rsidR="00275038">
        <w:rPr>
          <w:rFonts w:ascii="Arial" w:hAnsi="Arial" w:cs="Arial"/>
          <w:sz w:val="20"/>
          <w:szCs w:val="20"/>
        </w:rPr>
        <w:t>….</w:t>
      </w:r>
      <w:r w:rsidRPr="0023272E">
        <w:rPr>
          <w:rFonts w:ascii="Arial" w:hAnsi="Arial" w:cs="Arial"/>
          <w:sz w:val="20"/>
          <w:szCs w:val="20"/>
        </w:rPr>
        <w:t>6</w:t>
      </w:r>
    </w:p>
    <w:p w:rsidR="007D7470" w:rsidRPr="0023272E" w:rsidRDefault="007D7470" w:rsidP="007D7470">
      <w:pPr>
        <w:jc w:val="both"/>
        <w:rPr>
          <w:rFonts w:ascii="Arial" w:hAnsi="Arial" w:cs="Arial"/>
          <w:sz w:val="20"/>
          <w:szCs w:val="20"/>
          <w:lang w:val="en-US"/>
        </w:rPr>
      </w:pPr>
      <w:r w:rsidRPr="0023272E">
        <w:rPr>
          <w:rFonts w:ascii="Arial" w:hAnsi="Arial" w:cs="Arial"/>
          <w:sz w:val="20"/>
          <w:szCs w:val="20"/>
          <w:lang w:val="en-US"/>
        </w:rPr>
        <w:t>Calculation of Efficiency Ratio………………………………………………………………………………….6</w:t>
      </w:r>
    </w:p>
    <w:p w:rsidR="007D7470" w:rsidRPr="0023272E" w:rsidRDefault="007D7470" w:rsidP="007D7470">
      <w:pPr>
        <w:jc w:val="both"/>
        <w:rPr>
          <w:rFonts w:ascii="Arial" w:hAnsi="Arial" w:cs="Arial"/>
          <w:sz w:val="20"/>
          <w:szCs w:val="20"/>
          <w:lang w:val="en-US"/>
        </w:rPr>
      </w:pPr>
      <w:r w:rsidRPr="0023272E">
        <w:rPr>
          <w:rFonts w:ascii="Arial" w:hAnsi="Arial" w:cs="Arial"/>
          <w:sz w:val="20"/>
          <w:szCs w:val="20"/>
          <w:lang w:val="en-US"/>
        </w:rPr>
        <w:t xml:space="preserve">The Ratio Comparisons between Hilton Food PLC Versus RPC Group PLC…………………………….7 </w:t>
      </w:r>
    </w:p>
    <w:p w:rsidR="007D7470" w:rsidRPr="0023272E" w:rsidRDefault="007D7470" w:rsidP="007D7470">
      <w:pPr>
        <w:jc w:val="both"/>
        <w:rPr>
          <w:rFonts w:ascii="Arial" w:hAnsi="Arial" w:cs="Arial"/>
          <w:sz w:val="20"/>
          <w:szCs w:val="20"/>
          <w:lang w:val="en-US"/>
        </w:rPr>
      </w:pPr>
      <w:r w:rsidRPr="0023272E">
        <w:rPr>
          <w:rFonts w:ascii="Arial" w:hAnsi="Arial" w:cs="Arial"/>
          <w:sz w:val="20"/>
          <w:szCs w:val="20"/>
          <w:lang w:val="en-US"/>
        </w:rPr>
        <w:t xml:space="preserve">Critical evaluation over the last 5 years of </w:t>
      </w:r>
      <w:r w:rsidR="006036BC">
        <w:rPr>
          <w:rFonts w:ascii="Arial" w:hAnsi="Arial" w:cs="Arial"/>
          <w:sz w:val="20"/>
          <w:szCs w:val="20"/>
          <w:lang w:val="en-US"/>
        </w:rPr>
        <w:t>Hilton</w:t>
      </w:r>
      <w:r w:rsidRPr="0023272E">
        <w:rPr>
          <w:rFonts w:ascii="Arial" w:hAnsi="Arial" w:cs="Arial"/>
          <w:sz w:val="20"/>
          <w:szCs w:val="20"/>
          <w:lang w:val="en-US"/>
        </w:rPr>
        <w:t xml:space="preserve"> food plc and comparison of it with </w:t>
      </w:r>
      <w:r w:rsidR="00275038">
        <w:rPr>
          <w:rFonts w:ascii="Arial" w:hAnsi="Arial" w:cs="Arial"/>
          <w:sz w:val="20"/>
          <w:szCs w:val="20"/>
          <w:lang w:val="en-US"/>
        </w:rPr>
        <w:t>RPC</w:t>
      </w:r>
      <w:r w:rsidRPr="0023272E">
        <w:rPr>
          <w:rFonts w:ascii="Arial" w:hAnsi="Arial" w:cs="Arial"/>
          <w:sz w:val="20"/>
          <w:szCs w:val="20"/>
          <w:lang w:val="en-US"/>
        </w:rPr>
        <w:t xml:space="preserve"> group plc last year 2016…………………………………………………………………………………………………………7</w:t>
      </w:r>
    </w:p>
    <w:p w:rsidR="007D7470" w:rsidRPr="0023272E" w:rsidRDefault="007D7470" w:rsidP="007D7470">
      <w:pPr>
        <w:spacing w:line="360" w:lineRule="auto"/>
        <w:rPr>
          <w:rFonts w:ascii="Arial" w:hAnsi="Arial" w:cs="Arial"/>
          <w:sz w:val="20"/>
          <w:szCs w:val="20"/>
          <w:lang w:val="en-US"/>
        </w:rPr>
      </w:pPr>
      <w:r w:rsidRPr="0023272E">
        <w:rPr>
          <w:rFonts w:ascii="Arial" w:hAnsi="Arial" w:cs="Arial"/>
          <w:sz w:val="20"/>
          <w:szCs w:val="20"/>
          <w:lang w:val="en-US"/>
        </w:rPr>
        <w:t>Findings and Recommendation for the Hilton food PLC…………………………………………………….9</w:t>
      </w:r>
    </w:p>
    <w:p w:rsidR="007D7470" w:rsidRPr="0023272E" w:rsidRDefault="007D7470" w:rsidP="007D7470">
      <w:pPr>
        <w:pStyle w:val="TOC1"/>
        <w:tabs>
          <w:tab w:val="right" w:leader="dot" w:pos="9350"/>
        </w:tabs>
        <w:jc w:val="both"/>
        <w:rPr>
          <w:rFonts w:ascii="Arial" w:hAnsi="Arial" w:cs="Arial"/>
          <w:noProof/>
          <w:sz w:val="20"/>
          <w:szCs w:val="20"/>
        </w:rPr>
      </w:pPr>
      <w:r w:rsidRPr="0023272E">
        <w:rPr>
          <w:rFonts w:ascii="Arial" w:hAnsi="Arial" w:cs="Arial"/>
          <w:sz w:val="20"/>
          <w:szCs w:val="20"/>
        </w:rPr>
        <w:t>Limitations of Ratio Analysis……………………………………………………………………………………9</w:t>
      </w:r>
    </w:p>
    <w:p w:rsidR="007D7470" w:rsidRPr="0023272E" w:rsidRDefault="007D7470" w:rsidP="007D7470">
      <w:pPr>
        <w:jc w:val="both"/>
        <w:rPr>
          <w:rFonts w:ascii="Arial" w:hAnsi="Arial" w:cs="Arial"/>
          <w:sz w:val="20"/>
          <w:szCs w:val="20"/>
        </w:rPr>
      </w:pPr>
      <w:r w:rsidRPr="0023272E">
        <w:rPr>
          <w:rFonts w:ascii="Arial" w:hAnsi="Arial" w:cs="Arial"/>
          <w:sz w:val="20"/>
          <w:szCs w:val="20"/>
        </w:rPr>
        <w:t>References……………………………………………………………………………………………………...11</w:t>
      </w:r>
    </w:p>
    <w:bookmarkEnd w:id="0"/>
    <w:bookmarkEnd w:id="1"/>
    <w:p w:rsidR="007D7470" w:rsidRDefault="007D7470" w:rsidP="007D7470"/>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57B61" w:rsidRPr="00B70D8E" w:rsidRDefault="00257B61" w:rsidP="00257B61">
      <w:pPr>
        <w:jc w:val="both"/>
        <w:rPr>
          <w:rFonts w:ascii="Arial" w:hAnsi="Arial" w:cs="Arial"/>
          <w:b/>
          <w:sz w:val="20"/>
          <w:szCs w:val="20"/>
          <w:u w:val="single"/>
        </w:rPr>
      </w:pPr>
    </w:p>
    <w:p w:rsidR="002030BA" w:rsidRDefault="002030BA" w:rsidP="00257B61">
      <w:pPr>
        <w:jc w:val="both"/>
        <w:rPr>
          <w:rFonts w:ascii="Arial" w:hAnsi="Arial" w:cs="Arial"/>
          <w:b/>
          <w:sz w:val="20"/>
          <w:szCs w:val="20"/>
          <w:u w:val="single"/>
        </w:rPr>
      </w:pPr>
    </w:p>
    <w:p w:rsidR="002030BA" w:rsidRDefault="002030BA" w:rsidP="00257B61">
      <w:pPr>
        <w:jc w:val="both"/>
        <w:rPr>
          <w:rFonts w:ascii="Arial" w:hAnsi="Arial" w:cs="Arial"/>
          <w:b/>
          <w:sz w:val="20"/>
          <w:szCs w:val="20"/>
          <w:u w:val="single"/>
        </w:rPr>
      </w:pPr>
    </w:p>
    <w:p w:rsidR="002030BA" w:rsidRDefault="002030BA" w:rsidP="00257B61">
      <w:pPr>
        <w:jc w:val="both"/>
        <w:rPr>
          <w:rFonts w:ascii="Arial" w:hAnsi="Arial" w:cs="Arial"/>
          <w:b/>
          <w:sz w:val="20"/>
          <w:szCs w:val="20"/>
          <w:u w:val="single"/>
        </w:rPr>
      </w:pPr>
    </w:p>
    <w:p w:rsidR="002030BA" w:rsidRDefault="002030BA" w:rsidP="00257B61">
      <w:pPr>
        <w:jc w:val="both"/>
        <w:rPr>
          <w:rFonts w:ascii="Arial" w:hAnsi="Arial" w:cs="Arial"/>
          <w:b/>
          <w:sz w:val="20"/>
          <w:szCs w:val="20"/>
          <w:u w:val="single"/>
        </w:rPr>
      </w:pPr>
    </w:p>
    <w:p w:rsidR="002030BA" w:rsidRDefault="002030BA" w:rsidP="00257B61">
      <w:pPr>
        <w:jc w:val="both"/>
        <w:rPr>
          <w:rFonts w:ascii="Arial" w:hAnsi="Arial" w:cs="Arial"/>
          <w:b/>
          <w:sz w:val="20"/>
          <w:szCs w:val="20"/>
          <w:u w:val="single"/>
        </w:rPr>
      </w:pPr>
    </w:p>
    <w:p w:rsidR="004C3C51" w:rsidRPr="002030BA" w:rsidRDefault="004C3C51" w:rsidP="00257B61">
      <w:pPr>
        <w:jc w:val="both"/>
        <w:rPr>
          <w:rFonts w:ascii="Arial" w:hAnsi="Arial" w:cs="Arial"/>
          <w:color w:val="0070C0"/>
          <w:sz w:val="20"/>
          <w:szCs w:val="20"/>
        </w:rPr>
      </w:pPr>
      <w:r w:rsidRPr="002030BA">
        <w:rPr>
          <w:rFonts w:ascii="Arial" w:hAnsi="Arial" w:cs="Arial"/>
          <w:b/>
          <w:color w:val="0070C0"/>
          <w:sz w:val="20"/>
          <w:szCs w:val="20"/>
          <w:u w:val="single"/>
        </w:rPr>
        <w:lastRenderedPageBreak/>
        <w:t>Introduction and Background of Hilton Food Plc:</w:t>
      </w:r>
    </w:p>
    <w:p w:rsidR="0040127F" w:rsidRPr="00B70D8E" w:rsidRDefault="00A65EA2" w:rsidP="00713107">
      <w:pPr>
        <w:rPr>
          <w:rFonts w:ascii="Arial" w:hAnsi="Arial" w:cs="Arial"/>
          <w:color w:val="000000"/>
          <w:sz w:val="20"/>
          <w:szCs w:val="20"/>
        </w:rPr>
      </w:pPr>
      <w:r w:rsidRPr="00B70D8E">
        <w:rPr>
          <w:rFonts w:ascii="Arial" w:hAnsi="Arial" w:cs="Arial"/>
          <w:sz w:val="20"/>
          <w:szCs w:val="20"/>
        </w:rPr>
        <w:t xml:space="preserve">Hilton food </w:t>
      </w:r>
      <w:r w:rsidR="00DF112F" w:rsidRPr="00B70D8E">
        <w:rPr>
          <w:rFonts w:ascii="Arial" w:hAnsi="Arial" w:cs="Arial"/>
          <w:sz w:val="20"/>
          <w:szCs w:val="20"/>
        </w:rPr>
        <w:t>plc is</w:t>
      </w:r>
      <w:r w:rsidRPr="00B70D8E">
        <w:rPr>
          <w:rFonts w:ascii="Arial" w:hAnsi="Arial" w:cs="Arial"/>
          <w:sz w:val="20"/>
          <w:szCs w:val="20"/>
        </w:rPr>
        <w:t xml:space="preserve"> the leading specialist international food packing business supplying major international retailers from state-of-the-art facilities started In United Kingdom. </w:t>
      </w:r>
      <w:r w:rsidR="00DF112F" w:rsidRPr="00B70D8E">
        <w:rPr>
          <w:rFonts w:ascii="Arial" w:hAnsi="Arial" w:cs="Arial"/>
          <w:sz w:val="20"/>
          <w:szCs w:val="20"/>
        </w:rPr>
        <w:t>Its</w:t>
      </w:r>
      <w:r w:rsidRPr="00B70D8E">
        <w:rPr>
          <w:rFonts w:ascii="Arial" w:hAnsi="Arial" w:cs="Arial"/>
          <w:sz w:val="20"/>
          <w:szCs w:val="20"/>
        </w:rPr>
        <w:t xml:space="preserve"> business was established in 1994 to operate</w:t>
      </w:r>
      <w:r w:rsidR="00DF112F" w:rsidRPr="00B70D8E">
        <w:rPr>
          <w:rFonts w:ascii="Arial" w:hAnsi="Arial" w:cs="Arial"/>
          <w:sz w:val="20"/>
          <w:szCs w:val="20"/>
        </w:rPr>
        <w:t xml:space="preserve"> in packing a beef and meat facility in Huntingdon, England. It grown expeditiously and now it has six factories across the Europe, they also in two joint ventures so that they can sell the products in the supermarkets across the 14 European nations and Australia.</w:t>
      </w:r>
      <w:r w:rsidR="0040127F" w:rsidRPr="00B70D8E">
        <w:rPr>
          <w:rFonts w:ascii="Arial" w:hAnsi="Arial" w:cs="Arial"/>
          <w:color w:val="000000"/>
          <w:sz w:val="20"/>
          <w:szCs w:val="20"/>
        </w:rPr>
        <w:t xml:space="preserve"> Every plant of Hilton’s central meat packing is operated on a dedicated basis for Hilton customers. Hilton’s business model has been adapted to meet local requirements with customers in each country in Europe and Australia.</w:t>
      </w:r>
      <w:r w:rsidR="0040127F" w:rsidRPr="00B70D8E">
        <w:rPr>
          <w:rFonts w:ascii="Arial" w:eastAsia="Times New Roman" w:hAnsi="Arial" w:cs="Arial"/>
          <w:color w:val="000000"/>
          <w:sz w:val="20"/>
          <w:szCs w:val="20"/>
          <w:lang w:eastAsia="en-IN"/>
        </w:rPr>
        <w:t xml:space="preserve"> In the last </w:t>
      </w:r>
      <w:r w:rsidR="00713107" w:rsidRPr="00B70D8E">
        <w:rPr>
          <w:rFonts w:ascii="Arial" w:eastAsia="Times New Roman" w:hAnsi="Arial" w:cs="Arial"/>
          <w:color w:val="000000"/>
          <w:sz w:val="20"/>
          <w:szCs w:val="20"/>
          <w:lang w:eastAsia="en-IN"/>
        </w:rPr>
        <w:t>twenty</w:t>
      </w:r>
      <w:r w:rsidR="0040127F" w:rsidRPr="00B70D8E">
        <w:rPr>
          <w:rFonts w:ascii="Arial" w:eastAsia="Times New Roman" w:hAnsi="Arial" w:cs="Arial"/>
          <w:color w:val="000000"/>
          <w:sz w:val="20"/>
          <w:szCs w:val="20"/>
          <w:lang w:eastAsia="en-IN"/>
        </w:rPr>
        <w:t xml:space="preserve"> years</w:t>
      </w:r>
      <w:r w:rsidR="00713107" w:rsidRPr="00B70D8E">
        <w:rPr>
          <w:rFonts w:ascii="Arial" w:eastAsia="Times New Roman" w:hAnsi="Arial" w:cs="Arial"/>
          <w:color w:val="000000"/>
          <w:sz w:val="20"/>
          <w:szCs w:val="20"/>
          <w:lang w:eastAsia="en-IN"/>
        </w:rPr>
        <w:t xml:space="preserve"> of</w:t>
      </w:r>
      <w:r w:rsidR="0040127F" w:rsidRPr="00B70D8E">
        <w:rPr>
          <w:rFonts w:ascii="Arial" w:eastAsia="Times New Roman" w:hAnsi="Arial" w:cs="Arial"/>
          <w:color w:val="000000"/>
          <w:sz w:val="20"/>
          <w:szCs w:val="20"/>
          <w:lang w:eastAsia="en-IN"/>
        </w:rPr>
        <w:t xml:space="preserve"> the business</w:t>
      </w:r>
      <w:r w:rsidR="00713107" w:rsidRPr="00B70D8E">
        <w:rPr>
          <w:rFonts w:ascii="Arial" w:eastAsia="Times New Roman" w:hAnsi="Arial" w:cs="Arial"/>
          <w:color w:val="000000"/>
          <w:sz w:val="20"/>
          <w:szCs w:val="20"/>
          <w:lang w:eastAsia="en-IN"/>
        </w:rPr>
        <w:t xml:space="preserve"> the</w:t>
      </w:r>
      <w:r w:rsidR="0040127F" w:rsidRPr="00B70D8E">
        <w:rPr>
          <w:rFonts w:ascii="Arial" w:eastAsia="Times New Roman" w:hAnsi="Arial" w:cs="Arial"/>
          <w:color w:val="000000"/>
          <w:sz w:val="20"/>
          <w:szCs w:val="20"/>
          <w:lang w:eastAsia="en-IN"/>
        </w:rPr>
        <w:t xml:space="preserve"> has grown rapidly through its strong customer relationships to become the largest dedicated packer of red meat in Europe based on revenue.</w:t>
      </w:r>
    </w:p>
    <w:p w:rsidR="0040127F" w:rsidRPr="00B70D8E" w:rsidRDefault="0006706A" w:rsidP="00A65EA2">
      <w:pPr>
        <w:rPr>
          <w:rFonts w:ascii="Arial" w:hAnsi="Arial" w:cs="Arial"/>
          <w:color w:val="000000"/>
          <w:sz w:val="20"/>
          <w:szCs w:val="20"/>
        </w:rPr>
      </w:pPr>
      <w:r w:rsidRPr="00B70D8E">
        <w:rPr>
          <w:rFonts w:ascii="Arial" w:hAnsi="Arial" w:cs="Arial"/>
          <w:color w:val="000000"/>
          <w:sz w:val="20"/>
          <w:szCs w:val="20"/>
        </w:rPr>
        <w:t xml:space="preserve">The Hilton group has over 2800 employees in their factories across the Europe. The Group has operated in the UK since 1994, the Netherlands since 2000, Sweden and Ireland since 2004, Poland since 2006 and Denmark since 2011 with state of art packaging beef, lamb and also pork. </w:t>
      </w:r>
      <w:r w:rsidR="00287835" w:rsidRPr="00B70D8E">
        <w:rPr>
          <w:rFonts w:ascii="Arial" w:hAnsi="Arial" w:cs="Arial"/>
          <w:color w:val="000000"/>
          <w:sz w:val="20"/>
          <w:szCs w:val="20"/>
        </w:rPr>
        <w:t>The Hilton group achieved the growth by geographical expansion also through product range extensions and through underlying growth by its retail customers.</w:t>
      </w:r>
    </w:p>
    <w:p w:rsidR="0006706A" w:rsidRPr="00B70D8E" w:rsidRDefault="0006706A" w:rsidP="00A65EA2">
      <w:pPr>
        <w:rPr>
          <w:rFonts w:ascii="Arial" w:hAnsi="Arial" w:cs="Arial"/>
          <w:color w:val="000000"/>
          <w:sz w:val="20"/>
          <w:szCs w:val="20"/>
        </w:rPr>
      </w:pPr>
      <w:r w:rsidRPr="00B70D8E">
        <w:rPr>
          <w:rFonts w:ascii="Arial" w:hAnsi="Arial" w:cs="Arial"/>
          <w:color w:val="000000"/>
          <w:sz w:val="20"/>
          <w:szCs w:val="20"/>
        </w:rPr>
        <w:t xml:space="preserve">The </w:t>
      </w:r>
      <w:r w:rsidR="00287835" w:rsidRPr="00B70D8E">
        <w:rPr>
          <w:rFonts w:ascii="Arial" w:hAnsi="Arial" w:cs="Arial"/>
          <w:color w:val="000000"/>
          <w:sz w:val="20"/>
          <w:szCs w:val="20"/>
        </w:rPr>
        <w:t>main</w:t>
      </w:r>
      <w:r w:rsidRPr="00B70D8E">
        <w:rPr>
          <w:rFonts w:ascii="Arial" w:hAnsi="Arial" w:cs="Arial"/>
          <w:color w:val="000000"/>
          <w:sz w:val="20"/>
          <w:szCs w:val="20"/>
        </w:rPr>
        <w:t xml:space="preserve"> product range incorporates fresh items such as roasting </w:t>
      </w:r>
      <w:r w:rsidR="00001100" w:rsidRPr="00B70D8E">
        <w:rPr>
          <w:rFonts w:ascii="Arial" w:hAnsi="Arial" w:cs="Arial"/>
          <w:color w:val="000000"/>
          <w:sz w:val="20"/>
          <w:szCs w:val="20"/>
        </w:rPr>
        <w:t>joints, chops</w:t>
      </w:r>
      <w:r w:rsidR="00287835" w:rsidRPr="00B70D8E">
        <w:rPr>
          <w:rFonts w:ascii="Arial" w:hAnsi="Arial" w:cs="Arial"/>
          <w:color w:val="000000"/>
          <w:sz w:val="20"/>
          <w:szCs w:val="20"/>
        </w:rPr>
        <w:t>, steaks</w:t>
      </w:r>
      <w:r w:rsidRPr="00B70D8E">
        <w:rPr>
          <w:rFonts w:ascii="Arial" w:hAnsi="Arial" w:cs="Arial"/>
          <w:color w:val="000000"/>
          <w:sz w:val="20"/>
          <w:szCs w:val="20"/>
        </w:rPr>
        <w:t xml:space="preserve"> and minces are prepared and packaged according to customer specifications. Hilton’s value-added lines include the barbecue ranges, ready to cook, marinated meats and convenience products, such as meat cuts accompanied by serving sauces.</w:t>
      </w:r>
    </w:p>
    <w:p w:rsidR="00F77E50" w:rsidRPr="00B70D8E" w:rsidRDefault="00001100" w:rsidP="00F77E50">
      <w:pPr>
        <w:rPr>
          <w:rFonts w:ascii="Arial" w:hAnsi="Arial" w:cs="Arial"/>
          <w:sz w:val="20"/>
          <w:szCs w:val="20"/>
        </w:rPr>
      </w:pPr>
      <w:r w:rsidRPr="00B70D8E">
        <w:rPr>
          <w:rFonts w:ascii="Arial" w:hAnsi="Arial" w:cs="Arial"/>
          <w:sz w:val="20"/>
          <w:szCs w:val="20"/>
        </w:rPr>
        <w:t xml:space="preserve">In 1994 The Hilton formed to supply Tesco UK from Huntingdon facility after that in 2004 it opened new factories in Drogheda, Ireland and Vasteras and Sweden to supply Tesco Ireland and ICA respectively. Further Hilton group opened the new </w:t>
      </w:r>
      <w:r w:rsidR="00747DA2" w:rsidRPr="00B70D8E">
        <w:rPr>
          <w:rFonts w:ascii="Arial" w:hAnsi="Arial" w:cs="Arial"/>
          <w:sz w:val="20"/>
          <w:szCs w:val="20"/>
        </w:rPr>
        <w:t>factory in</w:t>
      </w:r>
      <w:r w:rsidRPr="00B70D8E">
        <w:rPr>
          <w:rFonts w:ascii="Arial" w:hAnsi="Arial" w:cs="Arial"/>
          <w:sz w:val="20"/>
          <w:szCs w:val="20"/>
        </w:rPr>
        <w:t xml:space="preserve"> Poland to supply Ahold </w:t>
      </w:r>
      <w:r w:rsidR="00747DA2" w:rsidRPr="00B70D8E">
        <w:rPr>
          <w:rFonts w:ascii="Arial" w:hAnsi="Arial" w:cs="Arial"/>
          <w:sz w:val="20"/>
          <w:szCs w:val="20"/>
        </w:rPr>
        <w:t>C</w:t>
      </w:r>
      <w:r w:rsidRPr="00B70D8E">
        <w:rPr>
          <w:rFonts w:ascii="Arial" w:hAnsi="Arial" w:cs="Arial"/>
          <w:sz w:val="20"/>
          <w:szCs w:val="20"/>
        </w:rPr>
        <w:t>entral Europe stores in Czech Republic and Slovakia</w:t>
      </w:r>
      <w:r w:rsidR="00747DA2" w:rsidRPr="00B70D8E">
        <w:rPr>
          <w:rFonts w:ascii="Arial" w:hAnsi="Arial" w:cs="Arial"/>
          <w:sz w:val="20"/>
          <w:szCs w:val="20"/>
        </w:rPr>
        <w:t xml:space="preserve"> in 2006. In 2008 the Hilton’s Irish factory extended to supply breakfast meats. Continuing the expansion in 2011 the Hilton group had opened new factory in Hasselager, Denmark to supply coop Denmark. In 2013 </w:t>
      </w:r>
      <w:r w:rsidR="004745B9" w:rsidRPr="00B70D8E">
        <w:rPr>
          <w:rFonts w:ascii="Arial" w:hAnsi="Arial" w:cs="Arial"/>
          <w:sz w:val="20"/>
          <w:szCs w:val="20"/>
        </w:rPr>
        <w:t xml:space="preserve">the Hilton group step up with a joint venture collaboration with Woolworths in Australia also </w:t>
      </w:r>
      <w:r w:rsidR="00FC3BE1" w:rsidRPr="00B70D8E">
        <w:rPr>
          <w:rFonts w:ascii="Arial" w:hAnsi="Arial" w:cs="Arial"/>
          <w:sz w:val="20"/>
          <w:szCs w:val="20"/>
        </w:rPr>
        <w:t xml:space="preserve">re-equipped with new supply agreement with Tesco UK. In 2015 Woolworth opened its factory in Victoria. In January 2017 the Hilton group entered into joint venture with Sonae which is basically Portugal’s leading food retailer. </w:t>
      </w:r>
      <w:r w:rsidR="007174DE" w:rsidRPr="00B70D8E">
        <w:rPr>
          <w:rFonts w:ascii="Arial" w:hAnsi="Arial" w:cs="Arial"/>
          <w:sz w:val="20"/>
          <w:szCs w:val="20"/>
        </w:rPr>
        <w:t>Also,</w:t>
      </w:r>
      <w:r w:rsidR="00FC3BE1" w:rsidRPr="00B70D8E">
        <w:rPr>
          <w:rFonts w:ascii="Arial" w:hAnsi="Arial" w:cs="Arial"/>
          <w:sz w:val="20"/>
          <w:szCs w:val="20"/>
        </w:rPr>
        <w:t xml:space="preserve"> the Hilton group announced the expansion in Central Europe to produce fresh food for Tesco including pizza, ready meals, sandwiches and soups. The company also announce the expansion into </w:t>
      </w:r>
      <w:r w:rsidR="007174DE" w:rsidRPr="00B70D8E">
        <w:rPr>
          <w:rFonts w:ascii="Arial" w:hAnsi="Arial" w:cs="Arial"/>
          <w:sz w:val="20"/>
          <w:szCs w:val="20"/>
        </w:rPr>
        <w:t>New Zealand</w:t>
      </w:r>
      <w:r w:rsidR="00FC3BE1" w:rsidRPr="00B70D8E">
        <w:rPr>
          <w:rFonts w:ascii="Arial" w:hAnsi="Arial" w:cs="Arial"/>
          <w:sz w:val="20"/>
          <w:szCs w:val="20"/>
        </w:rPr>
        <w:t xml:space="preserve"> with planning to construct a new meat processing facility in Auckland</w:t>
      </w:r>
      <w:r w:rsidR="007174DE" w:rsidRPr="00B70D8E">
        <w:rPr>
          <w:rFonts w:ascii="Arial" w:hAnsi="Arial" w:cs="Arial"/>
          <w:sz w:val="20"/>
          <w:szCs w:val="20"/>
        </w:rPr>
        <w:t>. The company acquired Seachill, which is a leading chilled UK based fish processor.</w:t>
      </w:r>
    </w:p>
    <w:p w:rsidR="00F2411F" w:rsidRPr="00F2411F" w:rsidRDefault="00F2411F" w:rsidP="00F77E50">
      <w:pPr>
        <w:rPr>
          <w:rFonts w:ascii="Arial" w:hAnsi="Arial" w:cs="Arial"/>
          <w:sz w:val="20"/>
          <w:szCs w:val="20"/>
        </w:rPr>
      </w:pPr>
      <w:r w:rsidRPr="00B70D8E">
        <w:rPr>
          <w:rFonts w:ascii="Arial" w:eastAsia="Times New Roman" w:hAnsi="Arial" w:cs="Arial"/>
          <w:color w:val="000000"/>
          <w:sz w:val="20"/>
          <w:szCs w:val="20"/>
          <w:lang w:eastAsia="en-IN"/>
        </w:rPr>
        <w:t xml:space="preserve">The </w:t>
      </w:r>
      <w:r w:rsidRPr="00F2411F">
        <w:rPr>
          <w:rFonts w:ascii="Arial" w:eastAsia="Times New Roman" w:hAnsi="Arial" w:cs="Arial"/>
          <w:color w:val="000000"/>
          <w:sz w:val="20"/>
          <w:szCs w:val="20"/>
          <w:lang w:eastAsia="en-IN"/>
        </w:rPr>
        <w:t xml:space="preserve">Hilton Food Group plc has a </w:t>
      </w:r>
      <w:r w:rsidRPr="00B70D8E">
        <w:rPr>
          <w:rFonts w:ascii="Arial" w:eastAsia="Times New Roman" w:hAnsi="Arial" w:cs="Arial"/>
          <w:color w:val="000000"/>
          <w:sz w:val="20"/>
          <w:szCs w:val="20"/>
          <w:lang w:eastAsia="en-IN"/>
        </w:rPr>
        <w:t>clear</w:t>
      </w:r>
      <w:r w:rsidRPr="00F2411F">
        <w:rPr>
          <w:rFonts w:ascii="Arial" w:eastAsia="Times New Roman" w:hAnsi="Arial" w:cs="Arial"/>
          <w:color w:val="000000"/>
          <w:sz w:val="20"/>
          <w:szCs w:val="20"/>
          <w:lang w:eastAsia="en-IN"/>
        </w:rPr>
        <w:t xml:space="preserve">, </w:t>
      </w:r>
      <w:r w:rsidRPr="00B70D8E">
        <w:rPr>
          <w:rFonts w:ascii="Arial" w:eastAsia="Times New Roman" w:hAnsi="Arial" w:cs="Arial"/>
          <w:color w:val="000000"/>
          <w:sz w:val="20"/>
          <w:szCs w:val="20"/>
          <w:lang w:eastAsia="en-IN"/>
        </w:rPr>
        <w:t>simple</w:t>
      </w:r>
      <w:r w:rsidRPr="00F2411F">
        <w:rPr>
          <w:rFonts w:ascii="Arial" w:eastAsia="Times New Roman" w:hAnsi="Arial" w:cs="Arial"/>
          <w:color w:val="000000"/>
          <w:sz w:val="20"/>
          <w:szCs w:val="20"/>
          <w:lang w:eastAsia="en-IN"/>
        </w:rPr>
        <w:t xml:space="preserve"> and </w:t>
      </w:r>
      <w:r w:rsidRPr="00B70D8E">
        <w:rPr>
          <w:rFonts w:ascii="Arial" w:eastAsia="Times New Roman" w:hAnsi="Arial" w:cs="Arial"/>
          <w:color w:val="000000"/>
          <w:sz w:val="20"/>
          <w:szCs w:val="20"/>
          <w:lang w:eastAsia="en-IN"/>
        </w:rPr>
        <w:t>well-defined</w:t>
      </w:r>
      <w:r w:rsidRPr="00F2411F">
        <w:rPr>
          <w:rFonts w:ascii="Arial" w:eastAsia="Times New Roman" w:hAnsi="Arial" w:cs="Arial"/>
          <w:color w:val="000000"/>
          <w:sz w:val="20"/>
          <w:szCs w:val="20"/>
          <w:lang w:eastAsia="en-IN"/>
        </w:rPr>
        <w:t xml:space="preserve"> strategy focussing on the </w:t>
      </w:r>
      <w:r w:rsidRPr="00B70D8E">
        <w:rPr>
          <w:rFonts w:ascii="Arial" w:eastAsia="Times New Roman" w:hAnsi="Arial" w:cs="Arial"/>
          <w:color w:val="000000"/>
          <w:sz w:val="20"/>
          <w:szCs w:val="20"/>
          <w:lang w:eastAsia="en-IN"/>
        </w:rPr>
        <w:t>below</w:t>
      </w:r>
      <w:r w:rsidRPr="00F2411F">
        <w:rPr>
          <w:rFonts w:ascii="Arial" w:eastAsia="Times New Roman" w:hAnsi="Arial" w:cs="Arial"/>
          <w:color w:val="000000"/>
          <w:sz w:val="20"/>
          <w:szCs w:val="20"/>
          <w:lang w:eastAsia="en-IN"/>
        </w:rPr>
        <w:t xml:space="preserve"> four key </w:t>
      </w:r>
      <w:r w:rsidRPr="00B70D8E">
        <w:rPr>
          <w:rFonts w:ascii="Arial" w:eastAsia="Times New Roman" w:hAnsi="Arial" w:cs="Arial"/>
          <w:color w:val="000000"/>
          <w:sz w:val="20"/>
          <w:szCs w:val="20"/>
          <w:lang w:eastAsia="en-IN"/>
        </w:rPr>
        <w:t>factors</w:t>
      </w:r>
      <w:r w:rsidRPr="00F2411F">
        <w:rPr>
          <w:rFonts w:ascii="Arial" w:eastAsia="Times New Roman" w:hAnsi="Arial" w:cs="Arial"/>
          <w:color w:val="000000"/>
          <w:sz w:val="20"/>
          <w:szCs w:val="20"/>
          <w:lang w:eastAsia="en-IN"/>
        </w:rPr>
        <w:t>:</w:t>
      </w:r>
    </w:p>
    <w:p w:rsidR="00F2411F" w:rsidRPr="00F2411F" w:rsidRDefault="00F2411F" w:rsidP="00F2411F">
      <w:pPr>
        <w:numPr>
          <w:ilvl w:val="0"/>
          <w:numId w:val="8"/>
        </w:numPr>
        <w:spacing w:before="100" w:beforeAutospacing="1" w:after="100" w:afterAutospacing="1" w:line="408" w:lineRule="atLeast"/>
        <w:ind w:left="0"/>
        <w:rPr>
          <w:rFonts w:ascii="Arial" w:eastAsia="Times New Roman" w:hAnsi="Arial" w:cs="Arial"/>
          <w:iCs/>
          <w:sz w:val="20"/>
          <w:szCs w:val="20"/>
          <w:lang w:eastAsia="en-IN"/>
        </w:rPr>
      </w:pPr>
      <w:r w:rsidRPr="00B70D8E">
        <w:rPr>
          <w:rFonts w:ascii="Arial" w:eastAsia="Times New Roman" w:hAnsi="Arial" w:cs="Arial"/>
          <w:iCs/>
          <w:sz w:val="20"/>
          <w:szCs w:val="20"/>
          <w:lang w:eastAsia="en-IN"/>
        </w:rPr>
        <w:t>Construct new high</w:t>
      </w:r>
      <w:r w:rsidRPr="00F2411F">
        <w:rPr>
          <w:rFonts w:ascii="Arial" w:eastAsia="Times New Roman" w:hAnsi="Arial" w:cs="Arial"/>
          <w:iCs/>
          <w:sz w:val="20"/>
          <w:szCs w:val="20"/>
          <w:lang w:eastAsia="en-IN"/>
        </w:rPr>
        <w:t xml:space="preserve"> volumes with and extending product ranges for existing customers</w:t>
      </w:r>
      <w:r w:rsidRPr="00B70D8E">
        <w:rPr>
          <w:rFonts w:ascii="Arial" w:eastAsia="Times New Roman" w:hAnsi="Arial" w:cs="Arial"/>
          <w:iCs/>
          <w:sz w:val="20"/>
          <w:szCs w:val="20"/>
          <w:lang w:eastAsia="en-IN"/>
        </w:rPr>
        <w:t xml:space="preserve"> of the company</w:t>
      </w:r>
      <w:r w:rsidRPr="00F2411F">
        <w:rPr>
          <w:rFonts w:ascii="Arial" w:eastAsia="Times New Roman" w:hAnsi="Arial" w:cs="Arial"/>
          <w:iCs/>
          <w:sz w:val="20"/>
          <w:szCs w:val="20"/>
          <w:lang w:eastAsia="en-IN"/>
        </w:rPr>
        <w:t>;</w:t>
      </w:r>
    </w:p>
    <w:p w:rsidR="00F2411F" w:rsidRPr="00F2411F" w:rsidRDefault="00F2411F" w:rsidP="00F2411F">
      <w:pPr>
        <w:numPr>
          <w:ilvl w:val="0"/>
          <w:numId w:val="8"/>
        </w:numPr>
        <w:spacing w:before="100" w:beforeAutospacing="1" w:after="100" w:afterAutospacing="1" w:line="408" w:lineRule="atLeast"/>
        <w:ind w:left="0"/>
        <w:rPr>
          <w:rFonts w:ascii="Arial" w:eastAsia="Times New Roman" w:hAnsi="Arial" w:cs="Arial"/>
          <w:iCs/>
          <w:sz w:val="20"/>
          <w:szCs w:val="20"/>
          <w:lang w:eastAsia="en-IN"/>
        </w:rPr>
      </w:pPr>
      <w:r w:rsidRPr="00B70D8E">
        <w:rPr>
          <w:rFonts w:ascii="Arial" w:eastAsia="Times New Roman" w:hAnsi="Arial" w:cs="Arial"/>
          <w:iCs/>
          <w:sz w:val="20"/>
          <w:szCs w:val="20"/>
          <w:lang w:eastAsia="en-IN"/>
        </w:rPr>
        <w:t>Establishment with</w:t>
      </w:r>
      <w:r w:rsidRPr="00F2411F">
        <w:rPr>
          <w:rFonts w:ascii="Arial" w:eastAsia="Times New Roman" w:hAnsi="Arial" w:cs="Arial"/>
          <w:iCs/>
          <w:sz w:val="20"/>
          <w:szCs w:val="20"/>
          <w:lang w:eastAsia="en-IN"/>
        </w:rPr>
        <w:t xml:space="preserve"> existing customers in new territories;</w:t>
      </w:r>
    </w:p>
    <w:p w:rsidR="00F2411F" w:rsidRPr="00F2411F" w:rsidRDefault="00F2411F" w:rsidP="00F2411F">
      <w:pPr>
        <w:numPr>
          <w:ilvl w:val="0"/>
          <w:numId w:val="8"/>
        </w:numPr>
        <w:spacing w:before="100" w:beforeAutospacing="1" w:after="100" w:afterAutospacing="1" w:line="408" w:lineRule="atLeast"/>
        <w:ind w:left="0"/>
        <w:rPr>
          <w:rFonts w:ascii="Arial" w:eastAsia="Times New Roman" w:hAnsi="Arial" w:cs="Arial"/>
          <w:iCs/>
          <w:sz w:val="20"/>
          <w:szCs w:val="20"/>
          <w:lang w:eastAsia="en-IN"/>
        </w:rPr>
      </w:pPr>
      <w:r w:rsidRPr="00B70D8E">
        <w:rPr>
          <w:rFonts w:ascii="Arial" w:eastAsia="Times New Roman" w:hAnsi="Arial" w:cs="Arial"/>
          <w:iCs/>
          <w:sz w:val="20"/>
          <w:szCs w:val="20"/>
          <w:lang w:eastAsia="en-IN"/>
        </w:rPr>
        <w:t>Winnings the</w:t>
      </w:r>
      <w:r w:rsidRPr="00F2411F">
        <w:rPr>
          <w:rFonts w:ascii="Arial" w:eastAsia="Times New Roman" w:hAnsi="Arial" w:cs="Arial"/>
          <w:iCs/>
          <w:sz w:val="20"/>
          <w:szCs w:val="20"/>
          <w:lang w:eastAsia="en-IN"/>
        </w:rPr>
        <w:t xml:space="preserve"> new customers in new territories;</w:t>
      </w:r>
    </w:p>
    <w:p w:rsidR="00F2411F" w:rsidRPr="00B70D8E" w:rsidRDefault="00F2411F" w:rsidP="00F2411F">
      <w:pPr>
        <w:numPr>
          <w:ilvl w:val="0"/>
          <w:numId w:val="8"/>
        </w:numPr>
        <w:spacing w:before="100" w:beforeAutospacing="1" w:after="100" w:afterAutospacing="1" w:line="408" w:lineRule="atLeast"/>
        <w:ind w:left="0"/>
        <w:rPr>
          <w:rFonts w:ascii="Arial" w:eastAsia="Times New Roman" w:hAnsi="Arial" w:cs="Arial"/>
          <w:iCs/>
          <w:sz w:val="20"/>
          <w:szCs w:val="20"/>
          <w:lang w:eastAsia="en-IN"/>
        </w:rPr>
      </w:pPr>
      <w:r w:rsidRPr="00B70D8E">
        <w:rPr>
          <w:rFonts w:ascii="Arial" w:eastAsia="Times New Roman" w:hAnsi="Arial" w:cs="Arial"/>
          <w:iCs/>
          <w:sz w:val="20"/>
          <w:szCs w:val="20"/>
          <w:lang w:eastAsia="en-IN"/>
        </w:rPr>
        <w:t xml:space="preserve">To </w:t>
      </w:r>
      <w:r w:rsidRPr="00F2411F">
        <w:rPr>
          <w:rFonts w:ascii="Arial" w:eastAsia="Times New Roman" w:hAnsi="Arial" w:cs="Arial"/>
          <w:iCs/>
          <w:sz w:val="20"/>
          <w:szCs w:val="20"/>
          <w:lang w:eastAsia="en-IN"/>
        </w:rPr>
        <w:t xml:space="preserve">Maintain an uncompromising focus on </w:t>
      </w:r>
      <w:r w:rsidRPr="00B70D8E">
        <w:rPr>
          <w:rFonts w:ascii="Arial" w:eastAsia="Times New Roman" w:hAnsi="Arial" w:cs="Arial"/>
          <w:iCs/>
          <w:sz w:val="20"/>
          <w:szCs w:val="20"/>
          <w:lang w:eastAsia="en-IN"/>
        </w:rPr>
        <w:t>quality, unit</w:t>
      </w:r>
      <w:r w:rsidRPr="00F2411F">
        <w:rPr>
          <w:rFonts w:ascii="Arial" w:eastAsia="Times New Roman" w:hAnsi="Arial" w:cs="Arial"/>
          <w:iCs/>
          <w:sz w:val="20"/>
          <w:szCs w:val="20"/>
          <w:lang w:eastAsia="en-IN"/>
        </w:rPr>
        <w:t xml:space="preserve"> costs and product development</w:t>
      </w:r>
      <w:r w:rsidR="003B26F6" w:rsidRPr="00B70D8E">
        <w:rPr>
          <w:rFonts w:ascii="Arial" w:eastAsia="Times New Roman" w:hAnsi="Arial" w:cs="Arial"/>
          <w:iCs/>
          <w:sz w:val="20"/>
          <w:szCs w:val="20"/>
          <w:lang w:eastAsia="en-IN"/>
        </w:rPr>
        <w:t>.</w:t>
      </w:r>
    </w:p>
    <w:p w:rsidR="003B26F6" w:rsidRPr="00F2411F" w:rsidRDefault="00007BFD" w:rsidP="00007BFD">
      <w:pPr>
        <w:spacing w:before="100" w:beforeAutospacing="1" w:after="100" w:afterAutospacing="1" w:line="408" w:lineRule="atLeast"/>
        <w:rPr>
          <w:rFonts w:ascii="Arial" w:eastAsia="Times New Roman" w:hAnsi="Arial" w:cs="Arial"/>
          <w:iCs/>
          <w:sz w:val="20"/>
          <w:szCs w:val="20"/>
          <w:lang w:eastAsia="en-IN"/>
        </w:rPr>
      </w:pPr>
      <w:r w:rsidRPr="00B70D8E">
        <w:rPr>
          <w:rFonts w:ascii="Arial" w:hAnsi="Arial" w:cs="Arial"/>
          <w:sz w:val="20"/>
          <w:szCs w:val="20"/>
        </w:rPr>
        <w:t>The Hilton food Group plc also has worldwide relationships with suppliers of high quality meat, The company sourcing product from over 40 different suppliers. It gives Hilton a high degree of flexibility and their customers the knowledge that Hilton can secure supply at competitive rates.</w:t>
      </w:r>
    </w:p>
    <w:p w:rsidR="002030BA" w:rsidRDefault="002030BA" w:rsidP="00F2411F">
      <w:pPr>
        <w:rPr>
          <w:rFonts w:ascii="Arial" w:hAnsi="Arial" w:cs="Arial"/>
          <w:b/>
          <w:sz w:val="20"/>
          <w:szCs w:val="20"/>
        </w:rPr>
      </w:pPr>
    </w:p>
    <w:p w:rsidR="002D3C8E" w:rsidRPr="00B70D8E" w:rsidRDefault="002D3C8E" w:rsidP="00F2411F">
      <w:pPr>
        <w:rPr>
          <w:rFonts w:ascii="Arial" w:hAnsi="Arial" w:cs="Arial"/>
          <w:sz w:val="20"/>
          <w:szCs w:val="20"/>
        </w:rPr>
      </w:pPr>
      <w:r w:rsidRPr="00B70D8E">
        <w:rPr>
          <w:rFonts w:ascii="Arial" w:hAnsi="Arial" w:cs="Arial"/>
          <w:b/>
          <w:sz w:val="20"/>
          <w:szCs w:val="20"/>
        </w:rPr>
        <w:lastRenderedPageBreak/>
        <w:t>Company Directors</w:t>
      </w:r>
      <w:r w:rsidRPr="00B70D8E">
        <w:rPr>
          <w:rFonts w:ascii="Arial" w:hAnsi="Arial" w:cs="Arial"/>
          <w:sz w:val="20"/>
          <w:szCs w:val="20"/>
        </w:rPr>
        <w:t>:</w:t>
      </w:r>
    </w:p>
    <w:p w:rsidR="002D3C8E" w:rsidRPr="00B70D8E" w:rsidRDefault="002D3C8E" w:rsidP="002D3C8E">
      <w:pPr>
        <w:pStyle w:val="ListParagraph"/>
        <w:numPr>
          <w:ilvl w:val="0"/>
          <w:numId w:val="7"/>
        </w:numPr>
        <w:rPr>
          <w:rFonts w:ascii="Arial" w:hAnsi="Arial" w:cs="Arial"/>
          <w:sz w:val="20"/>
          <w:szCs w:val="20"/>
        </w:rPr>
      </w:pPr>
      <w:r w:rsidRPr="00B70D8E">
        <w:rPr>
          <w:rFonts w:ascii="Arial" w:hAnsi="Arial" w:cs="Arial"/>
          <w:b/>
          <w:sz w:val="20"/>
          <w:szCs w:val="20"/>
        </w:rPr>
        <w:t>Robert Watson OBE</w:t>
      </w:r>
      <w:r w:rsidRPr="00B70D8E">
        <w:rPr>
          <w:rFonts w:ascii="Arial" w:hAnsi="Arial" w:cs="Arial"/>
          <w:sz w:val="20"/>
          <w:szCs w:val="20"/>
        </w:rPr>
        <w:t xml:space="preserve"> (Chief executive) – He joined the Hilton group in 2002 as a chief executive and overseen the successful growth of the Hilton group till date.</w:t>
      </w:r>
      <w:r w:rsidRPr="00B70D8E">
        <w:rPr>
          <w:rFonts w:ascii="Arial" w:hAnsi="Arial" w:cs="Arial"/>
          <w:color w:val="000000"/>
          <w:sz w:val="20"/>
          <w:szCs w:val="20"/>
        </w:rPr>
        <w:t xml:space="preserve">  Mr Robert Watson gained an Institute of Directors diploma in 1996, received an OBE in 2000 for services to the meat industry and in 2005 was accepted into the Entrepreneur Hall of Fame in Northern Ireland. </w:t>
      </w:r>
    </w:p>
    <w:p w:rsidR="00987BF2" w:rsidRPr="00B70D8E" w:rsidRDefault="002D3C8E" w:rsidP="00987BF2">
      <w:pPr>
        <w:pStyle w:val="ListParagraph"/>
        <w:numPr>
          <w:ilvl w:val="0"/>
          <w:numId w:val="7"/>
        </w:numPr>
        <w:rPr>
          <w:rFonts w:ascii="Arial" w:hAnsi="Arial" w:cs="Arial"/>
          <w:sz w:val="20"/>
          <w:szCs w:val="20"/>
        </w:rPr>
      </w:pPr>
      <w:r w:rsidRPr="00B70D8E">
        <w:rPr>
          <w:rFonts w:ascii="Arial" w:hAnsi="Arial" w:cs="Arial"/>
          <w:b/>
          <w:sz w:val="20"/>
          <w:szCs w:val="20"/>
        </w:rPr>
        <w:t>Christine Cross</w:t>
      </w:r>
      <w:r w:rsidRPr="00B70D8E">
        <w:rPr>
          <w:rFonts w:ascii="Arial" w:hAnsi="Arial" w:cs="Arial"/>
          <w:sz w:val="20"/>
          <w:szCs w:val="20"/>
        </w:rPr>
        <w:t xml:space="preserve"> (Non-executive Director) – She was originally a food scientist before devoting the 14 years to 2003 with Tesco in senior roles focusing on own brand, </w:t>
      </w:r>
      <w:r w:rsidR="00987BF2" w:rsidRPr="00B70D8E">
        <w:rPr>
          <w:rFonts w:ascii="Arial" w:hAnsi="Arial" w:cs="Arial"/>
          <w:sz w:val="20"/>
          <w:szCs w:val="20"/>
        </w:rPr>
        <w:t xml:space="preserve">non-food and </w:t>
      </w:r>
      <w:r w:rsidRPr="00B70D8E">
        <w:rPr>
          <w:rFonts w:ascii="Arial" w:hAnsi="Arial" w:cs="Arial"/>
          <w:sz w:val="20"/>
          <w:szCs w:val="20"/>
        </w:rPr>
        <w:t>global</w:t>
      </w:r>
      <w:r w:rsidR="00987BF2" w:rsidRPr="00B70D8E">
        <w:rPr>
          <w:rFonts w:ascii="Arial" w:hAnsi="Arial" w:cs="Arial"/>
          <w:sz w:val="20"/>
          <w:szCs w:val="20"/>
        </w:rPr>
        <w:t xml:space="preserve"> sourcing.</w:t>
      </w:r>
    </w:p>
    <w:p w:rsidR="00A65EA2" w:rsidRPr="00B70D8E" w:rsidRDefault="00987BF2" w:rsidP="00987BF2">
      <w:pPr>
        <w:pStyle w:val="ListParagraph"/>
        <w:numPr>
          <w:ilvl w:val="0"/>
          <w:numId w:val="7"/>
        </w:numPr>
        <w:rPr>
          <w:rFonts w:ascii="Arial" w:hAnsi="Arial" w:cs="Arial"/>
          <w:sz w:val="20"/>
          <w:szCs w:val="20"/>
        </w:rPr>
      </w:pPr>
      <w:r w:rsidRPr="00B70D8E">
        <w:rPr>
          <w:rFonts w:ascii="Arial" w:hAnsi="Arial" w:cs="Arial"/>
          <w:b/>
          <w:sz w:val="20"/>
          <w:szCs w:val="20"/>
        </w:rPr>
        <w:t xml:space="preserve">Colin Smith OBE </w:t>
      </w:r>
      <w:r w:rsidRPr="00B70D8E">
        <w:rPr>
          <w:rFonts w:ascii="Arial" w:hAnsi="Arial" w:cs="Arial"/>
          <w:sz w:val="20"/>
          <w:szCs w:val="20"/>
        </w:rPr>
        <w:t>(Non -executive Director)</w:t>
      </w:r>
      <w:r w:rsidR="002D3C8E" w:rsidRPr="00B70D8E">
        <w:rPr>
          <w:rFonts w:ascii="Arial" w:hAnsi="Arial" w:cs="Arial"/>
          <w:sz w:val="20"/>
          <w:szCs w:val="20"/>
        </w:rPr>
        <w:t xml:space="preserve"> </w:t>
      </w:r>
      <w:r w:rsidRPr="00B70D8E">
        <w:rPr>
          <w:rFonts w:ascii="Arial" w:hAnsi="Arial" w:cs="Arial"/>
          <w:sz w:val="20"/>
          <w:szCs w:val="20"/>
        </w:rPr>
        <w:t>– Mr. Colin joined the Hilton group in 2010 as a Non-Executive Director and has extensive experience in the food &amp; distribution industry.</w:t>
      </w:r>
    </w:p>
    <w:p w:rsidR="00BF4927" w:rsidRPr="00B70D8E" w:rsidRDefault="00987BF2" w:rsidP="00D75B20">
      <w:pPr>
        <w:pStyle w:val="NormalWeb"/>
        <w:numPr>
          <w:ilvl w:val="0"/>
          <w:numId w:val="7"/>
        </w:numPr>
        <w:spacing w:before="240" w:beforeAutospacing="0" w:after="240" w:afterAutospacing="0" w:line="360" w:lineRule="atLeast"/>
        <w:rPr>
          <w:rFonts w:ascii="Arial" w:hAnsi="Arial" w:cs="Arial"/>
          <w:sz w:val="20"/>
          <w:szCs w:val="20"/>
        </w:rPr>
      </w:pPr>
      <w:r w:rsidRPr="00B70D8E">
        <w:rPr>
          <w:rFonts w:ascii="Arial" w:hAnsi="Arial" w:cs="Arial"/>
          <w:b/>
          <w:sz w:val="20"/>
          <w:szCs w:val="20"/>
        </w:rPr>
        <w:t xml:space="preserve">John </w:t>
      </w:r>
      <w:proofErr w:type="spellStart"/>
      <w:r w:rsidRPr="00B70D8E">
        <w:rPr>
          <w:rFonts w:ascii="Arial" w:hAnsi="Arial" w:cs="Arial"/>
          <w:b/>
          <w:sz w:val="20"/>
          <w:szCs w:val="20"/>
        </w:rPr>
        <w:t>Worby</w:t>
      </w:r>
      <w:proofErr w:type="spellEnd"/>
      <w:r w:rsidRPr="00B70D8E">
        <w:rPr>
          <w:rFonts w:ascii="Arial" w:hAnsi="Arial" w:cs="Arial"/>
          <w:b/>
          <w:sz w:val="20"/>
          <w:szCs w:val="20"/>
        </w:rPr>
        <w:t xml:space="preserve"> </w:t>
      </w:r>
      <w:r w:rsidRPr="00B70D8E">
        <w:rPr>
          <w:rFonts w:ascii="Arial" w:hAnsi="Arial" w:cs="Arial"/>
          <w:sz w:val="20"/>
          <w:szCs w:val="20"/>
        </w:rPr>
        <w:t>(Non-executive Director) - John is Chairman of the Audit Committee and is the Senior Independent Director.</w:t>
      </w:r>
    </w:p>
    <w:p w:rsidR="002E6060" w:rsidRPr="00B70D8E" w:rsidRDefault="00DF2D32" w:rsidP="00DF2D32">
      <w:pPr>
        <w:pStyle w:val="ListParagraph"/>
        <w:numPr>
          <w:ilvl w:val="0"/>
          <w:numId w:val="7"/>
        </w:numPr>
        <w:rPr>
          <w:rFonts w:ascii="Arial" w:hAnsi="Arial" w:cs="Arial"/>
          <w:b/>
          <w:sz w:val="20"/>
          <w:szCs w:val="20"/>
        </w:rPr>
      </w:pPr>
      <w:r w:rsidRPr="00B70D8E">
        <w:rPr>
          <w:rFonts w:ascii="Arial" w:hAnsi="Arial" w:cs="Arial"/>
          <w:b/>
          <w:sz w:val="20"/>
          <w:szCs w:val="20"/>
        </w:rPr>
        <w:t>Objectives of the Ratio analysis:</w:t>
      </w:r>
    </w:p>
    <w:p w:rsidR="00DF2D32" w:rsidRPr="00B70D8E" w:rsidRDefault="00DF2D32" w:rsidP="00DF2D32">
      <w:pPr>
        <w:pStyle w:val="ListParagraph"/>
        <w:rPr>
          <w:rFonts w:ascii="Arial" w:hAnsi="Arial" w:cs="Arial"/>
          <w:sz w:val="20"/>
          <w:szCs w:val="20"/>
        </w:rPr>
      </w:pPr>
    </w:p>
    <w:p w:rsidR="00DF2D32" w:rsidRPr="00B70D8E" w:rsidRDefault="00DF2D32" w:rsidP="00DF2D32">
      <w:pPr>
        <w:pStyle w:val="ListParagraph"/>
        <w:rPr>
          <w:rFonts w:ascii="Arial" w:hAnsi="Arial" w:cs="Arial"/>
          <w:sz w:val="20"/>
          <w:szCs w:val="20"/>
        </w:rPr>
      </w:pPr>
      <w:r w:rsidRPr="00B70D8E">
        <w:rPr>
          <w:rFonts w:ascii="Arial" w:hAnsi="Arial" w:cs="Arial"/>
          <w:sz w:val="20"/>
          <w:szCs w:val="20"/>
        </w:rPr>
        <w:t>Ratio analysis helps to evaluate current operations.</w:t>
      </w:r>
    </w:p>
    <w:p w:rsidR="00DF2D32" w:rsidRPr="00B70D8E" w:rsidRDefault="00DF2D32" w:rsidP="00DF2D32">
      <w:pPr>
        <w:pStyle w:val="ListParagraph"/>
        <w:rPr>
          <w:rFonts w:ascii="Arial" w:hAnsi="Arial" w:cs="Arial"/>
          <w:sz w:val="20"/>
          <w:szCs w:val="20"/>
        </w:rPr>
      </w:pPr>
      <w:r w:rsidRPr="00B70D8E">
        <w:rPr>
          <w:rFonts w:ascii="Arial" w:hAnsi="Arial" w:cs="Arial"/>
          <w:sz w:val="20"/>
          <w:szCs w:val="20"/>
        </w:rPr>
        <w:t>To compare the latest data with the past data so that future-oriented decisions could be taken in the present.</w:t>
      </w:r>
    </w:p>
    <w:p w:rsidR="00DF2D32" w:rsidRPr="00B70D8E" w:rsidRDefault="00DF2D32" w:rsidP="00DF2D32">
      <w:pPr>
        <w:pStyle w:val="ListParagraph"/>
        <w:rPr>
          <w:rFonts w:ascii="Arial" w:hAnsi="Arial" w:cs="Arial"/>
          <w:sz w:val="20"/>
          <w:szCs w:val="20"/>
        </w:rPr>
      </w:pPr>
      <w:r w:rsidRPr="00B70D8E">
        <w:rPr>
          <w:rFonts w:ascii="Arial" w:hAnsi="Arial" w:cs="Arial"/>
          <w:sz w:val="20"/>
          <w:szCs w:val="20"/>
        </w:rPr>
        <w:t>It is helpful to compare the company data with its competitor performance and being familiar about the position in the current market.</w:t>
      </w:r>
    </w:p>
    <w:p w:rsidR="00DF2D32" w:rsidRPr="00B70D8E" w:rsidRDefault="00DF2D32" w:rsidP="00DF2D32">
      <w:pPr>
        <w:pStyle w:val="ListParagraph"/>
        <w:rPr>
          <w:rFonts w:ascii="Arial" w:hAnsi="Arial" w:cs="Arial"/>
          <w:sz w:val="20"/>
          <w:szCs w:val="20"/>
        </w:rPr>
      </w:pPr>
      <w:r w:rsidRPr="00B70D8E">
        <w:rPr>
          <w:rFonts w:ascii="Arial" w:hAnsi="Arial" w:cs="Arial"/>
          <w:sz w:val="20"/>
          <w:szCs w:val="20"/>
        </w:rPr>
        <w:t>To study the efficiency of the operations.</w:t>
      </w:r>
    </w:p>
    <w:p w:rsidR="00A70D67" w:rsidRPr="00223EC0" w:rsidRDefault="00DF2D32" w:rsidP="00223EC0">
      <w:pPr>
        <w:pStyle w:val="ListParagraph"/>
        <w:rPr>
          <w:rFonts w:ascii="Arial" w:hAnsi="Arial" w:cs="Arial"/>
          <w:sz w:val="20"/>
          <w:szCs w:val="20"/>
        </w:rPr>
      </w:pPr>
      <w:r w:rsidRPr="00B70D8E">
        <w:rPr>
          <w:rFonts w:ascii="Arial" w:hAnsi="Arial" w:cs="Arial"/>
          <w:sz w:val="20"/>
          <w:szCs w:val="20"/>
        </w:rPr>
        <w:t>The company can study the risk factor associate with its operations.</w:t>
      </w:r>
      <w:r w:rsidR="00A70D67" w:rsidRPr="00223EC0">
        <w:rPr>
          <w:rFonts w:ascii="Arial" w:hAnsi="Arial" w:cs="Arial"/>
          <w:sz w:val="20"/>
          <w:szCs w:val="20"/>
        </w:rPr>
        <w:t xml:space="preserve"> </w:t>
      </w:r>
    </w:p>
    <w:p w:rsidR="00AC31DD" w:rsidRDefault="00AC31DD" w:rsidP="00AC31DD">
      <w:pPr>
        <w:rPr>
          <w:rFonts w:ascii="Arial" w:hAnsi="Arial" w:cs="Arial"/>
          <w:b/>
          <w:color w:val="0070C0"/>
          <w:sz w:val="20"/>
          <w:szCs w:val="20"/>
          <w:u w:val="single"/>
        </w:rPr>
      </w:pPr>
    </w:p>
    <w:p w:rsidR="002669B6" w:rsidRPr="00AC31DD" w:rsidRDefault="002669B6" w:rsidP="00AC31DD">
      <w:pPr>
        <w:rPr>
          <w:rFonts w:ascii="Arial" w:hAnsi="Arial" w:cs="Arial"/>
          <w:b/>
          <w:color w:val="0070C0"/>
          <w:sz w:val="20"/>
          <w:szCs w:val="20"/>
          <w:u w:val="single"/>
        </w:rPr>
      </w:pPr>
      <w:r w:rsidRPr="00AC31DD">
        <w:rPr>
          <w:rFonts w:ascii="Arial" w:hAnsi="Arial" w:cs="Arial"/>
          <w:b/>
          <w:color w:val="0070C0"/>
          <w:sz w:val="20"/>
          <w:szCs w:val="20"/>
          <w:u w:val="single"/>
        </w:rPr>
        <w:t>Calculation of Different Financial Ratio of Hilton Food Plc</w:t>
      </w:r>
    </w:p>
    <w:p w:rsidR="007F7A26" w:rsidRPr="00B70D8E" w:rsidRDefault="006C259E" w:rsidP="00010D2E">
      <w:pPr>
        <w:tabs>
          <w:tab w:val="left" w:pos="1500"/>
        </w:tabs>
        <w:rPr>
          <w:rFonts w:ascii="Arial" w:hAnsi="Arial" w:cs="Arial"/>
          <w:b/>
          <w:sz w:val="20"/>
          <w:szCs w:val="20"/>
        </w:rPr>
      </w:pPr>
      <w:r w:rsidRPr="00B70D8E">
        <w:rPr>
          <w:rFonts w:ascii="Arial" w:hAnsi="Arial" w:cs="Arial"/>
          <w:b/>
          <w:sz w:val="20"/>
          <w:szCs w:val="20"/>
        </w:rPr>
        <w:t xml:space="preserve">Liquidity Ratios for the </w:t>
      </w:r>
      <w:r w:rsidR="00E37448" w:rsidRPr="00B70D8E">
        <w:rPr>
          <w:rFonts w:ascii="Arial" w:hAnsi="Arial" w:cs="Arial"/>
          <w:b/>
          <w:sz w:val="20"/>
          <w:szCs w:val="20"/>
        </w:rPr>
        <w:t>Hilton Food Products</w:t>
      </w:r>
      <w:r w:rsidRPr="00B70D8E">
        <w:rPr>
          <w:rFonts w:ascii="Arial" w:hAnsi="Arial" w:cs="Arial"/>
          <w:b/>
          <w:sz w:val="20"/>
          <w:szCs w:val="20"/>
        </w:rPr>
        <w:t xml:space="preserve"> plc</w:t>
      </w:r>
    </w:p>
    <w:tbl>
      <w:tblPr>
        <w:tblStyle w:val="LightGrid-Accent3"/>
        <w:tblW w:w="11221" w:type="dxa"/>
        <w:tblInd w:w="-1107" w:type="dxa"/>
        <w:tblLook w:val="04A0" w:firstRow="1" w:lastRow="0" w:firstColumn="1" w:lastColumn="0" w:noHBand="0" w:noVBand="1"/>
      </w:tblPr>
      <w:tblGrid>
        <w:gridCol w:w="5246"/>
        <w:gridCol w:w="1195"/>
        <w:gridCol w:w="1195"/>
        <w:gridCol w:w="1195"/>
        <w:gridCol w:w="1195"/>
        <w:gridCol w:w="1195"/>
      </w:tblGrid>
      <w:tr w:rsidR="007347BA" w:rsidRPr="00B70D8E" w:rsidTr="00502505">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7347BA" w:rsidRPr="00B70D8E" w:rsidRDefault="00B50C8C" w:rsidP="00B50C8C">
            <w:pPr>
              <w:tabs>
                <w:tab w:val="left" w:pos="1500"/>
              </w:tabs>
              <w:rPr>
                <w:rFonts w:ascii="Arial" w:hAnsi="Arial" w:cs="Arial"/>
                <w:sz w:val="20"/>
                <w:szCs w:val="20"/>
              </w:rPr>
            </w:pPr>
            <w:r w:rsidRPr="00B70D8E">
              <w:rPr>
                <w:rFonts w:ascii="Arial" w:eastAsia="Times New Roman" w:hAnsi="Arial" w:cs="Arial"/>
                <w:color w:val="000000"/>
                <w:sz w:val="20"/>
                <w:szCs w:val="20"/>
              </w:rPr>
              <w:t xml:space="preserve">                                  </w:t>
            </w:r>
            <w:r w:rsidR="007347BA" w:rsidRPr="00B70D8E">
              <w:rPr>
                <w:rFonts w:ascii="Arial" w:eastAsia="Times New Roman" w:hAnsi="Arial" w:cs="Arial"/>
                <w:color w:val="000000"/>
                <w:sz w:val="20"/>
                <w:szCs w:val="20"/>
              </w:rPr>
              <w:t xml:space="preserve">Current Ratio of </w:t>
            </w:r>
            <w:r w:rsidRPr="00B70D8E">
              <w:rPr>
                <w:rFonts w:ascii="Arial" w:hAnsi="Arial" w:cs="Arial"/>
                <w:sz w:val="20"/>
                <w:szCs w:val="20"/>
              </w:rPr>
              <w:t>Hilton Food Products plc</w:t>
            </w:r>
          </w:p>
        </w:tc>
      </w:tr>
      <w:tr w:rsidR="007347BA" w:rsidRPr="00B70D8E" w:rsidTr="00502505">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7347BA" w:rsidRPr="00B70D8E" w:rsidRDefault="007347BA" w:rsidP="007347BA">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ratio (</w:t>
            </w:r>
            <w:r w:rsidR="00205CB5" w:rsidRPr="00B70D8E">
              <w:rPr>
                <w:rFonts w:ascii="Arial" w:eastAsia="Times New Roman" w:hAnsi="Arial" w:cs="Arial"/>
                <w:color w:val="000000"/>
                <w:sz w:val="20"/>
                <w:szCs w:val="20"/>
              </w:rPr>
              <w:t>times) = Current</w:t>
            </w:r>
            <w:r w:rsidRPr="00B70D8E">
              <w:rPr>
                <w:rFonts w:ascii="Arial" w:eastAsia="Times New Roman" w:hAnsi="Arial" w:cs="Arial"/>
                <w:color w:val="000000"/>
                <w:sz w:val="20"/>
                <w:szCs w:val="20"/>
              </w:rPr>
              <w:t xml:space="preserve"> Assets/ Current liabilities</w:t>
            </w:r>
          </w:p>
        </w:tc>
      </w:tr>
      <w:tr w:rsidR="00965D1A" w:rsidRPr="00B70D8E" w:rsidTr="00965D1A">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965D1A" w:rsidRPr="00B70D8E" w:rsidRDefault="00965D1A" w:rsidP="007347BA">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95" w:type="dxa"/>
            <w:noWrap/>
            <w:hideMark/>
          </w:tcPr>
          <w:p w:rsidR="00965D1A" w:rsidRPr="00B70D8E" w:rsidRDefault="00965D1A" w:rsidP="007347BA">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w:t>
            </w:r>
            <w:r w:rsidR="007347BA" w:rsidRPr="00B70D8E">
              <w:rPr>
                <w:rFonts w:ascii="Arial" w:eastAsia="Times New Roman" w:hAnsi="Arial" w:cs="Arial"/>
                <w:color w:val="000000"/>
                <w:sz w:val="20"/>
                <w:szCs w:val="20"/>
              </w:rPr>
              <w:t>2</w:t>
            </w:r>
          </w:p>
        </w:tc>
        <w:tc>
          <w:tcPr>
            <w:tcW w:w="1195" w:type="dxa"/>
            <w:noWrap/>
            <w:hideMark/>
          </w:tcPr>
          <w:p w:rsidR="00965D1A" w:rsidRPr="00B70D8E" w:rsidRDefault="00965D1A" w:rsidP="007347BA">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w:t>
            </w:r>
            <w:r w:rsidR="007347BA" w:rsidRPr="00B70D8E">
              <w:rPr>
                <w:rFonts w:ascii="Arial" w:eastAsia="Times New Roman" w:hAnsi="Arial" w:cs="Arial"/>
                <w:color w:val="000000"/>
                <w:sz w:val="20"/>
                <w:szCs w:val="20"/>
              </w:rPr>
              <w:t>3</w:t>
            </w:r>
          </w:p>
        </w:tc>
        <w:tc>
          <w:tcPr>
            <w:tcW w:w="1195" w:type="dxa"/>
            <w:noWrap/>
            <w:hideMark/>
          </w:tcPr>
          <w:p w:rsidR="00965D1A" w:rsidRPr="00B70D8E" w:rsidRDefault="00965D1A" w:rsidP="007347BA">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w:t>
            </w:r>
            <w:r w:rsidR="007347BA" w:rsidRPr="00B70D8E">
              <w:rPr>
                <w:rFonts w:ascii="Arial" w:eastAsia="Times New Roman" w:hAnsi="Arial" w:cs="Arial"/>
                <w:color w:val="000000"/>
                <w:sz w:val="20"/>
                <w:szCs w:val="20"/>
              </w:rPr>
              <w:t>4</w:t>
            </w:r>
          </w:p>
        </w:tc>
        <w:tc>
          <w:tcPr>
            <w:tcW w:w="1195" w:type="dxa"/>
            <w:noWrap/>
            <w:hideMark/>
          </w:tcPr>
          <w:p w:rsidR="00965D1A" w:rsidRPr="00B70D8E" w:rsidRDefault="00965D1A" w:rsidP="007347BA">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w:t>
            </w:r>
            <w:r w:rsidR="007347BA" w:rsidRPr="00B70D8E">
              <w:rPr>
                <w:rFonts w:ascii="Arial" w:eastAsia="Times New Roman" w:hAnsi="Arial" w:cs="Arial"/>
                <w:color w:val="000000"/>
                <w:sz w:val="20"/>
                <w:szCs w:val="20"/>
              </w:rPr>
              <w:t>5</w:t>
            </w:r>
          </w:p>
        </w:tc>
        <w:tc>
          <w:tcPr>
            <w:tcW w:w="1195" w:type="dxa"/>
          </w:tcPr>
          <w:p w:rsidR="00965D1A" w:rsidRPr="00B70D8E" w:rsidRDefault="007347BA" w:rsidP="007347BA">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1B72FC" w:rsidRPr="00B70D8E" w:rsidTr="00965D1A">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1B72FC" w:rsidRPr="00B70D8E" w:rsidRDefault="001B72FC" w:rsidP="001B72FC">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Assets (in £ million)</w:t>
            </w:r>
          </w:p>
        </w:tc>
        <w:tc>
          <w:tcPr>
            <w:tcW w:w="1195" w:type="dxa"/>
            <w:noWrap/>
            <w:hideMark/>
          </w:tcPr>
          <w:p w:rsidR="001B72FC" w:rsidRPr="00B70D8E" w:rsidRDefault="00B50C8C"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161823</w:t>
            </w:r>
          </w:p>
        </w:tc>
        <w:tc>
          <w:tcPr>
            <w:tcW w:w="1195" w:type="dxa"/>
            <w:noWrap/>
            <w:hideMark/>
          </w:tcPr>
          <w:p w:rsidR="001B72FC" w:rsidRPr="00B70D8E" w:rsidRDefault="00D81D57"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183580</w:t>
            </w:r>
          </w:p>
        </w:tc>
        <w:tc>
          <w:tcPr>
            <w:tcW w:w="1195" w:type="dxa"/>
            <w:noWrap/>
            <w:hideMark/>
          </w:tcPr>
          <w:p w:rsidR="001B72FC" w:rsidRPr="00B70D8E" w:rsidRDefault="00D81D57"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174756</w:t>
            </w:r>
          </w:p>
        </w:tc>
        <w:tc>
          <w:tcPr>
            <w:tcW w:w="1195" w:type="dxa"/>
            <w:noWrap/>
            <w:hideMark/>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167173</w:t>
            </w:r>
          </w:p>
        </w:tc>
        <w:tc>
          <w:tcPr>
            <w:tcW w:w="1195" w:type="dxa"/>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202327</w:t>
            </w:r>
          </w:p>
        </w:tc>
      </w:tr>
      <w:tr w:rsidR="001B72FC" w:rsidRPr="00B70D8E" w:rsidTr="00965D1A">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1B72FC" w:rsidRPr="00B70D8E" w:rsidRDefault="001B72FC" w:rsidP="001B72FC">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Liability (in £ million)</w:t>
            </w:r>
          </w:p>
        </w:tc>
        <w:tc>
          <w:tcPr>
            <w:tcW w:w="1195" w:type="dxa"/>
            <w:noWrap/>
            <w:hideMark/>
          </w:tcPr>
          <w:p w:rsidR="001B72FC" w:rsidRPr="00B70D8E" w:rsidRDefault="00B50C8C" w:rsidP="001B72F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153269</w:t>
            </w:r>
          </w:p>
        </w:tc>
        <w:tc>
          <w:tcPr>
            <w:tcW w:w="1195" w:type="dxa"/>
            <w:noWrap/>
            <w:hideMark/>
          </w:tcPr>
          <w:p w:rsidR="001B72FC" w:rsidRPr="00B70D8E" w:rsidRDefault="00D81D57" w:rsidP="001B72F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172501</w:t>
            </w:r>
          </w:p>
        </w:tc>
        <w:tc>
          <w:tcPr>
            <w:tcW w:w="1195" w:type="dxa"/>
            <w:noWrap/>
            <w:hideMark/>
          </w:tcPr>
          <w:p w:rsidR="001B72FC" w:rsidRPr="00B70D8E" w:rsidRDefault="00D81D57" w:rsidP="001B72F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167869</w:t>
            </w:r>
          </w:p>
        </w:tc>
        <w:tc>
          <w:tcPr>
            <w:tcW w:w="1195" w:type="dxa"/>
            <w:noWrap/>
            <w:hideMark/>
          </w:tcPr>
          <w:p w:rsidR="001B72FC" w:rsidRPr="00B70D8E" w:rsidRDefault="00D81D57" w:rsidP="001B72F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148938</w:t>
            </w:r>
          </w:p>
        </w:tc>
        <w:tc>
          <w:tcPr>
            <w:tcW w:w="1195" w:type="dxa"/>
          </w:tcPr>
          <w:p w:rsidR="001B72FC" w:rsidRPr="00B70D8E" w:rsidRDefault="00D81D57" w:rsidP="001B72F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173203</w:t>
            </w:r>
          </w:p>
        </w:tc>
      </w:tr>
      <w:tr w:rsidR="001B72FC" w:rsidRPr="00B70D8E" w:rsidTr="00965D1A">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1B72FC" w:rsidRPr="00B70D8E" w:rsidRDefault="001B72FC" w:rsidP="001B72FC">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ratio (in times)</w:t>
            </w:r>
          </w:p>
        </w:tc>
        <w:tc>
          <w:tcPr>
            <w:tcW w:w="1195" w:type="dxa"/>
            <w:noWrap/>
            <w:hideMark/>
          </w:tcPr>
          <w:p w:rsidR="001B72FC" w:rsidRPr="00B70D8E" w:rsidRDefault="00B50C8C"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1.06</w:t>
            </w:r>
          </w:p>
        </w:tc>
        <w:tc>
          <w:tcPr>
            <w:tcW w:w="1195" w:type="dxa"/>
            <w:noWrap/>
            <w:hideMark/>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1.06</w:t>
            </w:r>
          </w:p>
        </w:tc>
        <w:tc>
          <w:tcPr>
            <w:tcW w:w="1195" w:type="dxa"/>
            <w:noWrap/>
            <w:hideMark/>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1.04</w:t>
            </w:r>
          </w:p>
        </w:tc>
        <w:tc>
          <w:tcPr>
            <w:tcW w:w="1195" w:type="dxa"/>
            <w:noWrap/>
            <w:hideMark/>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1.12</w:t>
            </w:r>
          </w:p>
        </w:tc>
        <w:tc>
          <w:tcPr>
            <w:tcW w:w="1195" w:type="dxa"/>
          </w:tcPr>
          <w:p w:rsidR="001B72FC" w:rsidRPr="00B70D8E" w:rsidRDefault="006F42AF" w:rsidP="001B72F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1.17</w:t>
            </w:r>
          </w:p>
        </w:tc>
      </w:tr>
    </w:tbl>
    <w:p w:rsidR="001276B0" w:rsidRPr="00B70D8E" w:rsidRDefault="001276B0">
      <w:pPr>
        <w:rPr>
          <w:rFonts w:ascii="Arial" w:hAnsi="Arial" w:cs="Arial"/>
          <w:sz w:val="20"/>
          <w:szCs w:val="20"/>
        </w:rPr>
      </w:pPr>
    </w:p>
    <w:tbl>
      <w:tblPr>
        <w:tblStyle w:val="LightGrid-Accent3"/>
        <w:tblW w:w="11221" w:type="dxa"/>
        <w:tblInd w:w="-1107" w:type="dxa"/>
        <w:tblLook w:val="04A0" w:firstRow="1" w:lastRow="0" w:firstColumn="1" w:lastColumn="0" w:noHBand="0" w:noVBand="1"/>
      </w:tblPr>
      <w:tblGrid>
        <w:gridCol w:w="5246"/>
        <w:gridCol w:w="1195"/>
        <w:gridCol w:w="1195"/>
        <w:gridCol w:w="1195"/>
        <w:gridCol w:w="1195"/>
        <w:gridCol w:w="1195"/>
      </w:tblGrid>
      <w:tr w:rsidR="00C67752" w:rsidRPr="00B70D8E" w:rsidTr="00502505">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C67752" w:rsidRPr="00B70D8E" w:rsidRDefault="00B50C8C" w:rsidP="00B50C8C">
            <w:pP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6F42AF" w:rsidRPr="00B70D8E">
              <w:rPr>
                <w:rFonts w:ascii="Arial" w:eastAsia="Times New Roman" w:hAnsi="Arial" w:cs="Arial"/>
                <w:color w:val="000000"/>
                <w:sz w:val="20"/>
                <w:szCs w:val="20"/>
              </w:rPr>
              <w:t xml:space="preserve">             </w:t>
            </w:r>
            <w:r w:rsidR="00C67752" w:rsidRPr="00B70D8E">
              <w:rPr>
                <w:rFonts w:ascii="Arial" w:eastAsia="Times New Roman" w:hAnsi="Arial" w:cs="Arial"/>
                <w:color w:val="000000"/>
                <w:sz w:val="20"/>
                <w:szCs w:val="20"/>
              </w:rPr>
              <w:t xml:space="preserve">Cash Ratio of </w:t>
            </w:r>
            <w:r w:rsidRPr="00B70D8E">
              <w:rPr>
                <w:rFonts w:ascii="Arial" w:hAnsi="Arial" w:cs="Arial"/>
                <w:sz w:val="20"/>
                <w:szCs w:val="20"/>
              </w:rPr>
              <w:t>Hilton Food Products plc</w:t>
            </w:r>
            <w:r w:rsidRPr="00B70D8E">
              <w:rPr>
                <w:rFonts w:ascii="Arial" w:eastAsia="Times New Roman" w:hAnsi="Arial" w:cs="Arial"/>
                <w:color w:val="000000"/>
                <w:sz w:val="20"/>
                <w:szCs w:val="20"/>
              </w:rPr>
              <w:t xml:space="preserve"> </w:t>
            </w:r>
          </w:p>
        </w:tc>
      </w:tr>
      <w:tr w:rsidR="00C67752" w:rsidRPr="00B70D8E" w:rsidTr="00502505">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C67752" w:rsidRPr="00B70D8E" w:rsidRDefault="006F42AF" w:rsidP="006F42AF">
            <w:pP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C67752" w:rsidRPr="00B70D8E">
              <w:rPr>
                <w:rFonts w:ascii="Arial" w:eastAsia="Times New Roman" w:hAnsi="Arial" w:cs="Arial"/>
                <w:color w:val="000000"/>
                <w:sz w:val="20"/>
                <w:szCs w:val="20"/>
              </w:rPr>
              <w:t>Cash Ratio (times)</w:t>
            </w:r>
            <w:r w:rsidR="00205CB5" w:rsidRPr="00B70D8E">
              <w:rPr>
                <w:rFonts w:ascii="Arial" w:eastAsia="Times New Roman" w:hAnsi="Arial" w:cs="Arial"/>
                <w:color w:val="000000"/>
                <w:sz w:val="20"/>
                <w:szCs w:val="20"/>
              </w:rPr>
              <w:t>= Cash</w:t>
            </w:r>
            <w:r w:rsidRPr="00B70D8E">
              <w:rPr>
                <w:rFonts w:ascii="Arial" w:eastAsia="Times New Roman" w:hAnsi="Arial" w:cs="Arial"/>
                <w:color w:val="000000"/>
                <w:sz w:val="20"/>
                <w:szCs w:val="20"/>
              </w:rPr>
              <w:t xml:space="preserve"> </w:t>
            </w:r>
            <w:r w:rsidR="00C67752" w:rsidRPr="00B70D8E">
              <w:rPr>
                <w:rFonts w:ascii="Arial" w:eastAsia="Times New Roman" w:hAnsi="Arial" w:cs="Arial"/>
                <w:color w:val="000000"/>
                <w:sz w:val="20"/>
                <w:szCs w:val="20"/>
              </w:rPr>
              <w:t>&amp;</w:t>
            </w:r>
            <w:r w:rsidRPr="00B70D8E">
              <w:rPr>
                <w:rFonts w:ascii="Arial" w:eastAsia="Times New Roman" w:hAnsi="Arial" w:cs="Arial"/>
                <w:color w:val="000000"/>
                <w:sz w:val="20"/>
                <w:szCs w:val="20"/>
              </w:rPr>
              <w:t xml:space="preserve"> equivalents</w:t>
            </w:r>
            <w:r w:rsidR="00C67752" w:rsidRPr="00B70D8E">
              <w:rPr>
                <w:rFonts w:ascii="Arial" w:eastAsia="Times New Roman" w:hAnsi="Arial" w:cs="Arial"/>
                <w:color w:val="000000"/>
                <w:sz w:val="20"/>
                <w:szCs w:val="20"/>
              </w:rPr>
              <w:t>/ Current liabilities</w:t>
            </w:r>
          </w:p>
        </w:tc>
      </w:tr>
      <w:tr w:rsidR="00C67752" w:rsidRPr="00B70D8E" w:rsidTr="00502505">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C67752" w:rsidRPr="00B70D8E" w:rsidRDefault="00C67752"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95" w:type="dxa"/>
            <w:noWrap/>
            <w:hideMark/>
          </w:tcPr>
          <w:p w:rsidR="00C67752" w:rsidRPr="00B70D8E" w:rsidRDefault="00C67752"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195" w:type="dxa"/>
            <w:noWrap/>
            <w:hideMark/>
          </w:tcPr>
          <w:p w:rsidR="00C67752" w:rsidRPr="00B70D8E" w:rsidRDefault="00C67752"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195" w:type="dxa"/>
            <w:noWrap/>
            <w:hideMark/>
          </w:tcPr>
          <w:p w:rsidR="00C67752" w:rsidRPr="00B70D8E" w:rsidRDefault="00C67752"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195" w:type="dxa"/>
            <w:noWrap/>
            <w:hideMark/>
          </w:tcPr>
          <w:p w:rsidR="00C67752" w:rsidRPr="00B70D8E" w:rsidRDefault="00C67752"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195" w:type="dxa"/>
          </w:tcPr>
          <w:p w:rsidR="00C67752" w:rsidRPr="00B70D8E" w:rsidRDefault="00C67752"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C67752" w:rsidRPr="00B70D8E" w:rsidTr="00502505">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C67752" w:rsidRPr="00B70D8E" w:rsidRDefault="00C67752"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Cash (in £ million)</w:t>
            </w:r>
          </w:p>
        </w:tc>
        <w:tc>
          <w:tcPr>
            <w:tcW w:w="1195" w:type="dxa"/>
            <w:noWrap/>
            <w:hideMark/>
          </w:tcPr>
          <w:p w:rsidR="00C67752" w:rsidRPr="00B70D8E" w:rsidRDefault="00B50C8C"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31428</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34642</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35586</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52806</w:t>
            </w:r>
          </w:p>
        </w:tc>
        <w:tc>
          <w:tcPr>
            <w:tcW w:w="1195" w:type="dxa"/>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59304</w:t>
            </w:r>
          </w:p>
        </w:tc>
      </w:tr>
      <w:tr w:rsidR="00C67752" w:rsidRPr="00B70D8E" w:rsidTr="00502505">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C67752" w:rsidRPr="00B70D8E" w:rsidRDefault="00C67752"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Liability (in £ million)</w:t>
            </w:r>
          </w:p>
        </w:tc>
        <w:tc>
          <w:tcPr>
            <w:tcW w:w="1195" w:type="dxa"/>
            <w:noWrap/>
            <w:hideMark/>
          </w:tcPr>
          <w:p w:rsidR="00C67752" w:rsidRPr="00B70D8E" w:rsidRDefault="00B50C8C"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153269</w:t>
            </w:r>
          </w:p>
        </w:tc>
        <w:tc>
          <w:tcPr>
            <w:tcW w:w="1195" w:type="dxa"/>
            <w:noWrap/>
            <w:hideMark/>
          </w:tcPr>
          <w:p w:rsidR="00C67752" w:rsidRPr="00B70D8E" w:rsidRDefault="006F42A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172501</w:t>
            </w:r>
          </w:p>
        </w:tc>
        <w:tc>
          <w:tcPr>
            <w:tcW w:w="1195" w:type="dxa"/>
            <w:noWrap/>
            <w:hideMark/>
          </w:tcPr>
          <w:p w:rsidR="00C67752" w:rsidRPr="00B70D8E" w:rsidRDefault="006F42A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167869</w:t>
            </w:r>
          </w:p>
        </w:tc>
        <w:tc>
          <w:tcPr>
            <w:tcW w:w="1195" w:type="dxa"/>
            <w:noWrap/>
            <w:hideMark/>
          </w:tcPr>
          <w:p w:rsidR="00C67752" w:rsidRPr="00B70D8E" w:rsidRDefault="006F42A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148938</w:t>
            </w:r>
          </w:p>
        </w:tc>
        <w:tc>
          <w:tcPr>
            <w:tcW w:w="1195" w:type="dxa"/>
          </w:tcPr>
          <w:p w:rsidR="00C67752" w:rsidRPr="00B70D8E" w:rsidRDefault="006F42A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173203</w:t>
            </w:r>
          </w:p>
        </w:tc>
      </w:tr>
      <w:tr w:rsidR="00C67752" w:rsidRPr="00B70D8E" w:rsidTr="00502505">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C67752" w:rsidRPr="00B70D8E" w:rsidRDefault="00C67752"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Cash </w:t>
            </w:r>
            <w:r w:rsidR="006C259E" w:rsidRPr="00B70D8E">
              <w:rPr>
                <w:rFonts w:ascii="Arial" w:eastAsia="Times New Roman" w:hAnsi="Arial" w:cs="Arial"/>
                <w:color w:val="000000"/>
                <w:sz w:val="20"/>
                <w:szCs w:val="20"/>
              </w:rPr>
              <w:t>R</w:t>
            </w:r>
            <w:r w:rsidRPr="00B70D8E">
              <w:rPr>
                <w:rFonts w:ascii="Arial" w:eastAsia="Times New Roman" w:hAnsi="Arial" w:cs="Arial"/>
                <w:color w:val="000000"/>
                <w:sz w:val="20"/>
                <w:szCs w:val="20"/>
              </w:rPr>
              <w:t>atio (in times)</w:t>
            </w:r>
          </w:p>
        </w:tc>
        <w:tc>
          <w:tcPr>
            <w:tcW w:w="1195" w:type="dxa"/>
            <w:noWrap/>
            <w:hideMark/>
          </w:tcPr>
          <w:p w:rsidR="00C67752" w:rsidRPr="00B70D8E" w:rsidRDefault="00B50C8C"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0.21</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0.20</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0.21</w:t>
            </w:r>
          </w:p>
        </w:tc>
        <w:tc>
          <w:tcPr>
            <w:tcW w:w="1195" w:type="dxa"/>
            <w:noWrap/>
            <w:hideMark/>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0.35</w:t>
            </w:r>
          </w:p>
        </w:tc>
        <w:tc>
          <w:tcPr>
            <w:tcW w:w="1195" w:type="dxa"/>
          </w:tcPr>
          <w:p w:rsidR="00C67752" w:rsidRPr="00B70D8E" w:rsidRDefault="006F42AF" w:rsidP="005025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0.34</w:t>
            </w:r>
          </w:p>
        </w:tc>
      </w:tr>
    </w:tbl>
    <w:p w:rsidR="00AF1949" w:rsidRPr="00B70D8E" w:rsidRDefault="00AF1949">
      <w:pPr>
        <w:rPr>
          <w:rFonts w:ascii="Arial" w:hAnsi="Arial" w:cs="Arial"/>
          <w:sz w:val="20"/>
          <w:szCs w:val="20"/>
        </w:rPr>
      </w:pPr>
    </w:p>
    <w:tbl>
      <w:tblPr>
        <w:tblStyle w:val="LightGrid-Accent3"/>
        <w:tblW w:w="11221" w:type="dxa"/>
        <w:tblInd w:w="-1107" w:type="dxa"/>
        <w:tblLook w:val="04A0" w:firstRow="1" w:lastRow="0" w:firstColumn="1" w:lastColumn="0" w:noHBand="0" w:noVBand="1"/>
      </w:tblPr>
      <w:tblGrid>
        <w:gridCol w:w="5246"/>
        <w:gridCol w:w="1195"/>
        <w:gridCol w:w="1195"/>
        <w:gridCol w:w="1195"/>
        <w:gridCol w:w="1195"/>
        <w:gridCol w:w="1195"/>
      </w:tblGrid>
      <w:tr w:rsidR="00A2538E" w:rsidRPr="00B70D8E" w:rsidTr="007B29AC">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A2538E" w:rsidRPr="00B70D8E" w:rsidRDefault="00A2538E" w:rsidP="00A2538E">
            <w:pP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B50C8C" w:rsidRPr="00B70D8E">
              <w:rPr>
                <w:rFonts w:ascii="Arial" w:eastAsia="Times New Roman" w:hAnsi="Arial" w:cs="Arial"/>
                <w:color w:val="000000"/>
                <w:sz w:val="20"/>
                <w:szCs w:val="20"/>
              </w:rPr>
              <w:t xml:space="preserve">          </w:t>
            </w:r>
            <w:r w:rsidRPr="00B70D8E">
              <w:rPr>
                <w:rFonts w:ascii="Arial" w:eastAsia="Times New Roman" w:hAnsi="Arial" w:cs="Arial"/>
                <w:color w:val="000000"/>
                <w:sz w:val="20"/>
                <w:szCs w:val="20"/>
              </w:rPr>
              <w:t xml:space="preserve">                  Quick Ratio of </w:t>
            </w:r>
            <w:r w:rsidR="00B50C8C" w:rsidRPr="00B70D8E">
              <w:rPr>
                <w:rFonts w:ascii="Arial" w:hAnsi="Arial" w:cs="Arial"/>
                <w:sz w:val="20"/>
                <w:szCs w:val="20"/>
              </w:rPr>
              <w:t>Hilton Food Products plc</w:t>
            </w:r>
            <w:r w:rsidR="00B50C8C" w:rsidRPr="00B70D8E">
              <w:rPr>
                <w:rFonts w:ascii="Arial" w:eastAsia="Times New Roman" w:hAnsi="Arial" w:cs="Arial"/>
                <w:color w:val="000000"/>
                <w:sz w:val="20"/>
                <w:szCs w:val="20"/>
              </w:rPr>
              <w:t xml:space="preserve"> </w:t>
            </w:r>
          </w:p>
        </w:tc>
      </w:tr>
      <w:tr w:rsidR="00A2538E" w:rsidRPr="00B70D8E" w:rsidTr="007B29A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11221" w:type="dxa"/>
            <w:gridSpan w:val="6"/>
            <w:noWrap/>
            <w:hideMark/>
          </w:tcPr>
          <w:p w:rsidR="00A2538E" w:rsidRPr="00B70D8E" w:rsidRDefault="00A2538E" w:rsidP="007B29AC">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lastRenderedPageBreak/>
              <w:t xml:space="preserve">Quick Ratio (in </w:t>
            </w:r>
            <w:proofErr w:type="gramStart"/>
            <w:r w:rsidRPr="00B70D8E">
              <w:rPr>
                <w:rFonts w:ascii="Arial" w:eastAsia="Times New Roman" w:hAnsi="Arial" w:cs="Arial"/>
                <w:color w:val="000000"/>
                <w:sz w:val="20"/>
                <w:szCs w:val="20"/>
              </w:rPr>
              <w:t>times)=</w:t>
            </w:r>
            <w:proofErr w:type="gramEnd"/>
            <w:r w:rsidRPr="00B70D8E">
              <w:rPr>
                <w:rFonts w:ascii="Arial" w:eastAsia="Times New Roman" w:hAnsi="Arial" w:cs="Arial"/>
                <w:color w:val="000000"/>
                <w:sz w:val="20"/>
                <w:szCs w:val="20"/>
              </w:rPr>
              <w:t xml:space="preserve">  Current assets- inventories/ Current liabilities</w:t>
            </w:r>
          </w:p>
        </w:tc>
      </w:tr>
      <w:tr w:rsidR="00A2538E" w:rsidRPr="00B70D8E" w:rsidTr="007B29AC">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A2538E" w:rsidRPr="00B70D8E" w:rsidRDefault="00A2538E" w:rsidP="007B29AC">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95" w:type="dxa"/>
            <w:noWrap/>
            <w:hideMark/>
          </w:tcPr>
          <w:p w:rsidR="00A2538E" w:rsidRPr="00B70D8E" w:rsidRDefault="00A2538E" w:rsidP="007B29A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195" w:type="dxa"/>
            <w:noWrap/>
            <w:hideMark/>
          </w:tcPr>
          <w:p w:rsidR="00A2538E" w:rsidRPr="00B70D8E" w:rsidRDefault="00A2538E" w:rsidP="007B29A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195" w:type="dxa"/>
            <w:noWrap/>
            <w:hideMark/>
          </w:tcPr>
          <w:p w:rsidR="00A2538E" w:rsidRPr="00B70D8E" w:rsidRDefault="00A2538E" w:rsidP="007B29A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195" w:type="dxa"/>
            <w:noWrap/>
            <w:hideMark/>
          </w:tcPr>
          <w:p w:rsidR="00A2538E" w:rsidRPr="00B70D8E" w:rsidRDefault="00A2538E" w:rsidP="007B29A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195" w:type="dxa"/>
          </w:tcPr>
          <w:p w:rsidR="00A2538E" w:rsidRPr="00B70D8E" w:rsidRDefault="00A2538E" w:rsidP="007B29AC">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6F42AF" w:rsidRPr="00B70D8E" w:rsidTr="007B29A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6F42AF" w:rsidRPr="00B70D8E" w:rsidRDefault="006F42AF" w:rsidP="006F42AF">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Assets (in £ million)</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161823</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183580</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174756</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167173</w:t>
            </w:r>
          </w:p>
        </w:tc>
        <w:tc>
          <w:tcPr>
            <w:tcW w:w="1195" w:type="dxa"/>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202327</w:t>
            </w:r>
          </w:p>
        </w:tc>
      </w:tr>
      <w:tr w:rsidR="006F42AF" w:rsidRPr="00B70D8E" w:rsidTr="007B29AC">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tcPr>
          <w:p w:rsidR="006F42AF" w:rsidRPr="00B70D8E" w:rsidRDefault="006F42AF" w:rsidP="006F42AF">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Inventories</w:t>
            </w:r>
          </w:p>
        </w:tc>
        <w:tc>
          <w:tcPr>
            <w:tcW w:w="1195" w:type="dxa"/>
            <w:noWrap/>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21885</w:t>
            </w:r>
          </w:p>
        </w:tc>
        <w:tc>
          <w:tcPr>
            <w:tcW w:w="1195" w:type="dxa"/>
            <w:noWrap/>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23837</w:t>
            </w:r>
          </w:p>
        </w:tc>
        <w:tc>
          <w:tcPr>
            <w:tcW w:w="1195" w:type="dxa"/>
            <w:noWrap/>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22029</w:t>
            </w:r>
          </w:p>
        </w:tc>
        <w:tc>
          <w:tcPr>
            <w:tcW w:w="1195" w:type="dxa"/>
            <w:noWrap/>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18272</w:t>
            </w:r>
          </w:p>
        </w:tc>
        <w:tc>
          <w:tcPr>
            <w:tcW w:w="1195" w:type="dxa"/>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24382</w:t>
            </w:r>
          </w:p>
        </w:tc>
      </w:tr>
      <w:tr w:rsidR="006F42AF" w:rsidRPr="00B70D8E" w:rsidTr="007B29A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6F42AF" w:rsidRPr="00B70D8E" w:rsidRDefault="006F42AF" w:rsidP="006F42AF">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Current Liability (in £ million)</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153269</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172501</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167869</w:t>
            </w:r>
          </w:p>
        </w:tc>
        <w:tc>
          <w:tcPr>
            <w:tcW w:w="1195" w:type="dxa"/>
            <w:noWrap/>
            <w:hideMark/>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148938</w:t>
            </w:r>
          </w:p>
        </w:tc>
        <w:tc>
          <w:tcPr>
            <w:tcW w:w="1195" w:type="dxa"/>
          </w:tcPr>
          <w:p w:rsidR="006F42AF" w:rsidRPr="00B70D8E" w:rsidRDefault="006F42AF" w:rsidP="006F42AF">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173203</w:t>
            </w:r>
          </w:p>
        </w:tc>
      </w:tr>
      <w:tr w:rsidR="006F42AF" w:rsidRPr="00B70D8E" w:rsidTr="007B29AC">
        <w:trPr>
          <w:cnfStyle w:val="000000010000" w:firstRow="0" w:lastRow="0" w:firstColumn="0" w:lastColumn="0" w:oddVBand="0" w:evenVBand="0" w:oddHBand="0" w:evenHBand="1"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5246" w:type="dxa"/>
            <w:noWrap/>
            <w:hideMark/>
          </w:tcPr>
          <w:p w:rsidR="006F42AF" w:rsidRPr="00B70D8E" w:rsidRDefault="007E6CE0" w:rsidP="006F42AF">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Quick Ratio</w:t>
            </w:r>
            <w:r w:rsidR="006F42AF" w:rsidRPr="00B70D8E">
              <w:rPr>
                <w:rFonts w:ascii="Arial" w:eastAsia="Times New Roman" w:hAnsi="Arial" w:cs="Arial"/>
                <w:color w:val="000000"/>
                <w:sz w:val="20"/>
                <w:szCs w:val="20"/>
              </w:rPr>
              <w:t xml:space="preserve"> (in times)</w:t>
            </w:r>
          </w:p>
        </w:tc>
        <w:tc>
          <w:tcPr>
            <w:tcW w:w="1195" w:type="dxa"/>
            <w:noWrap/>
            <w:hideMark/>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0.91</w:t>
            </w:r>
          </w:p>
        </w:tc>
        <w:tc>
          <w:tcPr>
            <w:tcW w:w="1195" w:type="dxa"/>
            <w:noWrap/>
            <w:hideMark/>
          </w:tcPr>
          <w:p w:rsidR="006F42AF" w:rsidRPr="00B70D8E" w:rsidRDefault="006F42AF"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0.93</w:t>
            </w:r>
          </w:p>
        </w:tc>
        <w:tc>
          <w:tcPr>
            <w:tcW w:w="1195" w:type="dxa"/>
            <w:noWrap/>
            <w:hideMark/>
          </w:tcPr>
          <w:p w:rsidR="006F42AF" w:rsidRPr="00B70D8E" w:rsidRDefault="006F42AF" w:rsidP="006F42AF">
            <w:pP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0.91</w:t>
            </w:r>
          </w:p>
        </w:tc>
        <w:tc>
          <w:tcPr>
            <w:tcW w:w="1195" w:type="dxa"/>
            <w:noWrap/>
            <w:hideMark/>
          </w:tcPr>
          <w:p w:rsidR="006F42AF" w:rsidRPr="00B70D8E" w:rsidRDefault="003222E3"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w:t>
            </w:r>
          </w:p>
        </w:tc>
        <w:tc>
          <w:tcPr>
            <w:tcW w:w="1195" w:type="dxa"/>
          </w:tcPr>
          <w:p w:rsidR="006F42AF" w:rsidRPr="00B70D8E" w:rsidRDefault="003222E3" w:rsidP="006F42AF">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1.02</w:t>
            </w:r>
          </w:p>
        </w:tc>
      </w:tr>
    </w:tbl>
    <w:p w:rsidR="007273AA" w:rsidRPr="00B70D8E" w:rsidRDefault="007273AA">
      <w:pPr>
        <w:rPr>
          <w:rFonts w:ascii="Arial" w:hAnsi="Arial" w:cs="Arial"/>
          <w:b/>
          <w:sz w:val="20"/>
          <w:szCs w:val="20"/>
        </w:rPr>
      </w:pPr>
    </w:p>
    <w:p w:rsidR="006C259E" w:rsidRPr="00B70D8E" w:rsidRDefault="006C259E">
      <w:pPr>
        <w:rPr>
          <w:rFonts w:ascii="Arial" w:hAnsi="Arial" w:cs="Arial"/>
          <w:b/>
          <w:sz w:val="20"/>
          <w:szCs w:val="20"/>
        </w:rPr>
      </w:pPr>
      <w:r w:rsidRPr="00B70D8E">
        <w:rPr>
          <w:rFonts w:ascii="Arial" w:hAnsi="Arial" w:cs="Arial"/>
          <w:b/>
          <w:sz w:val="20"/>
          <w:szCs w:val="20"/>
        </w:rPr>
        <w:t>Profitability Ratios</w:t>
      </w:r>
      <w:r w:rsidR="007E6CE0" w:rsidRPr="00B70D8E">
        <w:rPr>
          <w:rFonts w:ascii="Arial" w:hAnsi="Arial" w:cs="Arial"/>
          <w:b/>
          <w:sz w:val="20"/>
          <w:szCs w:val="20"/>
        </w:rPr>
        <w:t xml:space="preserve"> of the Hilton group plc</w:t>
      </w:r>
    </w:p>
    <w:tbl>
      <w:tblPr>
        <w:tblStyle w:val="LightGrid-Accent3"/>
        <w:tblW w:w="10995" w:type="dxa"/>
        <w:tblInd w:w="-995" w:type="dxa"/>
        <w:tblLook w:val="04A0" w:firstRow="1" w:lastRow="0" w:firstColumn="1" w:lastColumn="0" w:noHBand="0" w:noVBand="1"/>
      </w:tblPr>
      <w:tblGrid>
        <w:gridCol w:w="4815"/>
        <w:gridCol w:w="1236"/>
        <w:gridCol w:w="1236"/>
        <w:gridCol w:w="1236"/>
        <w:gridCol w:w="1236"/>
        <w:gridCol w:w="1236"/>
      </w:tblGrid>
      <w:tr w:rsidR="007347BA" w:rsidRPr="00B70D8E" w:rsidTr="00502505">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10995" w:type="dxa"/>
            <w:gridSpan w:val="6"/>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Gross profit margin of </w:t>
            </w:r>
            <w:r w:rsidR="00E37448" w:rsidRPr="00B70D8E">
              <w:rPr>
                <w:rFonts w:ascii="Arial" w:eastAsia="Times New Roman" w:hAnsi="Arial" w:cs="Arial"/>
                <w:color w:val="000000"/>
                <w:sz w:val="20"/>
                <w:szCs w:val="20"/>
              </w:rPr>
              <w:t>Hilton Food Products</w:t>
            </w:r>
            <w:r w:rsidR="009629B1" w:rsidRPr="00B70D8E">
              <w:rPr>
                <w:rFonts w:ascii="Arial" w:eastAsia="Times New Roman" w:hAnsi="Arial" w:cs="Arial"/>
                <w:color w:val="000000"/>
                <w:sz w:val="20"/>
                <w:szCs w:val="20"/>
              </w:rPr>
              <w:t xml:space="preserve"> Plc </w:t>
            </w:r>
          </w:p>
        </w:tc>
      </w:tr>
      <w:tr w:rsidR="007347BA" w:rsidRPr="00B70D8E" w:rsidTr="00502505">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10995" w:type="dxa"/>
            <w:gridSpan w:val="6"/>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Gross profit margin (in %)= (Gross Profit/ </w:t>
            </w:r>
            <w:r w:rsidR="007E6CE0" w:rsidRPr="00B70D8E">
              <w:rPr>
                <w:rFonts w:ascii="Arial" w:eastAsia="Times New Roman" w:hAnsi="Arial" w:cs="Arial"/>
                <w:color w:val="000000"/>
                <w:sz w:val="20"/>
                <w:szCs w:val="20"/>
              </w:rPr>
              <w:t>Revenue) *</w:t>
            </w:r>
            <w:r w:rsidRPr="00B70D8E">
              <w:rPr>
                <w:rFonts w:ascii="Arial" w:eastAsia="Times New Roman" w:hAnsi="Arial" w:cs="Arial"/>
                <w:color w:val="000000"/>
                <w:sz w:val="20"/>
                <w:szCs w:val="20"/>
              </w:rPr>
              <w:t>100</w:t>
            </w:r>
          </w:p>
        </w:tc>
      </w:tr>
      <w:tr w:rsidR="007347BA" w:rsidRPr="00B70D8E" w:rsidTr="007347BA">
        <w:trPr>
          <w:cnfStyle w:val="000000010000" w:firstRow="0" w:lastRow="0" w:firstColumn="0" w:lastColumn="0" w:oddVBand="0" w:evenVBand="0" w:oddHBand="0" w:evenHBand="1"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815" w:type="dxa"/>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236" w:type="dxa"/>
            <w:noWrap/>
            <w:hideMark/>
          </w:tcPr>
          <w:p w:rsidR="007347BA" w:rsidRPr="00B70D8E" w:rsidRDefault="007347BA"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w:t>
            </w:r>
            <w:r w:rsidR="000A20A2" w:rsidRPr="00B70D8E">
              <w:rPr>
                <w:rFonts w:ascii="Arial" w:eastAsia="Times New Roman" w:hAnsi="Arial" w:cs="Arial"/>
                <w:color w:val="000000"/>
                <w:sz w:val="20"/>
                <w:szCs w:val="20"/>
              </w:rPr>
              <w:t>2</w:t>
            </w:r>
          </w:p>
        </w:tc>
        <w:tc>
          <w:tcPr>
            <w:tcW w:w="1236" w:type="dxa"/>
            <w:noWrap/>
            <w:hideMark/>
          </w:tcPr>
          <w:p w:rsidR="007347BA" w:rsidRPr="00B70D8E" w:rsidRDefault="000A20A2"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236" w:type="dxa"/>
            <w:noWrap/>
            <w:hideMark/>
          </w:tcPr>
          <w:p w:rsidR="007347BA" w:rsidRPr="00B70D8E" w:rsidRDefault="000A20A2"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236" w:type="dxa"/>
            <w:noWrap/>
            <w:hideMark/>
          </w:tcPr>
          <w:p w:rsidR="007347BA" w:rsidRPr="00B70D8E" w:rsidRDefault="000A20A2"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236" w:type="dxa"/>
          </w:tcPr>
          <w:p w:rsidR="007347BA" w:rsidRPr="00B70D8E" w:rsidRDefault="000A20A2"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7347BA" w:rsidRPr="00B70D8E" w:rsidTr="007347BA">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815" w:type="dxa"/>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Revenue (in £ million)</w:t>
            </w:r>
          </w:p>
        </w:tc>
        <w:tc>
          <w:tcPr>
            <w:tcW w:w="1236" w:type="dxa"/>
            <w:noWrap/>
            <w:hideMark/>
          </w:tcPr>
          <w:p w:rsidR="007347BA" w:rsidRPr="00B70D8E" w:rsidRDefault="00E9114F"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1031004</w:t>
            </w:r>
          </w:p>
        </w:tc>
        <w:tc>
          <w:tcPr>
            <w:tcW w:w="1236" w:type="dxa"/>
            <w:noWrap/>
            <w:hideMark/>
          </w:tcPr>
          <w:p w:rsidR="007347BA" w:rsidRPr="00B70D8E" w:rsidRDefault="000E5270"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1124780</w:t>
            </w:r>
          </w:p>
        </w:tc>
        <w:tc>
          <w:tcPr>
            <w:tcW w:w="1236" w:type="dxa"/>
            <w:noWrap/>
            <w:hideMark/>
          </w:tcPr>
          <w:p w:rsidR="007347BA" w:rsidRPr="00B70D8E" w:rsidRDefault="000E5270"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1098990</w:t>
            </w:r>
          </w:p>
        </w:tc>
        <w:tc>
          <w:tcPr>
            <w:tcW w:w="1236" w:type="dxa"/>
            <w:noWrap/>
            <w:hideMark/>
          </w:tcPr>
          <w:p w:rsidR="007347BA" w:rsidRPr="00B70D8E" w:rsidRDefault="000E5270"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1094822</w:t>
            </w:r>
          </w:p>
        </w:tc>
        <w:tc>
          <w:tcPr>
            <w:tcW w:w="1236" w:type="dxa"/>
          </w:tcPr>
          <w:p w:rsidR="007347BA" w:rsidRPr="00B70D8E" w:rsidRDefault="000E5270"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1234495</w:t>
            </w:r>
          </w:p>
        </w:tc>
      </w:tr>
      <w:tr w:rsidR="007347BA" w:rsidRPr="00B70D8E" w:rsidTr="007347BA">
        <w:trPr>
          <w:cnfStyle w:val="000000010000" w:firstRow="0" w:lastRow="0" w:firstColumn="0" w:lastColumn="0" w:oddVBand="0" w:evenVBand="0" w:oddHBand="0" w:evenHBand="1"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815" w:type="dxa"/>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Gross Profit (in million)</w:t>
            </w:r>
          </w:p>
        </w:tc>
        <w:tc>
          <w:tcPr>
            <w:tcW w:w="1236" w:type="dxa"/>
            <w:noWrap/>
            <w:hideMark/>
          </w:tcPr>
          <w:p w:rsidR="007347BA" w:rsidRPr="00B70D8E" w:rsidRDefault="00E9114F"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126249</w:t>
            </w:r>
          </w:p>
        </w:tc>
        <w:tc>
          <w:tcPr>
            <w:tcW w:w="1236" w:type="dxa"/>
            <w:noWrap/>
            <w:hideMark/>
          </w:tcPr>
          <w:p w:rsidR="007347BA" w:rsidRPr="00B70D8E" w:rsidRDefault="000E5270"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131523</w:t>
            </w:r>
          </w:p>
        </w:tc>
        <w:tc>
          <w:tcPr>
            <w:tcW w:w="1236" w:type="dxa"/>
            <w:noWrap/>
            <w:hideMark/>
          </w:tcPr>
          <w:p w:rsidR="007347BA" w:rsidRPr="00B70D8E" w:rsidRDefault="000E5270"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132181</w:t>
            </w:r>
          </w:p>
        </w:tc>
        <w:tc>
          <w:tcPr>
            <w:tcW w:w="1236" w:type="dxa"/>
            <w:noWrap/>
            <w:hideMark/>
          </w:tcPr>
          <w:p w:rsidR="007347BA" w:rsidRPr="00B70D8E" w:rsidRDefault="000E5270"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137755</w:t>
            </w:r>
          </w:p>
        </w:tc>
        <w:tc>
          <w:tcPr>
            <w:tcW w:w="1236" w:type="dxa"/>
          </w:tcPr>
          <w:p w:rsidR="007347BA" w:rsidRPr="00B70D8E" w:rsidRDefault="000E5270" w:rsidP="002E5E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150828</w:t>
            </w:r>
          </w:p>
        </w:tc>
      </w:tr>
      <w:tr w:rsidR="007347BA" w:rsidRPr="00B70D8E" w:rsidTr="007347BA">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815" w:type="dxa"/>
            <w:noWrap/>
            <w:hideMark/>
          </w:tcPr>
          <w:p w:rsidR="007347BA" w:rsidRPr="00B70D8E" w:rsidRDefault="007347BA" w:rsidP="002E5E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Gross profit margin (in %)</w:t>
            </w:r>
          </w:p>
        </w:tc>
        <w:tc>
          <w:tcPr>
            <w:tcW w:w="1236" w:type="dxa"/>
            <w:noWrap/>
            <w:hideMark/>
          </w:tcPr>
          <w:p w:rsidR="007347BA" w:rsidRPr="00B70D8E" w:rsidRDefault="00E9114F"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12.25</w:t>
            </w:r>
          </w:p>
        </w:tc>
        <w:tc>
          <w:tcPr>
            <w:tcW w:w="1236" w:type="dxa"/>
            <w:noWrap/>
            <w:hideMark/>
          </w:tcPr>
          <w:p w:rsidR="007347BA" w:rsidRPr="00B70D8E" w:rsidRDefault="00902C6C"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11.69</w:t>
            </w:r>
          </w:p>
        </w:tc>
        <w:tc>
          <w:tcPr>
            <w:tcW w:w="1236" w:type="dxa"/>
            <w:noWrap/>
            <w:hideMark/>
          </w:tcPr>
          <w:p w:rsidR="007347BA" w:rsidRPr="00B70D8E" w:rsidRDefault="00902C6C" w:rsidP="00E9114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12.03</w:t>
            </w:r>
          </w:p>
        </w:tc>
        <w:tc>
          <w:tcPr>
            <w:tcW w:w="1236" w:type="dxa"/>
            <w:noWrap/>
            <w:hideMark/>
          </w:tcPr>
          <w:p w:rsidR="007347BA" w:rsidRPr="00B70D8E" w:rsidRDefault="00902C6C"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12.58</w:t>
            </w:r>
          </w:p>
        </w:tc>
        <w:tc>
          <w:tcPr>
            <w:tcW w:w="1236" w:type="dxa"/>
          </w:tcPr>
          <w:p w:rsidR="007347BA" w:rsidRPr="00B70D8E" w:rsidRDefault="00902C6C" w:rsidP="002E5E05">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12.22</w:t>
            </w:r>
          </w:p>
        </w:tc>
      </w:tr>
    </w:tbl>
    <w:p w:rsidR="001276B0" w:rsidRPr="00B70D8E" w:rsidRDefault="001276B0" w:rsidP="001276B0">
      <w:pPr>
        <w:jc w:val="both"/>
        <w:rPr>
          <w:rFonts w:ascii="Arial" w:hAnsi="Arial" w:cs="Arial"/>
          <w:sz w:val="20"/>
          <w:szCs w:val="20"/>
        </w:rPr>
      </w:pPr>
    </w:p>
    <w:tbl>
      <w:tblPr>
        <w:tblStyle w:val="LightGrid-Accent3"/>
        <w:tblW w:w="11159" w:type="dxa"/>
        <w:tblInd w:w="-1077" w:type="dxa"/>
        <w:tblLook w:val="04A0" w:firstRow="1" w:lastRow="0" w:firstColumn="1" w:lastColumn="0" w:noHBand="0" w:noVBand="1"/>
      </w:tblPr>
      <w:tblGrid>
        <w:gridCol w:w="4553"/>
        <w:gridCol w:w="1289"/>
        <w:gridCol w:w="1289"/>
        <w:gridCol w:w="1268"/>
        <w:gridCol w:w="1380"/>
        <w:gridCol w:w="1380"/>
      </w:tblGrid>
      <w:tr w:rsidR="0052399F" w:rsidRPr="00B70D8E" w:rsidTr="00502505">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1159" w:type="dxa"/>
            <w:gridSpan w:val="6"/>
            <w:noWrap/>
            <w:hideMark/>
          </w:tcPr>
          <w:p w:rsidR="0052399F" w:rsidRPr="00B70D8E" w:rsidRDefault="0052399F"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Operating profit margin of </w:t>
            </w:r>
            <w:r w:rsidR="001E7ABF" w:rsidRPr="00B70D8E">
              <w:rPr>
                <w:rFonts w:ascii="Arial" w:hAnsi="Arial" w:cs="Arial"/>
                <w:sz w:val="20"/>
                <w:szCs w:val="20"/>
              </w:rPr>
              <w:t>Hilton Food Products plc</w:t>
            </w:r>
            <w:r w:rsidR="001E7ABF" w:rsidRPr="00B70D8E">
              <w:rPr>
                <w:rFonts w:ascii="Arial" w:eastAsia="Times New Roman" w:hAnsi="Arial" w:cs="Arial"/>
                <w:color w:val="000000"/>
                <w:sz w:val="20"/>
                <w:szCs w:val="20"/>
              </w:rPr>
              <w:t xml:space="preserve"> </w:t>
            </w:r>
          </w:p>
        </w:tc>
      </w:tr>
      <w:tr w:rsidR="0052399F" w:rsidRPr="00B70D8E" w:rsidTr="00502505">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1159" w:type="dxa"/>
            <w:gridSpan w:val="6"/>
            <w:noWrap/>
            <w:hideMark/>
          </w:tcPr>
          <w:p w:rsidR="0052399F" w:rsidRPr="00B70D8E" w:rsidRDefault="0052399F"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Operating profit margin (in %)= (Operating Profit/ </w:t>
            </w:r>
            <w:r w:rsidR="007E6CE0" w:rsidRPr="00B70D8E">
              <w:rPr>
                <w:rFonts w:ascii="Arial" w:eastAsia="Times New Roman" w:hAnsi="Arial" w:cs="Arial"/>
                <w:color w:val="000000"/>
                <w:sz w:val="20"/>
                <w:szCs w:val="20"/>
              </w:rPr>
              <w:t>Revenue) *</w:t>
            </w:r>
            <w:r w:rsidRPr="00B70D8E">
              <w:rPr>
                <w:rFonts w:ascii="Arial" w:eastAsia="Times New Roman" w:hAnsi="Arial" w:cs="Arial"/>
                <w:color w:val="000000"/>
                <w:sz w:val="20"/>
                <w:szCs w:val="20"/>
              </w:rPr>
              <w:t>100</w:t>
            </w:r>
          </w:p>
        </w:tc>
      </w:tr>
      <w:tr w:rsidR="0052399F" w:rsidRPr="00B70D8E" w:rsidTr="00502505">
        <w:trPr>
          <w:cnfStyle w:val="000000010000" w:firstRow="0" w:lastRow="0" w:firstColumn="0" w:lastColumn="0" w:oddVBand="0" w:evenVBand="0" w:oddHBand="0" w:evenHBand="1"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553" w:type="dxa"/>
            <w:noWrap/>
            <w:hideMark/>
          </w:tcPr>
          <w:p w:rsidR="0052399F" w:rsidRPr="00B70D8E" w:rsidRDefault="0052399F" w:rsidP="00502505">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289" w:type="dxa"/>
            <w:noWrap/>
            <w:hideMark/>
          </w:tcPr>
          <w:p w:rsidR="0052399F" w:rsidRPr="00B70D8E" w:rsidRDefault="0052399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289" w:type="dxa"/>
            <w:noWrap/>
            <w:hideMark/>
          </w:tcPr>
          <w:p w:rsidR="0052399F" w:rsidRPr="00B70D8E" w:rsidRDefault="0052399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268" w:type="dxa"/>
            <w:noWrap/>
            <w:hideMark/>
          </w:tcPr>
          <w:p w:rsidR="0052399F" w:rsidRPr="00B70D8E" w:rsidRDefault="0052399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380" w:type="dxa"/>
            <w:noWrap/>
            <w:hideMark/>
          </w:tcPr>
          <w:p w:rsidR="0052399F" w:rsidRPr="00B70D8E" w:rsidRDefault="0052399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380" w:type="dxa"/>
          </w:tcPr>
          <w:p w:rsidR="0052399F" w:rsidRPr="00B70D8E" w:rsidRDefault="0052399F" w:rsidP="00502505">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0E5270" w:rsidRPr="00B70D8E" w:rsidTr="00502505">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Revenue (in £ million)</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1031004</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1124780</w:t>
            </w:r>
          </w:p>
        </w:tc>
        <w:tc>
          <w:tcPr>
            <w:tcW w:w="1268"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1098990</w:t>
            </w:r>
          </w:p>
        </w:tc>
        <w:tc>
          <w:tcPr>
            <w:tcW w:w="1380"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1094822</w:t>
            </w:r>
          </w:p>
        </w:tc>
        <w:tc>
          <w:tcPr>
            <w:tcW w:w="1380" w:type="dxa"/>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1234495</w:t>
            </w:r>
          </w:p>
        </w:tc>
      </w:tr>
      <w:tr w:rsidR="000E5270" w:rsidRPr="00B70D8E" w:rsidTr="00502505">
        <w:trPr>
          <w:cnfStyle w:val="000000010000" w:firstRow="0" w:lastRow="0" w:firstColumn="0" w:lastColumn="0" w:oddVBand="0" w:evenVBand="0" w:oddHBand="0" w:evenHBand="1"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Operating </w:t>
            </w:r>
            <w:r w:rsidR="007E6CE0" w:rsidRPr="00B70D8E">
              <w:rPr>
                <w:rFonts w:ascii="Arial" w:eastAsia="Times New Roman" w:hAnsi="Arial" w:cs="Arial"/>
                <w:color w:val="000000"/>
                <w:sz w:val="20"/>
                <w:szCs w:val="20"/>
              </w:rPr>
              <w:t>profit (</w:t>
            </w:r>
            <w:r w:rsidRPr="00B70D8E">
              <w:rPr>
                <w:rFonts w:ascii="Arial" w:eastAsia="Times New Roman" w:hAnsi="Arial" w:cs="Arial"/>
                <w:color w:val="000000"/>
                <w:sz w:val="20"/>
                <w:szCs w:val="20"/>
              </w:rPr>
              <w:t>in £ million)</w:t>
            </w:r>
          </w:p>
        </w:tc>
        <w:tc>
          <w:tcPr>
            <w:tcW w:w="1289"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25967</w:t>
            </w:r>
          </w:p>
        </w:tc>
        <w:tc>
          <w:tcPr>
            <w:tcW w:w="1289"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25774</w:t>
            </w:r>
          </w:p>
        </w:tc>
        <w:tc>
          <w:tcPr>
            <w:tcW w:w="1268"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26062</w:t>
            </w:r>
          </w:p>
        </w:tc>
        <w:tc>
          <w:tcPr>
            <w:tcW w:w="1380"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28999</w:t>
            </w:r>
          </w:p>
        </w:tc>
        <w:tc>
          <w:tcPr>
            <w:tcW w:w="1380" w:type="dxa"/>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34324</w:t>
            </w:r>
          </w:p>
        </w:tc>
      </w:tr>
      <w:tr w:rsidR="000E5270" w:rsidRPr="00B70D8E" w:rsidTr="00502505">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Operating Profit Margin (in %)</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2.52</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2.29</w:t>
            </w:r>
          </w:p>
        </w:tc>
        <w:tc>
          <w:tcPr>
            <w:tcW w:w="1268"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2.37</w:t>
            </w:r>
          </w:p>
        </w:tc>
        <w:tc>
          <w:tcPr>
            <w:tcW w:w="1380" w:type="dxa"/>
            <w:noWrap/>
            <w:hideMark/>
          </w:tcPr>
          <w:p w:rsidR="000E5270" w:rsidRPr="00B70D8E" w:rsidRDefault="00902C6C"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2.65</w:t>
            </w:r>
          </w:p>
        </w:tc>
        <w:tc>
          <w:tcPr>
            <w:tcW w:w="1380" w:type="dxa"/>
          </w:tcPr>
          <w:p w:rsidR="000E5270" w:rsidRPr="00B70D8E" w:rsidRDefault="00902C6C" w:rsidP="000E527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2.78</w:t>
            </w:r>
          </w:p>
        </w:tc>
      </w:tr>
    </w:tbl>
    <w:p w:rsidR="0052399F" w:rsidRPr="00B70D8E" w:rsidRDefault="0052399F">
      <w:pPr>
        <w:rPr>
          <w:rFonts w:ascii="Arial" w:hAnsi="Arial" w:cs="Arial"/>
          <w:sz w:val="20"/>
          <w:szCs w:val="20"/>
        </w:rPr>
      </w:pPr>
    </w:p>
    <w:tbl>
      <w:tblPr>
        <w:tblStyle w:val="LightGrid-Accent3"/>
        <w:tblW w:w="11159" w:type="dxa"/>
        <w:tblInd w:w="-1077" w:type="dxa"/>
        <w:tblLook w:val="04A0" w:firstRow="1" w:lastRow="0" w:firstColumn="1" w:lastColumn="0" w:noHBand="0" w:noVBand="1"/>
      </w:tblPr>
      <w:tblGrid>
        <w:gridCol w:w="4553"/>
        <w:gridCol w:w="1289"/>
        <w:gridCol w:w="1289"/>
        <w:gridCol w:w="1268"/>
        <w:gridCol w:w="1380"/>
        <w:gridCol w:w="1380"/>
      </w:tblGrid>
      <w:tr w:rsidR="00DE77E9" w:rsidRPr="00B70D8E" w:rsidTr="00502505">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1159" w:type="dxa"/>
            <w:gridSpan w:val="6"/>
            <w:noWrap/>
            <w:hideMark/>
          </w:tcPr>
          <w:p w:rsidR="00DE77E9" w:rsidRPr="00B70D8E" w:rsidRDefault="00DE77E9" w:rsidP="006D312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Net profit margin of </w:t>
            </w:r>
            <w:r w:rsidR="001E7ABF" w:rsidRPr="00B70D8E">
              <w:rPr>
                <w:rFonts w:ascii="Arial" w:hAnsi="Arial" w:cs="Arial"/>
                <w:sz w:val="20"/>
                <w:szCs w:val="20"/>
              </w:rPr>
              <w:t>Hilton Food Products plc</w:t>
            </w:r>
            <w:r w:rsidR="001E7ABF" w:rsidRPr="00B70D8E">
              <w:rPr>
                <w:rFonts w:ascii="Arial" w:eastAsia="Times New Roman" w:hAnsi="Arial" w:cs="Arial"/>
                <w:color w:val="000000"/>
                <w:sz w:val="20"/>
                <w:szCs w:val="20"/>
              </w:rPr>
              <w:t xml:space="preserve"> </w:t>
            </w:r>
          </w:p>
        </w:tc>
      </w:tr>
      <w:tr w:rsidR="00DE77E9" w:rsidRPr="00B70D8E" w:rsidTr="00502505">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1159" w:type="dxa"/>
            <w:gridSpan w:val="6"/>
            <w:noWrap/>
            <w:hideMark/>
          </w:tcPr>
          <w:p w:rsidR="00DE77E9" w:rsidRPr="00B70D8E" w:rsidRDefault="00DE77E9" w:rsidP="006D312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Net profit margin (in %)= (Net Profit/ </w:t>
            </w:r>
            <w:proofErr w:type="gramStart"/>
            <w:r w:rsidRPr="00B70D8E">
              <w:rPr>
                <w:rFonts w:ascii="Arial" w:eastAsia="Times New Roman" w:hAnsi="Arial" w:cs="Arial"/>
                <w:color w:val="000000"/>
                <w:sz w:val="20"/>
                <w:szCs w:val="20"/>
              </w:rPr>
              <w:t>Revenue)*</w:t>
            </w:r>
            <w:proofErr w:type="gramEnd"/>
            <w:r w:rsidRPr="00B70D8E">
              <w:rPr>
                <w:rFonts w:ascii="Arial" w:eastAsia="Times New Roman" w:hAnsi="Arial" w:cs="Arial"/>
                <w:color w:val="000000"/>
                <w:sz w:val="20"/>
                <w:szCs w:val="20"/>
              </w:rPr>
              <w:t>100</w:t>
            </w:r>
          </w:p>
        </w:tc>
      </w:tr>
      <w:tr w:rsidR="00DE77E9" w:rsidRPr="00B70D8E" w:rsidTr="00DE77E9">
        <w:trPr>
          <w:cnfStyle w:val="000000010000" w:firstRow="0" w:lastRow="0" w:firstColumn="0" w:lastColumn="0" w:oddVBand="0" w:evenVBand="0" w:oddHBand="0" w:evenHBand="1"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553" w:type="dxa"/>
            <w:noWrap/>
            <w:hideMark/>
          </w:tcPr>
          <w:p w:rsidR="00DE77E9" w:rsidRPr="00B70D8E" w:rsidRDefault="00DE77E9" w:rsidP="006D312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289" w:type="dxa"/>
            <w:noWrap/>
            <w:hideMark/>
          </w:tcPr>
          <w:p w:rsidR="00DE77E9" w:rsidRPr="00B70D8E" w:rsidRDefault="00DE77E9" w:rsidP="006D312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289" w:type="dxa"/>
            <w:noWrap/>
            <w:hideMark/>
          </w:tcPr>
          <w:p w:rsidR="00DE77E9" w:rsidRPr="00B70D8E" w:rsidRDefault="00DE77E9" w:rsidP="006D312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268" w:type="dxa"/>
            <w:noWrap/>
            <w:hideMark/>
          </w:tcPr>
          <w:p w:rsidR="00DE77E9" w:rsidRPr="00B70D8E" w:rsidRDefault="00DE77E9" w:rsidP="006D312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380" w:type="dxa"/>
            <w:noWrap/>
            <w:hideMark/>
          </w:tcPr>
          <w:p w:rsidR="00DE77E9" w:rsidRPr="00B70D8E" w:rsidRDefault="00DE77E9" w:rsidP="006D312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380" w:type="dxa"/>
          </w:tcPr>
          <w:p w:rsidR="00DE77E9" w:rsidRPr="00B70D8E" w:rsidRDefault="00DE77E9" w:rsidP="006D312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0E5270" w:rsidRPr="00B70D8E" w:rsidTr="00DE77E9">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Revenue (in £ million)</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1031004</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1124780</w:t>
            </w:r>
          </w:p>
        </w:tc>
        <w:tc>
          <w:tcPr>
            <w:tcW w:w="1268"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1098990</w:t>
            </w:r>
          </w:p>
        </w:tc>
        <w:tc>
          <w:tcPr>
            <w:tcW w:w="1380"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1094822</w:t>
            </w:r>
          </w:p>
        </w:tc>
        <w:tc>
          <w:tcPr>
            <w:tcW w:w="1380" w:type="dxa"/>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1234495</w:t>
            </w:r>
          </w:p>
        </w:tc>
      </w:tr>
      <w:tr w:rsidR="000E5270" w:rsidRPr="00B70D8E" w:rsidTr="006D3120">
        <w:trPr>
          <w:cnfStyle w:val="000000010000" w:firstRow="0" w:lastRow="0" w:firstColumn="0" w:lastColumn="0" w:oddVBand="0" w:evenVBand="0" w:oddHBand="0" w:evenHBand="1"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Net </w:t>
            </w:r>
            <w:proofErr w:type="gramStart"/>
            <w:r w:rsidRPr="00B70D8E">
              <w:rPr>
                <w:rFonts w:ascii="Arial" w:eastAsia="Times New Roman" w:hAnsi="Arial" w:cs="Arial"/>
                <w:color w:val="000000"/>
                <w:sz w:val="20"/>
                <w:szCs w:val="20"/>
              </w:rPr>
              <w:t>profit  (</w:t>
            </w:r>
            <w:proofErr w:type="gramEnd"/>
            <w:r w:rsidRPr="00B70D8E">
              <w:rPr>
                <w:rFonts w:ascii="Arial" w:eastAsia="Times New Roman" w:hAnsi="Arial" w:cs="Arial"/>
                <w:color w:val="000000"/>
                <w:sz w:val="20"/>
                <w:szCs w:val="20"/>
              </w:rPr>
              <w:t>in £ million)</w:t>
            </w:r>
          </w:p>
        </w:tc>
        <w:tc>
          <w:tcPr>
            <w:tcW w:w="1289"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18905</w:t>
            </w:r>
          </w:p>
        </w:tc>
        <w:tc>
          <w:tcPr>
            <w:tcW w:w="1289"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19360</w:t>
            </w:r>
          </w:p>
        </w:tc>
        <w:tc>
          <w:tcPr>
            <w:tcW w:w="1268"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19950</w:t>
            </w:r>
          </w:p>
        </w:tc>
        <w:tc>
          <w:tcPr>
            <w:tcW w:w="1380" w:type="dxa"/>
            <w:noWrap/>
            <w:hideMark/>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21459</w:t>
            </w:r>
          </w:p>
        </w:tc>
        <w:tc>
          <w:tcPr>
            <w:tcW w:w="1380" w:type="dxa"/>
          </w:tcPr>
          <w:p w:rsidR="000E5270" w:rsidRPr="00B70D8E" w:rsidRDefault="000E5270" w:rsidP="000E5270">
            <w:pPr>
              <w:jc w:val="center"/>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26656</w:t>
            </w:r>
          </w:p>
        </w:tc>
      </w:tr>
      <w:tr w:rsidR="000E5270" w:rsidRPr="00B70D8E" w:rsidTr="006D3120">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553" w:type="dxa"/>
            <w:noWrap/>
            <w:hideMark/>
          </w:tcPr>
          <w:p w:rsidR="000E5270" w:rsidRPr="00B70D8E" w:rsidRDefault="000E5270" w:rsidP="000E5270">
            <w:pPr>
              <w:jc w:val="center"/>
              <w:rPr>
                <w:rFonts w:ascii="Arial" w:eastAsia="Times New Roman" w:hAnsi="Arial" w:cs="Arial"/>
                <w:color w:val="000000"/>
                <w:sz w:val="20"/>
                <w:szCs w:val="20"/>
              </w:rPr>
            </w:pPr>
            <w:r w:rsidRPr="00B70D8E">
              <w:rPr>
                <w:rFonts w:ascii="Arial" w:eastAsia="Times New Roman" w:hAnsi="Arial" w:cs="Arial"/>
                <w:color w:val="000000"/>
                <w:sz w:val="20"/>
                <w:szCs w:val="20"/>
              </w:rPr>
              <w:t>Net Profit Margin (in %)</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1.83</w:t>
            </w:r>
          </w:p>
        </w:tc>
        <w:tc>
          <w:tcPr>
            <w:tcW w:w="1289"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1.72</w:t>
            </w:r>
          </w:p>
        </w:tc>
        <w:tc>
          <w:tcPr>
            <w:tcW w:w="1268"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1.82</w:t>
            </w:r>
          </w:p>
        </w:tc>
        <w:tc>
          <w:tcPr>
            <w:tcW w:w="1380" w:type="dxa"/>
            <w:noWrap/>
            <w:hideMark/>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1.96</w:t>
            </w:r>
          </w:p>
        </w:tc>
        <w:tc>
          <w:tcPr>
            <w:tcW w:w="1380" w:type="dxa"/>
          </w:tcPr>
          <w:p w:rsidR="000E5270" w:rsidRPr="00B70D8E" w:rsidRDefault="000E5270" w:rsidP="000E527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0"/>
                <w:szCs w:val="20"/>
              </w:rPr>
            </w:pPr>
            <w:r w:rsidRPr="00B70D8E">
              <w:rPr>
                <w:rFonts w:ascii="Arial" w:eastAsia="Times New Roman" w:hAnsi="Arial" w:cs="Arial"/>
                <w:color w:val="000000"/>
                <w:sz w:val="20"/>
                <w:szCs w:val="20"/>
              </w:rPr>
              <w:t>2.16</w:t>
            </w:r>
          </w:p>
        </w:tc>
      </w:tr>
    </w:tbl>
    <w:p w:rsidR="001276B0" w:rsidRPr="00B70D8E" w:rsidRDefault="00C04342" w:rsidP="008B5587">
      <w:pPr>
        <w:jc w:val="both"/>
        <w:rPr>
          <w:rFonts w:ascii="Arial" w:hAnsi="Arial" w:cs="Arial"/>
          <w:b/>
          <w:sz w:val="20"/>
          <w:szCs w:val="20"/>
        </w:rPr>
      </w:pPr>
      <w:r w:rsidRPr="00B70D8E">
        <w:rPr>
          <w:rFonts w:ascii="Arial" w:hAnsi="Arial" w:cs="Arial"/>
          <w:b/>
          <w:sz w:val="20"/>
          <w:szCs w:val="20"/>
        </w:rPr>
        <w:t>Leverage</w:t>
      </w:r>
      <w:r w:rsidR="00974047" w:rsidRPr="00B70D8E">
        <w:rPr>
          <w:rFonts w:ascii="Arial" w:hAnsi="Arial" w:cs="Arial"/>
          <w:b/>
          <w:sz w:val="20"/>
          <w:szCs w:val="20"/>
        </w:rPr>
        <w:t xml:space="preserve"> Ratios</w:t>
      </w:r>
      <w:r w:rsidR="007273AA" w:rsidRPr="00B70D8E">
        <w:rPr>
          <w:rFonts w:ascii="Arial" w:hAnsi="Arial" w:cs="Arial"/>
          <w:b/>
          <w:sz w:val="20"/>
          <w:szCs w:val="20"/>
        </w:rPr>
        <w:t xml:space="preserve"> of Hilton group plc:</w:t>
      </w:r>
    </w:p>
    <w:p w:rsidR="007273AA" w:rsidRPr="00B70D8E" w:rsidRDefault="007273AA" w:rsidP="008B5587">
      <w:pPr>
        <w:jc w:val="both"/>
        <w:rPr>
          <w:rFonts w:ascii="Arial" w:hAnsi="Arial" w:cs="Arial"/>
          <w:sz w:val="20"/>
          <w:szCs w:val="20"/>
        </w:rPr>
      </w:pPr>
      <w:r w:rsidRPr="00B70D8E">
        <w:rPr>
          <w:rFonts w:ascii="Arial" w:hAnsi="Arial" w:cs="Arial"/>
          <w:sz w:val="20"/>
          <w:szCs w:val="20"/>
        </w:rPr>
        <w:t xml:space="preserve">Debt-equity </w:t>
      </w:r>
      <w:r w:rsidR="007E6CE0" w:rsidRPr="00B70D8E">
        <w:rPr>
          <w:rFonts w:ascii="Arial" w:hAnsi="Arial" w:cs="Arial"/>
          <w:sz w:val="20"/>
          <w:szCs w:val="20"/>
        </w:rPr>
        <w:t>R</w:t>
      </w:r>
      <w:r w:rsidRPr="00B70D8E">
        <w:rPr>
          <w:rFonts w:ascii="Arial" w:hAnsi="Arial" w:cs="Arial"/>
          <w:sz w:val="20"/>
          <w:szCs w:val="20"/>
        </w:rPr>
        <w:t>atio</w:t>
      </w:r>
      <w:r w:rsidR="007E6CE0" w:rsidRPr="00B70D8E">
        <w:rPr>
          <w:rFonts w:ascii="Arial" w:hAnsi="Arial" w:cs="Arial"/>
          <w:sz w:val="20"/>
          <w:szCs w:val="20"/>
        </w:rPr>
        <w:t xml:space="preserve"> of the Hilton group plc</w:t>
      </w:r>
    </w:p>
    <w:tbl>
      <w:tblPr>
        <w:tblpPr w:leftFromText="180" w:rightFromText="180" w:vertAnchor="text" w:horzAnchor="margin" w:tblpXSpec="center" w:tblpY="74"/>
        <w:tblW w:w="11078" w:type="dxa"/>
        <w:tblLook w:val="04A0" w:firstRow="1" w:lastRow="0" w:firstColumn="1" w:lastColumn="0" w:noHBand="0" w:noVBand="1"/>
      </w:tblPr>
      <w:tblGrid>
        <w:gridCol w:w="4283"/>
        <w:gridCol w:w="1281"/>
        <w:gridCol w:w="1281"/>
        <w:gridCol w:w="1281"/>
        <w:gridCol w:w="1476"/>
        <w:gridCol w:w="1476"/>
      </w:tblGrid>
      <w:tr w:rsidR="002C0CF1" w:rsidRPr="00B70D8E" w:rsidTr="008B5587">
        <w:trPr>
          <w:trHeight w:val="310"/>
        </w:trPr>
        <w:tc>
          <w:tcPr>
            <w:tcW w:w="11078" w:type="dxa"/>
            <w:gridSpan w:val="6"/>
            <w:tcBorders>
              <w:top w:val="single" w:sz="4" w:space="0" w:color="auto"/>
              <w:left w:val="single" w:sz="4" w:space="0" w:color="auto"/>
              <w:bottom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Debt</w:t>
            </w:r>
            <w:r w:rsidR="00CD2496" w:rsidRPr="00B70D8E">
              <w:rPr>
                <w:rFonts w:ascii="Arial" w:eastAsia="Times New Roman" w:hAnsi="Arial" w:cs="Arial"/>
                <w:color w:val="000000"/>
                <w:sz w:val="20"/>
                <w:szCs w:val="20"/>
              </w:rPr>
              <w:t xml:space="preserve"> to</w:t>
            </w:r>
            <w:r w:rsidRPr="00B70D8E">
              <w:rPr>
                <w:rFonts w:ascii="Arial" w:eastAsia="Times New Roman" w:hAnsi="Arial" w:cs="Arial"/>
                <w:color w:val="000000"/>
                <w:sz w:val="20"/>
                <w:szCs w:val="20"/>
              </w:rPr>
              <w:t xml:space="preserve"> </w:t>
            </w:r>
            <w:r w:rsidR="00FD23D7" w:rsidRPr="00B70D8E">
              <w:rPr>
                <w:rFonts w:ascii="Arial" w:eastAsia="Times New Roman" w:hAnsi="Arial" w:cs="Arial"/>
                <w:color w:val="000000"/>
                <w:sz w:val="20"/>
                <w:szCs w:val="20"/>
              </w:rPr>
              <w:t>E</w:t>
            </w:r>
            <w:r w:rsidRPr="00B70D8E">
              <w:rPr>
                <w:rFonts w:ascii="Arial" w:eastAsia="Times New Roman" w:hAnsi="Arial" w:cs="Arial"/>
                <w:color w:val="000000"/>
                <w:sz w:val="20"/>
                <w:szCs w:val="20"/>
              </w:rPr>
              <w:t>quity Ratio</w:t>
            </w:r>
            <w:r w:rsidR="00BC0DFD" w:rsidRPr="00B70D8E">
              <w:rPr>
                <w:rFonts w:ascii="Arial" w:eastAsia="Times New Roman" w:hAnsi="Arial" w:cs="Arial"/>
                <w:color w:val="000000"/>
                <w:sz w:val="20"/>
                <w:szCs w:val="20"/>
              </w:rPr>
              <w:t xml:space="preserve"> </w:t>
            </w:r>
            <w:r w:rsidR="00FD23D7" w:rsidRPr="00B70D8E">
              <w:rPr>
                <w:rFonts w:ascii="Arial" w:eastAsia="Times New Roman" w:hAnsi="Arial" w:cs="Arial"/>
                <w:color w:val="000000"/>
                <w:sz w:val="20"/>
                <w:szCs w:val="20"/>
              </w:rPr>
              <w:t xml:space="preserve">for </w:t>
            </w:r>
            <w:r w:rsidR="00BC0DFD" w:rsidRPr="00B70D8E">
              <w:rPr>
                <w:rFonts w:ascii="Arial" w:eastAsia="Times New Roman" w:hAnsi="Arial" w:cs="Arial"/>
                <w:color w:val="000000"/>
                <w:sz w:val="20"/>
                <w:szCs w:val="20"/>
              </w:rPr>
              <w:t xml:space="preserve"> </w:t>
            </w:r>
            <w:r w:rsidR="00720F32" w:rsidRPr="00B70D8E">
              <w:rPr>
                <w:rFonts w:ascii="Arial" w:hAnsi="Arial" w:cs="Arial"/>
                <w:sz w:val="20"/>
                <w:szCs w:val="20"/>
              </w:rPr>
              <w:t xml:space="preserve"> Hilton Food Products plc</w:t>
            </w:r>
            <w:r w:rsidR="00720F32" w:rsidRPr="00B70D8E">
              <w:rPr>
                <w:rFonts w:ascii="Arial" w:eastAsia="Times New Roman" w:hAnsi="Arial" w:cs="Arial"/>
                <w:color w:val="000000"/>
                <w:sz w:val="20"/>
                <w:szCs w:val="20"/>
              </w:rPr>
              <w:t xml:space="preserve"> </w:t>
            </w:r>
          </w:p>
        </w:tc>
      </w:tr>
      <w:tr w:rsidR="002C0CF1" w:rsidRPr="00B70D8E" w:rsidTr="008B5587">
        <w:trPr>
          <w:trHeight w:val="310"/>
        </w:trPr>
        <w:tc>
          <w:tcPr>
            <w:tcW w:w="11078" w:type="dxa"/>
            <w:gridSpan w:val="6"/>
            <w:tcBorders>
              <w:top w:val="single" w:sz="4" w:space="0" w:color="auto"/>
              <w:left w:val="single" w:sz="4" w:space="0" w:color="auto"/>
              <w:bottom w:val="single" w:sz="4" w:space="0" w:color="auto"/>
              <w:right w:val="single" w:sz="4" w:space="0" w:color="auto"/>
            </w:tcBorders>
            <w:shd w:val="clear" w:color="auto" w:fill="FFFFFF" w:themeFill="background1"/>
            <w:noWrap/>
            <w:vAlign w:val="bottom"/>
          </w:tcPr>
          <w:p w:rsidR="002C0CF1" w:rsidRPr="00B70D8E" w:rsidRDefault="00974047" w:rsidP="00051A1E">
            <w:pPr>
              <w:spacing w:after="0" w:line="240" w:lineRule="auto"/>
              <w:jc w:val="center"/>
              <w:rPr>
                <w:rFonts w:ascii="Arial" w:eastAsia="Times New Roman" w:hAnsi="Arial" w:cs="Arial"/>
                <w:sz w:val="20"/>
                <w:szCs w:val="20"/>
              </w:rPr>
            </w:pPr>
            <w:r w:rsidRPr="00B70D8E">
              <w:rPr>
                <w:rFonts w:ascii="Arial" w:eastAsia="Times New Roman" w:hAnsi="Arial" w:cs="Arial"/>
                <w:sz w:val="20"/>
                <w:szCs w:val="20"/>
              </w:rPr>
              <w:t xml:space="preserve">Debt </w:t>
            </w:r>
            <w:r w:rsidR="00CD2496" w:rsidRPr="00B70D8E">
              <w:rPr>
                <w:rFonts w:ascii="Arial" w:eastAsia="Times New Roman" w:hAnsi="Arial" w:cs="Arial"/>
                <w:sz w:val="20"/>
                <w:szCs w:val="20"/>
              </w:rPr>
              <w:t xml:space="preserve">to </w:t>
            </w:r>
            <w:r w:rsidRPr="00B70D8E">
              <w:rPr>
                <w:rFonts w:ascii="Arial" w:eastAsia="Times New Roman" w:hAnsi="Arial" w:cs="Arial"/>
                <w:sz w:val="20"/>
                <w:szCs w:val="20"/>
              </w:rPr>
              <w:t xml:space="preserve">equity </w:t>
            </w:r>
            <w:proofErr w:type="gramStart"/>
            <w:r w:rsidRPr="00B70D8E">
              <w:rPr>
                <w:rFonts w:ascii="Arial" w:eastAsia="Times New Roman" w:hAnsi="Arial" w:cs="Arial"/>
                <w:sz w:val="20"/>
                <w:szCs w:val="20"/>
              </w:rPr>
              <w:t>Ratio</w:t>
            </w:r>
            <w:r w:rsidR="00051A1E" w:rsidRPr="00B70D8E">
              <w:rPr>
                <w:rFonts w:ascii="Arial" w:eastAsia="Times New Roman" w:hAnsi="Arial" w:cs="Arial"/>
                <w:sz w:val="20"/>
                <w:szCs w:val="20"/>
              </w:rPr>
              <w:t>(</w:t>
            </w:r>
            <w:proofErr w:type="gramEnd"/>
            <w:r w:rsidR="00051A1E" w:rsidRPr="00B70D8E">
              <w:rPr>
                <w:rFonts w:ascii="Arial" w:eastAsia="Times New Roman" w:hAnsi="Arial" w:cs="Arial"/>
                <w:sz w:val="20"/>
                <w:szCs w:val="20"/>
              </w:rPr>
              <w:t>in times)</w:t>
            </w:r>
            <w:r w:rsidRPr="00B70D8E">
              <w:rPr>
                <w:rFonts w:ascii="Arial" w:eastAsia="Times New Roman" w:hAnsi="Arial" w:cs="Arial"/>
                <w:sz w:val="20"/>
                <w:szCs w:val="20"/>
              </w:rPr>
              <w:t xml:space="preserve">=Total </w:t>
            </w:r>
            <w:r w:rsidR="00396E09" w:rsidRPr="00B70D8E">
              <w:rPr>
                <w:rFonts w:ascii="Arial" w:eastAsia="Times New Roman" w:hAnsi="Arial" w:cs="Arial"/>
                <w:sz w:val="20"/>
                <w:szCs w:val="20"/>
              </w:rPr>
              <w:t>Li</w:t>
            </w:r>
            <w:r w:rsidR="00E0701E" w:rsidRPr="00B70D8E">
              <w:rPr>
                <w:rFonts w:ascii="Arial" w:eastAsia="Times New Roman" w:hAnsi="Arial" w:cs="Arial"/>
                <w:sz w:val="20"/>
                <w:szCs w:val="20"/>
              </w:rPr>
              <w:t>a</w:t>
            </w:r>
            <w:r w:rsidR="00396E09" w:rsidRPr="00B70D8E">
              <w:rPr>
                <w:rFonts w:ascii="Arial" w:eastAsia="Times New Roman" w:hAnsi="Arial" w:cs="Arial"/>
                <w:sz w:val="20"/>
                <w:szCs w:val="20"/>
              </w:rPr>
              <w:t>bilities</w:t>
            </w:r>
            <w:r w:rsidRPr="00B70D8E">
              <w:rPr>
                <w:rFonts w:ascii="Arial" w:eastAsia="Times New Roman" w:hAnsi="Arial" w:cs="Arial"/>
                <w:sz w:val="20"/>
                <w:szCs w:val="20"/>
              </w:rPr>
              <w:t xml:space="preserve">/ shareholder’s </w:t>
            </w:r>
            <w:r w:rsidR="00396E09" w:rsidRPr="00B70D8E">
              <w:rPr>
                <w:rFonts w:ascii="Arial" w:eastAsia="Times New Roman" w:hAnsi="Arial" w:cs="Arial"/>
                <w:sz w:val="20"/>
                <w:szCs w:val="20"/>
              </w:rPr>
              <w:t>Equity</w:t>
            </w:r>
          </w:p>
        </w:tc>
      </w:tr>
      <w:tr w:rsidR="002C0CF1" w:rsidRPr="00B70D8E" w:rsidTr="005A2508">
        <w:trPr>
          <w:trHeight w:val="310"/>
        </w:trPr>
        <w:tc>
          <w:tcPr>
            <w:tcW w:w="4283" w:type="dxa"/>
            <w:tcBorders>
              <w:top w:val="nil"/>
              <w:left w:val="single" w:sz="4" w:space="0" w:color="auto"/>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476"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476" w:type="dxa"/>
            <w:tcBorders>
              <w:top w:val="nil"/>
              <w:left w:val="nil"/>
              <w:bottom w:val="single" w:sz="4" w:space="0" w:color="auto"/>
              <w:right w:val="single" w:sz="4" w:space="0" w:color="auto"/>
            </w:tcBorders>
            <w:shd w:val="clear" w:color="auto" w:fill="D9D9D9" w:themeFill="background1" w:themeFillShade="D9"/>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2C0CF1" w:rsidRPr="00B70D8E" w:rsidTr="00974047">
        <w:trPr>
          <w:trHeight w:val="310"/>
        </w:trPr>
        <w:tc>
          <w:tcPr>
            <w:tcW w:w="4283" w:type="dxa"/>
            <w:tcBorders>
              <w:top w:val="nil"/>
              <w:left w:val="single" w:sz="4" w:space="0" w:color="auto"/>
              <w:bottom w:val="single" w:sz="4" w:space="0" w:color="auto"/>
              <w:right w:val="single" w:sz="4" w:space="0" w:color="auto"/>
            </w:tcBorders>
            <w:shd w:val="clear" w:color="auto" w:fill="auto"/>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Total </w:t>
            </w:r>
            <w:r w:rsidR="005505B7" w:rsidRPr="00B70D8E">
              <w:rPr>
                <w:rFonts w:ascii="Arial" w:eastAsia="Times New Roman" w:hAnsi="Arial" w:cs="Arial"/>
                <w:color w:val="000000"/>
                <w:sz w:val="20"/>
                <w:szCs w:val="20"/>
              </w:rPr>
              <w:t>Liabilities</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875AD4"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179981</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192576</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202317</w:t>
            </w:r>
          </w:p>
        </w:tc>
        <w:tc>
          <w:tcPr>
            <w:tcW w:w="1476" w:type="dxa"/>
            <w:tcBorders>
              <w:top w:val="nil"/>
              <w:left w:val="nil"/>
              <w:bottom w:val="single" w:sz="4" w:space="0" w:color="auto"/>
              <w:right w:val="single" w:sz="4" w:space="0" w:color="auto"/>
            </w:tcBorders>
            <w:shd w:val="clear" w:color="auto" w:fill="auto"/>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178997</w:t>
            </w:r>
          </w:p>
        </w:tc>
        <w:tc>
          <w:tcPr>
            <w:tcW w:w="1476" w:type="dxa"/>
            <w:tcBorders>
              <w:top w:val="nil"/>
              <w:left w:val="nil"/>
              <w:bottom w:val="single" w:sz="4" w:space="0" w:color="auto"/>
              <w:right w:val="single" w:sz="4" w:space="0" w:color="auto"/>
            </w:tcBorders>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192117</w:t>
            </w:r>
          </w:p>
        </w:tc>
      </w:tr>
      <w:tr w:rsidR="002C0CF1" w:rsidRPr="00B70D8E" w:rsidTr="005A2508">
        <w:trPr>
          <w:trHeight w:val="310"/>
        </w:trPr>
        <w:tc>
          <w:tcPr>
            <w:tcW w:w="4283" w:type="dxa"/>
            <w:tcBorders>
              <w:top w:val="nil"/>
              <w:left w:val="single" w:sz="4" w:space="0" w:color="auto"/>
              <w:bottom w:val="single" w:sz="4" w:space="0" w:color="auto"/>
              <w:right w:val="single" w:sz="4" w:space="0" w:color="auto"/>
            </w:tcBorders>
            <w:shd w:val="clear" w:color="auto" w:fill="D9D9D9" w:themeFill="background1" w:themeFillShade="D9"/>
            <w:noWrap/>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Shareholder’s </w:t>
            </w:r>
            <w:r w:rsidR="00396E09" w:rsidRPr="00B70D8E">
              <w:rPr>
                <w:rFonts w:ascii="Arial" w:eastAsia="Times New Roman" w:hAnsi="Arial" w:cs="Arial"/>
                <w:color w:val="000000"/>
                <w:sz w:val="20"/>
                <w:szCs w:val="20"/>
              </w:rPr>
              <w:t>Equity</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875AD4"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40972</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54258</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59633</w:t>
            </w:r>
          </w:p>
        </w:tc>
        <w:tc>
          <w:tcPr>
            <w:tcW w:w="1476" w:type="dxa"/>
            <w:tcBorders>
              <w:top w:val="nil"/>
              <w:left w:val="nil"/>
              <w:bottom w:val="single" w:sz="4" w:space="0" w:color="auto"/>
              <w:right w:val="single" w:sz="4" w:space="0" w:color="auto"/>
            </w:tcBorders>
            <w:shd w:val="clear" w:color="auto" w:fill="D9D9D9" w:themeFill="background1" w:themeFillShade="D9"/>
            <w:noWrap/>
            <w:vAlign w:val="bottom"/>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68875</w:t>
            </w:r>
          </w:p>
        </w:tc>
        <w:tc>
          <w:tcPr>
            <w:tcW w:w="1476" w:type="dxa"/>
            <w:tcBorders>
              <w:top w:val="nil"/>
              <w:left w:val="nil"/>
              <w:bottom w:val="single" w:sz="4" w:space="0" w:color="auto"/>
              <w:right w:val="single" w:sz="4" w:space="0" w:color="auto"/>
            </w:tcBorders>
            <w:shd w:val="clear" w:color="auto" w:fill="D9D9D9" w:themeFill="background1" w:themeFillShade="D9"/>
          </w:tcPr>
          <w:p w:rsidR="002C0CF1" w:rsidRPr="00B70D8E" w:rsidRDefault="00932160"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95095</w:t>
            </w:r>
          </w:p>
        </w:tc>
      </w:tr>
      <w:tr w:rsidR="002C0CF1" w:rsidRPr="00B70D8E" w:rsidTr="00051A1E">
        <w:trPr>
          <w:trHeight w:val="222"/>
        </w:trPr>
        <w:tc>
          <w:tcPr>
            <w:tcW w:w="4283" w:type="dxa"/>
            <w:tcBorders>
              <w:top w:val="nil"/>
              <w:left w:val="single" w:sz="4" w:space="0" w:color="auto"/>
              <w:bottom w:val="single" w:sz="4" w:space="0" w:color="auto"/>
              <w:right w:val="single" w:sz="4" w:space="0" w:color="auto"/>
            </w:tcBorders>
            <w:shd w:val="clear" w:color="auto" w:fill="auto"/>
            <w:vAlign w:val="bottom"/>
          </w:tcPr>
          <w:p w:rsidR="002C0CF1" w:rsidRPr="00B70D8E" w:rsidRDefault="00974047"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Debt</w:t>
            </w:r>
            <w:r w:rsidR="00CD2496" w:rsidRPr="00B70D8E">
              <w:rPr>
                <w:rFonts w:ascii="Arial" w:eastAsia="Times New Roman" w:hAnsi="Arial" w:cs="Arial"/>
                <w:color w:val="000000"/>
                <w:sz w:val="20"/>
                <w:szCs w:val="20"/>
              </w:rPr>
              <w:t xml:space="preserve"> to</w:t>
            </w:r>
            <w:r w:rsidRPr="00B70D8E">
              <w:rPr>
                <w:rFonts w:ascii="Arial" w:eastAsia="Times New Roman" w:hAnsi="Arial" w:cs="Arial"/>
                <w:color w:val="000000"/>
                <w:sz w:val="20"/>
                <w:szCs w:val="20"/>
              </w:rPr>
              <w:t xml:space="preserve"> equity Ratio</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875AD4"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4.39</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5C5E4B"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3.55</w:t>
            </w:r>
          </w:p>
        </w:tc>
        <w:tc>
          <w:tcPr>
            <w:tcW w:w="1281" w:type="dxa"/>
            <w:tcBorders>
              <w:top w:val="nil"/>
              <w:left w:val="nil"/>
              <w:bottom w:val="single" w:sz="4" w:space="0" w:color="auto"/>
              <w:right w:val="single" w:sz="4" w:space="0" w:color="auto"/>
            </w:tcBorders>
            <w:shd w:val="clear" w:color="auto" w:fill="auto"/>
            <w:noWrap/>
            <w:vAlign w:val="bottom"/>
          </w:tcPr>
          <w:p w:rsidR="002C0CF1" w:rsidRPr="00B70D8E" w:rsidRDefault="005C5E4B"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3.39</w:t>
            </w:r>
          </w:p>
        </w:tc>
        <w:tc>
          <w:tcPr>
            <w:tcW w:w="1476" w:type="dxa"/>
            <w:tcBorders>
              <w:top w:val="nil"/>
              <w:left w:val="nil"/>
              <w:bottom w:val="single" w:sz="4" w:space="0" w:color="auto"/>
              <w:right w:val="single" w:sz="4" w:space="0" w:color="auto"/>
            </w:tcBorders>
            <w:shd w:val="clear" w:color="auto" w:fill="auto"/>
            <w:noWrap/>
            <w:vAlign w:val="bottom"/>
          </w:tcPr>
          <w:p w:rsidR="002C0CF1" w:rsidRPr="00B70D8E" w:rsidRDefault="005C5E4B"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2.60</w:t>
            </w:r>
          </w:p>
        </w:tc>
        <w:tc>
          <w:tcPr>
            <w:tcW w:w="1476" w:type="dxa"/>
            <w:tcBorders>
              <w:top w:val="nil"/>
              <w:left w:val="nil"/>
              <w:bottom w:val="single" w:sz="4" w:space="0" w:color="auto"/>
              <w:right w:val="single" w:sz="4" w:space="0" w:color="auto"/>
            </w:tcBorders>
          </w:tcPr>
          <w:p w:rsidR="00051A1E" w:rsidRPr="00B70D8E" w:rsidRDefault="00051A1E" w:rsidP="00051A1E">
            <w:pPr>
              <w:spacing w:after="0" w:line="240" w:lineRule="auto"/>
              <w:jc w:val="center"/>
              <w:rPr>
                <w:rFonts w:ascii="Arial" w:eastAsia="Times New Roman" w:hAnsi="Arial" w:cs="Arial"/>
                <w:color w:val="000000"/>
                <w:sz w:val="20"/>
                <w:szCs w:val="20"/>
              </w:rPr>
            </w:pPr>
          </w:p>
          <w:p w:rsidR="002C0CF1" w:rsidRPr="00B70D8E" w:rsidRDefault="005C5E4B" w:rsidP="00051A1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2.02</w:t>
            </w:r>
          </w:p>
        </w:tc>
      </w:tr>
    </w:tbl>
    <w:p w:rsidR="0019263D" w:rsidRPr="00B70D8E" w:rsidRDefault="0019263D" w:rsidP="001276B0">
      <w:pPr>
        <w:rPr>
          <w:rFonts w:ascii="Arial" w:hAnsi="Arial" w:cs="Arial"/>
          <w:b/>
          <w:sz w:val="20"/>
          <w:szCs w:val="20"/>
        </w:rPr>
      </w:pPr>
    </w:p>
    <w:p w:rsidR="007E6CE0" w:rsidRPr="00B70D8E" w:rsidRDefault="007E6CE0" w:rsidP="001276B0">
      <w:pPr>
        <w:rPr>
          <w:rFonts w:ascii="Arial" w:hAnsi="Arial" w:cs="Arial"/>
          <w:b/>
          <w:sz w:val="20"/>
          <w:szCs w:val="20"/>
        </w:rPr>
      </w:pPr>
      <w:r w:rsidRPr="00B70D8E">
        <w:rPr>
          <w:rFonts w:ascii="Arial" w:hAnsi="Arial" w:cs="Arial"/>
          <w:b/>
          <w:sz w:val="20"/>
          <w:szCs w:val="20"/>
        </w:rPr>
        <w:lastRenderedPageBreak/>
        <w:t>Debt Ratio of Hilton group plc:</w:t>
      </w:r>
    </w:p>
    <w:tbl>
      <w:tblPr>
        <w:tblpPr w:leftFromText="180" w:rightFromText="180" w:vertAnchor="text" w:horzAnchor="margin" w:tblpXSpec="center" w:tblpY="74"/>
        <w:tblW w:w="11078" w:type="dxa"/>
        <w:tblLook w:val="04A0" w:firstRow="1" w:lastRow="0" w:firstColumn="1" w:lastColumn="0" w:noHBand="0" w:noVBand="1"/>
      </w:tblPr>
      <w:tblGrid>
        <w:gridCol w:w="4283"/>
        <w:gridCol w:w="1281"/>
        <w:gridCol w:w="1281"/>
        <w:gridCol w:w="1281"/>
        <w:gridCol w:w="1476"/>
        <w:gridCol w:w="1476"/>
      </w:tblGrid>
      <w:tr w:rsidR="0019263D" w:rsidRPr="00B70D8E" w:rsidTr="007B29AC">
        <w:trPr>
          <w:trHeight w:val="310"/>
        </w:trPr>
        <w:tc>
          <w:tcPr>
            <w:tcW w:w="11078" w:type="dxa"/>
            <w:gridSpan w:val="6"/>
            <w:tcBorders>
              <w:top w:val="single" w:sz="4" w:space="0" w:color="auto"/>
              <w:left w:val="single" w:sz="4" w:space="0" w:color="auto"/>
              <w:bottom w:val="single" w:sz="4" w:space="0" w:color="auto"/>
            </w:tcBorders>
            <w:shd w:val="clear" w:color="auto" w:fill="D9D9D9" w:themeFill="background1" w:themeFillShade="D9"/>
            <w:noWrap/>
            <w:vAlign w:val="bottom"/>
          </w:tcPr>
          <w:p w:rsidR="0019263D" w:rsidRPr="00B70D8E" w:rsidRDefault="00875AD4" w:rsidP="00875AD4">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19263D" w:rsidRPr="00B70D8E">
              <w:rPr>
                <w:rFonts w:ascii="Arial" w:eastAsia="Times New Roman" w:hAnsi="Arial" w:cs="Arial"/>
                <w:color w:val="000000"/>
                <w:sz w:val="20"/>
                <w:szCs w:val="20"/>
              </w:rPr>
              <w:t xml:space="preserve">Debt </w:t>
            </w:r>
            <w:r w:rsidR="0031163E" w:rsidRPr="00B70D8E">
              <w:rPr>
                <w:rFonts w:ascii="Arial" w:eastAsia="Times New Roman" w:hAnsi="Arial" w:cs="Arial"/>
                <w:color w:val="000000"/>
                <w:sz w:val="20"/>
                <w:szCs w:val="20"/>
              </w:rPr>
              <w:t>to Asset</w:t>
            </w:r>
            <w:r w:rsidR="0019263D" w:rsidRPr="00B70D8E">
              <w:rPr>
                <w:rFonts w:ascii="Arial" w:eastAsia="Times New Roman" w:hAnsi="Arial" w:cs="Arial"/>
                <w:color w:val="000000"/>
                <w:sz w:val="20"/>
                <w:szCs w:val="20"/>
              </w:rPr>
              <w:t xml:space="preserve"> Ratio </w:t>
            </w:r>
            <w:r w:rsidR="007E6CE0" w:rsidRPr="00B70D8E">
              <w:rPr>
                <w:rFonts w:ascii="Arial" w:eastAsia="Times New Roman" w:hAnsi="Arial" w:cs="Arial"/>
                <w:color w:val="000000"/>
                <w:sz w:val="20"/>
                <w:szCs w:val="20"/>
              </w:rPr>
              <w:t xml:space="preserve">for </w:t>
            </w:r>
            <w:r w:rsidR="007E6CE0" w:rsidRPr="00B70D8E">
              <w:rPr>
                <w:rFonts w:ascii="Arial" w:hAnsi="Arial" w:cs="Arial"/>
                <w:sz w:val="20"/>
                <w:szCs w:val="20"/>
              </w:rPr>
              <w:t>Hilton</w:t>
            </w:r>
            <w:r w:rsidRPr="00B70D8E">
              <w:rPr>
                <w:rFonts w:ascii="Arial" w:hAnsi="Arial" w:cs="Arial"/>
                <w:sz w:val="20"/>
                <w:szCs w:val="20"/>
              </w:rPr>
              <w:t xml:space="preserve"> Food Products plc</w:t>
            </w:r>
            <w:r w:rsidRPr="00B70D8E">
              <w:rPr>
                <w:rFonts w:ascii="Arial" w:eastAsia="Times New Roman" w:hAnsi="Arial" w:cs="Arial"/>
                <w:color w:val="000000"/>
                <w:sz w:val="20"/>
                <w:szCs w:val="20"/>
              </w:rPr>
              <w:t xml:space="preserve"> </w:t>
            </w:r>
          </w:p>
        </w:tc>
      </w:tr>
      <w:tr w:rsidR="0019263D" w:rsidRPr="00B70D8E" w:rsidTr="007B29AC">
        <w:trPr>
          <w:trHeight w:val="310"/>
        </w:trPr>
        <w:tc>
          <w:tcPr>
            <w:tcW w:w="11078" w:type="dxa"/>
            <w:gridSpan w:val="6"/>
            <w:tcBorders>
              <w:top w:val="single" w:sz="4" w:space="0" w:color="auto"/>
              <w:left w:val="single" w:sz="4" w:space="0" w:color="auto"/>
              <w:bottom w:val="single" w:sz="4" w:space="0" w:color="auto"/>
              <w:right w:val="single" w:sz="4" w:space="0" w:color="auto"/>
            </w:tcBorders>
            <w:shd w:val="clear" w:color="auto" w:fill="FFFFFF" w:themeFill="background1"/>
            <w:noWrap/>
            <w:vAlign w:val="bottom"/>
          </w:tcPr>
          <w:p w:rsidR="0019263D" w:rsidRPr="00B70D8E" w:rsidRDefault="0019263D" w:rsidP="007B29AC">
            <w:pPr>
              <w:spacing w:after="0" w:line="240" w:lineRule="auto"/>
              <w:jc w:val="center"/>
              <w:rPr>
                <w:rFonts w:ascii="Arial" w:eastAsia="Times New Roman" w:hAnsi="Arial" w:cs="Arial"/>
                <w:sz w:val="20"/>
                <w:szCs w:val="20"/>
              </w:rPr>
            </w:pPr>
            <w:r w:rsidRPr="00B70D8E">
              <w:rPr>
                <w:rFonts w:ascii="Arial" w:eastAsia="Times New Roman" w:hAnsi="Arial" w:cs="Arial"/>
                <w:sz w:val="20"/>
                <w:szCs w:val="20"/>
              </w:rPr>
              <w:t xml:space="preserve">Debt to Assets </w:t>
            </w:r>
            <w:proofErr w:type="gramStart"/>
            <w:r w:rsidRPr="00B70D8E">
              <w:rPr>
                <w:rFonts w:ascii="Arial" w:eastAsia="Times New Roman" w:hAnsi="Arial" w:cs="Arial"/>
                <w:sz w:val="20"/>
                <w:szCs w:val="20"/>
              </w:rPr>
              <w:t>Ratio(</w:t>
            </w:r>
            <w:proofErr w:type="gramEnd"/>
            <w:r w:rsidRPr="00B70D8E">
              <w:rPr>
                <w:rFonts w:ascii="Arial" w:eastAsia="Times New Roman" w:hAnsi="Arial" w:cs="Arial"/>
                <w:sz w:val="20"/>
                <w:szCs w:val="20"/>
              </w:rPr>
              <w:t>in times)=Total Li</w:t>
            </w:r>
            <w:r w:rsidR="00E0701E" w:rsidRPr="00B70D8E">
              <w:rPr>
                <w:rFonts w:ascii="Arial" w:eastAsia="Times New Roman" w:hAnsi="Arial" w:cs="Arial"/>
                <w:sz w:val="20"/>
                <w:szCs w:val="20"/>
              </w:rPr>
              <w:t>a</w:t>
            </w:r>
            <w:r w:rsidRPr="00B70D8E">
              <w:rPr>
                <w:rFonts w:ascii="Arial" w:eastAsia="Times New Roman" w:hAnsi="Arial" w:cs="Arial"/>
                <w:sz w:val="20"/>
                <w:szCs w:val="20"/>
              </w:rPr>
              <w:t>bilities/ Total Assets</w:t>
            </w:r>
          </w:p>
        </w:tc>
      </w:tr>
      <w:tr w:rsidR="0019263D" w:rsidRPr="00B70D8E" w:rsidTr="007B29AC">
        <w:trPr>
          <w:trHeight w:val="310"/>
        </w:trPr>
        <w:tc>
          <w:tcPr>
            <w:tcW w:w="4283" w:type="dxa"/>
            <w:tcBorders>
              <w:top w:val="nil"/>
              <w:left w:val="single" w:sz="4" w:space="0" w:color="auto"/>
              <w:bottom w:val="single" w:sz="4" w:space="0" w:color="auto"/>
              <w:right w:val="single" w:sz="4" w:space="0" w:color="auto"/>
            </w:tcBorders>
            <w:shd w:val="clear" w:color="auto" w:fill="D9D9D9" w:themeFill="background1" w:themeFillShade="D9"/>
            <w:noWrap/>
            <w:vAlign w:val="bottom"/>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476" w:type="dxa"/>
            <w:tcBorders>
              <w:top w:val="nil"/>
              <w:left w:val="nil"/>
              <w:bottom w:val="single" w:sz="4" w:space="0" w:color="auto"/>
              <w:right w:val="single" w:sz="4" w:space="0" w:color="auto"/>
            </w:tcBorders>
            <w:shd w:val="clear" w:color="auto" w:fill="D9D9D9" w:themeFill="background1" w:themeFillShade="D9"/>
            <w:noWrap/>
            <w:vAlign w:val="bottom"/>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476" w:type="dxa"/>
            <w:tcBorders>
              <w:top w:val="nil"/>
              <w:left w:val="nil"/>
              <w:bottom w:val="single" w:sz="4" w:space="0" w:color="auto"/>
              <w:right w:val="single" w:sz="4" w:space="0" w:color="auto"/>
            </w:tcBorders>
            <w:shd w:val="clear" w:color="auto" w:fill="D9D9D9" w:themeFill="background1" w:themeFillShade="D9"/>
          </w:tcPr>
          <w:p w:rsidR="0019263D" w:rsidRPr="00B70D8E" w:rsidRDefault="0019263D" w:rsidP="007B29AC">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932160" w:rsidRPr="00B70D8E" w:rsidTr="007B29AC">
        <w:trPr>
          <w:trHeight w:val="310"/>
        </w:trPr>
        <w:tc>
          <w:tcPr>
            <w:tcW w:w="4283" w:type="dxa"/>
            <w:tcBorders>
              <w:top w:val="nil"/>
              <w:left w:val="single" w:sz="4" w:space="0" w:color="auto"/>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Total Liabilities</w:t>
            </w:r>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179981</w:t>
            </w:r>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192576</w:t>
            </w:r>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202317</w:t>
            </w:r>
          </w:p>
        </w:tc>
        <w:tc>
          <w:tcPr>
            <w:tcW w:w="1476" w:type="dxa"/>
            <w:tcBorders>
              <w:top w:val="nil"/>
              <w:left w:val="nil"/>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178997</w:t>
            </w:r>
          </w:p>
        </w:tc>
        <w:tc>
          <w:tcPr>
            <w:tcW w:w="1476" w:type="dxa"/>
            <w:tcBorders>
              <w:top w:val="nil"/>
              <w:left w:val="nil"/>
              <w:bottom w:val="single" w:sz="4" w:space="0" w:color="auto"/>
              <w:right w:val="single" w:sz="4" w:space="0" w:color="auto"/>
            </w:tcBorders>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192117</w:t>
            </w:r>
          </w:p>
        </w:tc>
      </w:tr>
      <w:tr w:rsidR="00932160" w:rsidRPr="00B70D8E" w:rsidTr="007B29AC">
        <w:trPr>
          <w:trHeight w:val="310"/>
        </w:trPr>
        <w:tc>
          <w:tcPr>
            <w:tcW w:w="4283" w:type="dxa"/>
            <w:tcBorders>
              <w:top w:val="nil"/>
              <w:left w:val="single" w:sz="4" w:space="0" w:color="auto"/>
              <w:bottom w:val="single" w:sz="4" w:space="0" w:color="auto"/>
              <w:right w:val="single" w:sz="4" w:space="0" w:color="auto"/>
            </w:tcBorders>
            <w:shd w:val="clear" w:color="auto" w:fill="D9D9D9" w:themeFill="background1" w:themeFillShade="D9"/>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Total Assets</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220953</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246834</w:t>
            </w:r>
          </w:p>
        </w:tc>
        <w:tc>
          <w:tcPr>
            <w:tcW w:w="1281" w:type="dxa"/>
            <w:tcBorders>
              <w:top w:val="nil"/>
              <w:left w:val="nil"/>
              <w:bottom w:val="single" w:sz="4" w:space="0" w:color="auto"/>
              <w:right w:val="single" w:sz="4" w:space="0" w:color="auto"/>
            </w:tcBorders>
            <w:shd w:val="clear" w:color="auto" w:fill="D9D9D9" w:themeFill="background1" w:themeFillShade="D9"/>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261950</w:t>
            </w:r>
          </w:p>
        </w:tc>
        <w:tc>
          <w:tcPr>
            <w:tcW w:w="1476" w:type="dxa"/>
            <w:tcBorders>
              <w:top w:val="nil"/>
              <w:left w:val="nil"/>
              <w:bottom w:val="single" w:sz="4" w:space="0" w:color="auto"/>
              <w:right w:val="single" w:sz="4" w:space="0" w:color="auto"/>
            </w:tcBorders>
            <w:shd w:val="clear" w:color="auto" w:fill="D9D9D9" w:themeFill="background1" w:themeFillShade="D9"/>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247872</w:t>
            </w:r>
          </w:p>
        </w:tc>
        <w:tc>
          <w:tcPr>
            <w:tcW w:w="1476" w:type="dxa"/>
            <w:tcBorders>
              <w:top w:val="nil"/>
              <w:left w:val="nil"/>
              <w:bottom w:val="single" w:sz="4" w:space="0" w:color="auto"/>
              <w:right w:val="single" w:sz="4" w:space="0" w:color="auto"/>
            </w:tcBorders>
            <w:shd w:val="clear" w:color="auto" w:fill="D9D9D9" w:themeFill="background1" w:themeFillShade="D9"/>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287212</w:t>
            </w:r>
          </w:p>
        </w:tc>
      </w:tr>
      <w:tr w:rsidR="00932160" w:rsidRPr="00B70D8E" w:rsidTr="007B29AC">
        <w:trPr>
          <w:trHeight w:val="222"/>
        </w:trPr>
        <w:tc>
          <w:tcPr>
            <w:tcW w:w="4283" w:type="dxa"/>
            <w:tcBorders>
              <w:top w:val="nil"/>
              <w:left w:val="single" w:sz="4" w:space="0" w:color="auto"/>
              <w:bottom w:val="single" w:sz="4" w:space="0" w:color="auto"/>
              <w:right w:val="single" w:sz="4" w:space="0" w:color="auto"/>
            </w:tcBorders>
            <w:shd w:val="clear" w:color="auto" w:fill="auto"/>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Debt to </w:t>
            </w:r>
            <w:proofErr w:type="gramStart"/>
            <w:r w:rsidRPr="00B70D8E">
              <w:rPr>
                <w:rFonts w:ascii="Arial" w:eastAsia="Times New Roman" w:hAnsi="Arial" w:cs="Arial"/>
                <w:color w:val="000000"/>
                <w:sz w:val="20"/>
                <w:szCs w:val="20"/>
              </w:rPr>
              <w:t>Assets  Ratio</w:t>
            </w:r>
            <w:proofErr w:type="gramEnd"/>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932160"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0.81</w:t>
            </w:r>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5C5E4B"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0.78</w:t>
            </w:r>
          </w:p>
        </w:tc>
        <w:tc>
          <w:tcPr>
            <w:tcW w:w="1281" w:type="dxa"/>
            <w:tcBorders>
              <w:top w:val="nil"/>
              <w:left w:val="nil"/>
              <w:bottom w:val="single" w:sz="4" w:space="0" w:color="auto"/>
              <w:right w:val="single" w:sz="4" w:space="0" w:color="auto"/>
            </w:tcBorders>
            <w:shd w:val="clear" w:color="auto" w:fill="auto"/>
            <w:noWrap/>
            <w:vAlign w:val="bottom"/>
          </w:tcPr>
          <w:p w:rsidR="00932160" w:rsidRPr="00B70D8E" w:rsidRDefault="005C5E4B"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0.77</w:t>
            </w:r>
          </w:p>
        </w:tc>
        <w:tc>
          <w:tcPr>
            <w:tcW w:w="1476" w:type="dxa"/>
            <w:tcBorders>
              <w:top w:val="nil"/>
              <w:left w:val="nil"/>
              <w:bottom w:val="single" w:sz="4" w:space="0" w:color="auto"/>
              <w:right w:val="single" w:sz="4" w:space="0" w:color="auto"/>
            </w:tcBorders>
            <w:shd w:val="clear" w:color="auto" w:fill="auto"/>
            <w:noWrap/>
            <w:vAlign w:val="bottom"/>
          </w:tcPr>
          <w:p w:rsidR="00932160" w:rsidRPr="00B70D8E" w:rsidRDefault="005C5E4B"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0.72</w:t>
            </w:r>
          </w:p>
        </w:tc>
        <w:tc>
          <w:tcPr>
            <w:tcW w:w="1476" w:type="dxa"/>
            <w:tcBorders>
              <w:top w:val="nil"/>
              <w:left w:val="nil"/>
              <w:bottom w:val="single" w:sz="4" w:space="0" w:color="auto"/>
              <w:right w:val="single" w:sz="4" w:space="0" w:color="auto"/>
            </w:tcBorders>
          </w:tcPr>
          <w:p w:rsidR="00932160" w:rsidRPr="00B70D8E" w:rsidRDefault="005C5E4B" w:rsidP="00932160">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0.67</w:t>
            </w:r>
          </w:p>
        </w:tc>
      </w:tr>
    </w:tbl>
    <w:p w:rsidR="00D942C0" w:rsidRPr="00B70D8E" w:rsidRDefault="00D942C0" w:rsidP="00735687">
      <w:pPr>
        <w:tabs>
          <w:tab w:val="left" w:pos="3570"/>
        </w:tabs>
        <w:rPr>
          <w:rFonts w:ascii="Arial" w:hAnsi="Arial" w:cs="Arial"/>
          <w:b/>
          <w:sz w:val="20"/>
          <w:szCs w:val="20"/>
        </w:rPr>
      </w:pPr>
    </w:p>
    <w:p w:rsidR="00C72E6F" w:rsidRPr="00B70D8E" w:rsidRDefault="007B0691" w:rsidP="00735687">
      <w:pPr>
        <w:tabs>
          <w:tab w:val="left" w:pos="3570"/>
        </w:tabs>
        <w:rPr>
          <w:rFonts w:ascii="Arial" w:hAnsi="Arial" w:cs="Arial"/>
          <w:b/>
          <w:sz w:val="20"/>
          <w:szCs w:val="20"/>
        </w:rPr>
      </w:pPr>
      <w:r w:rsidRPr="00B70D8E">
        <w:rPr>
          <w:rFonts w:ascii="Arial" w:hAnsi="Arial" w:cs="Arial"/>
          <w:b/>
          <w:sz w:val="20"/>
          <w:szCs w:val="20"/>
        </w:rPr>
        <w:t>Efficiency Ratios</w:t>
      </w:r>
      <w:r w:rsidR="007E6CE0" w:rsidRPr="00B70D8E">
        <w:rPr>
          <w:rFonts w:ascii="Arial" w:hAnsi="Arial" w:cs="Arial"/>
          <w:b/>
          <w:sz w:val="20"/>
          <w:szCs w:val="20"/>
        </w:rPr>
        <w:t xml:space="preserve"> of Hilton group plc</w:t>
      </w:r>
      <w:r w:rsidRPr="00B70D8E">
        <w:rPr>
          <w:rFonts w:ascii="Arial" w:hAnsi="Arial" w:cs="Arial"/>
          <w:b/>
          <w:sz w:val="20"/>
          <w:szCs w:val="20"/>
        </w:rPr>
        <w:t>:</w:t>
      </w:r>
    </w:p>
    <w:p w:rsidR="001276B0" w:rsidRPr="00B70D8E" w:rsidRDefault="001276B0" w:rsidP="00735687">
      <w:pPr>
        <w:tabs>
          <w:tab w:val="left" w:pos="3570"/>
        </w:tabs>
        <w:rPr>
          <w:rFonts w:ascii="Arial" w:hAnsi="Arial" w:cs="Arial"/>
          <w:b/>
          <w:sz w:val="20"/>
          <w:szCs w:val="20"/>
        </w:rPr>
      </w:pPr>
      <w:r w:rsidRPr="00B70D8E">
        <w:rPr>
          <w:rFonts w:ascii="Arial" w:hAnsi="Arial" w:cs="Arial"/>
          <w:b/>
          <w:sz w:val="20"/>
          <w:szCs w:val="20"/>
        </w:rPr>
        <w:t xml:space="preserve">Stock Turnover </w:t>
      </w:r>
      <w:r w:rsidR="007B0691" w:rsidRPr="00B70D8E">
        <w:rPr>
          <w:rFonts w:ascii="Arial" w:hAnsi="Arial" w:cs="Arial"/>
          <w:b/>
          <w:sz w:val="20"/>
          <w:szCs w:val="20"/>
        </w:rPr>
        <w:t>R</w:t>
      </w:r>
      <w:r w:rsidRPr="00B70D8E">
        <w:rPr>
          <w:rFonts w:ascii="Arial" w:hAnsi="Arial" w:cs="Arial"/>
          <w:b/>
          <w:sz w:val="20"/>
          <w:szCs w:val="20"/>
        </w:rPr>
        <w:t xml:space="preserve">atio </w:t>
      </w:r>
      <w:r w:rsidR="007273AA" w:rsidRPr="00B70D8E">
        <w:rPr>
          <w:rFonts w:ascii="Arial" w:hAnsi="Arial" w:cs="Arial"/>
          <w:b/>
          <w:sz w:val="20"/>
          <w:szCs w:val="20"/>
        </w:rPr>
        <w:t xml:space="preserve">of Hilton group plc </w:t>
      </w:r>
    </w:p>
    <w:tbl>
      <w:tblPr>
        <w:tblW w:w="11036" w:type="dxa"/>
        <w:tblInd w:w="-895" w:type="dxa"/>
        <w:tblLook w:val="04A0" w:firstRow="1" w:lastRow="0" w:firstColumn="1" w:lastColumn="0" w:noHBand="0" w:noVBand="1"/>
      </w:tblPr>
      <w:tblGrid>
        <w:gridCol w:w="5279"/>
        <w:gridCol w:w="1110"/>
        <w:gridCol w:w="1317"/>
        <w:gridCol w:w="1110"/>
        <w:gridCol w:w="1110"/>
        <w:gridCol w:w="1110"/>
      </w:tblGrid>
      <w:tr w:rsidR="008B04F0" w:rsidRPr="00B70D8E" w:rsidTr="00A2538E">
        <w:trPr>
          <w:trHeight w:val="407"/>
        </w:trPr>
        <w:tc>
          <w:tcPr>
            <w:tcW w:w="11036" w:type="dxa"/>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Stock Turnover ratio of </w:t>
            </w:r>
            <w:r w:rsidR="001E7ABF" w:rsidRPr="00B70D8E">
              <w:rPr>
                <w:rFonts w:ascii="Arial" w:hAnsi="Arial" w:cs="Arial"/>
                <w:sz w:val="20"/>
                <w:szCs w:val="20"/>
              </w:rPr>
              <w:t>Hilton Food Products plc</w:t>
            </w:r>
            <w:r w:rsidR="001E7ABF" w:rsidRPr="00B70D8E">
              <w:rPr>
                <w:rFonts w:ascii="Arial" w:eastAsia="Times New Roman" w:hAnsi="Arial" w:cs="Arial"/>
                <w:color w:val="000000"/>
                <w:sz w:val="20"/>
                <w:szCs w:val="20"/>
              </w:rPr>
              <w:t xml:space="preserve"> </w:t>
            </w:r>
          </w:p>
        </w:tc>
      </w:tr>
      <w:tr w:rsidR="008B04F0" w:rsidRPr="00B70D8E" w:rsidTr="00A2538E">
        <w:trPr>
          <w:trHeight w:val="407"/>
        </w:trPr>
        <w:tc>
          <w:tcPr>
            <w:tcW w:w="11036" w:type="dxa"/>
            <w:gridSpan w:val="6"/>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Stock Turnover </w:t>
            </w:r>
            <w:proofErr w:type="gramStart"/>
            <w:r w:rsidRPr="00B70D8E">
              <w:rPr>
                <w:rFonts w:ascii="Arial" w:eastAsia="Times New Roman" w:hAnsi="Arial" w:cs="Arial"/>
                <w:color w:val="000000"/>
                <w:sz w:val="20"/>
                <w:szCs w:val="20"/>
              </w:rPr>
              <w:t>Ratio</w:t>
            </w:r>
            <w:r w:rsidR="00502505" w:rsidRPr="00B70D8E">
              <w:rPr>
                <w:rFonts w:ascii="Arial" w:eastAsia="Times New Roman" w:hAnsi="Arial" w:cs="Arial"/>
                <w:color w:val="000000"/>
                <w:sz w:val="20"/>
                <w:szCs w:val="20"/>
              </w:rPr>
              <w:t>(</w:t>
            </w:r>
            <w:proofErr w:type="gramEnd"/>
            <w:r w:rsidR="00502505" w:rsidRPr="00B70D8E">
              <w:rPr>
                <w:rFonts w:ascii="Arial" w:eastAsia="Times New Roman" w:hAnsi="Arial" w:cs="Arial"/>
                <w:color w:val="000000"/>
                <w:sz w:val="20"/>
                <w:szCs w:val="20"/>
              </w:rPr>
              <w:t>in days)</w:t>
            </w:r>
            <w:r w:rsidRPr="00B70D8E">
              <w:rPr>
                <w:rFonts w:ascii="Arial" w:eastAsia="Times New Roman" w:hAnsi="Arial" w:cs="Arial"/>
                <w:color w:val="000000"/>
                <w:sz w:val="20"/>
                <w:szCs w:val="20"/>
              </w:rPr>
              <w:t xml:space="preserve"> = (Average Inventory/ Cost of Goods Sold) *365</w:t>
            </w:r>
          </w:p>
        </w:tc>
      </w:tr>
      <w:tr w:rsidR="008B04F0" w:rsidRPr="00B70D8E" w:rsidTr="00A2538E">
        <w:trPr>
          <w:trHeight w:val="407"/>
        </w:trPr>
        <w:tc>
          <w:tcPr>
            <w:tcW w:w="5279"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317"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110" w:type="dxa"/>
            <w:tcBorders>
              <w:top w:val="nil"/>
              <w:left w:val="nil"/>
              <w:bottom w:val="single" w:sz="4" w:space="0" w:color="auto"/>
              <w:right w:val="single" w:sz="4" w:space="0" w:color="auto"/>
            </w:tcBorders>
            <w:shd w:val="clear" w:color="auto" w:fill="D9D9D9" w:themeFill="background1" w:themeFillShade="D9"/>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8B04F0" w:rsidRPr="00B70D8E" w:rsidTr="008B04F0">
        <w:trPr>
          <w:trHeight w:val="407"/>
        </w:trPr>
        <w:tc>
          <w:tcPr>
            <w:tcW w:w="5279" w:type="dxa"/>
            <w:tcBorders>
              <w:top w:val="nil"/>
              <w:left w:val="single" w:sz="4" w:space="0" w:color="auto"/>
              <w:bottom w:val="single" w:sz="4" w:space="0" w:color="auto"/>
              <w:right w:val="single" w:sz="4" w:space="0" w:color="auto"/>
            </w:tcBorders>
            <w:shd w:val="clear" w:color="auto" w:fill="auto"/>
            <w:noWrap/>
            <w:vAlign w:val="bottom"/>
            <w:hideMark/>
          </w:tcPr>
          <w:p w:rsidR="008B04F0" w:rsidRPr="00B70D8E" w:rsidRDefault="008B04F0" w:rsidP="004212A9">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Average Inventory (in £ million)</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914D26"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22175.5</w:t>
            </w:r>
          </w:p>
        </w:tc>
        <w:tc>
          <w:tcPr>
            <w:tcW w:w="1317"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22861</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22933</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20150.5</w:t>
            </w:r>
          </w:p>
        </w:tc>
        <w:tc>
          <w:tcPr>
            <w:tcW w:w="1110" w:type="dxa"/>
            <w:tcBorders>
              <w:top w:val="nil"/>
              <w:left w:val="nil"/>
              <w:bottom w:val="single" w:sz="4" w:space="0" w:color="auto"/>
              <w:right w:val="single" w:sz="4" w:space="0" w:color="auto"/>
            </w:tcBorders>
          </w:tcPr>
          <w:p w:rsidR="005C5E4B" w:rsidRPr="00B70D8E" w:rsidRDefault="005C5E4B" w:rsidP="00A2538E">
            <w:pPr>
              <w:spacing w:after="0" w:line="240" w:lineRule="auto"/>
              <w:jc w:val="center"/>
              <w:rPr>
                <w:rFonts w:ascii="Arial" w:eastAsia="Times New Roman" w:hAnsi="Arial" w:cs="Arial"/>
                <w:color w:val="000000"/>
                <w:sz w:val="20"/>
                <w:szCs w:val="20"/>
              </w:rPr>
            </w:pPr>
          </w:p>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21327</w:t>
            </w:r>
          </w:p>
        </w:tc>
      </w:tr>
      <w:tr w:rsidR="008B04F0" w:rsidRPr="00B70D8E" w:rsidTr="00A2538E">
        <w:trPr>
          <w:trHeight w:val="407"/>
        </w:trPr>
        <w:tc>
          <w:tcPr>
            <w:tcW w:w="5279"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Cost of Goods </w:t>
            </w:r>
            <w:proofErr w:type="gramStart"/>
            <w:r w:rsidRPr="00B70D8E">
              <w:rPr>
                <w:rFonts w:ascii="Arial" w:eastAsia="Times New Roman" w:hAnsi="Arial" w:cs="Arial"/>
                <w:color w:val="000000"/>
                <w:sz w:val="20"/>
                <w:szCs w:val="20"/>
              </w:rPr>
              <w:t>Sold(</w:t>
            </w:r>
            <w:proofErr w:type="gramEnd"/>
            <w:r w:rsidRPr="00B70D8E">
              <w:rPr>
                <w:rFonts w:ascii="Arial" w:eastAsia="Times New Roman" w:hAnsi="Arial" w:cs="Arial"/>
                <w:color w:val="000000"/>
                <w:sz w:val="20"/>
                <w:szCs w:val="20"/>
              </w:rPr>
              <w:t>in £ million)</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914D26"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904755</w:t>
            </w:r>
          </w:p>
        </w:tc>
        <w:tc>
          <w:tcPr>
            <w:tcW w:w="1317"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993257</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966809</w:t>
            </w:r>
          </w:p>
        </w:tc>
        <w:tc>
          <w:tcPr>
            <w:tcW w:w="1110" w:type="dxa"/>
            <w:tcBorders>
              <w:top w:val="nil"/>
              <w:left w:val="nil"/>
              <w:bottom w:val="single" w:sz="4" w:space="0" w:color="auto"/>
              <w:right w:val="single" w:sz="4" w:space="0" w:color="auto"/>
            </w:tcBorders>
            <w:shd w:val="clear" w:color="auto" w:fill="D9D9D9" w:themeFill="background1" w:themeFillShade="D9"/>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957067</w:t>
            </w:r>
          </w:p>
        </w:tc>
        <w:tc>
          <w:tcPr>
            <w:tcW w:w="1110" w:type="dxa"/>
            <w:tcBorders>
              <w:top w:val="nil"/>
              <w:left w:val="nil"/>
              <w:bottom w:val="single" w:sz="4" w:space="0" w:color="auto"/>
              <w:right w:val="single" w:sz="4" w:space="0" w:color="auto"/>
            </w:tcBorders>
            <w:shd w:val="clear" w:color="auto" w:fill="D9D9D9" w:themeFill="background1" w:themeFillShade="D9"/>
          </w:tcPr>
          <w:p w:rsidR="005C5E4B" w:rsidRPr="00B70D8E" w:rsidRDefault="005C5E4B" w:rsidP="00A2538E">
            <w:pPr>
              <w:spacing w:after="0" w:line="240" w:lineRule="auto"/>
              <w:jc w:val="center"/>
              <w:rPr>
                <w:rFonts w:ascii="Arial" w:eastAsia="Times New Roman" w:hAnsi="Arial" w:cs="Arial"/>
                <w:color w:val="000000"/>
                <w:sz w:val="20"/>
                <w:szCs w:val="20"/>
              </w:rPr>
            </w:pPr>
          </w:p>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1083667</w:t>
            </w:r>
          </w:p>
        </w:tc>
      </w:tr>
      <w:tr w:rsidR="008B04F0" w:rsidRPr="00B70D8E" w:rsidTr="008B04F0">
        <w:trPr>
          <w:trHeight w:val="407"/>
        </w:trPr>
        <w:tc>
          <w:tcPr>
            <w:tcW w:w="5279" w:type="dxa"/>
            <w:tcBorders>
              <w:top w:val="nil"/>
              <w:left w:val="single" w:sz="4" w:space="0" w:color="auto"/>
              <w:bottom w:val="single" w:sz="4" w:space="0" w:color="auto"/>
              <w:right w:val="single" w:sz="4" w:space="0" w:color="auto"/>
            </w:tcBorders>
            <w:shd w:val="clear" w:color="auto" w:fill="auto"/>
            <w:noWrap/>
            <w:vAlign w:val="bottom"/>
            <w:hideMark/>
          </w:tcPr>
          <w:p w:rsidR="008B04F0" w:rsidRPr="00B70D8E" w:rsidRDefault="008B04F0"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Stock Turnover ratio (</w:t>
            </w:r>
            <w:r w:rsidR="00502505" w:rsidRPr="00B70D8E">
              <w:rPr>
                <w:rFonts w:ascii="Arial" w:eastAsia="Times New Roman" w:hAnsi="Arial" w:cs="Arial"/>
                <w:color w:val="000000"/>
                <w:sz w:val="20"/>
                <w:szCs w:val="20"/>
              </w:rPr>
              <w:t>days</w:t>
            </w:r>
            <w:r w:rsidRPr="00B70D8E">
              <w:rPr>
                <w:rFonts w:ascii="Arial" w:eastAsia="Times New Roman" w:hAnsi="Arial" w:cs="Arial"/>
                <w:color w:val="000000"/>
                <w:sz w:val="20"/>
                <w:szCs w:val="20"/>
              </w:rPr>
              <w:t>)</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914D26"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8.95</w:t>
            </w:r>
          </w:p>
        </w:tc>
        <w:tc>
          <w:tcPr>
            <w:tcW w:w="1317"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8.40</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8.66</w:t>
            </w:r>
          </w:p>
        </w:tc>
        <w:tc>
          <w:tcPr>
            <w:tcW w:w="1110" w:type="dxa"/>
            <w:tcBorders>
              <w:top w:val="nil"/>
              <w:left w:val="nil"/>
              <w:bottom w:val="single" w:sz="4" w:space="0" w:color="auto"/>
              <w:right w:val="single" w:sz="4" w:space="0" w:color="auto"/>
            </w:tcBorders>
            <w:shd w:val="clear" w:color="auto" w:fill="auto"/>
            <w:noWrap/>
            <w:vAlign w:val="bottom"/>
            <w:hideMark/>
          </w:tcPr>
          <w:p w:rsidR="008B04F0" w:rsidRPr="00B70D8E" w:rsidRDefault="005C5E4B" w:rsidP="00914D26">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7.68</w:t>
            </w:r>
          </w:p>
        </w:tc>
        <w:tc>
          <w:tcPr>
            <w:tcW w:w="1110" w:type="dxa"/>
            <w:tcBorders>
              <w:top w:val="nil"/>
              <w:left w:val="nil"/>
              <w:bottom w:val="single" w:sz="4" w:space="0" w:color="auto"/>
              <w:right w:val="single" w:sz="4" w:space="0" w:color="auto"/>
            </w:tcBorders>
          </w:tcPr>
          <w:p w:rsidR="00A2538E" w:rsidRPr="00B70D8E" w:rsidRDefault="00A2538E" w:rsidP="00A2538E">
            <w:pPr>
              <w:spacing w:after="0" w:line="240" w:lineRule="auto"/>
              <w:jc w:val="center"/>
              <w:rPr>
                <w:rFonts w:ascii="Arial" w:eastAsia="Times New Roman" w:hAnsi="Arial" w:cs="Arial"/>
                <w:color w:val="000000"/>
                <w:sz w:val="20"/>
                <w:szCs w:val="20"/>
              </w:rPr>
            </w:pPr>
          </w:p>
          <w:p w:rsidR="008B04F0" w:rsidRPr="00B70D8E" w:rsidRDefault="00F23A47" w:rsidP="00A2538E">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7.18</w:t>
            </w:r>
          </w:p>
        </w:tc>
      </w:tr>
    </w:tbl>
    <w:p w:rsidR="007E6CE0" w:rsidRPr="00B70D8E" w:rsidRDefault="007E6CE0" w:rsidP="008D5BF7">
      <w:pPr>
        <w:rPr>
          <w:rFonts w:ascii="Arial" w:hAnsi="Arial" w:cs="Arial"/>
          <w:b/>
          <w:sz w:val="20"/>
          <w:szCs w:val="20"/>
        </w:rPr>
      </w:pPr>
    </w:p>
    <w:p w:rsidR="004A6C8E" w:rsidRPr="00B70D8E" w:rsidRDefault="00735687" w:rsidP="008D5BF7">
      <w:pPr>
        <w:rPr>
          <w:rFonts w:ascii="Arial" w:hAnsi="Arial" w:cs="Arial"/>
          <w:b/>
          <w:sz w:val="20"/>
          <w:szCs w:val="20"/>
        </w:rPr>
      </w:pPr>
      <w:r w:rsidRPr="00B70D8E">
        <w:rPr>
          <w:rFonts w:ascii="Arial" w:hAnsi="Arial" w:cs="Arial"/>
          <w:b/>
          <w:sz w:val="20"/>
          <w:szCs w:val="20"/>
        </w:rPr>
        <w:t>Receivables</w:t>
      </w:r>
      <w:r w:rsidR="008D5BF7" w:rsidRPr="00B70D8E">
        <w:rPr>
          <w:rFonts w:ascii="Arial" w:hAnsi="Arial" w:cs="Arial"/>
          <w:b/>
          <w:sz w:val="20"/>
          <w:szCs w:val="20"/>
        </w:rPr>
        <w:t xml:space="preserve"> Turnover Ratio</w:t>
      </w:r>
      <w:r w:rsidR="007273AA" w:rsidRPr="00B70D8E">
        <w:rPr>
          <w:rFonts w:ascii="Arial" w:hAnsi="Arial" w:cs="Arial"/>
          <w:b/>
          <w:sz w:val="20"/>
          <w:szCs w:val="20"/>
        </w:rPr>
        <w:t xml:space="preserve"> of Hilton group plc</w:t>
      </w:r>
    </w:p>
    <w:tbl>
      <w:tblPr>
        <w:tblW w:w="11031" w:type="dxa"/>
        <w:tblInd w:w="-895" w:type="dxa"/>
        <w:tblLook w:val="04A0" w:firstRow="1" w:lastRow="0" w:firstColumn="1" w:lastColumn="0" w:noHBand="0" w:noVBand="1"/>
      </w:tblPr>
      <w:tblGrid>
        <w:gridCol w:w="5264"/>
        <w:gridCol w:w="1106"/>
        <w:gridCol w:w="1313"/>
        <w:gridCol w:w="1116"/>
        <w:gridCol w:w="1116"/>
        <w:gridCol w:w="1116"/>
      </w:tblGrid>
      <w:tr w:rsidR="004A6C8E" w:rsidRPr="00B70D8E" w:rsidTr="007E6CE0">
        <w:trPr>
          <w:trHeight w:val="356"/>
        </w:trPr>
        <w:tc>
          <w:tcPr>
            <w:tcW w:w="11031" w:type="dxa"/>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rsidR="004A6C8E" w:rsidRPr="00B70D8E" w:rsidRDefault="008D5BF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Receivables</w:t>
            </w:r>
            <w:r w:rsidR="004A6C8E" w:rsidRPr="00B70D8E">
              <w:rPr>
                <w:rFonts w:ascii="Arial" w:eastAsia="Times New Roman" w:hAnsi="Arial" w:cs="Arial"/>
                <w:color w:val="000000"/>
                <w:sz w:val="20"/>
                <w:szCs w:val="20"/>
              </w:rPr>
              <w:t xml:space="preserve"> Turnover ratio of </w:t>
            </w:r>
            <w:r w:rsidR="001E7ABF" w:rsidRPr="00B70D8E">
              <w:rPr>
                <w:rFonts w:ascii="Arial" w:hAnsi="Arial" w:cs="Arial"/>
                <w:sz w:val="20"/>
                <w:szCs w:val="20"/>
              </w:rPr>
              <w:t>Hilton Food Products plc</w:t>
            </w:r>
            <w:r w:rsidR="001E7ABF" w:rsidRPr="00B70D8E">
              <w:rPr>
                <w:rFonts w:ascii="Arial" w:eastAsia="Times New Roman" w:hAnsi="Arial" w:cs="Arial"/>
                <w:color w:val="000000"/>
                <w:sz w:val="20"/>
                <w:szCs w:val="20"/>
              </w:rPr>
              <w:t xml:space="preserve"> </w:t>
            </w:r>
          </w:p>
        </w:tc>
      </w:tr>
      <w:tr w:rsidR="004A6C8E" w:rsidRPr="00B70D8E" w:rsidTr="007E6CE0">
        <w:trPr>
          <w:trHeight w:val="356"/>
        </w:trPr>
        <w:tc>
          <w:tcPr>
            <w:tcW w:w="11031" w:type="dxa"/>
            <w:gridSpan w:val="6"/>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4A6C8E" w:rsidRPr="00B70D8E" w:rsidRDefault="008D5BF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Receivables</w:t>
            </w:r>
            <w:r w:rsidR="004A6C8E" w:rsidRPr="00B70D8E">
              <w:rPr>
                <w:rFonts w:ascii="Arial" w:eastAsia="Times New Roman" w:hAnsi="Arial" w:cs="Arial"/>
                <w:color w:val="000000"/>
                <w:sz w:val="20"/>
                <w:szCs w:val="20"/>
              </w:rPr>
              <w:t xml:space="preserve"> Turnover Ratio</w:t>
            </w:r>
            <w:r w:rsidR="00772542" w:rsidRPr="00B70D8E">
              <w:rPr>
                <w:rFonts w:ascii="Arial" w:eastAsia="Times New Roman" w:hAnsi="Arial" w:cs="Arial"/>
                <w:color w:val="000000"/>
                <w:sz w:val="20"/>
                <w:szCs w:val="20"/>
              </w:rPr>
              <w:t xml:space="preserve"> </w:t>
            </w:r>
            <w:r w:rsidR="004A6C8E" w:rsidRPr="00B70D8E">
              <w:rPr>
                <w:rFonts w:ascii="Arial" w:eastAsia="Times New Roman" w:hAnsi="Arial" w:cs="Arial"/>
                <w:color w:val="000000"/>
                <w:sz w:val="20"/>
                <w:szCs w:val="20"/>
              </w:rPr>
              <w:t xml:space="preserve">(in days) = </w:t>
            </w:r>
            <w:r w:rsidR="006A1615" w:rsidRPr="00B70D8E">
              <w:rPr>
                <w:rFonts w:ascii="Arial" w:eastAsia="Times New Roman" w:hAnsi="Arial" w:cs="Arial"/>
                <w:color w:val="000000"/>
                <w:sz w:val="20"/>
                <w:szCs w:val="20"/>
              </w:rPr>
              <w:t>(Sales</w:t>
            </w:r>
            <w:r w:rsidR="00772542" w:rsidRPr="00B70D8E">
              <w:rPr>
                <w:rFonts w:ascii="Arial" w:eastAsia="Times New Roman" w:hAnsi="Arial" w:cs="Arial"/>
                <w:color w:val="000000"/>
                <w:sz w:val="20"/>
                <w:szCs w:val="20"/>
              </w:rPr>
              <w:t xml:space="preserve"> </w:t>
            </w:r>
            <w:r w:rsidR="004A6C8E" w:rsidRPr="00B70D8E">
              <w:rPr>
                <w:rFonts w:ascii="Arial" w:eastAsia="Times New Roman" w:hAnsi="Arial" w:cs="Arial"/>
                <w:color w:val="000000"/>
                <w:sz w:val="20"/>
                <w:szCs w:val="20"/>
              </w:rPr>
              <w:t xml:space="preserve">/ Average account receivables) </w:t>
            </w:r>
          </w:p>
        </w:tc>
      </w:tr>
      <w:tr w:rsidR="004A6C8E"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0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313"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116" w:type="dxa"/>
            <w:tcBorders>
              <w:top w:val="nil"/>
              <w:left w:val="nil"/>
              <w:bottom w:val="single" w:sz="4" w:space="0" w:color="auto"/>
              <w:right w:val="single" w:sz="4" w:space="0" w:color="auto"/>
            </w:tcBorders>
            <w:shd w:val="clear" w:color="auto" w:fill="D9D9D9" w:themeFill="background1" w:themeFillShade="D9"/>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4A6C8E"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auto"/>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Sales (in £ million)</w:t>
            </w:r>
          </w:p>
        </w:tc>
        <w:tc>
          <w:tcPr>
            <w:tcW w:w="1106" w:type="dxa"/>
            <w:tcBorders>
              <w:top w:val="nil"/>
              <w:left w:val="nil"/>
              <w:bottom w:val="single" w:sz="4" w:space="0" w:color="auto"/>
              <w:right w:val="single" w:sz="4" w:space="0" w:color="auto"/>
            </w:tcBorders>
            <w:shd w:val="clear" w:color="auto" w:fill="auto"/>
            <w:noWrap/>
            <w:vAlign w:val="bottom"/>
            <w:hideMark/>
          </w:tcPr>
          <w:p w:rsidR="004A6C8E" w:rsidRPr="00B70D8E" w:rsidRDefault="00914D26"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1031004</w:t>
            </w:r>
          </w:p>
        </w:tc>
        <w:tc>
          <w:tcPr>
            <w:tcW w:w="1313" w:type="dxa"/>
            <w:tcBorders>
              <w:top w:val="nil"/>
              <w:left w:val="nil"/>
              <w:bottom w:val="single" w:sz="4" w:space="0" w:color="auto"/>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1124780</w:t>
            </w:r>
          </w:p>
        </w:tc>
        <w:tc>
          <w:tcPr>
            <w:tcW w:w="1116" w:type="dxa"/>
            <w:tcBorders>
              <w:top w:val="nil"/>
              <w:left w:val="nil"/>
              <w:bottom w:val="single" w:sz="4" w:space="0" w:color="auto"/>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1098990</w:t>
            </w:r>
          </w:p>
        </w:tc>
        <w:tc>
          <w:tcPr>
            <w:tcW w:w="1116" w:type="dxa"/>
            <w:tcBorders>
              <w:top w:val="nil"/>
              <w:left w:val="nil"/>
              <w:bottom w:val="single" w:sz="4" w:space="0" w:color="auto"/>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1094822</w:t>
            </w:r>
          </w:p>
        </w:tc>
        <w:tc>
          <w:tcPr>
            <w:tcW w:w="1116" w:type="dxa"/>
            <w:tcBorders>
              <w:top w:val="nil"/>
              <w:left w:val="nil"/>
              <w:bottom w:val="single" w:sz="4" w:space="0" w:color="auto"/>
              <w:right w:val="single" w:sz="4" w:space="0" w:color="auto"/>
            </w:tcBorders>
          </w:tcPr>
          <w:p w:rsidR="00F23A47" w:rsidRPr="00B70D8E" w:rsidRDefault="00F23A47" w:rsidP="009211DB">
            <w:pPr>
              <w:spacing w:after="0" w:line="240" w:lineRule="auto"/>
              <w:jc w:val="center"/>
              <w:rPr>
                <w:rFonts w:ascii="Arial" w:eastAsia="Times New Roman" w:hAnsi="Arial" w:cs="Arial"/>
                <w:color w:val="000000"/>
                <w:sz w:val="20"/>
                <w:szCs w:val="20"/>
              </w:rPr>
            </w:pPr>
          </w:p>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1234495</w:t>
            </w:r>
          </w:p>
        </w:tc>
      </w:tr>
      <w:tr w:rsidR="004A6C8E"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4A6C8E" w:rsidRPr="00B70D8E" w:rsidRDefault="004A6C8E"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Average account </w:t>
            </w:r>
            <w:r w:rsidR="006B6ADB" w:rsidRPr="00B70D8E">
              <w:rPr>
                <w:rFonts w:ascii="Arial" w:eastAsia="Times New Roman" w:hAnsi="Arial" w:cs="Arial"/>
                <w:color w:val="000000"/>
                <w:sz w:val="20"/>
                <w:szCs w:val="20"/>
              </w:rPr>
              <w:t>receivables (</w:t>
            </w:r>
            <w:r w:rsidRPr="00B70D8E">
              <w:rPr>
                <w:rFonts w:ascii="Arial" w:eastAsia="Times New Roman" w:hAnsi="Arial" w:cs="Arial"/>
                <w:color w:val="000000"/>
                <w:sz w:val="20"/>
                <w:szCs w:val="20"/>
              </w:rPr>
              <w:t>in £ million)</w:t>
            </w:r>
          </w:p>
        </w:tc>
        <w:tc>
          <w:tcPr>
            <w:tcW w:w="110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914D26"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105922</w:t>
            </w:r>
          </w:p>
        </w:tc>
        <w:tc>
          <w:tcPr>
            <w:tcW w:w="1313"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F23A47" w:rsidP="004A6C8E">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116083.5</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119982.5</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105852</w:t>
            </w:r>
          </w:p>
        </w:tc>
        <w:tc>
          <w:tcPr>
            <w:tcW w:w="1116" w:type="dxa"/>
            <w:tcBorders>
              <w:top w:val="nil"/>
              <w:left w:val="nil"/>
              <w:bottom w:val="single" w:sz="4" w:space="0" w:color="auto"/>
              <w:right w:val="single" w:sz="4" w:space="0" w:color="auto"/>
            </w:tcBorders>
            <w:shd w:val="clear" w:color="auto" w:fill="D9D9D9" w:themeFill="background1" w:themeFillShade="D9"/>
          </w:tcPr>
          <w:p w:rsidR="00F23A47" w:rsidRPr="00B70D8E" w:rsidRDefault="00F23A47" w:rsidP="009211DB">
            <w:pPr>
              <w:spacing w:after="0" w:line="240" w:lineRule="auto"/>
              <w:jc w:val="center"/>
              <w:rPr>
                <w:rFonts w:ascii="Arial" w:eastAsia="Times New Roman" w:hAnsi="Arial" w:cs="Arial"/>
                <w:color w:val="000000"/>
                <w:sz w:val="20"/>
                <w:szCs w:val="20"/>
              </w:rPr>
            </w:pPr>
          </w:p>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107351.5</w:t>
            </w:r>
          </w:p>
        </w:tc>
      </w:tr>
      <w:tr w:rsidR="004A6C8E" w:rsidRPr="00B70D8E" w:rsidTr="007E6CE0">
        <w:trPr>
          <w:trHeight w:val="356"/>
        </w:trPr>
        <w:tc>
          <w:tcPr>
            <w:tcW w:w="5264" w:type="dxa"/>
            <w:tcBorders>
              <w:top w:val="nil"/>
              <w:left w:val="single" w:sz="4" w:space="0" w:color="auto"/>
              <w:bottom w:val="nil"/>
              <w:right w:val="single" w:sz="4" w:space="0" w:color="auto"/>
            </w:tcBorders>
            <w:shd w:val="clear" w:color="auto" w:fill="auto"/>
            <w:noWrap/>
            <w:vAlign w:val="bottom"/>
            <w:hideMark/>
          </w:tcPr>
          <w:p w:rsidR="004A6C8E" w:rsidRPr="00B70D8E" w:rsidRDefault="008D5BF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Receivables</w:t>
            </w:r>
            <w:r w:rsidR="004A6C8E" w:rsidRPr="00B70D8E">
              <w:rPr>
                <w:rFonts w:ascii="Arial" w:eastAsia="Times New Roman" w:hAnsi="Arial" w:cs="Arial"/>
                <w:color w:val="000000"/>
                <w:sz w:val="20"/>
                <w:szCs w:val="20"/>
              </w:rPr>
              <w:t xml:space="preserve"> Turnover ratio </w:t>
            </w:r>
          </w:p>
        </w:tc>
        <w:tc>
          <w:tcPr>
            <w:tcW w:w="1106" w:type="dxa"/>
            <w:tcBorders>
              <w:top w:val="nil"/>
              <w:left w:val="nil"/>
              <w:bottom w:val="nil"/>
              <w:right w:val="single" w:sz="4" w:space="0" w:color="auto"/>
            </w:tcBorders>
            <w:shd w:val="clear" w:color="auto" w:fill="auto"/>
            <w:noWrap/>
            <w:vAlign w:val="bottom"/>
            <w:hideMark/>
          </w:tcPr>
          <w:p w:rsidR="004A6C8E" w:rsidRPr="00B70D8E" w:rsidRDefault="00914D26" w:rsidP="00735687">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9.73</w:t>
            </w:r>
          </w:p>
        </w:tc>
        <w:tc>
          <w:tcPr>
            <w:tcW w:w="1313" w:type="dxa"/>
            <w:tcBorders>
              <w:top w:val="nil"/>
              <w:left w:val="nil"/>
              <w:bottom w:val="nil"/>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9.69</w:t>
            </w:r>
          </w:p>
        </w:tc>
        <w:tc>
          <w:tcPr>
            <w:tcW w:w="1116" w:type="dxa"/>
            <w:tcBorders>
              <w:top w:val="nil"/>
              <w:left w:val="nil"/>
              <w:bottom w:val="nil"/>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9.16</w:t>
            </w:r>
          </w:p>
        </w:tc>
        <w:tc>
          <w:tcPr>
            <w:tcW w:w="1116" w:type="dxa"/>
            <w:tcBorders>
              <w:top w:val="nil"/>
              <w:left w:val="nil"/>
              <w:bottom w:val="nil"/>
              <w:right w:val="single" w:sz="4" w:space="0" w:color="auto"/>
            </w:tcBorders>
            <w:shd w:val="clear" w:color="auto" w:fill="auto"/>
            <w:noWrap/>
            <w:vAlign w:val="bottom"/>
            <w:hideMark/>
          </w:tcPr>
          <w:p w:rsidR="004A6C8E"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10.34</w:t>
            </w:r>
          </w:p>
        </w:tc>
        <w:tc>
          <w:tcPr>
            <w:tcW w:w="1116" w:type="dxa"/>
            <w:tcBorders>
              <w:top w:val="nil"/>
              <w:left w:val="nil"/>
              <w:bottom w:val="nil"/>
              <w:right w:val="single" w:sz="4" w:space="0" w:color="auto"/>
            </w:tcBorders>
          </w:tcPr>
          <w:p w:rsidR="00A27F25" w:rsidRPr="00B70D8E" w:rsidRDefault="00A27F25" w:rsidP="00F23A47">
            <w:pPr>
              <w:spacing w:after="0" w:line="240" w:lineRule="auto"/>
              <w:rPr>
                <w:rFonts w:ascii="Arial" w:eastAsia="Times New Roman" w:hAnsi="Arial" w:cs="Arial"/>
                <w:color w:val="000000"/>
                <w:sz w:val="20"/>
                <w:szCs w:val="20"/>
              </w:rPr>
            </w:pPr>
          </w:p>
          <w:p w:rsidR="004A6C8E" w:rsidRPr="00B70D8E" w:rsidRDefault="00A27F25" w:rsidP="00F23A47">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F23A47" w:rsidRPr="00B70D8E">
              <w:rPr>
                <w:rFonts w:ascii="Arial" w:eastAsia="Times New Roman" w:hAnsi="Arial" w:cs="Arial"/>
                <w:color w:val="000000"/>
                <w:sz w:val="20"/>
                <w:szCs w:val="20"/>
              </w:rPr>
              <w:t>11.50</w:t>
            </w:r>
          </w:p>
        </w:tc>
      </w:tr>
      <w:tr w:rsidR="00735687"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auto"/>
            <w:noWrap/>
            <w:vAlign w:val="bottom"/>
          </w:tcPr>
          <w:p w:rsidR="00735687" w:rsidRPr="00B70D8E" w:rsidRDefault="00735687" w:rsidP="007B0691">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Average Account Receivables Turnover (Days)</w:t>
            </w:r>
          </w:p>
        </w:tc>
        <w:tc>
          <w:tcPr>
            <w:tcW w:w="1106" w:type="dxa"/>
            <w:tcBorders>
              <w:top w:val="nil"/>
              <w:left w:val="nil"/>
              <w:bottom w:val="single" w:sz="4" w:space="0" w:color="auto"/>
              <w:right w:val="single" w:sz="4" w:space="0" w:color="auto"/>
            </w:tcBorders>
            <w:shd w:val="clear" w:color="auto" w:fill="auto"/>
            <w:noWrap/>
            <w:vAlign w:val="bottom"/>
          </w:tcPr>
          <w:p w:rsidR="00735687" w:rsidRPr="00B70D8E" w:rsidRDefault="00914D26"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w:t>
            </w:r>
            <w:r w:rsidR="00F23A47" w:rsidRPr="00B70D8E">
              <w:rPr>
                <w:rFonts w:ascii="Arial" w:eastAsia="Times New Roman" w:hAnsi="Arial" w:cs="Arial"/>
                <w:color w:val="000000"/>
                <w:sz w:val="20"/>
                <w:szCs w:val="20"/>
              </w:rPr>
              <w:t>7.51</w:t>
            </w:r>
            <w:r w:rsidRPr="00B70D8E">
              <w:rPr>
                <w:rFonts w:ascii="Arial" w:eastAsia="Times New Roman" w:hAnsi="Arial" w:cs="Arial"/>
                <w:color w:val="000000"/>
                <w:sz w:val="20"/>
                <w:szCs w:val="20"/>
              </w:rPr>
              <w:t xml:space="preserve"> </w:t>
            </w:r>
          </w:p>
        </w:tc>
        <w:tc>
          <w:tcPr>
            <w:tcW w:w="1313" w:type="dxa"/>
            <w:tcBorders>
              <w:top w:val="nil"/>
              <w:left w:val="nil"/>
              <w:bottom w:val="single" w:sz="4" w:space="0" w:color="auto"/>
              <w:right w:val="single" w:sz="4" w:space="0" w:color="auto"/>
            </w:tcBorders>
            <w:shd w:val="clear" w:color="auto" w:fill="auto"/>
            <w:noWrap/>
            <w:vAlign w:val="bottom"/>
          </w:tcPr>
          <w:p w:rsidR="00735687"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37.67</w:t>
            </w:r>
          </w:p>
        </w:tc>
        <w:tc>
          <w:tcPr>
            <w:tcW w:w="1116" w:type="dxa"/>
            <w:tcBorders>
              <w:top w:val="nil"/>
              <w:left w:val="nil"/>
              <w:bottom w:val="single" w:sz="4" w:space="0" w:color="auto"/>
              <w:right w:val="single" w:sz="4" w:space="0" w:color="auto"/>
            </w:tcBorders>
            <w:shd w:val="clear" w:color="auto" w:fill="auto"/>
            <w:noWrap/>
            <w:vAlign w:val="bottom"/>
          </w:tcPr>
          <w:p w:rsidR="00735687"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39.85</w:t>
            </w:r>
          </w:p>
        </w:tc>
        <w:tc>
          <w:tcPr>
            <w:tcW w:w="1116" w:type="dxa"/>
            <w:tcBorders>
              <w:top w:val="nil"/>
              <w:left w:val="nil"/>
              <w:bottom w:val="single" w:sz="4" w:space="0" w:color="auto"/>
              <w:right w:val="single" w:sz="4" w:space="0" w:color="auto"/>
            </w:tcBorders>
            <w:shd w:val="clear" w:color="auto" w:fill="auto"/>
            <w:noWrap/>
            <w:vAlign w:val="bottom"/>
          </w:tcPr>
          <w:p w:rsidR="00735687" w:rsidRPr="00B70D8E" w:rsidRDefault="00F23A47" w:rsidP="009211DB">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35.30</w:t>
            </w:r>
          </w:p>
        </w:tc>
        <w:tc>
          <w:tcPr>
            <w:tcW w:w="1116" w:type="dxa"/>
            <w:tcBorders>
              <w:top w:val="nil"/>
              <w:left w:val="nil"/>
              <w:bottom w:val="single" w:sz="4" w:space="0" w:color="auto"/>
              <w:right w:val="single" w:sz="4" w:space="0" w:color="auto"/>
            </w:tcBorders>
          </w:tcPr>
          <w:p w:rsidR="00A27F25" w:rsidRPr="00B70D8E" w:rsidRDefault="00A27F25" w:rsidP="009211DB">
            <w:pPr>
              <w:spacing w:after="0" w:line="240" w:lineRule="auto"/>
              <w:jc w:val="center"/>
              <w:rPr>
                <w:rFonts w:ascii="Arial" w:eastAsia="Times New Roman" w:hAnsi="Arial" w:cs="Arial"/>
                <w:color w:val="000000"/>
                <w:sz w:val="20"/>
                <w:szCs w:val="20"/>
              </w:rPr>
            </w:pPr>
          </w:p>
          <w:p w:rsidR="00735687" w:rsidRPr="00B70D8E" w:rsidRDefault="00A27F25" w:rsidP="00A27F25">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F23A47" w:rsidRPr="00B70D8E">
              <w:rPr>
                <w:rFonts w:ascii="Arial" w:eastAsia="Times New Roman" w:hAnsi="Arial" w:cs="Arial"/>
                <w:color w:val="000000"/>
                <w:sz w:val="20"/>
                <w:szCs w:val="20"/>
              </w:rPr>
              <w:t>31.74</w:t>
            </w:r>
          </w:p>
        </w:tc>
      </w:tr>
      <w:tr w:rsidR="007E6CE0" w:rsidRPr="00B70D8E" w:rsidTr="007E6CE0">
        <w:trPr>
          <w:trHeight w:val="356"/>
        </w:trPr>
        <w:tc>
          <w:tcPr>
            <w:tcW w:w="11031" w:type="dxa"/>
            <w:gridSpan w:val="6"/>
            <w:tcBorders>
              <w:top w:val="nil"/>
              <w:left w:val="single" w:sz="4" w:space="0" w:color="auto"/>
              <w:bottom w:val="single" w:sz="4" w:space="0" w:color="auto"/>
              <w:right w:val="single" w:sz="4" w:space="0" w:color="auto"/>
            </w:tcBorders>
            <w:shd w:val="clear" w:color="auto" w:fill="auto"/>
            <w:noWrap/>
            <w:vAlign w:val="bottom"/>
          </w:tcPr>
          <w:p w:rsidR="007E6CE0" w:rsidRPr="00B70D8E" w:rsidRDefault="007E6CE0" w:rsidP="009211DB">
            <w:pPr>
              <w:spacing w:after="0" w:line="240" w:lineRule="auto"/>
              <w:jc w:val="center"/>
              <w:rPr>
                <w:rFonts w:ascii="Arial" w:eastAsia="Times New Roman" w:hAnsi="Arial" w:cs="Arial"/>
                <w:color w:val="000000"/>
                <w:sz w:val="20"/>
                <w:szCs w:val="20"/>
              </w:rPr>
            </w:pPr>
          </w:p>
        </w:tc>
      </w:tr>
      <w:tr w:rsidR="00027A18" w:rsidRPr="00B70D8E" w:rsidTr="007E6CE0">
        <w:trPr>
          <w:trHeight w:val="103"/>
        </w:trPr>
        <w:tc>
          <w:tcPr>
            <w:tcW w:w="11031" w:type="dxa"/>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7E6CE0">
            <w:pPr>
              <w:spacing w:after="0" w:line="240" w:lineRule="auto"/>
              <w:jc w:val="center"/>
              <w:rPr>
                <w:rFonts w:ascii="Arial" w:eastAsia="Times New Roman" w:hAnsi="Arial" w:cs="Arial"/>
                <w:b/>
                <w:color w:val="000000"/>
                <w:sz w:val="20"/>
                <w:szCs w:val="20"/>
              </w:rPr>
            </w:pPr>
            <w:r w:rsidRPr="00B70D8E">
              <w:rPr>
                <w:rFonts w:ascii="Arial" w:eastAsia="Times New Roman" w:hAnsi="Arial" w:cs="Arial"/>
                <w:b/>
                <w:color w:val="000000"/>
                <w:sz w:val="20"/>
                <w:szCs w:val="20"/>
              </w:rPr>
              <w:t xml:space="preserve">Creditors Ratio of </w:t>
            </w:r>
            <w:r w:rsidR="001E7ABF" w:rsidRPr="00B70D8E">
              <w:rPr>
                <w:rFonts w:ascii="Arial" w:hAnsi="Arial" w:cs="Arial"/>
                <w:b/>
                <w:sz w:val="20"/>
                <w:szCs w:val="20"/>
              </w:rPr>
              <w:t>Hilton Food Products plc</w:t>
            </w:r>
          </w:p>
        </w:tc>
      </w:tr>
      <w:tr w:rsidR="00027A18" w:rsidRPr="00B70D8E" w:rsidTr="007E6CE0">
        <w:trPr>
          <w:trHeight w:val="356"/>
        </w:trPr>
        <w:tc>
          <w:tcPr>
            <w:tcW w:w="11031" w:type="dxa"/>
            <w:gridSpan w:val="6"/>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Creditors Ratio (in days) = (Average Trade Payables/ Cost of </w:t>
            </w:r>
            <w:r w:rsidR="006A1615" w:rsidRPr="00B70D8E">
              <w:rPr>
                <w:rFonts w:ascii="Arial" w:eastAsia="Times New Roman" w:hAnsi="Arial" w:cs="Arial"/>
                <w:color w:val="000000"/>
                <w:sz w:val="20"/>
                <w:szCs w:val="20"/>
              </w:rPr>
              <w:t>Goods</w:t>
            </w:r>
            <w:r w:rsidRPr="00B70D8E">
              <w:rPr>
                <w:rFonts w:ascii="Arial" w:eastAsia="Times New Roman" w:hAnsi="Arial" w:cs="Arial"/>
                <w:color w:val="000000"/>
                <w:sz w:val="20"/>
                <w:szCs w:val="20"/>
              </w:rPr>
              <w:t xml:space="preserve"> </w:t>
            </w:r>
            <w:r w:rsidR="006A1615" w:rsidRPr="00B70D8E">
              <w:rPr>
                <w:rFonts w:ascii="Arial" w:eastAsia="Times New Roman" w:hAnsi="Arial" w:cs="Arial"/>
                <w:color w:val="000000"/>
                <w:sz w:val="20"/>
                <w:szCs w:val="20"/>
              </w:rPr>
              <w:t>Sold) *</w:t>
            </w:r>
            <w:r w:rsidRPr="00B70D8E">
              <w:rPr>
                <w:rFonts w:ascii="Arial" w:eastAsia="Times New Roman" w:hAnsi="Arial" w:cs="Arial"/>
                <w:color w:val="000000"/>
                <w:sz w:val="20"/>
                <w:szCs w:val="20"/>
              </w:rPr>
              <w:t>365</w:t>
            </w:r>
          </w:p>
        </w:tc>
      </w:tr>
      <w:tr w:rsidR="00027A18"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Year</w:t>
            </w:r>
          </w:p>
        </w:tc>
        <w:tc>
          <w:tcPr>
            <w:tcW w:w="1106" w:type="dxa"/>
            <w:tcBorders>
              <w:top w:val="nil"/>
              <w:left w:val="nil"/>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2012</w:t>
            </w:r>
          </w:p>
        </w:tc>
        <w:tc>
          <w:tcPr>
            <w:tcW w:w="1313" w:type="dxa"/>
            <w:tcBorders>
              <w:top w:val="nil"/>
              <w:left w:val="nil"/>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2013</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2014</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2015</w:t>
            </w:r>
          </w:p>
        </w:tc>
        <w:tc>
          <w:tcPr>
            <w:tcW w:w="1116" w:type="dxa"/>
            <w:tcBorders>
              <w:top w:val="nil"/>
              <w:left w:val="nil"/>
              <w:bottom w:val="single" w:sz="4" w:space="0" w:color="auto"/>
              <w:right w:val="single" w:sz="4" w:space="0" w:color="auto"/>
            </w:tcBorders>
            <w:shd w:val="clear" w:color="auto" w:fill="D9D9D9" w:themeFill="background1" w:themeFillShade="D9"/>
          </w:tcPr>
          <w:p w:rsidR="00027A18" w:rsidRPr="00B70D8E" w:rsidRDefault="00027A18"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2016</w:t>
            </w:r>
          </w:p>
        </w:tc>
      </w:tr>
      <w:tr w:rsidR="00027A18"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auto"/>
            <w:noWrap/>
            <w:vAlign w:val="bottom"/>
            <w:hideMark/>
          </w:tcPr>
          <w:p w:rsidR="00027A18" w:rsidRPr="00B70D8E" w:rsidRDefault="001347CB"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Average Trade payables (in £ million)</w:t>
            </w:r>
          </w:p>
        </w:tc>
        <w:tc>
          <w:tcPr>
            <w:tcW w:w="1106" w:type="dxa"/>
            <w:tcBorders>
              <w:top w:val="nil"/>
              <w:left w:val="nil"/>
              <w:bottom w:val="single" w:sz="4" w:space="0" w:color="auto"/>
              <w:right w:val="single" w:sz="4" w:space="0" w:color="auto"/>
            </w:tcBorders>
            <w:shd w:val="clear" w:color="auto" w:fill="auto"/>
            <w:noWrap/>
            <w:vAlign w:val="bottom"/>
            <w:hideMark/>
          </w:tcPr>
          <w:p w:rsidR="00027A18" w:rsidRPr="00B70D8E" w:rsidRDefault="001E7ABF"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140385</w:t>
            </w:r>
          </w:p>
        </w:tc>
        <w:tc>
          <w:tcPr>
            <w:tcW w:w="1313" w:type="dxa"/>
            <w:tcBorders>
              <w:top w:val="nil"/>
              <w:left w:val="nil"/>
              <w:bottom w:val="single" w:sz="4" w:space="0" w:color="auto"/>
              <w:right w:val="single" w:sz="4" w:space="0" w:color="auto"/>
            </w:tcBorders>
            <w:shd w:val="clear" w:color="auto" w:fill="auto"/>
            <w:noWrap/>
            <w:vAlign w:val="bottom"/>
            <w:hideMark/>
          </w:tcPr>
          <w:p w:rsidR="00027A18" w:rsidRPr="00B70D8E" w:rsidRDefault="00A27F25"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151584.5</w:t>
            </w:r>
          </w:p>
        </w:tc>
        <w:tc>
          <w:tcPr>
            <w:tcW w:w="1116" w:type="dxa"/>
            <w:tcBorders>
              <w:top w:val="nil"/>
              <w:left w:val="nil"/>
              <w:bottom w:val="single" w:sz="4" w:space="0" w:color="auto"/>
              <w:right w:val="single" w:sz="4" w:space="0" w:color="auto"/>
            </w:tcBorders>
            <w:shd w:val="clear" w:color="auto" w:fill="auto"/>
            <w:noWrap/>
            <w:vAlign w:val="bottom"/>
            <w:hideMark/>
          </w:tcPr>
          <w:p w:rsidR="00027A18" w:rsidRPr="00B70D8E" w:rsidRDefault="00A27F25"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159289.5</w:t>
            </w:r>
          </w:p>
        </w:tc>
        <w:tc>
          <w:tcPr>
            <w:tcW w:w="1116" w:type="dxa"/>
            <w:tcBorders>
              <w:top w:val="nil"/>
              <w:left w:val="nil"/>
              <w:bottom w:val="single" w:sz="4" w:space="0" w:color="auto"/>
              <w:right w:val="single" w:sz="4" w:space="0" w:color="auto"/>
            </w:tcBorders>
            <w:shd w:val="clear" w:color="auto" w:fill="auto"/>
            <w:noWrap/>
            <w:vAlign w:val="bottom"/>
            <w:hideMark/>
          </w:tcPr>
          <w:p w:rsidR="00027A18" w:rsidRPr="00B70D8E" w:rsidRDefault="00A27F25"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146859.5</w:t>
            </w:r>
          </w:p>
        </w:tc>
        <w:tc>
          <w:tcPr>
            <w:tcW w:w="1116" w:type="dxa"/>
            <w:tcBorders>
              <w:top w:val="nil"/>
              <w:left w:val="nil"/>
              <w:bottom w:val="single" w:sz="4" w:space="0" w:color="auto"/>
              <w:right w:val="single" w:sz="4" w:space="0" w:color="auto"/>
            </w:tcBorders>
          </w:tcPr>
          <w:p w:rsidR="00A27F25" w:rsidRPr="00B70D8E" w:rsidRDefault="00A27F25" w:rsidP="00027A18">
            <w:pPr>
              <w:spacing w:after="0" w:line="240" w:lineRule="auto"/>
              <w:jc w:val="center"/>
              <w:rPr>
                <w:rFonts w:ascii="Arial" w:eastAsia="Times New Roman" w:hAnsi="Arial" w:cs="Arial"/>
                <w:color w:val="000000"/>
                <w:sz w:val="20"/>
                <w:szCs w:val="20"/>
              </w:rPr>
            </w:pPr>
          </w:p>
          <w:p w:rsidR="00027A18" w:rsidRPr="00B70D8E" w:rsidRDefault="00A27F25" w:rsidP="00027A1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150086.5</w:t>
            </w:r>
          </w:p>
        </w:tc>
      </w:tr>
      <w:tr w:rsidR="002866F8" w:rsidRPr="00B70D8E" w:rsidTr="007E6CE0">
        <w:trPr>
          <w:trHeight w:val="356"/>
        </w:trPr>
        <w:tc>
          <w:tcPr>
            <w:tcW w:w="5264"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rsidR="002866F8" w:rsidRPr="00B70D8E" w:rsidRDefault="002866F8" w:rsidP="002866F8">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Cost of </w:t>
            </w:r>
            <w:r w:rsidR="00452D70" w:rsidRPr="00B70D8E">
              <w:rPr>
                <w:rFonts w:ascii="Arial" w:eastAsia="Times New Roman" w:hAnsi="Arial" w:cs="Arial"/>
                <w:color w:val="000000"/>
                <w:sz w:val="20"/>
                <w:szCs w:val="20"/>
              </w:rPr>
              <w:t>Goods</w:t>
            </w:r>
            <w:r w:rsidRPr="00B70D8E">
              <w:rPr>
                <w:rFonts w:ascii="Arial" w:eastAsia="Times New Roman" w:hAnsi="Arial" w:cs="Arial"/>
                <w:color w:val="000000"/>
                <w:sz w:val="20"/>
                <w:szCs w:val="20"/>
              </w:rPr>
              <w:t xml:space="preserve"> </w:t>
            </w:r>
            <w:r w:rsidR="00216C20" w:rsidRPr="00B70D8E">
              <w:rPr>
                <w:rFonts w:ascii="Arial" w:eastAsia="Times New Roman" w:hAnsi="Arial" w:cs="Arial"/>
                <w:color w:val="000000"/>
                <w:sz w:val="20"/>
                <w:szCs w:val="20"/>
              </w:rPr>
              <w:t>Sold (</w:t>
            </w:r>
            <w:r w:rsidRPr="00B70D8E">
              <w:rPr>
                <w:rFonts w:ascii="Arial" w:eastAsia="Times New Roman" w:hAnsi="Arial" w:cs="Arial"/>
                <w:color w:val="000000"/>
                <w:sz w:val="20"/>
                <w:szCs w:val="20"/>
              </w:rPr>
              <w:t>in £ million)</w:t>
            </w:r>
          </w:p>
        </w:tc>
        <w:tc>
          <w:tcPr>
            <w:tcW w:w="1106" w:type="dxa"/>
            <w:tcBorders>
              <w:top w:val="nil"/>
              <w:left w:val="nil"/>
              <w:bottom w:val="single" w:sz="4" w:space="0" w:color="auto"/>
              <w:right w:val="single" w:sz="4" w:space="0" w:color="auto"/>
            </w:tcBorders>
            <w:shd w:val="clear" w:color="auto" w:fill="D9D9D9" w:themeFill="background1" w:themeFillShade="D9"/>
            <w:noWrap/>
            <w:vAlign w:val="bottom"/>
            <w:hideMark/>
          </w:tcPr>
          <w:p w:rsidR="002866F8" w:rsidRPr="00B70D8E" w:rsidRDefault="001E7ABF"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904755</w:t>
            </w:r>
          </w:p>
        </w:tc>
        <w:tc>
          <w:tcPr>
            <w:tcW w:w="1313" w:type="dxa"/>
            <w:tcBorders>
              <w:top w:val="nil"/>
              <w:left w:val="nil"/>
              <w:bottom w:val="single" w:sz="4" w:space="0" w:color="auto"/>
              <w:right w:val="single" w:sz="4" w:space="0" w:color="auto"/>
            </w:tcBorders>
            <w:shd w:val="clear" w:color="auto" w:fill="D9D9D9" w:themeFill="background1" w:themeFillShade="D9"/>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993257</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966809</w:t>
            </w:r>
          </w:p>
        </w:tc>
        <w:tc>
          <w:tcPr>
            <w:tcW w:w="1116" w:type="dxa"/>
            <w:tcBorders>
              <w:top w:val="nil"/>
              <w:left w:val="nil"/>
              <w:bottom w:val="single" w:sz="4" w:space="0" w:color="auto"/>
              <w:right w:val="single" w:sz="4" w:space="0" w:color="auto"/>
            </w:tcBorders>
            <w:shd w:val="clear" w:color="auto" w:fill="D9D9D9" w:themeFill="background1" w:themeFillShade="D9"/>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957067</w:t>
            </w:r>
          </w:p>
        </w:tc>
        <w:tc>
          <w:tcPr>
            <w:tcW w:w="1116" w:type="dxa"/>
            <w:tcBorders>
              <w:top w:val="nil"/>
              <w:left w:val="nil"/>
              <w:bottom w:val="single" w:sz="4" w:space="0" w:color="auto"/>
              <w:right w:val="single" w:sz="4" w:space="0" w:color="auto"/>
            </w:tcBorders>
            <w:shd w:val="clear" w:color="auto" w:fill="D9D9D9" w:themeFill="background1" w:themeFillShade="D9"/>
          </w:tcPr>
          <w:p w:rsidR="00A27F25" w:rsidRPr="00B70D8E" w:rsidRDefault="00A27F25" w:rsidP="00772542">
            <w:pPr>
              <w:spacing w:after="0" w:line="240" w:lineRule="auto"/>
              <w:rPr>
                <w:rFonts w:ascii="Arial" w:eastAsia="Times New Roman" w:hAnsi="Arial" w:cs="Arial"/>
                <w:color w:val="000000"/>
                <w:sz w:val="20"/>
                <w:szCs w:val="20"/>
              </w:rPr>
            </w:pPr>
          </w:p>
          <w:p w:rsidR="002866F8" w:rsidRPr="00B70D8E" w:rsidRDefault="00A27F25" w:rsidP="00772542">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1083667</w:t>
            </w:r>
          </w:p>
        </w:tc>
      </w:tr>
      <w:tr w:rsidR="002866F8" w:rsidRPr="00B70D8E" w:rsidTr="007E6CE0">
        <w:trPr>
          <w:trHeight w:val="356"/>
        </w:trPr>
        <w:tc>
          <w:tcPr>
            <w:tcW w:w="5264" w:type="dxa"/>
            <w:tcBorders>
              <w:top w:val="nil"/>
              <w:left w:val="single" w:sz="4" w:space="0" w:color="auto"/>
              <w:bottom w:val="nil"/>
              <w:right w:val="single" w:sz="4" w:space="0" w:color="auto"/>
            </w:tcBorders>
            <w:shd w:val="clear" w:color="auto" w:fill="auto"/>
            <w:noWrap/>
            <w:vAlign w:val="bottom"/>
            <w:hideMark/>
          </w:tcPr>
          <w:p w:rsidR="002866F8" w:rsidRPr="00B70D8E" w:rsidRDefault="002866F8"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Creditors Ratio </w:t>
            </w:r>
          </w:p>
        </w:tc>
        <w:tc>
          <w:tcPr>
            <w:tcW w:w="1106" w:type="dxa"/>
            <w:tcBorders>
              <w:top w:val="nil"/>
              <w:left w:val="nil"/>
              <w:bottom w:val="nil"/>
              <w:right w:val="single" w:sz="4" w:space="0" w:color="auto"/>
            </w:tcBorders>
            <w:shd w:val="clear" w:color="auto" w:fill="auto"/>
            <w:noWrap/>
            <w:vAlign w:val="bottom"/>
            <w:hideMark/>
          </w:tcPr>
          <w:p w:rsidR="002866F8" w:rsidRPr="00B70D8E" w:rsidRDefault="00A27F25" w:rsidP="002866F8">
            <w:pPr>
              <w:spacing w:after="0" w:line="240" w:lineRule="auto"/>
              <w:rPr>
                <w:rFonts w:ascii="Arial" w:eastAsia="Times New Roman" w:hAnsi="Arial" w:cs="Arial"/>
                <w:color w:val="000000"/>
                <w:sz w:val="20"/>
                <w:szCs w:val="20"/>
              </w:rPr>
            </w:pPr>
            <w:r w:rsidRPr="00B70D8E">
              <w:rPr>
                <w:rFonts w:ascii="Arial" w:eastAsia="Times New Roman" w:hAnsi="Arial" w:cs="Arial"/>
                <w:color w:val="000000"/>
                <w:sz w:val="20"/>
                <w:szCs w:val="20"/>
              </w:rPr>
              <w:t xml:space="preserve">   </w:t>
            </w:r>
            <w:r w:rsidR="001E7ABF" w:rsidRPr="00B70D8E">
              <w:rPr>
                <w:rFonts w:ascii="Arial" w:eastAsia="Times New Roman" w:hAnsi="Arial" w:cs="Arial"/>
                <w:color w:val="000000"/>
                <w:sz w:val="20"/>
                <w:szCs w:val="20"/>
              </w:rPr>
              <w:t>56.63</w:t>
            </w:r>
          </w:p>
        </w:tc>
        <w:tc>
          <w:tcPr>
            <w:tcW w:w="1313" w:type="dxa"/>
            <w:tcBorders>
              <w:top w:val="nil"/>
              <w:left w:val="nil"/>
              <w:bottom w:val="nil"/>
              <w:right w:val="single" w:sz="4" w:space="0" w:color="auto"/>
            </w:tcBorders>
            <w:shd w:val="clear" w:color="auto" w:fill="auto"/>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55.70</w:t>
            </w:r>
          </w:p>
        </w:tc>
        <w:tc>
          <w:tcPr>
            <w:tcW w:w="1116" w:type="dxa"/>
            <w:tcBorders>
              <w:top w:val="nil"/>
              <w:left w:val="nil"/>
              <w:bottom w:val="nil"/>
              <w:right w:val="single" w:sz="4" w:space="0" w:color="auto"/>
            </w:tcBorders>
            <w:shd w:val="clear" w:color="auto" w:fill="auto"/>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60.14</w:t>
            </w:r>
          </w:p>
        </w:tc>
        <w:tc>
          <w:tcPr>
            <w:tcW w:w="1116" w:type="dxa"/>
            <w:tcBorders>
              <w:top w:val="nil"/>
              <w:left w:val="nil"/>
              <w:bottom w:val="nil"/>
              <w:right w:val="single" w:sz="4" w:space="0" w:color="auto"/>
            </w:tcBorders>
            <w:shd w:val="clear" w:color="auto" w:fill="auto"/>
            <w:noWrap/>
            <w:vAlign w:val="bottom"/>
            <w:hideMark/>
          </w:tcPr>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56</w:t>
            </w:r>
          </w:p>
        </w:tc>
        <w:tc>
          <w:tcPr>
            <w:tcW w:w="1116" w:type="dxa"/>
            <w:tcBorders>
              <w:top w:val="nil"/>
              <w:left w:val="nil"/>
              <w:bottom w:val="nil"/>
              <w:right w:val="single" w:sz="4" w:space="0" w:color="auto"/>
            </w:tcBorders>
          </w:tcPr>
          <w:p w:rsidR="00A27F25" w:rsidRPr="00B70D8E" w:rsidRDefault="00A27F25" w:rsidP="002866F8">
            <w:pPr>
              <w:spacing w:after="0" w:line="240" w:lineRule="auto"/>
              <w:jc w:val="center"/>
              <w:rPr>
                <w:rFonts w:ascii="Arial" w:eastAsia="Times New Roman" w:hAnsi="Arial" w:cs="Arial"/>
                <w:color w:val="000000"/>
                <w:sz w:val="20"/>
                <w:szCs w:val="20"/>
              </w:rPr>
            </w:pPr>
          </w:p>
          <w:p w:rsidR="002866F8" w:rsidRPr="00B70D8E" w:rsidRDefault="00A27F25" w:rsidP="002866F8">
            <w:pPr>
              <w:spacing w:after="0" w:line="240" w:lineRule="auto"/>
              <w:jc w:val="center"/>
              <w:rPr>
                <w:rFonts w:ascii="Arial" w:eastAsia="Times New Roman" w:hAnsi="Arial" w:cs="Arial"/>
                <w:color w:val="000000"/>
                <w:sz w:val="20"/>
                <w:szCs w:val="20"/>
              </w:rPr>
            </w:pPr>
            <w:r w:rsidRPr="00B70D8E">
              <w:rPr>
                <w:rFonts w:ascii="Arial" w:eastAsia="Times New Roman" w:hAnsi="Arial" w:cs="Arial"/>
                <w:color w:val="000000"/>
                <w:sz w:val="20"/>
                <w:szCs w:val="20"/>
              </w:rPr>
              <w:t>50.55</w:t>
            </w:r>
          </w:p>
        </w:tc>
      </w:tr>
      <w:tr w:rsidR="002866F8" w:rsidRPr="00B70D8E" w:rsidTr="007E6CE0">
        <w:trPr>
          <w:trHeight w:val="80"/>
        </w:trPr>
        <w:tc>
          <w:tcPr>
            <w:tcW w:w="5264" w:type="dxa"/>
            <w:tcBorders>
              <w:top w:val="nil"/>
              <w:left w:val="single" w:sz="4" w:space="0" w:color="auto"/>
              <w:bottom w:val="single" w:sz="4" w:space="0" w:color="auto"/>
              <w:right w:val="single" w:sz="4" w:space="0" w:color="auto"/>
            </w:tcBorders>
            <w:shd w:val="clear" w:color="auto" w:fill="auto"/>
            <w:noWrap/>
            <w:vAlign w:val="bottom"/>
          </w:tcPr>
          <w:p w:rsidR="002866F8" w:rsidRPr="00B70D8E" w:rsidRDefault="002866F8" w:rsidP="002866F8">
            <w:pPr>
              <w:spacing w:after="0" w:line="240" w:lineRule="auto"/>
              <w:rPr>
                <w:rFonts w:ascii="Arial" w:eastAsia="Times New Roman" w:hAnsi="Arial" w:cs="Arial"/>
                <w:color w:val="000000"/>
                <w:sz w:val="20"/>
                <w:szCs w:val="20"/>
              </w:rPr>
            </w:pPr>
          </w:p>
        </w:tc>
        <w:tc>
          <w:tcPr>
            <w:tcW w:w="1106" w:type="dxa"/>
            <w:tcBorders>
              <w:top w:val="nil"/>
              <w:left w:val="nil"/>
              <w:bottom w:val="single" w:sz="4" w:space="0" w:color="auto"/>
              <w:right w:val="single" w:sz="4" w:space="0" w:color="auto"/>
            </w:tcBorders>
            <w:shd w:val="clear" w:color="auto" w:fill="auto"/>
            <w:noWrap/>
            <w:vAlign w:val="bottom"/>
          </w:tcPr>
          <w:p w:rsidR="002866F8" w:rsidRPr="00B70D8E" w:rsidRDefault="002866F8" w:rsidP="002866F8">
            <w:pPr>
              <w:spacing w:after="0" w:line="240" w:lineRule="auto"/>
              <w:jc w:val="center"/>
              <w:rPr>
                <w:rFonts w:ascii="Arial" w:eastAsia="Times New Roman" w:hAnsi="Arial" w:cs="Arial"/>
                <w:color w:val="000000"/>
                <w:sz w:val="20"/>
                <w:szCs w:val="20"/>
              </w:rPr>
            </w:pPr>
          </w:p>
        </w:tc>
        <w:tc>
          <w:tcPr>
            <w:tcW w:w="1313" w:type="dxa"/>
            <w:tcBorders>
              <w:top w:val="nil"/>
              <w:left w:val="nil"/>
              <w:bottom w:val="single" w:sz="4" w:space="0" w:color="auto"/>
              <w:right w:val="single" w:sz="4" w:space="0" w:color="auto"/>
            </w:tcBorders>
            <w:shd w:val="clear" w:color="auto" w:fill="auto"/>
            <w:noWrap/>
            <w:vAlign w:val="bottom"/>
          </w:tcPr>
          <w:p w:rsidR="002866F8" w:rsidRPr="00B70D8E" w:rsidRDefault="002866F8" w:rsidP="002866F8">
            <w:pPr>
              <w:spacing w:after="0" w:line="240" w:lineRule="auto"/>
              <w:jc w:val="center"/>
              <w:rPr>
                <w:rFonts w:ascii="Arial" w:eastAsia="Times New Roman" w:hAnsi="Arial" w:cs="Arial"/>
                <w:color w:val="000000"/>
                <w:sz w:val="20"/>
                <w:szCs w:val="20"/>
              </w:rPr>
            </w:pPr>
          </w:p>
        </w:tc>
        <w:tc>
          <w:tcPr>
            <w:tcW w:w="1116" w:type="dxa"/>
            <w:tcBorders>
              <w:top w:val="nil"/>
              <w:left w:val="nil"/>
              <w:bottom w:val="single" w:sz="4" w:space="0" w:color="auto"/>
              <w:right w:val="single" w:sz="4" w:space="0" w:color="auto"/>
            </w:tcBorders>
            <w:shd w:val="clear" w:color="auto" w:fill="auto"/>
            <w:noWrap/>
            <w:vAlign w:val="bottom"/>
          </w:tcPr>
          <w:p w:rsidR="002866F8" w:rsidRPr="00B70D8E" w:rsidRDefault="002866F8" w:rsidP="002866F8">
            <w:pPr>
              <w:spacing w:after="0" w:line="240" w:lineRule="auto"/>
              <w:jc w:val="center"/>
              <w:rPr>
                <w:rFonts w:ascii="Arial" w:eastAsia="Times New Roman" w:hAnsi="Arial" w:cs="Arial"/>
                <w:color w:val="000000"/>
                <w:sz w:val="20"/>
                <w:szCs w:val="20"/>
              </w:rPr>
            </w:pPr>
          </w:p>
        </w:tc>
        <w:tc>
          <w:tcPr>
            <w:tcW w:w="1116" w:type="dxa"/>
            <w:tcBorders>
              <w:top w:val="nil"/>
              <w:left w:val="nil"/>
              <w:bottom w:val="single" w:sz="4" w:space="0" w:color="auto"/>
              <w:right w:val="single" w:sz="4" w:space="0" w:color="auto"/>
            </w:tcBorders>
            <w:shd w:val="clear" w:color="auto" w:fill="auto"/>
            <w:noWrap/>
            <w:vAlign w:val="bottom"/>
          </w:tcPr>
          <w:p w:rsidR="002866F8" w:rsidRPr="00B70D8E" w:rsidRDefault="002866F8" w:rsidP="002866F8">
            <w:pPr>
              <w:spacing w:after="0" w:line="240" w:lineRule="auto"/>
              <w:jc w:val="center"/>
              <w:rPr>
                <w:rFonts w:ascii="Arial" w:eastAsia="Times New Roman" w:hAnsi="Arial" w:cs="Arial"/>
                <w:color w:val="000000"/>
                <w:sz w:val="20"/>
                <w:szCs w:val="20"/>
              </w:rPr>
            </w:pPr>
          </w:p>
        </w:tc>
        <w:tc>
          <w:tcPr>
            <w:tcW w:w="1116" w:type="dxa"/>
            <w:tcBorders>
              <w:top w:val="nil"/>
              <w:left w:val="nil"/>
              <w:bottom w:val="single" w:sz="4" w:space="0" w:color="auto"/>
              <w:right w:val="single" w:sz="4" w:space="0" w:color="auto"/>
            </w:tcBorders>
          </w:tcPr>
          <w:p w:rsidR="002866F8" w:rsidRPr="00B70D8E" w:rsidRDefault="002866F8" w:rsidP="002866F8">
            <w:pPr>
              <w:spacing w:after="0" w:line="240" w:lineRule="auto"/>
              <w:jc w:val="center"/>
              <w:rPr>
                <w:rFonts w:ascii="Arial" w:eastAsia="Times New Roman" w:hAnsi="Arial" w:cs="Arial"/>
                <w:color w:val="000000"/>
                <w:sz w:val="20"/>
                <w:szCs w:val="20"/>
              </w:rPr>
            </w:pPr>
          </w:p>
        </w:tc>
      </w:tr>
    </w:tbl>
    <w:p w:rsidR="00027A18" w:rsidRPr="00B70D8E" w:rsidRDefault="00027A18" w:rsidP="001276B0">
      <w:pPr>
        <w:rPr>
          <w:rFonts w:ascii="Arial" w:hAnsi="Arial" w:cs="Arial"/>
          <w:b/>
          <w:sz w:val="20"/>
          <w:szCs w:val="20"/>
        </w:rPr>
      </w:pPr>
    </w:p>
    <w:p w:rsidR="001276B0" w:rsidRPr="00B70D8E" w:rsidRDefault="001276B0" w:rsidP="001276B0">
      <w:pPr>
        <w:rPr>
          <w:rFonts w:ascii="Arial" w:hAnsi="Arial" w:cs="Arial"/>
          <w:b/>
          <w:sz w:val="20"/>
          <w:szCs w:val="20"/>
        </w:rPr>
      </w:pPr>
      <w:r w:rsidRPr="00B70D8E">
        <w:rPr>
          <w:rFonts w:ascii="Arial" w:hAnsi="Arial" w:cs="Arial"/>
          <w:b/>
          <w:sz w:val="20"/>
          <w:szCs w:val="20"/>
        </w:rPr>
        <w:t>Note</w:t>
      </w:r>
      <w:r w:rsidR="006C6330" w:rsidRPr="00B70D8E">
        <w:rPr>
          <w:rFonts w:ascii="Arial" w:hAnsi="Arial" w:cs="Arial"/>
          <w:b/>
          <w:sz w:val="20"/>
          <w:szCs w:val="20"/>
        </w:rPr>
        <w:t>1:</w:t>
      </w:r>
      <w:r w:rsidRPr="00B70D8E">
        <w:rPr>
          <w:rFonts w:ascii="Arial" w:hAnsi="Arial" w:cs="Arial"/>
          <w:b/>
          <w:sz w:val="20"/>
          <w:szCs w:val="20"/>
        </w:rPr>
        <w:t xml:space="preserve"> Average Inventory is calculated by </w:t>
      </w:r>
      <w:r w:rsidR="006C6330" w:rsidRPr="00B70D8E">
        <w:rPr>
          <w:rFonts w:ascii="Arial" w:hAnsi="Arial" w:cs="Arial"/>
          <w:b/>
          <w:sz w:val="20"/>
          <w:szCs w:val="20"/>
        </w:rPr>
        <w:t>using following</w:t>
      </w:r>
      <w:r w:rsidRPr="00B70D8E">
        <w:rPr>
          <w:rFonts w:ascii="Arial" w:hAnsi="Arial" w:cs="Arial"/>
          <w:b/>
          <w:sz w:val="20"/>
          <w:szCs w:val="20"/>
        </w:rPr>
        <w:t xml:space="preserve"> formula;</w:t>
      </w:r>
    </w:p>
    <w:p w:rsidR="001276B0" w:rsidRPr="00B70D8E" w:rsidRDefault="001276B0" w:rsidP="001276B0">
      <w:pPr>
        <w:rPr>
          <w:rFonts w:ascii="Arial" w:hAnsi="Arial" w:cs="Arial"/>
          <w:b/>
          <w:sz w:val="20"/>
          <w:szCs w:val="20"/>
        </w:rPr>
      </w:pPr>
      <w:r w:rsidRPr="00B70D8E">
        <w:rPr>
          <w:rFonts w:ascii="Arial" w:hAnsi="Arial" w:cs="Arial"/>
          <w:b/>
          <w:sz w:val="20"/>
          <w:szCs w:val="20"/>
        </w:rPr>
        <w:lastRenderedPageBreak/>
        <w:t>Average Inventory = (Inventory at the end of the current Financial Year+ Inventory at the end of the previous financial year)/2</w:t>
      </w:r>
    </w:p>
    <w:p w:rsidR="008D5BF7" w:rsidRPr="00B70D8E" w:rsidRDefault="008D5BF7" w:rsidP="008D5BF7">
      <w:pPr>
        <w:rPr>
          <w:rFonts w:ascii="Arial" w:hAnsi="Arial" w:cs="Arial"/>
          <w:b/>
          <w:sz w:val="20"/>
          <w:szCs w:val="20"/>
        </w:rPr>
      </w:pPr>
      <w:bookmarkStart w:id="2" w:name="_Toc491634992"/>
      <w:r w:rsidRPr="00B70D8E">
        <w:rPr>
          <w:rFonts w:ascii="Arial" w:hAnsi="Arial" w:cs="Arial"/>
          <w:b/>
          <w:sz w:val="20"/>
          <w:szCs w:val="20"/>
        </w:rPr>
        <w:t>Note</w:t>
      </w:r>
      <w:r w:rsidR="006C6330" w:rsidRPr="00B70D8E">
        <w:rPr>
          <w:rFonts w:ascii="Arial" w:hAnsi="Arial" w:cs="Arial"/>
          <w:b/>
          <w:sz w:val="20"/>
          <w:szCs w:val="20"/>
        </w:rPr>
        <w:t>2:</w:t>
      </w:r>
      <w:r w:rsidRPr="00B70D8E">
        <w:rPr>
          <w:rFonts w:ascii="Arial" w:hAnsi="Arial" w:cs="Arial"/>
          <w:b/>
          <w:sz w:val="20"/>
          <w:szCs w:val="20"/>
        </w:rPr>
        <w:t xml:space="preserve"> Average accounts receivables is calculated by </w:t>
      </w:r>
      <w:r w:rsidR="006C6330" w:rsidRPr="00B70D8E">
        <w:rPr>
          <w:rFonts w:ascii="Arial" w:hAnsi="Arial" w:cs="Arial"/>
          <w:b/>
          <w:sz w:val="20"/>
          <w:szCs w:val="20"/>
        </w:rPr>
        <w:t>using following</w:t>
      </w:r>
      <w:r w:rsidRPr="00B70D8E">
        <w:rPr>
          <w:rFonts w:ascii="Arial" w:hAnsi="Arial" w:cs="Arial"/>
          <w:b/>
          <w:sz w:val="20"/>
          <w:szCs w:val="20"/>
        </w:rPr>
        <w:t xml:space="preserve"> formula;</w:t>
      </w:r>
    </w:p>
    <w:p w:rsidR="008D5BF7" w:rsidRDefault="008D5BF7" w:rsidP="008D5BF7">
      <w:pPr>
        <w:rPr>
          <w:rFonts w:ascii="Arial" w:hAnsi="Arial" w:cs="Arial"/>
          <w:b/>
          <w:sz w:val="20"/>
          <w:szCs w:val="20"/>
        </w:rPr>
      </w:pPr>
      <w:r w:rsidRPr="00B70D8E">
        <w:rPr>
          <w:rFonts w:ascii="Arial" w:hAnsi="Arial" w:cs="Arial"/>
          <w:b/>
          <w:sz w:val="20"/>
          <w:szCs w:val="20"/>
        </w:rPr>
        <w:t xml:space="preserve">Average accounts receivables = (accounts </w:t>
      </w:r>
      <w:r w:rsidR="00C04342" w:rsidRPr="00B70D8E">
        <w:rPr>
          <w:rFonts w:ascii="Arial" w:hAnsi="Arial" w:cs="Arial"/>
          <w:b/>
          <w:sz w:val="20"/>
          <w:szCs w:val="20"/>
        </w:rPr>
        <w:t>receivables at</w:t>
      </w:r>
      <w:r w:rsidRPr="00B70D8E">
        <w:rPr>
          <w:rFonts w:ascii="Arial" w:hAnsi="Arial" w:cs="Arial"/>
          <w:b/>
          <w:sz w:val="20"/>
          <w:szCs w:val="20"/>
        </w:rPr>
        <w:t xml:space="preserve"> the end of the current Financial Year+ accounts receivables at the end of the previous financial year)/2</w:t>
      </w:r>
    </w:p>
    <w:p w:rsidR="00B70D8E" w:rsidRDefault="00B70D8E" w:rsidP="008D5BF7">
      <w:pPr>
        <w:rPr>
          <w:rFonts w:ascii="Arial" w:hAnsi="Arial" w:cs="Arial"/>
          <w:b/>
          <w:sz w:val="20"/>
          <w:szCs w:val="20"/>
        </w:rPr>
      </w:pPr>
    </w:p>
    <w:p w:rsidR="00174409" w:rsidRPr="00B70D8E" w:rsidRDefault="00174409" w:rsidP="008D5BF7">
      <w:pPr>
        <w:rPr>
          <w:rFonts w:ascii="Arial" w:hAnsi="Arial" w:cs="Arial"/>
          <w:b/>
          <w:sz w:val="20"/>
          <w:szCs w:val="20"/>
        </w:rPr>
      </w:pPr>
    </w:p>
    <w:p w:rsidR="00607C2A" w:rsidRPr="00B70D8E" w:rsidRDefault="00607C2A" w:rsidP="00B70D8E">
      <w:pPr>
        <w:pStyle w:val="ListParagraph"/>
        <w:numPr>
          <w:ilvl w:val="0"/>
          <w:numId w:val="5"/>
        </w:numPr>
        <w:rPr>
          <w:rFonts w:ascii="Arial" w:hAnsi="Arial" w:cs="Arial"/>
          <w:b/>
          <w:sz w:val="20"/>
          <w:szCs w:val="20"/>
          <w:u w:val="single"/>
        </w:rPr>
      </w:pPr>
      <w:r w:rsidRPr="00B70D8E">
        <w:rPr>
          <w:rFonts w:ascii="Arial" w:hAnsi="Arial" w:cs="Arial"/>
          <w:b/>
          <w:sz w:val="20"/>
          <w:szCs w:val="20"/>
          <w:u w:val="single"/>
        </w:rPr>
        <w:t>T</w:t>
      </w:r>
      <w:r w:rsidRPr="00B70D8E">
        <w:rPr>
          <w:rFonts w:ascii="Arial" w:hAnsi="Arial" w:cs="Arial"/>
          <w:b/>
          <w:color w:val="0070C0"/>
          <w:sz w:val="20"/>
          <w:szCs w:val="20"/>
          <w:u w:val="single"/>
        </w:rPr>
        <w:t xml:space="preserve">he </w:t>
      </w:r>
      <w:r w:rsidR="009E3C30" w:rsidRPr="00B70D8E">
        <w:rPr>
          <w:rFonts w:ascii="Arial" w:hAnsi="Arial" w:cs="Arial"/>
          <w:b/>
          <w:color w:val="0070C0"/>
          <w:sz w:val="20"/>
          <w:szCs w:val="20"/>
          <w:u w:val="single"/>
        </w:rPr>
        <w:t xml:space="preserve">Ratio </w:t>
      </w:r>
      <w:r w:rsidRPr="00B70D8E">
        <w:rPr>
          <w:rFonts w:ascii="Arial" w:hAnsi="Arial" w:cs="Arial"/>
          <w:b/>
          <w:color w:val="0070C0"/>
          <w:sz w:val="20"/>
          <w:szCs w:val="20"/>
          <w:u w:val="single"/>
        </w:rPr>
        <w:t xml:space="preserve">Comparison between </w:t>
      </w:r>
      <w:r w:rsidR="00C04342" w:rsidRPr="00B70D8E">
        <w:rPr>
          <w:rFonts w:ascii="Arial" w:hAnsi="Arial" w:cs="Arial"/>
          <w:b/>
          <w:color w:val="0070C0"/>
          <w:sz w:val="20"/>
          <w:szCs w:val="20"/>
          <w:u w:val="single"/>
        </w:rPr>
        <w:t>HILTON FOOD PLC</w:t>
      </w:r>
      <w:r w:rsidRPr="00B70D8E">
        <w:rPr>
          <w:rFonts w:ascii="Arial" w:hAnsi="Arial" w:cs="Arial"/>
          <w:b/>
          <w:color w:val="0070C0"/>
          <w:sz w:val="20"/>
          <w:szCs w:val="20"/>
          <w:u w:val="single"/>
        </w:rPr>
        <w:t xml:space="preserve"> VERSUS </w:t>
      </w:r>
      <w:r w:rsidR="00C04342" w:rsidRPr="00B70D8E">
        <w:rPr>
          <w:rFonts w:ascii="Arial" w:hAnsi="Arial" w:cs="Arial"/>
          <w:b/>
          <w:color w:val="0070C0"/>
          <w:sz w:val="20"/>
          <w:szCs w:val="20"/>
          <w:u w:val="single"/>
        </w:rPr>
        <w:t>RPC GROUP</w:t>
      </w:r>
      <w:r w:rsidRPr="00B70D8E">
        <w:rPr>
          <w:rFonts w:ascii="Arial" w:hAnsi="Arial" w:cs="Arial"/>
          <w:b/>
          <w:color w:val="0070C0"/>
          <w:sz w:val="20"/>
          <w:szCs w:val="20"/>
          <w:u w:val="single"/>
        </w:rPr>
        <w:t xml:space="preserve"> PL</w:t>
      </w:r>
      <w:r w:rsidR="00780F2C">
        <w:rPr>
          <w:rFonts w:ascii="Arial" w:hAnsi="Arial" w:cs="Arial"/>
          <w:b/>
          <w:color w:val="0070C0"/>
          <w:sz w:val="20"/>
          <w:szCs w:val="20"/>
          <w:u w:val="single"/>
        </w:rPr>
        <w:t>C</w:t>
      </w:r>
    </w:p>
    <w:tbl>
      <w:tblPr>
        <w:tblStyle w:val="TableGrid"/>
        <w:tblW w:w="0" w:type="auto"/>
        <w:tblLook w:val="04A0" w:firstRow="1" w:lastRow="0" w:firstColumn="1" w:lastColumn="0" w:noHBand="0" w:noVBand="1"/>
      </w:tblPr>
      <w:tblGrid>
        <w:gridCol w:w="3005"/>
        <w:gridCol w:w="3005"/>
        <w:gridCol w:w="3006"/>
      </w:tblGrid>
      <w:tr w:rsidR="00607C2A" w:rsidRPr="00B70D8E" w:rsidTr="007B479F">
        <w:tc>
          <w:tcPr>
            <w:tcW w:w="3005" w:type="dxa"/>
          </w:tcPr>
          <w:p w:rsidR="00607C2A" w:rsidRPr="00B70D8E" w:rsidRDefault="00607C2A" w:rsidP="007B479F">
            <w:pPr>
              <w:rPr>
                <w:rFonts w:ascii="Arial" w:hAnsi="Arial" w:cs="Arial"/>
                <w:b/>
                <w:sz w:val="20"/>
                <w:szCs w:val="20"/>
              </w:rPr>
            </w:pPr>
            <w:r w:rsidRPr="00B70D8E">
              <w:rPr>
                <w:rFonts w:ascii="Arial" w:hAnsi="Arial" w:cs="Arial"/>
                <w:b/>
                <w:sz w:val="20"/>
                <w:szCs w:val="20"/>
              </w:rPr>
              <w:t>RATIO</w:t>
            </w:r>
          </w:p>
        </w:tc>
        <w:tc>
          <w:tcPr>
            <w:tcW w:w="3005" w:type="dxa"/>
          </w:tcPr>
          <w:p w:rsidR="00607C2A" w:rsidRPr="00B70D8E" w:rsidRDefault="00C04342" w:rsidP="007B479F">
            <w:pPr>
              <w:rPr>
                <w:rFonts w:ascii="Arial" w:hAnsi="Arial" w:cs="Arial"/>
                <w:b/>
                <w:sz w:val="20"/>
                <w:szCs w:val="20"/>
              </w:rPr>
            </w:pPr>
            <w:r w:rsidRPr="00B70D8E">
              <w:rPr>
                <w:rFonts w:ascii="Arial" w:hAnsi="Arial" w:cs="Arial"/>
                <w:b/>
                <w:sz w:val="20"/>
                <w:szCs w:val="20"/>
              </w:rPr>
              <w:t>HILTON FOOD PLC</w:t>
            </w:r>
            <w:r w:rsidR="00607C2A" w:rsidRPr="00B70D8E">
              <w:rPr>
                <w:rFonts w:ascii="Arial" w:hAnsi="Arial" w:cs="Arial"/>
                <w:b/>
                <w:sz w:val="20"/>
                <w:szCs w:val="20"/>
              </w:rPr>
              <w:t xml:space="preserve"> (2016)</w:t>
            </w:r>
          </w:p>
        </w:tc>
        <w:tc>
          <w:tcPr>
            <w:tcW w:w="3006" w:type="dxa"/>
          </w:tcPr>
          <w:p w:rsidR="00607C2A" w:rsidRPr="00B70D8E" w:rsidRDefault="00607C2A" w:rsidP="007B479F">
            <w:pPr>
              <w:rPr>
                <w:rFonts w:ascii="Arial" w:hAnsi="Arial" w:cs="Arial"/>
                <w:b/>
                <w:sz w:val="20"/>
                <w:szCs w:val="20"/>
              </w:rPr>
            </w:pPr>
            <w:r w:rsidRPr="00B70D8E">
              <w:rPr>
                <w:rFonts w:ascii="Arial" w:hAnsi="Arial" w:cs="Arial"/>
                <w:b/>
                <w:sz w:val="20"/>
                <w:szCs w:val="20"/>
              </w:rPr>
              <w:t xml:space="preserve"> </w:t>
            </w:r>
            <w:r w:rsidR="00C04342" w:rsidRPr="00B70D8E">
              <w:rPr>
                <w:rFonts w:ascii="Arial" w:hAnsi="Arial" w:cs="Arial"/>
                <w:b/>
                <w:sz w:val="20"/>
                <w:szCs w:val="20"/>
              </w:rPr>
              <w:t>RPC GROUP PLC</w:t>
            </w:r>
            <w:r w:rsidRPr="00B70D8E">
              <w:rPr>
                <w:rFonts w:ascii="Arial" w:hAnsi="Arial" w:cs="Arial"/>
                <w:b/>
                <w:sz w:val="20"/>
                <w:szCs w:val="20"/>
              </w:rPr>
              <w:t xml:space="preserve"> (2016) </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Current Ratio</w:t>
            </w:r>
          </w:p>
        </w:tc>
        <w:tc>
          <w:tcPr>
            <w:tcW w:w="3005" w:type="dxa"/>
          </w:tcPr>
          <w:p w:rsidR="00607C2A" w:rsidRPr="00B70D8E" w:rsidRDefault="001630BF" w:rsidP="007B479F">
            <w:pPr>
              <w:rPr>
                <w:rFonts w:ascii="Arial" w:hAnsi="Arial" w:cs="Arial"/>
                <w:sz w:val="20"/>
                <w:szCs w:val="20"/>
              </w:rPr>
            </w:pPr>
            <w:r w:rsidRPr="00B70D8E">
              <w:rPr>
                <w:rFonts w:ascii="Arial" w:hAnsi="Arial" w:cs="Arial"/>
                <w:sz w:val="20"/>
                <w:szCs w:val="20"/>
              </w:rPr>
              <w:t>1.17</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1.09</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Cash Ratio</w:t>
            </w:r>
          </w:p>
        </w:tc>
        <w:tc>
          <w:tcPr>
            <w:tcW w:w="3005" w:type="dxa"/>
          </w:tcPr>
          <w:p w:rsidR="00607C2A" w:rsidRPr="00B70D8E" w:rsidRDefault="001630BF" w:rsidP="007B479F">
            <w:pPr>
              <w:rPr>
                <w:rFonts w:ascii="Arial" w:hAnsi="Arial" w:cs="Arial"/>
                <w:sz w:val="20"/>
                <w:szCs w:val="20"/>
              </w:rPr>
            </w:pPr>
            <w:r w:rsidRPr="00B70D8E">
              <w:rPr>
                <w:rFonts w:ascii="Arial" w:hAnsi="Arial" w:cs="Arial"/>
                <w:sz w:val="20"/>
                <w:szCs w:val="20"/>
              </w:rPr>
              <w:t>0.34</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0.18</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Operating Margin Ratio</w:t>
            </w:r>
          </w:p>
        </w:tc>
        <w:tc>
          <w:tcPr>
            <w:tcW w:w="3005" w:type="dxa"/>
          </w:tcPr>
          <w:p w:rsidR="00607C2A" w:rsidRPr="00B70D8E" w:rsidRDefault="007B479F" w:rsidP="007B479F">
            <w:pPr>
              <w:rPr>
                <w:rFonts w:ascii="Arial" w:hAnsi="Arial" w:cs="Arial"/>
                <w:sz w:val="20"/>
                <w:szCs w:val="20"/>
              </w:rPr>
            </w:pPr>
            <w:r w:rsidRPr="00B70D8E">
              <w:rPr>
                <w:rFonts w:ascii="Arial" w:hAnsi="Arial" w:cs="Arial"/>
                <w:sz w:val="20"/>
                <w:szCs w:val="20"/>
              </w:rPr>
              <w:t>2.78</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5.80%</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Net Margin Ratio</w:t>
            </w:r>
          </w:p>
        </w:tc>
        <w:tc>
          <w:tcPr>
            <w:tcW w:w="3005" w:type="dxa"/>
          </w:tcPr>
          <w:p w:rsidR="00607C2A" w:rsidRPr="00B70D8E" w:rsidRDefault="007B479F" w:rsidP="007B479F">
            <w:pPr>
              <w:rPr>
                <w:rFonts w:ascii="Arial" w:hAnsi="Arial" w:cs="Arial"/>
                <w:sz w:val="20"/>
                <w:szCs w:val="20"/>
              </w:rPr>
            </w:pPr>
            <w:r w:rsidRPr="00B70D8E">
              <w:rPr>
                <w:rFonts w:ascii="Arial" w:hAnsi="Arial" w:cs="Arial"/>
                <w:sz w:val="20"/>
                <w:szCs w:val="20"/>
              </w:rPr>
              <w:t>2.16</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3.34%</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Debt Ratio</w:t>
            </w:r>
          </w:p>
        </w:tc>
        <w:tc>
          <w:tcPr>
            <w:tcW w:w="3005" w:type="dxa"/>
          </w:tcPr>
          <w:p w:rsidR="00607C2A" w:rsidRPr="00B70D8E" w:rsidRDefault="007B479F" w:rsidP="007B479F">
            <w:pPr>
              <w:rPr>
                <w:rFonts w:ascii="Arial" w:hAnsi="Arial" w:cs="Arial"/>
                <w:sz w:val="20"/>
                <w:szCs w:val="20"/>
              </w:rPr>
            </w:pPr>
            <w:r w:rsidRPr="00B70D8E">
              <w:rPr>
                <w:rFonts w:ascii="Arial" w:hAnsi="Arial" w:cs="Arial"/>
                <w:sz w:val="20"/>
                <w:szCs w:val="20"/>
              </w:rPr>
              <w:t>0.67</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0.70</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Debt-Equity Ratio</w:t>
            </w:r>
          </w:p>
        </w:tc>
        <w:tc>
          <w:tcPr>
            <w:tcW w:w="3005" w:type="dxa"/>
          </w:tcPr>
          <w:p w:rsidR="00607C2A" w:rsidRPr="00B70D8E" w:rsidRDefault="007B479F" w:rsidP="007B479F">
            <w:pPr>
              <w:rPr>
                <w:rFonts w:ascii="Arial" w:hAnsi="Arial" w:cs="Arial"/>
                <w:sz w:val="20"/>
                <w:szCs w:val="20"/>
              </w:rPr>
            </w:pPr>
            <w:r w:rsidRPr="00B70D8E">
              <w:rPr>
                <w:rFonts w:ascii="Arial" w:hAnsi="Arial" w:cs="Arial"/>
                <w:sz w:val="20"/>
                <w:szCs w:val="20"/>
              </w:rPr>
              <w:t>2.02</w:t>
            </w:r>
          </w:p>
        </w:tc>
        <w:tc>
          <w:tcPr>
            <w:tcW w:w="3006" w:type="dxa"/>
          </w:tcPr>
          <w:p w:rsidR="00607C2A" w:rsidRPr="00B70D8E" w:rsidRDefault="00FC6DCB" w:rsidP="007B479F">
            <w:pPr>
              <w:rPr>
                <w:rFonts w:ascii="Arial" w:hAnsi="Arial" w:cs="Arial"/>
                <w:sz w:val="20"/>
                <w:szCs w:val="20"/>
              </w:rPr>
            </w:pPr>
            <w:r w:rsidRPr="00B70D8E">
              <w:rPr>
                <w:rFonts w:ascii="Arial" w:hAnsi="Arial" w:cs="Arial"/>
                <w:sz w:val="20"/>
                <w:szCs w:val="20"/>
              </w:rPr>
              <w:t>2.12</w:t>
            </w:r>
          </w:p>
        </w:tc>
      </w:tr>
      <w:tr w:rsidR="00607C2A" w:rsidRPr="00B70D8E" w:rsidTr="007B479F">
        <w:tc>
          <w:tcPr>
            <w:tcW w:w="3005" w:type="dxa"/>
          </w:tcPr>
          <w:p w:rsidR="00607C2A" w:rsidRPr="00B70D8E" w:rsidRDefault="00607C2A" w:rsidP="007B479F">
            <w:pPr>
              <w:rPr>
                <w:rFonts w:ascii="Arial" w:hAnsi="Arial" w:cs="Arial"/>
                <w:sz w:val="20"/>
                <w:szCs w:val="20"/>
              </w:rPr>
            </w:pPr>
            <w:r w:rsidRPr="00B70D8E">
              <w:rPr>
                <w:rFonts w:ascii="Arial" w:hAnsi="Arial" w:cs="Arial"/>
                <w:sz w:val="20"/>
                <w:szCs w:val="20"/>
              </w:rPr>
              <w:t>Receivables Turnover Ratio</w:t>
            </w:r>
          </w:p>
          <w:p w:rsidR="00FC6DCB" w:rsidRPr="00B70D8E" w:rsidRDefault="00FC6DCB" w:rsidP="007B479F">
            <w:pPr>
              <w:rPr>
                <w:rFonts w:ascii="Arial" w:hAnsi="Arial" w:cs="Arial"/>
                <w:sz w:val="20"/>
                <w:szCs w:val="20"/>
              </w:rPr>
            </w:pPr>
            <w:r w:rsidRPr="00B70D8E">
              <w:rPr>
                <w:rFonts w:ascii="Arial" w:hAnsi="Arial" w:cs="Arial"/>
                <w:sz w:val="20"/>
                <w:szCs w:val="20"/>
              </w:rPr>
              <w:t>Collection Period</w:t>
            </w:r>
          </w:p>
        </w:tc>
        <w:tc>
          <w:tcPr>
            <w:tcW w:w="3005" w:type="dxa"/>
          </w:tcPr>
          <w:p w:rsidR="00FC6DCB" w:rsidRPr="00B70D8E" w:rsidRDefault="007B479F" w:rsidP="007B479F">
            <w:pPr>
              <w:tabs>
                <w:tab w:val="center" w:pos="1394"/>
              </w:tabs>
              <w:rPr>
                <w:rFonts w:ascii="Arial" w:hAnsi="Arial" w:cs="Arial"/>
                <w:sz w:val="20"/>
                <w:szCs w:val="20"/>
              </w:rPr>
            </w:pPr>
            <w:r w:rsidRPr="00B70D8E">
              <w:rPr>
                <w:rFonts w:ascii="Arial" w:hAnsi="Arial" w:cs="Arial"/>
                <w:sz w:val="20"/>
                <w:szCs w:val="20"/>
              </w:rPr>
              <w:t xml:space="preserve">11.50 </w:t>
            </w:r>
          </w:p>
          <w:p w:rsidR="00FC6DCB" w:rsidRPr="00B70D8E" w:rsidRDefault="00FC6DCB" w:rsidP="007B479F">
            <w:pPr>
              <w:tabs>
                <w:tab w:val="center" w:pos="1394"/>
              </w:tabs>
              <w:rPr>
                <w:rFonts w:ascii="Arial" w:hAnsi="Arial" w:cs="Arial"/>
                <w:sz w:val="20"/>
                <w:szCs w:val="20"/>
              </w:rPr>
            </w:pPr>
          </w:p>
          <w:p w:rsidR="00607C2A" w:rsidRPr="00B70D8E" w:rsidRDefault="00FC6DCB" w:rsidP="007B479F">
            <w:pPr>
              <w:tabs>
                <w:tab w:val="center" w:pos="1394"/>
              </w:tabs>
              <w:rPr>
                <w:rFonts w:ascii="Arial" w:hAnsi="Arial" w:cs="Arial"/>
                <w:sz w:val="20"/>
                <w:szCs w:val="20"/>
              </w:rPr>
            </w:pPr>
            <w:r w:rsidRPr="00B70D8E">
              <w:rPr>
                <w:rFonts w:ascii="Arial" w:hAnsi="Arial" w:cs="Arial"/>
                <w:sz w:val="20"/>
                <w:szCs w:val="20"/>
              </w:rPr>
              <w:t>(</w:t>
            </w:r>
            <w:r w:rsidR="007B479F" w:rsidRPr="00B70D8E">
              <w:rPr>
                <w:rFonts w:ascii="Arial" w:hAnsi="Arial" w:cs="Arial"/>
                <w:sz w:val="20"/>
                <w:szCs w:val="20"/>
              </w:rPr>
              <w:t>31.74 days)</w:t>
            </w:r>
          </w:p>
        </w:tc>
        <w:tc>
          <w:tcPr>
            <w:tcW w:w="3006" w:type="dxa"/>
          </w:tcPr>
          <w:p w:rsidR="00FC6DCB" w:rsidRPr="00B70D8E" w:rsidRDefault="00FC6DCB" w:rsidP="007B479F">
            <w:pPr>
              <w:rPr>
                <w:rFonts w:ascii="Arial" w:hAnsi="Arial" w:cs="Arial"/>
                <w:sz w:val="20"/>
                <w:szCs w:val="20"/>
              </w:rPr>
            </w:pPr>
            <w:r w:rsidRPr="00B70D8E">
              <w:rPr>
                <w:rFonts w:ascii="Arial" w:hAnsi="Arial" w:cs="Arial"/>
                <w:sz w:val="20"/>
                <w:szCs w:val="20"/>
              </w:rPr>
              <w:t>4.73</w:t>
            </w:r>
            <w:r w:rsidR="00607C2A" w:rsidRPr="00B70D8E">
              <w:rPr>
                <w:rFonts w:ascii="Arial" w:hAnsi="Arial" w:cs="Arial"/>
                <w:sz w:val="20"/>
                <w:szCs w:val="20"/>
              </w:rPr>
              <w:t xml:space="preserve"> </w:t>
            </w:r>
          </w:p>
          <w:p w:rsidR="00FC6DCB" w:rsidRPr="00B70D8E" w:rsidRDefault="00FC6DCB" w:rsidP="007B479F">
            <w:pPr>
              <w:rPr>
                <w:rFonts w:ascii="Arial" w:hAnsi="Arial" w:cs="Arial"/>
                <w:sz w:val="20"/>
                <w:szCs w:val="20"/>
              </w:rPr>
            </w:pPr>
          </w:p>
          <w:p w:rsidR="00607C2A" w:rsidRPr="00B70D8E" w:rsidRDefault="00607C2A" w:rsidP="007B479F">
            <w:pPr>
              <w:rPr>
                <w:rFonts w:ascii="Arial" w:hAnsi="Arial" w:cs="Arial"/>
                <w:sz w:val="20"/>
                <w:szCs w:val="20"/>
              </w:rPr>
            </w:pPr>
            <w:r w:rsidRPr="00B70D8E">
              <w:rPr>
                <w:rFonts w:ascii="Arial" w:hAnsi="Arial" w:cs="Arial"/>
                <w:sz w:val="20"/>
                <w:szCs w:val="20"/>
              </w:rPr>
              <w:t>(</w:t>
            </w:r>
            <w:r w:rsidR="007B479F" w:rsidRPr="00B70D8E">
              <w:rPr>
                <w:rFonts w:ascii="Arial" w:hAnsi="Arial" w:cs="Arial"/>
                <w:sz w:val="20"/>
                <w:szCs w:val="20"/>
              </w:rPr>
              <w:t>77.17</w:t>
            </w:r>
            <w:r w:rsidRPr="00B70D8E">
              <w:rPr>
                <w:rFonts w:ascii="Arial" w:hAnsi="Arial" w:cs="Arial"/>
                <w:sz w:val="20"/>
                <w:szCs w:val="20"/>
              </w:rPr>
              <w:t xml:space="preserve"> days)</w:t>
            </w:r>
          </w:p>
        </w:tc>
      </w:tr>
      <w:tr w:rsidR="007B479F" w:rsidRPr="00B70D8E" w:rsidTr="007B479F">
        <w:tc>
          <w:tcPr>
            <w:tcW w:w="3005" w:type="dxa"/>
          </w:tcPr>
          <w:p w:rsidR="007B479F" w:rsidRPr="00B70D8E" w:rsidRDefault="007B479F" w:rsidP="007B479F">
            <w:pPr>
              <w:rPr>
                <w:rFonts w:ascii="Arial" w:hAnsi="Arial" w:cs="Arial"/>
                <w:sz w:val="20"/>
                <w:szCs w:val="20"/>
              </w:rPr>
            </w:pPr>
            <w:r w:rsidRPr="00B70D8E">
              <w:rPr>
                <w:rFonts w:ascii="Arial" w:hAnsi="Arial" w:cs="Arial"/>
                <w:sz w:val="20"/>
                <w:szCs w:val="20"/>
              </w:rPr>
              <w:t>Payable Turnover Ratio</w:t>
            </w:r>
          </w:p>
        </w:tc>
        <w:tc>
          <w:tcPr>
            <w:tcW w:w="3005" w:type="dxa"/>
          </w:tcPr>
          <w:p w:rsidR="007B479F" w:rsidRPr="00B70D8E" w:rsidRDefault="007B479F" w:rsidP="007B479F">
            <w:pPr>
              <w:tabs>
                <w:tab w:val="center" w:pos="1394"/>
              </w:tabs>
              <w:rPr>
                <w:rFonts w:ascii="Arial" w:hAnsi="Arial" w:cs="Arial"/>
                <w:sz w:val="20"/>
                <w:szCs w:val="20"/>
              </w:rPr>
            </w:pPr>
            <w:r w:rsidRPr="00B70D8E">
              <w:rPr>
                <w:rFonts w:ascii="Arial" w:hAnsi="Arial" w:cs="Arial"/>
                <w:sz w:val="20"/>
                <w:szCs w:val="20"/>
              </w:rPr>
              <w:t>50.55</w:t>
            </w:r>
          </w:p>
        </w:tc>
        <w:tc>
          <w:tcPr>
            <w:tcW w:w="3006" w:type="dxa"/>
          </w:tcPr>
          <w:p w:rsidR="007B479F" w:rsidRPr="00B70D8E" w:rsidRDefault="007B479F" w:rsidP="007B479F">
            <w:pPr>
              <w:rPr>
                <w:rFonts w:ascii="Arial" w:hAnsi="Arial" w:cs="Arial"/>
                <w:sz w:val="20"/>
                <w:szCs w:val="20"/>
              </w:rPr>
            </w:pPr>
            <w:r w:rsidRPr="00B70D8E">
              <w:rPr>
                <w:rFonts w:ascii="Arial" w:hAnsi="Arial" w:cs="Arial"/>
                <w:sz w:val="20"/>
                <w:szCs w:val="20"/>
              </w:rPr>
              <w:t>102.38</w:t>
            </w:r>
          </w:p>
        </w:tc>
      </w:tr>
      <w:tr w:rsidR="007B479F" w:rsidRPr="00B70D8E" w:rsidTr="007B479F">
        <w:tc>
          <w:tcPr>
            <w:tcW w:w="3005" w:type="dxa"/>
          </w:tcPr>
          <w:p w:rsidR="007B479F" w:rsidRPr="00B70D8E" w:rsidRDefault="007B479F" w:rsidP="007B479F">
            <w:pPr>
              <w:rPr>
                <w:rFonts w:ascii="Arial" w:hAnsi="Arial" w:cs="Arial"/>
                <w:sz w:val="20"/>
                <w:szCs w:val="20"/>
              </w:rPr>
            </w:pPr>
            <w:r w:rsidRPr="00B70D8E">
              <w:rPr>
                <w:rFonts w:ascii="Arial" w:hAnsi="Arial" w:cs="Arial"/>
                <w:sz w:val="20"/>
                <w:szCs w:val="20"/>
              </w:rPr>
              <w:t>Stock Turnover Ratio</w:t>
            </w:r>
          </w:p>
        </w:tc>
        <w:tc>
          <w:tcPr>
            <w:tcW w:w="3005" w:type="dxa"/>
          </w:tcPr>
          <w:p w:rsidR="007B479F" w:rsidRPr="00B70D8E" w:rsidRDefault="007B479F" w:rsidP="007B479F">
            <w:pPr>
              <w:tabs>
                <w:tab w:val="center" w:pos="1394"/>
              </w:tabs>
              <w:rPr>
                <w:rFonts w:ascii="Arial" w:hAnsi="Arial" w:cs="Arial"/>
                <w:sz w:val="20"/>
                <w:szCs w:val="20"/>
              </w:rPr>
            </w:pPr>
            <w:r w:rsidRPr="00B70D8E">
              <w:rPr>
                <w:rFonts w:ascii="Arial" w:hAnsi="Arial" w:cs="Arial"/>
                <w:sz w:val="20"/>
                <w:szCs w:val="20"/>
              </w:rPr>
              <w:t>7.18 days</w:t>
            </w:r>
          </w:p>
        </w:tc>
        <w:tc>
          <w:tcPr>
            <w:tcW w:w="3006" w:type="dxa"/>
          </w:tcPr>
          <w:p w:rsidR="007B479F" w:rsidRPr="00B70D8E" w:rsidRDefault="007B479F" w:rsidP="007B479F">
            <w:pPr>
              <w:rPr>
                <w:rFonts w:ascii="Arial" w:hAnsi="Arial" w:cs="Arial"/>
                <w:sz w:val="20"/>
                <w:szCs w:val="20"/>
              </w:rPr>
            </w:pPr>
            <w:r w:rsidRPr="00B70D8E">
              <w:rPr>
                <w:rFonts w:ascii="Arial" w:hAnsi="Arial" w:cs="Arial"/>
                <w:sz w:val="20"/>
                <w:szCs w:val="20"/>
              </w:rPr>
              <w:t>51.84 days</w:t>
            </w:r>
          </w:p>
        </w:tc>
      </w:tr>
    </w:tbl>
    <w:p w:rsidR="00607C2A" w:rsidRPr="00B70D8E" w:rsidRDefault="00607C2A" w:rsidP="00607C2A">
      <w:pPr>
        <w:tabs>
          <w:tab w:val="left" w:pos="5235"/>
        </w:tabs>
        <w:rPr>
          <w:rFonts w:ascii="Arial" w:hAnsi="Arial" w:cs="Arial"/>
          <w:sz w:val="20"/>
          <w:szCs w:val="20"/>
          <w:lang w:val="en-US"/>
        </w:rPr>
      </w:pPr>
      <w:r w:rsidRPr="00B70D8E">
        <w:rPr>
          <w:rFonts w:ascii="Arial" w:hAnsi="Arial" w:cs="Arial"/>
          <w:sz w:val="20"/>
          <w:szCs w:val="20"/>
          <w:lang w:val="en-US"/>
        </w:rPr>
        <w:tab/>
      </w:r>
    </w:p>
    <w:p w:rsidR="00607C2A" w:rsidRPr="00112E0D" w:rsidRDefault="00174409" w:rsidP="00607C2A">
      <w:pPr>
        <w:pStyle w:val="Heading2"/>
        <w:numPr>
          <w:ilvl w:val="0"/>
          <w:numId w:val="5"/>
        </w:numPr>
        <w:jc w:val="both"/>
        <w:rPr>
          <w:rFonts w:ascii="Arial" w:hAnsi="Arial" w:cs="Arial"/>
          <w:b/>
          <w:color w:val="0070C0"/>
          <w:sz w:val="20"/>
          <w:szCs w:val="20"/>
          <w:u w:val="single"/>
        </w:rPr>
      </w:pPr>
      <w:bookmarkStart w:id="3" w:name="_Hlk503288937"/>
      <w:r w:rsidRPr="00112E0D">
        <w:rPr>
          <w:rFonts w:ascii="Arial" w:hAnsi="Arial" w:cs="Arial"/>
          <w:b/>
          <w:caps w:val="0"/>
          <w:color w:val="0070C0"/>
          <w:sz w:val="20"/>
          <w:szCs w:val="20"/>
          <w:u w:val="single"/>
        </w:rPr>
        <w:t xml:space="preserve">Critical evaluation over the last 5 years of </w:t>
      </w:r>
      <w:proofErr w:type="spellStart"/>
      <w:r w:rsidRPr="00112E0D">
        <w:rPr>
          <w:rFonts w:ascii="Arial" w:hAnsi="Arial" w:cs="Arial"/>
          <w:b/>
          <w:caps w:val="0"/>
          <w:color w:val="0070C0"/>
          <w:sz w:val="20"/>
          <w:szCs w:val="20"/>
          <w:u w:val="single"/>
        </w:rPr>
        <w:t>hilton</w:t>
      </w:r>
      <w:proofErr w:type="spellEnd"/>
      <w:r w:rsidRPr="00112E0D">
        <w:rPr>
          <w:rFonts w:ascii="Arial" w:hAnsi="Arial" w:cs="Arial"/>
          <w:b/>
          <w:caps w:val="0"/>
          <w:color w:val="0070C0"/>
          <w:sz w:val="20"/>
          <w:szCs w:val="20"/>
          <w:u w:val="single"/>
        </w:rPr>
        <w:t xml:space="preserve"> food plc and comparison of it with </w:t>
      </w:r>
      <w:proofErr w:type="spellStart"/>
      <w:r w:rsidRPr="00112E0D">
        <w:rPr>
          <w:rFonts w:ascii="Arial" w:hAnsi="Arial" w:cs="Arial"/>
          <w:b/>
          <w:caps w:val="0"/>
          <w:color w:val="0070C0"/>
          <w:sz w:val="20"/>
          <w:szCs w:val="20"/>
          <w:u w:val="single"/>
        </w:rPr>
        <w:t>rpc</w:t>
      </w:r>
      <w:proofErr w:type="spellEnd"/>
      <w:r w:rsidRPr="00112E0D">
        <w:rPr>
          <w:rFonts w:ascii="Arial" w:hAnsi="Arial" w:cs="Arial"/>
          <w:b/>
          <w:caps w:val="0"/>
          <w:color w:val="0070C0"/>
          <w:sz w:val="20"/>
          <w:szCs w:val="20"/>
          <w:u w:val="single"/>
        </w:rPr>
        <w:t xml:space="preserve"> group plc last year 2016:</w:t>
      </w:r>
    </w:p>
    <w:bookmarkEnd w:id="3"/>
    <w:p w:rsidR="007E6CE0" w:rsidRPr="00B70D8E" w:rsidRDefault="007E6CE0" w:rsidP="007E6CE0">
      <w:pPr>
        <w:rPr>
          <w:rFonts w:ascii="Arial" w:hAnsi="Arial" w:cs="Arial"/>
          <w:sz w:val="20"/>
          <w:szCs w:val="20"/>
        </w:rPr>
      </w:pPr>
    </w:p>
    <w:p w:rsidR="00607C2A" w:rsidRPr="00B70D8E" w:rsidRDefault="00955C73" w:rsidP="00607C2A">
      <w:pPr>
        <w:jc w:val="both"/>
        <w:rPr>
          <w:rFonts w:ascii="Arial" w:hAnsi="Arial" w:cs="Arial"/>
          <w:sz w:val="20"/>
          <w:szCs w:val="20"/>
        </w:rPr>
      </w:pPr>
      <w:r w:rsidRPr="00B70D8E">
        <w:rPr>
          <w:rFonts w:ascii="Arial" w:hAnsi="Arial" w:cs="Arial"/>
          <w:sz w:val="20"/>
          <w:szCs w:val="20"/>
        </w:rPr>
        <w:t>T</w:t>
      </w:r>
      <w:r w:rsidR="00607C2A" w:rsidRPr="00B70D8E">
        <w:rPr>
          <w:rFonts w:ascii="Arial" w:hAnsi="Arial" w:cs="Arial"/>
          <w:sz w:val="20"/>
          <w:szCs w:val="20"/>
        </w:rPr>
        <w:t xml:space="preserve">o analyse every aspect of the company, some ratios has been calculated. </w:t>
      </w:r>
      <w:r w:rsidRPr="00B70D8E">
        <w:rPr>
          <w:rFonts w:ascii="Arial" w:hAnsi="Arial" w:cs="Arial"/>
          <w:sz w:val="20"/>
          <w:szCs w:val="20"/>
        </w:rPr>
        <w:t xml:space="preserve">The above calculation has been done to measure the various aspect of the organization such as </w:t>
      </w:r>
      <w:r w:rsidR="00E6360C" w:rsidRPr="00B70D8E">
        <w:rPr>
          <w:rFonts w:ascii="Arial" w:hAnsi="Arial" w:cs="Arial"/>
          <w:sz w:val="20"/>
          <w:szCs w:val="20"/>
        </w:rPr>
        <w:t>liquidity, profitability</w:t>
      </w:r>
      <w:r w:rsidRPr="00B70D8E">
        <w:rPr>
          <w:rFonts w:ascii="Arial" w:hAnsi="Arial" w:cs="Arial"/>
          <w:sz w:val="20"/>
          <w:szCs w:val="20"/>
        </w:rPr>
        <w:t xml:space="preserve">&amp; </w:t>
      </w:r>
      <w:r w:rsidR="00E6360C" w:rsidRPr="00B70D8E">
        <w:rPr>
          <w:rFonts w:ascii="Arial" w:hAnsi="Arial" w:cs="Arial"/>
          <w:sz w:val="20"/>
          <w:szCs w:val="20"/>
        </w:rPr>
        <w:t>leverage</w:t>
      </w:r>
      <w:r w:rsidRPr="00B70D8E">
        <w:rPr>
          <w:rFonts w:ascii="Arial" w:hAnsi="Arial" w:cs="Arial"/>
          <w:sz w:val="20"/>
          <w:szCs w:val="20"/>
        </w:rPr>
        <w:t xml:space="preserve"> of the Hilton food plc company. </w:t>
      </w:r>
      <w:r w:rsidR="00607C2A" w:rsidRPr="00B70D8E">
        <w:rPr>
          <w:rFonts w:ascii="Arial" w:hAnsi="Arial" w:cs="Arial"/>
          <w:sz w:val="20"/>
          <w:szCs w:val="20"/>
        </w:rPr>
        <w:t>This will particularly help to analyse the</w:t>
      </w:r>
      <w:r w:rsidRPr="00B70D8E">
        <w:rPr>
          <w:rFonts w:ascii="Arial" w:hAnsi="Arial" w:cs="Arial"/>
          <w:sz w:val="20"/>
          <w:szCs w:val="20"/>
        </w:rPr>
        <w:t xml:space="preserve"> liquidity,</w:t>
      </w:r>
      <w:r w:rsidR="00607C2A" w:rsidRPr="00B70D8E">
        <w:rPr>
          <w:rFonts w:ascii="Arial" w:hAnsi="Arial" w:cs="Arial"/>
          <w:sz w:val="20"/>
          <w:szCs w:val="20"/>
        </w:rPr>
        <w:t xml:space="preserve"> profitability, </w:t>
      </w:r>
      <w:r w:rsidRPr="00B70D8E">
        <w:rPr>
          <w:rFonts w:ascii="Arial" w:hAnsi="Arial" w:cs="Arial"/>
          <w:sz w:val="20"/>
          <w:szCs w:val="20"/>
        </w:rPr>
        <w:t>leverage</w:t>
      </w:r>
      <w:r w:rsidR="00607C2A" w:rsidRPr="00B70D8E">
        <w:rPr>
          <w:rFonts w:ascii="Arial" w:hAnsi="Arial" w:cs="Arial"/>
          <w:sz w:val="20"/>
          <w:szCs w:val="20"/>
        </w:rPr>
        <w:t xml:space="preserve"> of the </w:t>
      </w:r>
      <w:r w:rsidR="00D96D51" w:rsidRPr="00B70D8E">
        <w:rPr>
          <w:rFonts w:ascii="Arial" w:hAnsi="Arial" w:cs="Arial"/>
          <w:sz w:val="20"/>
          <w:szCs w:val="20"/>
        </w:rPr>
        <w:t>Hilton food plc</w:t>
      </w:r>
      <w:r w:rsidR="00607C2A" w:rsidRPr="00B70D8E">
        <w:rPr>
          <w:rFonts w:ascii="Arial" w:hAnsi="Arial" w:cs="Arial"/>
          <w:sz w:val="20"/>
          <w:szCs w:val="20"/>
        </w:rPr>
        <w:t xml:space="preserve"> in a reliable manner also compared the last year’s ratios with </w:t>
      </w:r>
      <w:r w:rsidRPr="00B70D8E">
        <w:rPr>
          <w:rFonts w:ascii="Arial" w:hAnsi="Arial" w:cs="Arial"/>
          <w:sz w:val="20"/>
          <w:szCs w:val="20"/>
        </w:rPr>
        <w:t>RPC group plc</w:t>
      </w:r>
      <w:r w:rsidR="00607C2A" w:rsidRPr="00B70D8E">
        <w:rPr>
          <w:rFonts w:ascii="Arial" w:hAnsi="Arial" w:cs="Arial"/>
          <w:sz w:val="20"/>
          <w:szCs w:val="20"/>
        </w:rPr>
        <w:t>.</w:t>
      </w:r>
    </w:p>
    <w:p w:rsidR="00607C2A" w:rsidRPr="00B70D8E" w:rsidRDefault="00607C2A" w:rsidP="00607C2A">
      <w:pPr>
        <w:jc w:val="both"/>
        <w:rPr>
          <w:rFonts w:ascii="Arial" w:hAnsi="Arial" w:cs="Arial"/>
          <w:sz w:val="20"/>
          <w:szCs w:val="20"/>
        </w:rPr>
      </w:pPr>
      <w:r w:rsidRPr="00B70D8E">
        <w:rPr>
          <w:rFonts w:ascii="Arial" w:hAnsi="Arial" w:cs="Arial"/>
          <w:sz w:val="20"/>
          <w:szCs w:val="20"/>
        </w:rPr>
        <w:t xml:space="preserve">It can be observed from the period of 2012 to </w:t>
      </w:r>
      <w:r w:rsidR="00DF0116" w:rsidRPr="00B70D8E">
        <w:rPr>
          <w:rFonts w:ascii="Arial" w:hAnsi="Arial" w:cs="Arial"/>
          <w:sz w:val="20"/>
          <w:szCs w:val="20"/>
        </w:rPr>
        <w:t>2013, the revenue of the Hilton group plc has been increased from pound 1031m to pound 1124m which further decreased in 2014 and 2015 to pound 1098m and pound 1094m respectively. In 2016 the revenue increase to pound 1234.5m for the Hilton food group plc</w:t>
      </w:r>
      <w:r w:rsidR="00F31A89" w:rsidRPr="00B70D8E">
        <w:rPr>
          <w:rFonts w:ascii="Arial" w:hAnsi="Arial" w:cs="Arial"/>
          <w:sz w:val="20"/>
          <w:szCs w:val="20"/>
        </w:rPr>
        <w:t xml:space="preserve"> which almost 11% hike as compared to the last year.</w:t>
      </w:r>
      <w:r w:rsidRPr="00B70D8E">
        <w:rPr>
          <w:rFonts w:ascii="Arial" w:hAnsi="Arial" w:cs="Arial"/>
          <w:sz w:val="20"/>
          <w:szCs w:val="20"/>
        </w:rPr>
        <w:t xml:space="preserve"> the gross margin of the company </w:t>
      </w:r>
      <w:r w:rsidR="002A6450" w:rsidRPr="00B70D8E">
        <w:rPr>
          <w:rFonts w:ascii="Arial" w:hAnsi="Arial" w:cs="Arial"/>
          <w:sz w:val="20"/>
          <w:szCs w:val="20"/>
        </w:rPr>
        <w:t>has declined</w:t>
      </w:r>
      <w:r w:rsidRPr="00B70D8E">
        <w:rPr>
          <w:rFonts w:ascii="Arial" w:hAnsi="Arial" w:cs="Arial"/>
          <w:sz w:val="20"/>
          <w:szCs w:val="20"/>
        </w:rPr>
        <w:t xml:space="preserve"> from </w:t>
      </w:r>
      <w:r w:rsidR="002A6450" w:rsidRPr="00B70D8E">
        <w:rPr>
          <w:rFonts w:ascii="Arial" w:hAnsi="Arial" w:cs="Arial"/>
          <w:sz w:val="20"/>
          <w:szCs w:val="20"/>
        </w:rPr>
        <w:t>12.25</w:t>
      </w:r>
      <w:r w:rsidRPr="00B70D8E">
        <w:rPr>
          <w:rFonts w:ascii="Arial" w:hAnsi="Arial" w:cs="Arial"/>
          <w:sz w:val="20"/>
          <w:szCs w:val="20"/>
        </w:rPr>
        <w:t xml:space="preserve">% in 2012 to </w:t>
      </w:r>
      <w:r w:rsidR="002A6450" w:rsidRPr="00B70D8E">
        <w:rPr>
          <w:rFonts w:ascii="Arial" w:hAnsi="Arial" w:cs="Arial"/>
          <w:sz w:val="20"/>
          <w:szCs w:val="20"/>
        </w:rPr>
        <w:t>11.69</w:t>
      </w:r>
      <w:r w:rsidRPr="00B70D8E">
        <w:rPr>
          <w:rFonts w:ascii="Arial" w:hAnsi="Arial" w:cs="Arial"/>
          <w:sz w:val="20"/>
          <w:szCs w:val="20"/>
        </w:rPr>
        <w:t>% in 201</w:t>
      </w:r>
      <w:r w:rsidR="002A6450" w:rsidRPr="00B70D8E">
        <w:rPr>
          <w:rFonts w:ascii="Arial" w:hAnsi="Arial" w:cs="Arial"/>
          <w:sz w:val="20"/>
          <w:szCs w:val="20"/>
        </w:rPr>
        <w:t>3</w:t>
      </w:r>
      <w:r w:rsidRPr="00B70D8E">
        <w:rPr>
          <w:rFonts w:ascii="Arial" w:hAnsi="Arial" w:cs="Arial"/>
          <w:sz w:val="20"/>
          <w:szCs w:val="20"/>
        </w:rPr>
        <w:t>.</w:t>
      </w:r>
      <w:r w:rsidR="002A6450" w:rsidRPr="00B70D8E">
        <w:rPr>
          <w:rFonts w:ascii="Arial" w:hAnsi="Arial" w:cs="Arial"/>
          <w:sz w:val="20"/>
          <w:szCs w:val="20"/>
        </w:rPr>
        <w:t xml:space="preserve"> After that</w:t>
      </w:r>
      <w:r w:rsidRPr="00B70D8E">
        <w:rPr>
          <w:rFonts w:ascii="Arial" w:hAnsi="Arial" w:cs="Arial"/>
          <w:sz w:val="20"/>
          <w:szCs w:val="20"/>
        </w:rPr>
        <w:t xml:space="preserve"> in 201</w:t>
      </w:r>
      <w:r w:rsidR="002A6450" w:rsidRPr="00B70D8E">
        <w:rPr>
          <w:rFonts w:ascii="Arial" w:hAnsi="Arial" w:cs="Arial"/>
          <w:sz w:val="20"/>
          <w:szCs w:val="20"/>
        </w:rPr>
        <w:t>4 to 2016</w:t>
      </w:r>
      <w:r w:rsidRPr="00B70D8E">
        <w:rPr>
          <w:rFonts w:ascii="Arial" w:hAnsi="Arial" w:cs="Arial"/>
          <w:sz w:val="20"/>
          <w:szCs w:val="20"/>
        </w:rPr>
        <w:t xml:space="preserve"> it can be seen the slight improvement in the gross margin of the </w:t>
      </w:r>
      <w:r w:rsidR="00D96D51" w:rsidRPr="00B70D8E">
        <w:rPr>
          <w:rFonts w:ascii="Arial" w:hAnsi="Arial" w:cs="Arial"/>
          <w:sz w:val="20"/>
          <w:szCs w:val="20"/>
        </w:rPr>
        <w:t>Hilton food plc</w:t>
      </w:r>
      <w:r w:rsidRPr="00B70D8E">
        <w:rPr>
          <w:rFonts w:ascii="Arial" w:hAnsi="Arial" w:cs="Arial"/>
          <w:sz w:val="20"/>
          <w:szCs w:val="20"/>
        </w:rPr>
        <w:t xml:space="preserve"> which is </w:t>
      </w:r>
      <w:r w:rsidR="002A6450" w:rsidRPr="00B70D8E">
        <w:rPr>
          <w:rFonts w:ascii="Arial" w:hAnsi="Arial" w:cs="Arial"/>
          <w:sz w:val="20"/>
          <w:szCs w:val="20"/>
        </w:rPr>
        <w:t>12.22</w:t>
      </w:r>
      <w:r w:rsidRPr="00B70D8E">
        <w:rPr>
          <w:rFonts w:ascii="Arial" w:hAnsi="Arial" w:cs="Arial"/>
          <w:sz w:val="20"/>
          <w:szCs w:val="20"/>
        </w:rPr>
        <w:t>%. So, it can be analysed that there has been a marginal fluctuation in the total revenues of the company during 201</w:t>
      </w:r>
      <w:r w:rsidR="002A6450" w:rsidRPr="00B70D8E">
        <w:rPr>
          <w:rFonts w:ascii="Arial" w:hAnsi="Arial" w:cs="Arial"/>
          <w:sz w:val="20"/>
          <w:szCs w:val="20"/>
        </w:rPr>
        <w:t>4</w:t>
      </w:r>
      <w:r w:rsidRPr="00B70D8E">
        <w:rPr>
          <w:rFonts w:ascii="Arial" w:hAnsi="Arial" w:cs="Arial"/>
          <w:sz w:val="20"/>
          <w:szCs w:val="20"/>
        </w:rPr>
        <w:t xml:space="preserve"> to 201</w:t>
      </w:r>
      <w:r w:rsidR="002A6450" w:rsidRPr="00B70D8E">
        <w:rPr>
          <w:rFonts w:ascii="Arial" w:hAnsi="Arial" w:cs="Arial"/>
          <w:sz w:val="20"/>
          <w:szCs w:val="20"/>
        </w:rPr>
        <w:t>6</w:t>
      </w:r>
      <w:r w:rsidRPr="00B70D8E">
        <w:rPr>
          <w:rFonts w:ascii="Arial" w:hAnsi="Arial" w:cs="Arial"/>
          <w:sz w:val="20"/>
          <w:szCs w:val="20"/>
        </w:rPr>
        <w:t xml:space="preserve">. The highest revenues were in year 2016 with </w:t>
      </w:r>
      <w:r w:rsidR="002A6450" w:rsidRPr="00B70D8E">
        <w:rPr>
          <w:rFonts w:ascii="Arial" w:hAnsi="Arial" w:cs="Arial"/>
          <w:sz w:val="20"/>
          <w:szCs w:val="20"/>
        </w:rPr>
        <w:t>pound1234.5m</w:t>
      </w:r>
      <w:r w:rsidRPr="00B70D8E">
        <w:rPr>
          <w:rFonts w:ascii="Arial" w:hAnsi="Arial" w:cs="Arial"/>
          <w:sz w:val="20"/>
          <w:szCs w:val="20"/>
        </w:rPr>
        <w:t xml:space="preserve"> compared to </w:t>
      </w:r>
      <w:r w:rsidR="002A6450" w:rsidRPr="00B70D8E">
        <w:rPr>
          <w:rFonts w:ascii="Arial" w:hAnsi="Arial" w:cs="Arial"/>
          <w:sz w:val="20"/>
          <w:szCs w:val="20"/>
        </w:rPr>
        <w:t>pound1094.8m</w:t>
      </w:r>
      <w:r w:rsidRPr="00B70D8E">
        <w:rPr>
          <w:rFonts w:ascii="Arial" w:hAnsi="Arial" w:cs="Arial"/>
          <w:sz w:val="20"/>
          <w:szCs w:val="20"/>
        </w:rPr>
        <w:t xml:space="preserve"> in </w:t>
      </w:r>
      <w:r w:rsidR="00785ABD" w:rsidRPr="00B70D8E">
        <w:rPr>
          <w:rFonts w:ascii="Arial" w:hAnsi="Arial" w:cs="Arial"/>
          <w:sz w:val="20"/>
          <w:szCs w:val="20"/>
        </w:rPr>
        <w:t>2015, but</w:t>
      </w:r>
      <w:r w:rsidRPr="00B70D8E">
        <w:rPr>
          <w:rFonts w:ascii="Arial" w:hAnsi="Arial" w:cs="Arial"/>
          <w:sz w:val="20"/>
          <w:szCs w:val="20"/>
        </w:rPr>
        <w:t xml:space="preserve"> the gross margin declined for the company in 2016. </w:t>
      </w:r>
      <w:r w:rsidR="002A6450" w:rsidRPr="00B70D8E">
        <w:rPr>
          <w:rFonts w:ascii="Arial" w:hAnsi="Arial" w:cs="Arial"/>
          <w:sz w:val="20"/>
          <w:szCs w:val="20"/>
        </w:rPr>
        <w:t>hence</w:t>
      </w:r>
      <w:r w:rsidRPr="00B70D8E">
        <w:rPr>
          <w:rFonts w:ascii="Arial" w:hAnsi="Arial" w:cs="Arial"/>
          <w:sz w:val="20"/>
          <w:szCs w:val="20"/>
        </w:rPr>
        <w:t>, it could be rightly analysed that the company’s cost of basic business operation has also proportionately increase with the increase in revenue.</w:t>
      </w:r>
      <w:r w:rsidR="00785ABD" w:rsidRPr="00B70D8E">
        <w:rPr>
          <w:rFonts w:ascii="Arial" w:hAnsi="Arial" w:cs="Arial"/>
          <w:sz w:val="20"/>
          <w:szCs w:val="20"/>
        </w:rPr>
        <w:t xml:space="preserve"> Examine</w:t>
      </w:r>
      <w:r w:rsidRPr="00B70D8E">
        <w:rPr>
          <w:rFonts w:ascii="Arial" w:hAnsi="Arial" w:cs="Arial"/>
          <w:sz w:val="20"/>
          <w:szCs w:val="20"/>
        </w:rPr>
        <w:t xml:space="preserve"> the aspect of the </w:t>
      </w:r>
      <w:r w:rsidR="00785ABD" w:rsidRPr="00B70D8E">
        <w:rPr>
          <w:rFonts w:ascii="Arial" w:hAnsi="Arial" w:cs="Arial"/>
          <w:sz w:val="20"/>
          <w:szCs w:val="20"/>
        </w:rPr>
        <w:t xml:space="preserve">operating margin </w:t>
      </w:r>
      <w:r w:rsidRPr="00B70D8E">
        <w:rPr>
          <w:rFonts w:ascii="Arial" w:hAnsi="Arial" w:cs="Arial"/>
          <w:sz w:val="20"/>
          <w:szCs w:val="20"/>
        </w:rPr>
        <w:t xml:space="preserve">of the company, it could be observed that </w:t>
      </w:r>
      <w:r w:rsidR="00785ABD" w:rsidRPr="00B70D8E">
        <w:rPr>
          <w:rFonts w:ascii="Arial" w:hAnsi="Arial" w:cs="Arial"/>
          <w:sz w:val="20"/>
          <w:szCs w:val="20"/>
        </w:rPr>
        <w:t>operative after 2012 has been continuously improving for the Hilton food plc which were 2.29% in 2013 to 2.78% in 2016</w:t>
      </w:r>
      <w:r w:rsidRPr="00B70D8E">
        <w:rPr>
          <w:rFonts w:ascii="Arial" w:hAnsi="Arial" w:cs="Arial"/>
          <w:sz w:val="20"/>
          <w:szCs w:val="20"/>
        </w:rPr>
        <w:t>.</w:t>
      </w:r>
      <w:r w:rsidR="001D0904" w:rsidRPr="00B70D8E">
        <w:rPr>
          <w:rFonts w:ascii="Arial" w:hAnsi="Arial" w:cs="Arial"/>
          <w:sz w:val="20"/>
          <w:szCs w:val="20"/>
        </w:rPr>
        <w:t xml:space="preserve"> The strong growth in underlying profitability with operating profit up 11.7</w:t>
      </w:r>
      <w:r w:rsidR="00E208F9" w:rsidRPr="00B70D8E">
        <w:rPr>
          <w:rFonts w:ascii="Arial" w:hAnsi="Arial" w:cs="Arial"/>
          <w:sz w:val="20"/>
          <w:szCs w:val="20"/>
        </w:rPr>
        <w:t>% in 2016.</w:t>
      </w:r>
      <w:r w:rsidR="00785ABD" w:rsidRPr="00B70D8E">
        <w:rPr>
          <w:rFonts w:ascii="Arial" w:hAnsi="Arial" w:cs="Arial"/>
          <w:sz w:val="20"/>
          <w:szCs w:val="20"/>
        </w:rPr>
        <w:t xml:space="preserve"> Comparing the ope</w:t>
      </w:r>
      <w:r w:rsidR="001D0904" w:rsidRPr="00B70D8E">
        <w:rPr>
          <w:rFonts w:ascii="Arial" w:hAnsi="Arial" w:cs="Arial"/>
          <w:sz w:val="20"/>
          <w:szCs w:val="20"/>
        </w:rPr>
        <w:t xml:space="preserve">rative ratio for RPC group plc which is almost double than Hilton food plc which comprise with 5.80% in 2016. </w:t>
      </w:r>
      <w:r w:rsidR="00E208F9" w:rsidRPr="00B70D8E">
        <w:rPr>
          <w:rFonts w:ascii="Arial" w:hAnsi="Arial" w:cs="Arial"/>
          <w:sz w:val="20"/>
          <w:szCs w:val="20"/>
        </w:rPr>
        <w:t>So,</w:t>
      </w:r>
      <w:r w:rsidR="001D0904" w:rsidRPr="00B70D8E">
        <w:rPr>
          <w:rFonts w:ascii="Arial" w:hAnsi="Arial" w:cs="Arial"/>
          <w:sz w:val="20"/>
          <w:szCs w:val="20"/>
        </w:rPr>
        <w:t xml:space="preserve"> it can be said that the RPC group generates 5.80% profit with its revenues. </w:t>
      </w:r>
      <w:r w:rsidRPr="00B70D8E">
        <w:rPr>
          <w:rFonts w:ascii="Arial" w:hAnsi="Arial" w:cs="Arial"/>
          <w:sz w:val="20"/>
          <w:szCs w:val="20"/>
        </w:rPr>
        <w:t xml:space="preserve"> After that considerable </w:t>
      </w:r>
      <w:r w:rsidR="00E208F9" w:rsidRPr="00B70D8E">
        <w:rPr>
          <w:rFonts w:ascii="Arial" w:hAnsi="Arial" w:cs="Arial"/>
          <w:sz w:val="20"/>
          <w:szCs w:val="20"/>
        </w:rPr>
        <w:t xml:space="preserve">Net profit margin ratio </w:t>
      </w:r>
      <w:r w:rsidR="004072E5" w:rsidRPr="00B70D8E">
        <w:rPr>
          <w:rFonts w:ascii="Arial" w:hAnsi="Arial" w:cs="Arial"/>
          <w:sz w:val="20"/>
          <w:szCs w:val="20"/>
        </w:rPr>
        <w:t>increased over 2% in 2016 which earlier was below that line</w:t>
      </w:r>
      <w:r w:rsidRPr="00B70D8E">
        <w:rPr>
          <w:rFonts w:ascii="Arial" w:hAnsi="Arial" w:cs="Arial"/>
          <w:sz w:val="20"/>
          <w:szCs w:val="20"/>
        </w:rPr>
        <w:t>.</w:t>
      </w:r>
      <w:r w:rsidR="004072E5" w:rsidRPr="00B70D8E">
        <w:rPr>
          <w:rFonts w:ascii="Arial" w:hAnsi="Arial" w:cs="Arial"/>
          <w:sz w:val="20"/>
          <w:szCs w:val="20"/>
        </w:rPr>
        <w:t xml:space="preserve"> </w:t>
      </w:r>
      <w:r w:rsidRPr="00B70D8E">
        <w:rPr>
          <w:rFonts w:ascii="Arial" w:hAnsi="Arial" w:cs="Arial"/>
          <w:sz w:val="20"/>
          <w:szCs w:val="20"/>
        </w:rPr>
        <w:t xml:space="preserve">Comparing with </w:t>
      </w:r>
      <w:r w:rsidR="004072E5" w:rsidRPr="00B70D8E">
        <w:rPr>
          <w:rFonts w:ascii="Arial" w:hAnsi="Arial" w:cs="Arial"/>
          <w:sz w:val="20"/>
          <w:szCs w:val="20"/>
        </w:rPr>
        <w:t>RPC group</w:t>
      </w:r>
      <w:r w:rsidRPr="00B70D8E">
        <w:rPr>
          <w:rFonts w:ascii="Arial" w:hAnsi="Arial" w:cs="Arial"/>
          <w:sz w:val="20"/>
          <w:szCs w:val="20"/>
        </w:rPr>
        <w:t xml:space="preserve"> plc which </w:t>
      </w:r>
      <w:r w:rsidR="004072E5" w:rsidRPr="00B70D8E">
        <w:rPr>
          <w:rFonts w:ascii="Arial" w:hAnsi="Arial" w:cs="Arial"/>
          <w:sz w:val="20"/>
          <w:szCs w:val="20"/>
        </w:rPr>
        <w:t>is quite strong with the net profit margin than Hilton group plc which is 3.34% in 2016</w:t>
      </w:r>
      <w:r w:rsidRPr="00B70D8E">
        <w:rPr>
          <w:rFonts w:ascii="Arial" w:hAnsi="Arial" w:cs="Arial"/>
          <w:sz w:val="20"/>
          <w:szCs w:val="20"/>
        </w:rPr>
        <w:t>.</w:t>
      </w:r>
    </w:p>
    <w:p w:rsidR="00607C2A" w:rsidRPr="00B70D8E" w:rsidRDefault="00607C2A" w:rsidP="00607C2A">
      <w:pPr>
        <w:rPr>
          <w:rFonts w:ascii="Arial" w:hAnsi="Arial" w:cs="Arial"/>
          <w:color w:val="111111"/>
          <w:sz w:val="20"/>
          <w:szCs w:val="20"/>
          <w:shd w:val="clear" w:color="auto" w:fill="FFFFFF"/>
        </w:rPr>
      </w:pPr>
      <w:r w:rsidRPr="00B70D8E">
        <w:rPr>
          <w:rFonts w:ascii="Arial" w:hAnsi="Arial" w:cs="Arial"/>
          <w:sz w:val="20"/>
          <w:szCs w:val="20"/>
        </w:rPr>
        <w:t>In order to analyse the liquidity aspect of the company, current ratio</w:t>
      </w:r>
      <w:r w:rsidR="003E7366" w:rsidRPr="00B70D8E">
        <w:rPr>
          <w:rFonts w:ascii="Arial" w:hAnsi="Arial" w:cs="Arial"/>
          <w:sz w:val="20"/>
          <w:szCs w:val="20"/>
        </w:rPr>
        <w:t>,</w:t>
      </w:r>
      <w:r w:rsidRPr="00B70D8E">
        <w:rPr>
          <w:rFonts w:ascii="Arial" w:hAnsi="Arial" w:cs="Arial"/>
          <w:sz w:val="20"/>
          <w:szCs w:val="20"/>
        </w:rPr>
        <w:t xml:space="preserve"> </w:t>
      </w:r>
      <w:r w:rsidR="003E7366" w:rsidRPr="00B70D8E">
        <w:rPr>
          <w:rFonts w:ascii="Arial" w:hAnsi="Arial" w:cs="Arial"/>
          <w:sz w:val="20"/>
          <w:szCs w:val="20"/>
        </w:rPr>
        <w:t>quick</w:t>
      </w:r>
      <w:r w:rsidRPr="00B70D8E">
        <w:rPr>
          <w:rFonts w:ascii="Arial" w:hAnsi="Arial" w:cs="Arial"/>
          <w:sz w:val="20"/>
          <w:szCs w:val="20"/>
        </w:rPr>
        <w:t xml:space="preserve"> ratio and cash ratio is being calculated. This enable to understand the ability of the company to repay </w:t>
      </w:r>
      <w:proofErr w:type="spellStart"/>
      <w:proofErr w:type="gramStart"/>
      <w:r w:rsidR="003E7366" w:rsidRPr="00B70D8E">
        <w:rPr>
          <w:rFonts w:ascii="Arial" w:hAnsi="Arial" w:cs="Arial"/>
          <w:sz w:val="20"/>
          <w:szCs w:val="20"/>
        </w:rPr>
        <w:t>it’s</w:t>
      </w:r>
      <w:proofErr w:type="spellEnd"/>
      <w:proofErr w:type="gramEnd"/>
      <w:r w:rsidRPr="00B70D8E">
        <w:rPr>
          <w:rFonts w:ascii="Arial" w:hAnsi="Arial" w:cs="Arial"/>
          <w:sz w:val="20"/>
          <w:szCs w:val="20"/>
        </w:rPr>
        <w:t xml:space="preserve"> short-term obligations from the short- term assets of the company. It is absolutely evident from the calculation of the liquidity ratios such as </w:t>
      </w:r>
      <w:r w:rsidR="003E7366" w:rsidRPr="00B70D8E">
        <w:rPr>
          <w:rFonts w:ascii="Arial" w:hAnsi="Arial" w:cs="Arial"/>
          <w:sz w:val="20"/>
          <w:szCs w:val="20"/>
        </w:rPr>
        <w:t>quick</w:t>
      </w:r>
      <w:r w:rsidRPr="00B70D8E">
        <w:rPr>
          <w:rFonts w:ascii="Arial" w:hAnsi="Arial" w:cs="Arial"/>
          <w:sz w:val="20"/>
          <w:szCs w:val="20"/>
        </w:rPr>
        <w:t xml:space="preserve"> rati</w:t>
      </w:r>
      <w:r w:rsidR="003E7366" w:rsidRPr="00B70D8E">
        <w:rPr>
          <w:rFonts w:ascii="Arial" w:hAnsi="Arial" w:cs="Arial"/>
          <w:sz w:val="20"/>
          <w:szCs w:val="20"/>
        </w:rPr>
        <w:t>o</w:t>
      </w:r>
      <w:r w:rsidRPr="00B70D8E">
        <w:rPr>
          <w:rFonts w:ascii="Arial" w:hAnsi="Arial" w:cs="Arial"/>
          <w:sz w:val="20"/>
          <w:szCs w:val="20"/>
        </w:rPr>
        <w:t xml:space="preserve"> and current ratio of the company, it can be </w:t>
      </w:r>
      <w:r w:rsidR="00552ED9" w:rsidRPr="00B70D8E">
        <w:rPr>
          <w:rFonts w:ascii="Arial" w:hAnsi="Arial" w:cs="Arial"/>
          <w:sz w:val="20"/>
          <w:szCs w:val="20"/>
        </w:rPr>
        <w:t>observ</w:t>
      </w:r>
      <w:r w:rsidRPr="00B70D8E">
        <w:rPr>
          <w:rFonts w:ascii="Arial" w:hAnsi="Arial" w:cs="Arial"/>
          <w:sz w:val="20"/>
          <w:szCs w:val="20"/>
        </w:rPr>
        <w:t xml:space="preserve">ed that the </w:t>
      </w:r>
      <w:r w:rsidRPr="00B70D8E">
        <w:rPr>
          <w:rFonts w:ascii="Arial" w:hAnsi="Arial" w:cs="Arial"/>
          <w:sz w:val="20"/>
          <w:szCs w:val="20"/>
        </w:rPr>
        <w:lastRenderedPageBreak/>
        <w:t>company</w:t>
      </w:r>
      <w:r w:rsidR="00552ED9" w:rsidRPr="00B70D8E">
        <w:rPr>
          <w:rFonts w:ascii="Arial" w:hAnsi="Arial" w:cs="Arial"/>
          <w:sz w:val="20"/>
          <w:szCs w:val="20"/>
        </w:rPr>
        <w:t>’s</w:t>
      </w:r>
      <w:r w:rsidRPr="00B70D8E">
        <w:rPr>
          <w:rFonts w:ascii="Arial" w:hAnsi="Arial" w:cs="Arial"/>
          <w:sz w:val="20"/>
          <w:szCs w:val="20"/>
        </w:rPr>
        <w:t xml:space="preserve"> liquidity </w:t>
      </w:r>
      <w:r w:rsidR="00552ED9" w:rsidRPr="00B70D8E">
        <w:rPr>
          <w:rFonts w:ascii="Arial" w:hAnsi="Arial" w:cs="Arial"/>
          <w:sz w:val="20"/>
          <w:szCs w:val="20"/>
        </w:rPr>
        <w:t>is in</w:t>
      </w:r>
      <w:r w:rsidRPr="00B70D8E">
        <w:rPr>
          <w:rFonts w:ascii="Arial" w:hAnsi="Arial" w:cs="Arial"/>
          <w:sz w:val="20"/>
          <w:szCs w:val="20"/>
        </w:rPr>
        <w:t xml:space="preserve"> a good position. The reason being, in all the last five consecutive years from the financial year ending 2012 to 2016, </w:t>
      </w:r>
      <w:r w:rsidR="00D96D51" w:rsidRPr="00B70D8E">
        <w:rPr>
          <w:rFonts w:ascii="Arial" w:hAnsi="Arial" w:cs="Arial"/>
          <w:sz w:val="20"/>
          <w:szCs w:val="20"/>
        </w:rPr>
        <w:t>Hilton food plc</w:t>
      </w:r>
      <w:r w:rsidRPr="00B70D8E">
        <w:rPr>
          <w:rFonts w:ascii="Arial" w:hAnsi="Arial" w:cs="Arial"/>
          <w:sz w:val="20"/>
          <w:szCs w:val="20"/>
        </w:rPr>
        <w:t xml:space="preserve"> current </w:t>
      </w:r>
      <w:r w:rsidR="00552ED9" w:rsidRPr="00B70D8E">
        <w:rPr>
          <w:rFonts w:ascii="Arial" w:hAnsi="Arial" w:cs="Arial"/>
          <w:sz w:val="20"/>
          <w:szCs w:val="20"/>
        </w:rPr>
        <w:t>ratio has</w:t>
      </w:r>
      <w:r w:rsidRPr="00B70D8E">
        <w:rPr>
          <w:rFonts w:ascii="Arial" w:hAnsi="Arial" w:cs="Arial"/>
          <w:sz w:val="20"/>
          <w:szCs w:val="20"/>
        </w:rPr>
        <w:t xml:space="preserve"> been greater than 1. the company has </w:t>
      </w:r>
      <w:r w:rsidR="00552ED9" w:rsidRPr="00B70D8E">
        <w:rPr>
          <w:rFonts w:ascii="Arial" w:hAnsi="Arial" w:cs="Arial"/>
          <w:sz w:val="20"/>
          <w:szCs w:val="20"/>
        </w:rPr>
        <w:t>sufficient</w:t>
      </w:r>
      <w:r w:rsidRPr="00B70D8E">
        <w:rPr>
          <w:rFonts w:ascii="Arial" w:hAnsi="Arial" w:cs="Arial"/>
          <w:sz w:val="20"/>
          <w:szCs w:val="20"/>
        </w:rPr>
        <w:t xml:space="preserve"> amount of short term receivables</w:t>
      </w:r>
      <w:r w:rsidR="00552ED9" w:rsidRPr="00B70D8E">
        <w:rPr>
          <w:rFonts w:ascii="Arial" w:hAnsi="Arial" w:cs="Arial"/>
          <w:sz w:val="20"/>
          <w:szCs w:val="20"/>
        </w:rPr>
        <w:t xml:space="preserve"> and cash</w:t>
      </w:r>
      <w:r w:rsidRPr="00B70D8E">
        <w:rPr>
          <w:rFonts w:ascii="Arial" w:hAnsi="Arial" w:cs="Arial"/>
          <w:sz w:val="20"/>
          <w:szCs w:val="20"/>
        </w:rPr>
        <w:t xml:space="preserve"> compared to the short-term </w:t>
      </w:r>
      <w:r w:rsidR="00552ED9" w:rsidRPr="00B70D8E">
        <w:rPr>
          <w:rFonts w:ascii="Arial" w:hAnsi="Arial" w:cs="Arial"/>
          <w:sz w:val="20"/>
          <w:szCs w:val="20"/>
        </w:rPr>
        <w:t>debt</w:t>
      </w:r>
      <w:r w:rsidRPr="00B70D8E">
        <w:rPr>
          <w:rFonts w:ascii="Arial" w:hAnsi="Arial" w:cs="Arial"/>
          <w:sz w:val="20"/>
          <w:szCs w:val="20"/>
        </w:rPr>
        <w:t>s in all the years, the cash is</w:t>
      </w:r>
      <w:r w:rsidR="00552ED9" w:rsidRPr="00B70D8E">
        <w:rPr>
          <w:rFonts w:ascii="Arial" w:hAnsi="Arial" w:cs="Arial"/>
          <w:sz w:val="20"/>
          <w:szCs w:val="20"/>
        </w:rPr>
        <w:t xml:space="preserve"> not as sufficient to meet up alone with the short-term borrowings</w:t>
      </w:r>
      <w:r w:rsidRPr="00B70D8E">
        <w:rPr>
          <w:rFonts w:ascii="Arial" w:hAnsi="Arial" w:cs="Arial"/>
          <w:sz w:val="20"/>
          <w:szCs w:val="20"/>
        </w:rPr>
        <w:t xml:space="preserve">. </w:t>
      </w:r>
      <w:r w:rsidRPr="00B70D8E">
        <w:rPr>
          <w:rFonts w:ascii="Arial" w:hAnsi="Arial" w:cs="Arial"/>
          <w:color w:val="111111"/>
          <w:sz w:val="20"/>
          <w:szCs w:val="20"/>
          <w:shd w:val="clear" w:color="auto" w:fill="FFFFFF"/>
        </w:rPr>
        <w:t>Th</w:t>
      </w:r>
      <w:r w:rsidR="00552ED9" w:rsidRPr="00B70D8E">
        <w:rPr>
          <w:rFonts w:ascii="Arial" w:hAnsi="Arial" w:cs="Arial"/>
          <w:color w:val="111111"/>
          <w:sz w:val="20"/>
          <w:szCs w:val="20"/>
          <w:shd w:val="clear" w:color="auto" w:fill="FFFFFF"/>
        </w:rPr>
        <w:t>e cash</w:t>
      </w:r>
      <w:r w:rsidRPr="00B70D8E">
        <w:rPr>
          <w:rFonts w:ascii="Arial" w:hAnsi="Arial" w:cs="Arial"/>
          <w:color w:val="111111"/>
          <w:sz w:val="20"/>
          <w:szCs w:val="20"/>
          <w:shd w:val="clear" w:color="auto" w:fill="FFFFFF"/>
        </w:rPr>
        <w:t xml:space="preserve"> ratio refines the quick ratio by removing receivables from the numerators the reason behind this is that the receivables are not always provided on time. </w:t>
      </w:r>
      <w:r w:rsidR="00552ED9" w:rsidRPr="00B70D8E">
        <w:rPr>
          <w:rFonts w:ascii="Arial" w:hAnsi="Arial" w:cs="Arial"/>
          <w:color w:val="111111"/>
          <w:sz w:val="20"/>
          <w:szCs w:val="20"/>
          <w:shd w:val="clear" w:color="auto" w:fill="FFFFFF"/>
        </w:rPr>
        <w:t>So,</w:t>
      </w:r>
      <w:r w:rsidRPr="00B70D8E">
        <w:rPr>
          <w:rFonts w:ascii="Arial" w:hAnsi="Arial" w:cs="Arial"/>
          <w:color w:val="111111"/>
          <w:sz w:val="20"/>
          <w:szCs w:val="20"/>
          <w:shd w:val="clear" w:color="auto" w:fill="FFFFFF"/>
        </w:rPr>
        <w:t xml:space="preserve"> a </w:t>
      </w:r>
      <w:r w:rsidR="00552ED9" w:rsidRPr="00B70D8E">
        <w:rPr>
          <w:rFonts w:ascii="Arial" w:hAnsi="Arial" w:cs="Arial"/>
          <w:color w:val="111111"/>
          <w:sz w:val="20"/>
          <w:szCs w:val="20"/>
          <w:shd w:val="clear" w:color="auto" w:fill="FFFFFF"/>
        </w:rPr>
        <w:t>company</w:t>
      </w:r>
      <w:r w:rsidRPr="00B70D8E">
        <w:rPr>
          <w:rFonts w:ascii="Arial" w:hAnsi="Arial" w:cs="Arial"/>
          <w:color w:val="111111"/>
          <w:sz w:val="20"/>
          <w:szCs w:val="20"/>
          <w:shd w:val="clear" w:color="auto" w:fill="FFFFFF"/>
        </w:rPr>
        <w:t xml:space="preserve"> should have sufficient buffer in cash and cash equivalents to meet any immediate obligation.</w:t>
      </w:r>
      <w:r w:rsidR="00552ED9" w:rsidRPr="00B70D8E">
        <w:rPr>
          <w:rFonts w:ascii="Arial" w:hAnsi="Arial" w:cs="Arial"/>
          <w:color w:val="111111"/>
          <w:sz w:val="20"/>
          <w:szCs w:val="20"/>
          <w:shd w:val="clear" w:color="auto" w:fill="FFFFFF"/>
        </w:rPr>
        <w:t xml:space="preserve"> The current ratio also </w:t>
      </w:r>
      <w:r w:rsidR="00FD7B9A" w:rsidRPr="00B70D8E">
        <w:rPr>
          <w:rFonts w:ascii="Arial" w:hAnsi="Arial" w:cs="Arial"/>
          <w:color w:val="111111"/>
          <w:sz w:val="20"/>
          <w:szCs w:val="20"/>
          <w:shd w:val="clear" w:color="auto" w:fill="FFFFFF"/>
        </w:rPr>
        <w:t>is being increased from 1.06times in 2012 to 1.17times in 2016.</w:t>
      </w:r>
      <w:r w:rsidR="00552ED9" w:rsidRPr="00B70D8E">
        <w:rPr>
          <w:rFonts w:ascii="Arial" w:hAnsi="Arial" w:cs="Arial"/>
          <w:color w:val="111111"/>
          <w:sz w:val="20"/>
          <w:szCs w:val="20"/>
          <w:shd w:val="clear" w:color="auto" w:fill="FFFFFF"/>
        </w:rPr>
        <w:t>The company has maintained the perfect level of the liquidity to meet its immediate obligations.</w:t>
      </w:r>
      <w:r w:rsidRPr="00B70D8E">
        <w:rPr>
          <w:rFonts w:ascii="Arial" w:hAnsi="Arial" w:cs="Arial"/>
          <w:color w:val="111111"/>
          <w:sz w:val="20"/>
          <w:szCs w:val="20"/>
          <w:shd w:val="clear" w:color="auto" w:fill="FFFFFF"/>
        </w:rPr>
        <w:t xml:space="preserve"> Comparing with </w:t>
      </w:r>
      <w:r w:rsidR="00FD7B9A" w:rsidRPr="00B70D8E">
        <w:rPr>
          <w:rFonts w:ascii="Arial" w:hAnsi="Arial" w:cs="Arial"/>
          <w:sz w:val="20"/>
          <w:szCs w:val="20"/>
        </w:rPr>
        <w:t>RPC group</w:t>
      </w:r>
      <w:r w:rsidRPr="00B70D8E">
        <w:rPr>
          <w:rFonts w:ascii="Arial" w:hAnsi="Arial" w:cs="Arial"/>
          <w:sz w:val="20"/>
          <w:szCs w:val="20"/>
        </w:rPr>
        <w:t xml:space="preserve"> plc the current ratio and the cash ratio are </w:t>
      </w:r>
      <w:r w:rsidR="00FD7B9A" w:rsidRPr="00B70D8E">
        <w:rPr>
          <w:rFonts w:ascii="Arial" w:hAnsi="Arial" w:cs="Arial"/>
          <w:sz w:val="20"/>
          <w:szCs w:val="20"/>
        </w:rPr>
        <w:t>lower</w:t>
      </w:r>
      <w:r w:rsidRPr="00B70D8E">
        <w:rPr>
          <w:rFonts w:ascii="Arial" w:hAnsi="Arial" w:cs="Arial"/>
          <w:sz w:val="20"/>
          <w:szCs w:val="20"/>
        </w:rPr>
        <w:t xml:space="preserve"> than the </w:t>
      </w:r>
      <w:r w:rsidR="00D96D51" w:rsidRPr="00B70D8E">
        <w:rPr>
          <w:rFonts w:ascii="Arial" w:hAnsi="Arial" w:cs="Arial"/>
          <w:sz w:val="20"/>
          <w:szCs w:val="20"/>
        </w:rPr>
        <w:t>Hilton food plc</w:t>
      </w:r>
      <w:r w:rsidRPr="00B70D8E">
        <w:rPr>
          <w:rFonts w:ascii="Arial" w:hAnsi="Arial" w:cs="Arial"/>
          <w:sz w:val="20"/>
          <w:szCs w:val="20"/>
        </w:rPr>
        <w:t xml:space="preserve">. </w:t>
      </w:r>
      <w:r w:rsidR="00FD7B9A" w:rsidRPr="00B70D8E">
        <w:rPr>
          <w:rFonts w:ascii="Arial" w:hAnsi="Arial" w:cs="Arial"/>
          <w:sz w:val="20"/>
          <w:szCs w:val="20"/>
        </w:rPr>
        <w:t>RPC group plc</w:t>
      </w:r>
      <w:r w:rsidRPr="00B70D8E">
        <w:rPr>
          <w:rFonts w:ascii="Arial" w:hAnsi="Arial" w:cs="Arial"/>
          <w:sz w:val="20"/>
          <w:szCs w:val="20"/>
        </w:rPr>
        <w:t xml:space="preserve"> </w:t>
      </w:r>
      <w:r w:rsidR="00FD7B9A" w:rsidRPr="00B70D8E">
        <w:rPr>
          <w:rFonts w:ascii="Arial" w:hAnsi="Arial" w:cs="Arial"/>
          <w:sz w:val="20"/>
          <w:szCs w:val="20"/>
        </w:rPr>
        <w:t>has maintain sufficient level of current ratio but though it is not as healthy as Hilton food group plc. The RPC group plc has not been maintained the sufficient buffer cash to meet up its short-term obligations, for that it has to be considered all the current assets including its receivables and inventories.</w:t>
      </w:r>
    </w:p>
    <w:p w:rsidR="00607C2A" w:rsidRPr="00B70D8E" w:rsidRDefault="00A60624" w:rsidP="00607C2A">
      <w:pPr>
        <w:jc w:val="both"/>
        <w:rPr>
          <w:rFonts w:ascii="Arial" w:hAnsi="Arial" w:cs="Arial"/>
          <w:sz w:val="20"/>
          <w:szCs w:val="20"/>
        </w:rPr>
      </w:pPr>
      <w:r w:rsidRPr="00B70D8E">
        <w:rPr>
          <w:rFonts w:ascii="Arial" w:hAnsi="Arial" w:cs="Arial"/>
          <w:sz w:val="20"/>
          <w:szCs w:val="20"/>
        </w:rPr>
        <w:t>E</w:t>
      </w:r>
      <w:r w:rsidR="00607C2A" w:rsidRPr="00B70D8E">
        <w:rPr>
          <w:rFonts w:ascii="Arial" w:hAnsi="Arial" w:cs="Arial"/>
          <w:sz w:val="20"/>
          <w:szCs w:val="20"/>
        </w:rPr>
        <w:t>fficiency ratio such as receivables turnover ratio,</w:t>
      </w:r>
      <w:r w:rsidR="00FE60EC" w:rsidRPr="00B70D8E">
        <w:rPr>
          <w:rFonts w:ascii="Arial" w:hAnsi="Arial" w:cs="Arial"/>
          <w:sz w:val="20"/>
          <w:szCs w:val="20"/>
        </w:rPr>
        <w:t xml:space="preserve"> stock turnover ratio,</w:t>
      </w:r>
      <w:r w:rsidR="00607C2A" w:rsidRPr="00B70D8E">
        <w:rPr>
          <w:rFonts w:ascii="Arial" w:hAnsi="Arial" w:cs="Arial"/>
          <w:sz w:val="20"/>
          <w:szCs w:val="20"/>
        </w:rPr>
        <w:t xml:space="preserve"> creditors ratio has been done to analyse </w:t>
      </w:r>
      <w:r w:rsidR="00FE60EC" w:rsidRPr="00B70D8E">
        <w:rPr>
          <w:rFonts w:ascii="Arial" w:hAnsi="Arial" w:cs="Arial"/>
          <w:sz w:val="20"/>
          <w:szCs w:val="20"/>
        </w:rPr>
        <w:t>the efficiency</w:t>
      </w:r>
      <w:r w:rsidR="00607C2A" w:rsidRPr="00B70D8E">
        <w:rPr>
          <w:rFonts w:ascii="Arial" w:hAnsi="Arial" w:cs="Arial"/>
          <w:sz w:val="20"/>
          <w:szCs w:val="20"/>
        </w:rPr>
        <w:t xml:space="preserve"> of the firm from the various perspective like the efficiency of the firm in efficiency of the firm utilization of assets</w:t>
      </w:r>
      <w:r w:rsidR="00FE60EC" w:rsidRPr="00B70D8E">
        <w:rPr>
          <w:rFonts w:ascii="Arial" w:hAnsi="Arial" w:cs="Arial"/>
          <w:sz w:val="20"/>
          <w:szCs w:val="20"/>
        </w:rPr>
        <w:t>, managing inventory</w:t>
      </w:r>
      <w:r w:rsidR="00607C2A" w:rsidRPr="00B70D8E">
        <w:rPr>
          <w:rFonts w:ascii="Arial" w:hAnsi="Arial" w:cs="Arial"/>
          <w:sz w:val="20"/>
          <w:szCs w:val="20"/>
        </w:rPr>
        <w:t xml:space="preserve"> and efficiency of the firm in taking payment from the creditors and payments. The </w:t>
      </w:r>
      <w:r w:rsidR="00712052" w:rsidRPr="00B70D8E">
        <w:rPr>
          <w:rFonts w:ascii="Arial" w:hAnsi="Arial" w:cs="Arial"/>
          <w:sz w:val="20"/>
          <w:szCs w:val="20"/>
        </w:rPr>
        <w:t>inventory</w:t>
      </w:r>
      <w:r w:rsidR="00607C2A" w:rsidRPr="00B70D8E">
        <w:rPr>
          <w:rFonts w:ascii="Arial" w:hAnsi="Arial" w:cs="Arial"/>
          <w:sz w:val="20"/>
          <w:szCs w:val="20"/>
        </w:rPr>
        <w:t xml:space="preserve"> turnover ratio which has been calculated in order to evaluate the efficiency of the firm in managing the </w:t>
      </w:r>
      <w:r w:rsidR="00712052" w:rsidRPr="00B70D8E">
        <w:rPr>
          <w:rFonts w:ascii="Arial" w:hAnsi="Arial" w:cs="Arial"/>
          <w:sz w:val="20"/>
          <w:szCs w:val="20"/>
        </w:rPr>
        <w:t>stock</w:t>
      </w:r>
      <w:r w:rsidR="00607C2A" w:rsidRPr="00B70D8E">
        <w:rPr>
          <w:rFonts w:ascii="Arial" w:hAnsi="Arial" w:cs="Arial"/>
          <w:sz w:val="20"/>
          <w:szCs w:val="20"/>
        </w:rPr>
        <w:t xml:space="preserve"> and converting the inventory into sales</w:t>
      </w:r>
      <w:r w:rsidR="00712052" w:rsidRPr="00B70D8E">
        <w:rPr>
          <w:rFonts w:ascii="Arial" w:hAnsi="Arial" w:cs="Arial"/>
          <w:sz w:val="20"/>
          <w:szCs w:val="20"/>
        </w:rPr>
        <w:t xml:space="preserve"> and also showing how many times a company’s inventory is sold and then replaced over period of time</w:t>
      </w:r>
      <w:r w:rsidR="00607C2A" w:rsidRPr="00B70D8E">
        <w:rPr>
          <w:rFonts w:ascii="Arial" w:hAnsi="Arial" w:cs="Arial"/>
          <w:sz w:val="20"/>
          <w:szCs w:val="20"/>
        </w:rPr>
        <w:t xml:space="preserve">. It is </w:t>
      </w:r>
      <w:r w:rsidR="00712052" w:rsidRPr="00B70D8E">
        <w:rPr>
          <w:rFonts w:ascii="Arial" w:hAnsi="Arial" w:cs="Arial"/>
          <w:sz w:val="20"/>
          <w:szCs w:val="20"/>
        </w:rPr>
        <w:t>obvious</w:t>
      </w:r>
      <w:r w:rsidR="00607C2A" w:rsidRPr="00B70D8E">
        <w:rPr>
          <w:rFonts w:ascii="Arial" w:hAnsi="Arial" w:cs="Arial"/>
          <w:sz w:val="20"/>
          <w:szCs w:val="20"/>
        </w:rPr>
        <w:t xml:space="preserve"> from the calculations </w:t>
      </w:r>
      <w:r w:rsidR="00F65EFB" w:rsidRPr="00B70D8E">
        <w:rPr>
          <w:rFonts w:ascii="Arial" w:hAnsi="Arial" w:cs="Arial"/>
          <w:sz w:val="20"/>
          <w:szCs w:val="20"/>
        </w:rPr>
        <w:t>of Hilton</w:t>
      </w:r>
      <w:r w:rsidR="00D96D51" w:rsidRPr="00B70D8E">
        <w:rPr>
          <w:rFonts w:ascii="Arial" w:hAnsi="Arial" w:cs="Arial"/>
          <w:sz w:val="20"/>
          <w:szCs w:val="20"/>
        </w:rPr>
        <w:t xml:space="preserve"> food plc</w:t>
      </w:r>
      <w:r w:rsidR="00607C2A" w:rsidRPr="00B70D8E">
        <w:rPr>
          <w:rFonts w:ascii="Arial" w:hAnsi="Arial" w:cs="Arial"/>
          <w:sz w:val="20"/>
          <w:szCs w:val="20"/>
        </w:rPr>
        <w:t xml:space="preserve"> has been good in managing the inventory. the ratio improved from </w:t>
      </w:r>
      <w:r w:rsidR="00F65EFB" w:rsidRPr="00B70D8E">
        <w:rPr>
          <w:rFonts w:ascii="Arial" w:hAnsi="Arial" w:cs="Arial"/>
          <w:sz w:val="20"/>
          <w:szCs w:val="20"/>
        </w:rPr>
        <w:t>8.95 days</w:t>
      </w:r>
      <w:r w:rsidR="00607C2A" w:rsidRPr="00B70D8E">
        <w:rPr>
          <w:rFonts w:ascii="Arial" w:hAnsi="Arial" w:cs="Arial"/>
          <w:sz w:val="20"/>
          <w:szCs w:val="20"/>
        </w:rPr>
        <w:t xml:space="preserve"> in 2012 to </w:t>
      </w:r>
      <w:r w:rsidR="00F65EFB" w:rsidRPr="00B70D8E">
        <w:rPr>
          <w:rFonts w:ascii="Arial" w:hAnsi="Arial" w:cs="Arial"/>
          <w:sz w:val="20"/>
          <w:szCs w:val="20"/>
        </w:rPr>
        <w:t>8.40 days</w:t>
      </w:r>
      <w:r w:rsidR="00607C2A" w:rsidRPr="00B70D8E">
        <w:rPr>
          <w:rFonts w:ascii="Arial" w:hAnsi="Arial" w:cs="Arial"/>
          <w:sz w:val="20"/>
          <w:szCs w:val="20"/>
        </w:rPr>
        <w:t xml:space="preserve"> in 201</w:t>
      </w:r>
      <w:r w:rsidR="00F65EFB" w:rsidRPr="00B70D8E">
        <w:rPr>
          <w:rFonts w:ascii="Arial" w:hAnsi="Arial" w:cs="Arial"/>
          <w:sz w:val="20"/>
          <w:szCs w:val="20"/>
        </w:rPr>
        <w:t>3 further it improved to 7.68 days in 2015 and then in 2016 it has been improved to 7.18 days</w:t>
      </w:r>
      <w:r w:rsidR="00607C2A" w:rsidRPr="00B70D8E">
        <w:rPr>
          <w:rFonts w:ascii="Arial" w:hAnsi="Arial" w:cs="Arial"/>
          <w:sz w:val="20"/>
          <w:szCs w:val="20"/>
        </w:rPr>
        <w:t xml:space="preserve">. The main reason of the improvement in the </w:t>
      </w:r>
      <w:r w:rsidR="00F65EFB" w:rsidRPr="00B70D8E">
        <w:rPr>
          <w:rFonts w:ascii="Arial" w:hAnsi="Arial" w:cs="Arial"/>
          <w:sz w:val="20"/>
          <w:szCs w:val="20"/>
        </w:rPr>
        <w:t>inventory</w:t>
      </w:r>
      <w:r w:rsidR="00607C2A" w:rsidRPr="00B70D8E">
        <w:rPr>
          <w:rFonts w:ascii="Arial" w:hAnsi="Arial" w:cs="Arial"/>
          <w:sz w:val="20"/>
          <w:szCs w:val="20"/>
        </w:rPr>
        <w:t xml:space="preserve"> turnover ratio is because the compa</w:t>
      </w:r>
      <w:r w:rsidR="00F65EFB" w:rsidRPr="00B70D8E">
        <w:rPr>
          <w:rFonts w:ascii="Arial" w:hAnsi="Arial" w:cs="Arial"/>
          <w:sz w:val="20"/>
          <w:szCs w:val="20"/>
        </w:rPr>
        <w:t>ny is operating in consumer goods industry hence the replacement of the inventory is obvious short</w:t>
      </w:r>
      <w:r w:rsidR="00607C2A" w:rsidRPr="00B70D8E">
        <w:rPr>
          <w:rFonts w:ascii="Arial" w:hAnsi="Arial" w:cs="Arial"/>
          <w:sz w:val="20"/>
          <w:szCs w:val="20"/>
        </w:rPr>
        <w:t xml:space="preserve">. It means the goods after produced by the company have not been taking much time to get </w:t>
      </w:r>
      <w:r w:rsidR="00F65EFB" w:rsidRPr="00B70D8E">
        <w:rPr>
          <w:rFonts w:ascii="Arial" w:hAnsi="Arial" w:cs="Arial"/>
          <w:sz w:val="20"/>
          <w:szCs w:val="20"/>
        </w:rPr>
        <w:t xml:space="preserve">replaced by </w:t>
      </w:r>
      <w:r w:rsidRPr="00B70D8E">
        <w:rPr>
          <w:rFonts w:ascii="Arial" w:hAnsi="Arial" w:cs="Arial"/>
          <w:sz w:val="20"/>
          <w:szCs w:val="20"/>
        </w:rPr>
        <w:t>other upcoming stock</w:t>
      </w:r>
      <w:r w:rsidR="00607C2A" w:rsidRPr="00B70D8E">
        <w:rPr>
          <w:rFonts w:ascii="Arial" w:hAnsi="Arial" w:cs="Arial"/>
          <w:sz w:val="20"/>
          <w:szCs w:val="20"/>
        </w:rPr>
        <w:t>.</w:t>
      </w:r>
      <w:r w:rsidR="00A865CE" w:rsidRPr="00B70D8E">
        <w:rPr>
          <w:rFonts w:ascii="Arial" w:hAnsi="Arial" w:cs="Arial"/>
          <w:sz w:val="20"/>
          <w:szCs w:val="20"/>
        </w:rPr>
        <w:t xml:space="preserve"> Comparing the RPC group plc, the ratio is far more better than RPC group plc where it took 52 days to sold and replace its inventories</w:t>
      </w:r>
      <w:r w:rsidR="00607C2A" w:rsidRPr="00B70D8E">
        <w:rPr>
          <w:rFonts w:ascii="Arial" w:hAnsi="Arial" w:cs="Arial"/>
          <w:sz w:val="20"/>
          <w:szCs w:val="20"/>
        </w:rPr>
        <w:t xml:space="preserve"> </w:t>
      </w:r>
      <w:r w:rsidR="00A865CE" w:rsidRPr="00B70D8E">
        <w:rPr>
          <w:rFonts w:ascii="Arial" w:hAnsi="Arial" w:cs="Arial"/>
          <w:sz w:val="20"/>
          <w:szCs w:val="20"/>
        </w:rPr>
        <w:t xml:space="preserve">over a period of time. </w:t>
      </w:r>
      <w:r w:rsidR="00607C2A" w:rsidRPr="00B70D8E">
        <w:rPr>
          <w:rFonts w:ascii="Arial" w:hAnsi="Arial" w:cs="Arial"/>
          <w:sz w:val="20"/>
          <w:szCs w:val="20"/>
        </w:rPr>
        <w:t xml:space="preserve">The creditors ratio can be referred to as the ratio which </w:t>
      </w:r>
      <w:r w:rsidRPr="00B70D8E">
        <w:rPr>
          <w:rFonts w:ascii="Arial" w:hAnsi="Arial" w:cs="Arial"/>
          <w:sz w:val="20"/>
          <w:szCs w:val="20"/>
        </w:rPr>
        <w:t>indicate</w:t>
      </w:r>
      <w:r w:rsidR="00607C2A" w:rsidRPr="00B70D8E">
        <w:rPr>
          <w:rFonts w:ascii="Arial" w:hAnsi="Arial" w:cs="Arial"/>
          <w:sz w:val="20"/>
          <w:szCs w:val="20"/>
        </w:rPr>
        <w:t xml:space="preserve"> the trade payables to the cost of sales of the company. So, it can be analysed that this ratio </w:t>
      </w:r>
      <w:r w:rsidRPr="00B70D8E">
        <w:rPr>
          <w:rFonts w:ascii="Arial" w:hAnsi="Arial" w:cs="Arial"/>
          <w:sz w:val="20"/>
          <w:szCs w:val="20"/>
        </w:rPr>
        <w:t>gives</w:t>
      </w:r>
      <w:r w:rsidR="00607C2A" w:rsidRPr="00B70D8E">
        <w:rPr>
          <w:rFonts w:ascii="Arial" w:hAnsi="Arial" w:cs="Arial"/>
          <w:sz w:val="20"/>
          <w:szCs w:val="20"/>
        </w:rPr>
        <w:t xml:space="preserve"> the</w:t>
      </w:r>
      <w:r w:rsidRPr="00B70D8E">
        <w:rPr>
          <w:rFonts w:ascii="Arial" w:hAnsi="Arial" w:cs="Arial"/>
          <w:sz w:val="20"/>
          <w:szCs w:val="20"/>
        </w:rPr>
        <w:t xml:space="preserve"> picture</w:t>
      </w:r>
      <w:r w:rsidR="00607C2A" w:rsidRPr="00B70D8E">
        <w:rPr>
          <w:rFonts w:ascii="Arial" w:hAnsi="Arial" w:cs="Arial"/>
          <w:sz w:val="20"/>
          <w:szCs w:val="20"/>
        </w:rPr>
        <w:t xml:space="preserve"> fact whether the company is taking full advantage of the credit facilities. </w:t>
      </w:r>
      <w:r w:rsidR="00F75908" w:rsidRPr="00B70D8E">
        <w:rPr>
          <w:rFonts w:ascii="Arial" w:hAnsi="Arial" w:cs="Arial"/>
          <w:sz w:val="20"/>
          <w:szCs w:val="20"/>
        </w:rPr>
        <w:t>hence</w:t>
      </w:r>
      <w:r w:rsidR="00607C2A" w:rsidRPr="00B70D8E">
        <w:rPr>
          <w:rFonts w:ascii="Arial" w:hAnsi="Arial" w:cs="Arial"/>
          <w:sz w:val="20"/>
          <w:szCs w:val="20"/>
        </w:rPr>
        <w:t xml:space="preserve">, a high value in days terms of the ratio signifies excellent taking of the credit facility from the suppliers of the company. It is observed that </w:t>
      </w:r>
      <w:r w:rsidR="00F75908" w:rsidRPr="00B70D8E">
        <w:rPr>
          <w:rFonts w:ascii="Arial" w:hAnsi="Arial" w:cs="Arial"/>
          <w:sz w:val="20"/>
          <w:szCs w:val="20"/>
        </w:rPr>
        <w:t>creditors</w:t>
      </w:r>
      <w:r w:rsidR="00607C2A" w:rsidRPr="00B70D8E">
        <w:rPr>
          <w:rFonts w:ascii="Arial" w:hAnsi="Arial" w:cs="Arial"/>
          <w:sz w:val="20"/>
          <w:szCs w:val="20"/>
        </w:rPr>
        <w:t xml:space="preserve"> ratio </w:t>
      </w:r>
      <w:r w:rsidR="00F75908" w:rsidRPr="00B70D8E">
        <w:rPr>
          <w:rFonts w:ascii="Arial" w:hAnsi="Arial" w:cs="Arial"/>
          <w:sz w:val="20"/>
          <w:szCs w:val="20"/>
        </w:rPr>
        <w:t xml:space="preserve">or payable ratio </w:t>
      </w:r>
      <w:r w:rsidR="00607C2A" w:rsidRPr="00B70D8E">
        <w:rPr>
          <w:rFonts w:ascii="Arial" w:hAnsi="Arial" w:cs="Arial"/>
          <w:sz w:val="20"/>
          <w:szCs w:val="20"/>
        </w:rPr>
        <w:t xml:space="preserve">of the company has declined from </w:t>
      </w:r>
      <w:r w:rsidR="00F75908" w:rsidRPr="00B70D8E">
        <w:rPr>
          <w:rFonts w:ascii="Arial" w:hAnsi="Arial" w:cs="Arial"/>
          <w:sz w:val="20"/>
          <w:szCs w:val="20"/>
        </w:rPr>
        <w:t>56.63</w:t>
      </w:r>
      <w:r w:rsidR="00607C2A" w:rsidRPr="00B70D8E">
        <w:rPr>
          <w:rFonts w:ascii="Arial" w:hAnsi="Arial" w:cs="Arial"/>
          <w:sz w:val="20"/>
          <w:szCs w:val="20"/>
        </w:rPr>
        <w:t xml:space="preserve"> days in 2012 to </w:t>
      </w:r>
      <w:r w:rsidR="00F75908" w:rsidRPr="00B70D8E">
        <w:rPr>
          <w:rFonts w:ascii="Arial" w:hAnsi="Arial" w:cs="Arial"/>
          <w:sz w:val="20"/>
          <w:szCs w:val="20"/>
        </w:rPr>
        <w:t>55.70</w:t>
      </w:r>
      <w:r w:rsidR="00607C2A" w:rsidRPr="00B70D8E">
        <w:rPr>
          <w:rFonts w:ascii="Arial" w:hAnsi="Arial" w:cs="Arial"/>
          <w:sz w:val="20"/>
          <w:szCs w:val="20"/>
        </w:rPr>
        <w:t xml:space="preserve"> days in </w:t>
      </w:r>
      <w:r w:rsidR="00F75908" w:rsidRPr="00B70D8E">
        <w:rPr>
          <w:rFonts w:ascii="Arial" w:hAnsi="Arial" w:cs="Arial"/>
          <w:sz w:val="20"/>
          <w:szCs w:val="20"/>
        </w:rPr>
        <w:t xml:space="preserve">2013, then it increased up to 60 days in 2014 and later in 2015 and 2016 it declined to 56 days to 50.55 days respectively. </w:t>
      </w:r>
      <w:r w:rsidR="00607C2A" w:rsidRPr="00B70D8E">
        <w:rPr>
          <w:rFonts w:ascii="Arial" w:hAnsi="Arial" w:cs="Arial"/>
          <w:sz w:val="20"/>
          <w:szCs w:val="20"/>
        </w:rPr>
        <w:t xml:space="preserve"> the company has a lower trade payable compared to cost of sales. So, it is recommended that the company must extend the credit facility which help to have a better utilization of the available financial resource</w:t>
      </w:r>
      <w:r w:rsidR="005169EF" w:rsidRPr="00B70D8E">
        <w:rPr>
          <w:rFonts w:ascii="Arial" w:hAnsi="Arial" w:cs="Arial"/>
          <w:sz w:val="20"/>
          <w:szCs w:val="20"/>
        </w:rPr>
        <w:t xml:space="preserve"> provided by the creditors of the company</w:t>
      </w:r>
      <w:r w:rsidR="00607C2A" w:rsidRPr="00B70D8E">
        <w:rPr>
          <w:rFonts w:ascii="Arial" w:hAnsi="Arial" w:cs="Arial"/>
          <w:sz w:val="20"/>
          <w:szCs w:val="20"/>
        </w:rPr>
        <w:t>. A Debtors ratio is a ratio which helps in measuring the efficiency of the company in collection of trade receivables from the customers</w:t>
      </w:r>
      <w:r w:rsidR="005169EF" w:rsidRPr="00B70D8E">
        <w:rPr>
          <w:rFonts w:ascii="Arial" w:hAnsi="Arial" w:cs="Arial"/>
          <w:sz w:val="20"/>
          <w:szCs w:val="20"/>
        </w:rPr>
        <w:t xml:space="preserve"> we traded with</w:t>
      </w:r>
      <w:r w:rsidR="00607C2A" w:rsidRPr="00B70D8E">
        <w:rPr>
          <w:rFonts w:ascii="Arial" w:hAnsi="Arial" w:cs="Arial"/>
          <w:sz w:val="20"/>
          <w:szCs w:val="20"/>
        </w:rPr>
        <w:t xml:space="preserve">. So, a low value of the ratio in terms of the days is </w:t>
      </w:r>
      <w:r w:rsidR="005169EF" w:rsidRPr="00B70D8E">
        <w:rPr>
          <w:rFonts w:ascii="Arial" w:hAnsi="Arial" w:cs="Arial"/>
          <w:sz w:val="20"/>
          <w:szCs w:val="20"/>
        </w:rPr>
        <w:t xml:space="preserve">more </w:t>
      </w:r>
      <w:r w:rsidR="00607C2A" w:rsidRPr="00B70D8E">
        <w:rPr>
          <w:rFonts w:ascii="Arial" w:hAnsi="Arial" w:cs="Arial"/>
          <w:sz w:val="20"/>
          <w:szCs w:val="20"/>
        </w:rPr>
        <w:t xml:space="preserve">desirable as it is calculated as the ratio to the trade receivables to the sales of the company. It can be observed that the average account receivables have been increased from </w:t>
      </w:r>
      <w:r w:rsidR="005169EF" w:rsidRPr="00B70D8E">
        <w:rPr>
          <w:rFonts w:ascii="Arial" w:hAnsi="Arial" w:cs="Arial"/>
          <w:sz w:val="20"/>
          <w:szCs w:val="20"/>
        </w:rPr>
        <w:t>37.51</w:t>
      </w:r>
      <w:r w:rsidR="00607C2A" w:rsidRPr="00B70D8E">
        <w:rPr>
          <w:rFonts w:ascii="Arial" w:hAnsi="Arial" w:cs="Arial"/>
          <w:sz w:val="20"/>
          <w:szCs w:val="20"/>
        </w:rPr>
        <w:t xml:space="preserve"> days to </w:t>
      </w:r>
      <w:r w:rsidR="005169EF" w:rsidRPr="00B70D8E">
        <w:rPr>
          <w:rFonts w:ascii="Arial" w:hAnsi="Arial" w:cs="Arial"/>
          <w:sz w:val="20"/>
          <w:szCs w:val="20"/>
        </w:rPr>
        <w:t>37.67</w:t>
      </w:r>
      <w:r w:rsidR="00607C2A" w:rsidRPr="00B70D8E">
        <w:rPr>
          <w:rFonts w:ascii="Arial" w:hAnsi="Arial" w:cs="Arial"/>
          <w:sz w:val="20"/>
          <w:szCs w:val="20"/>
        </w:rPr>
        <w:t xml:space="preserve"> days during the financial year ending 2012 to 201</w:t>
      </w:r>
      <w:r w:rsidR="005169EF" w:rsidRPr="00B70D8E">
        <w:rPr>
          <w:rFonts w:ascii="Arial" w:hAnsi="Arial" w:cs="Arial"/>
          <w:sz w:val="20"/>
          <w:szCs w:val="20"/>
        </w:rPr>
        <w:t>3</w:t>
      </w:r>
      <w:r w:rsidR="00607C2A" w:rsidRPr="00B70D8E">
        <w:rPr>
          <w:rFonts w:ascii="Arial" w:hAnsi="Arial" w:cs="Arial"/>
          <w:sz w:val="20"/>
          <w:szCs w:val="20"/>
        </w:rPr>
        <w:t>.</w:t>
      </w:r>
      <w:r w:rsidR="005169EF" w:rsidRPr="00B70D8E">
        <w:rPr>
          <w:rFonts w:ascii="Arial" w:hAnsi="Arial" w:cs="Arial"/>
          <w:sz w:val="20"/>
          <w:szCs w:val="20"/>
        </w:rPr>
        <w:t>then further it increased to 39.85 days in 2014. After that in 2015 and 2016 it has been declined to 35.30 days and 31.74 days respectively.</w:t>
      </w:r>
      <w:r w:rsidR="00607C2A" w:rsidRPr="00B70D8E">
        <w:rPr>
          <w:rFonts w:ascii="Arial" w:hAnsi="Arial" w:cs="Arial"/>
          <w:sz w:val="20"/>
          <w:szCs w:val="20"/>
        </w:rPr>
        <w:t xml:space="preserve"> So, it can be analysed that there has been a</w:t>
      </w:r>
      <w:r w:rsidR="005169EF" w:rsidRPr="00B70D8E">
        <w:rPr>
          <w:rFonts w:ascii="Arial" w:hAnsi="Arial" w:cs="Arial"/>
          <w:sz w:val="20"/>
          <w:szCs w:val="20"/>
        </w:rPr>
        <w:t xml:space="preserve"> quite</w:t>
      </w:r>
      <w:r w:rsidR="00607C2A" w:rsidRPr="00B70D8E">
        <w:rPr>
          <w:rFonts w:ascii="Arial" w:hAnsi="Arial" w:cs="Arial"/>
          <w:sz w:val="20"/>
          <w:szCs w:val="20"/>
        </w:rPr>
        <w:t xml:space="preserve"> </w:t>
      </w:r>
      <w:r w:rsidR="005169EF" w:rsidRPr="00B70D8E">
        <w:rPr>
          <w:rFonts w:ascii="Arial" w:hAnsi="Arial" w:cs="Arial"/>
          <w:sz w:val="20"/>
          <w:szCs w:val="20"/>
        </w:rPr>
        <w:t>improvement</w:t>
      </w:r>
      <w:r w:rsidR="00607C2A" w:rsidRPr="00B70D8E">
        <w:rPr>
          <w:rFonts w:ascii="Arial" w:hAnsi="Arial" w:cs="Arial"/>
          <w:sz w:val="20"/>
          <w:szCs w:val="20"/>
        </w:rPr>
        <w:t xml:space="preserve"> in performance of </w:t>
      </w:r>
      <w:r w:rsidR="00D96D51" w:rsidRPr="00B70D8E">
        <w:rPr>
          <w:rFonts w:ascii="Arial" w:hAnsi="Arial" w:cs="Arial"/>
          <w:sz w:val="20"/>
          <w:szCs w:val="20"/>
        </w:rPr>
        <w:t>Hilton food plc</w:t>
      </w:r>
      <w:r w:rsidR="00607C2A" w:rsidRPr="00B70D8E">
        <w:rPr>
          <w:rFonts w:ascii="Arial" w:hAnsi="Arial" w:cs="Arial"/>
          <w:sz w:val="20"/>
          <w:szCs w:val="20"/>
        </w:rPr>
        <w:t xml:space="preserve"> in terms of collection of receivables. The company has </w:t>
      </w:r>
      <w:r w:rsidR="005169EF" w:rsidRPr="00B70D8E">
        <w:rPr>
          <w:rFonts w:ascii="Arial" w:hAnsi="Arial" w:cs="Arial"/>
          <w:sz w:val="20"/>
          <w:szCs w:val="20"/>
        </w:rPr>
        <w:t>now dec</w:t>
      </w:r>
      <w:r w:rsidR="00607C2A" w:rsidRPr="00B70D8E">
        <w:rPr>
          <w:rFonts w:ascii="Arial" w:hAnsi="Arial" w:cs="Arial"/>
          <w:sz w:val="20"/>
          <w:szCs w:val="20"/>
        </w:rPr>
        <w:t xml:space="preserve">reased the credit period for their debtors to pay for their outstanding payment towards </w:t>
      </w:r>
      <w:r w:rsidR="005169EF" w:rsidRPr="00B70D8E">
        <w:rPr>
          <w:rFonts w:ascii="Arial" w:hAnsi="Arial" w:cs="Arial"/>
          <w:sz w:val="20"/>
          <w:szCs w:val="20"/>
        </w:rPr>
        <w:t>t</w:t>
      </w:r>
      <w:r w:rsidR="00607C2A" w:rsidRPr="00B70D8E">
        <w:rPr>
          <w:rFonts w:ascii="Arial" w:hAnsi="Arial" w:cs="Arial"/>
          <w:sz w:val="20"/>
          <w:szCs w:val="20"/>
        </w:rPr>
        <w:t xml:space="preserve">he </w:t>
      </w:r>
      <w:r w:rsidR="00D96D51" w:rsidRPr="00B70D8E">
        <w:rPr>
          <w:rFonts w:ascii="Arial" w:hAnsi="Arial" w:cs="Arial"/>
          <w:sz w:val="20"/>
          <w:szCs w:val="20"/>
        </w:rPr>
        <w:t>Hilton food plc</w:t>
      </w:r>
      <w:r w:rsidR="00607C2A" w:rsidRPr="00B70D8E">
        <w:rPr>
          <w:rFonts w:ascii="Arial" w:hAnsi="Arial" w:cs="Arial"/>
          <w:sz w:val="20"/>
          <w:szCs w:val="20"/>
        </w:rPr>
        <w:t xml:space="preserve">. Comparing with </w:t>
      </w:r>
      <w:r w:rsidR="00FD7B9A" w:rsidRPr="00B70D8E">
        <w:rPr>
          <w:rFonts w:ascii="Arial" w:hAnsi="Arial" w:cs="Arial"/>
          <w:sz w:val="20"/>
          <w:szCs w:val="20"/>
        </w:rPr>
        <w:t>RPC group plc</w:t>
      </w:r>
      <w:r w:rsidR="00607C2A" w:rsidRPr="00B70D8E">
        <w:rPr>
          <w:rFonts w:ascii="Arial" w:hAnsi="Arial" w:cs="Arial"/>
          <w:sz w:val="20"/>
          <w:szCs w:val="20"/>
        </w:rPr>
        <w:t xml:space="preserve">, the receivables turnover ratio and the average debt collection period of </w:t>
      </w:r>
      <w:r w:rsidR="00FD7B9A" w:rsidRPr="00B70D8E">
        <w:rPr>
          <w:rFonts w:ascii="Arial" w:hAnsi="Arial" w:cs="Arial"/>
          <w:sz w:val="20"/>
          <w:szCs w:val="20"/>
        </w:rPr>
        <w:t>RPC group plc</w:t>
      </w:r>
      <w:r w:rsidR="00607C2A" w:rsidRPr="00B70D8E">
        <w:rPr>
          <w:rFonts w:ascii="Arial" w:hAnsi="Arial" w:cs="Arial"/>
          <w:sz w:val="20"/>
          <w:szCs w:val="20"/>
        </w:rPr>
        <w:t xml:space="preserve"> is</w:t>
      </w:r>
      <w:r w:rsidR="005169EF" w:rsidRPr="00B70D8E">
        <w:rPr>
          <w:rFonts w:ascii="Arial" w:hAnsi="Arial" w:cs="Arial"/>
          <w:sz w:val="20"/>
          <w:szCs w:val="20"/>
        </w:rPr>
        <w:t xml:space="preserve"> very much high in terms of the days</w:t>
      </w:r>
      <w:r w:rsidR="00607C2A" w:rsidRPr="00B70D8E">
        <w:rPr>
          <w:rFonts w:ascii="Arial" w:hAnsi="Arial" w:cs="Arial"/>
          <w:sz w:val="20"/>
          <w:szCs w:val="20"/>
        </w:rPr>
        <w:t>.</w:t>
      </w:r>
      <w:r w:rsidR="005169EF" w:rsidRPr="00B70D8E">
        <w:rPr>
          <w:rFonts w:ascii="Arial" w:hAnsi="Arial" w:cs="Arial"/>
          <w:sz w:val="20"/>
          <w:szCs w:val="20"/>
        </w:rPr>
        <w:t xml:space="preserve"> The RPC group plc’s average collection of the receivables has been taking 77 days compared with 32 days for Hilton food plc</w:t>
      </w:r>
      <w:r w:rsidR="00A865CE" w:rsidRPr="00B70D8E">
        <w:rPr>
          <w:rFonts w:ascii="Arial" w:hAnsi="Arial" w:cs="Arial"/>
          <w:sz w:val="20"/>
          <w:szCs w:val="20"/>
        </w:rPr>
        <w:t>.</w:t>
      </w:r>
    </w:p>
    <w:p w:rsidR="00607C2A" w:rsidRPr="00B70D8E" w:rsidRDefault="00607C2A" w:rsidP="00607C2A">
      <w:pPr>
        <w:jc w:val="both"/>
        <w:rPr>
          <w:rFonts w:ascii="Arial" w:hAnsi="Arial" w:cs="Arial"/>
          <w:sz w:val="20"/>
          <w:szCs w:val="20"/>
        </w:rPr>
      </w:pPr>
      <w:r w:rsidRPr="00B70D8E">
        <w:rPr>
          <w:rFonts w:ascii="Arial" w:hAnsi="Arial" w:cs="Arial"/>
          <w:sz w:val="20"/>
          <w:szCs w:val="20"/>
          <w:shd w:val="clear" w:color="auto" w:fill="FDFDFD"/>
        </w:rPr>
        <w:t>Leverage</w:t>
      </w:r>
      <w:r w:rsidR="00A865CE" w:rsidRPr="00B70D8E">
        <w:rPr>
          <w:rFonts w:ascii="Arial" w:hAnsi="Arial" w:cs="Arial"/>
          <w:sz w:val="20"/>
          <w:szCs w:val="20"/>
          <w:shd w:val="clear" w:color="auto" w:fill="FDFDFD"/>
        </w:rPr>
        <w:t xml:space="preserve"> or solvency</w:t>
      </w:r>
      <w:r w:rsidRPr="00B70D8E">
        <w:rPr>
          <w:rFonts w:ascii="Arial" w:hAnsi="Arial" w:cs="Arial"/>
          <w:sz w:val="20"/>
          <w:szCs w:val="20"/>
          <w:shd w:val="clear" w:color="auto" w:fill="FDFDFD"/>
        </w:rPr>
        <w:t xml:space="preserve"> </w:t>
      </w:r>
      <w:r w:rsidR="00A865CE" w:rsidRPr="00B70D8E">
        <w:rPr>
          <w:rFonts w:ascii="Arial" w:hAnsi="Arial" w:cs="Arial"/>
          <w:sz w:val="20"/>
          <w:szCs w:val="20"/>
          <w:shd w:val="clear" w:color="auto" w:fill="FDFDFD"/>
        </w:rPr>
        <w:t>are</w:t>
      </w:r>
      <w:r w:rsidRPr="00B70D8E">
        <w:rPr>
          <w:rFonts w:ascii="Arial" w:hAnsi="Arial" w:cs="Arial"/>
          <w:sz w:val="20"/>
          <w:szCs w:val="20"/>
          <w:shd w:val="clear" w:color="auto" w:fill="FDFDFD"/>
        </w:rPr>
        <w:t xml:space="preserve"> the term</w:t>
      </w:r>
      <w:r w:rsidR="00A865CE" w:rsidRPr="00B70D8E">
        <w:rPr>
          <w:rFonts w:ascii="Arial" w:hAnsi="Arial" w:cs="Arial"/>
          <w:sz w:val="20"/>
          <w:szCs w:val="20"/>
          <w:shd w:val="clear" w:color="auto" w:fill="FDFDFD"/>
        </w:rPr>
        <w:t>s</w:t>
      </w:r>
      <w:r w:rsidRPr="00B70D8E">
        <w:rPr>
          <w:rFonts w:ascii="Arial" w:hAnsi="Arial" w:cs="Arial"/>
          <w:sz w:val="20"/>
          <w:szCs w:val="20"/>
          <w:shd w:val="clear" w:color="auto" w:fill="FDFDFD"/>
        </w:rPr>
        <w:t xml:space="preserve"> which used to describe the financial position of any business which is capable to meet outside obligations in full out of its own assets. So, this ratio establishes relationship between total liabilities and total assets. </w:t>
      </w:r>
      <w:r w:rsidRPr="00B70D8E">
        <w:rPr>
          <w:rFonts w:ascii="Arial" w:hAnsi="Arial" w:cs="Arial"/>
          <w:sz w:val="20"/>
          <w:szCs w:val="20"/>
        </w:rPr>
        <w:t xml:space="preserve">It is also evident from the analysis of the Total Debt to Asset ratio that the </w:t>
      </w:r>
      <w:r w:rsidR="00D96D51" w:rsidRPr="00B70D8E">
        <w:rPr>
          <w:rFonts w:ascii="Arial" w:hAnsi="Arial" w:cs="Arial"/>
          <w:sz w:val="20"/>
          <w:szCs w:val="20"/>
        </w:rPr>
        <w:t>Hilton food plc</w:t>
      </w:r>
      <w:r w:rsidRPr="00B70D8E">
        <w:rPr>
          <w:rFonts w:ascii="Arial" w:hAnsi="Arial" w:cs="Arial"/>
          <w:sz w:val="20"/>
          <w:szCs w:val="20"/>
        </w:rPr>
        <w:t xml:space="preserve">’s Debt to asset ratio has </w:t>
      </w:r>
      <w:r w:rsidR="00A865CE" w:rsidRPr="00B70D8E">
        <w:rPr>
          <w:rFonts w:ascii="Arial" w:hAnsi="Arial" w:cs="Arial"/>
          <w:sz w:val="20"/>
          <w:szCs w:val="20"/>
        </w:rPr>
        <w:t>de</w:t>
      </w:r>
      <w:r w:rsidRPr="00B70D8E">
        <w:rPr>
          <w:rFonts w:ascii="Arial" w:hAnsi="Arial" w:cs="Arial"/>
          <w:sz w:val="20"/>
          <w:szCs w:val="20"/>
        </w:rPr>
        <w:t>creased from 0.</w:t>
      </w:r>
      <w:r w:rsidR="00A865CE" w:rsidRPr="00B70D8E">
        <w:rPr>
          <w:rFonts w:ascii="Arial" w:hAnsi="Arial" w:cs="Arial"/>
          <w:sz w:val="20"/>
          <w:szCs w:val="20"/>
        </w:rPr>
        <w:t>81</w:t>
      </w:r>
      <w:r w:rsidR="008E46A9" w:rsidRPr="00B70D8E">
        <w:rPr>
          <w:rFonts w:ascii="Arial" w:hAnsi="Arial" w:cs="Arial"/>
          <w:sz w:val="20"/>
          <w:szCs w:val="20"/>
        </w:rPr>
        <w:t xml:space="preserve"> times</w:t>
      </w:r>
      <w:r w:rsidRPr="00B70D8E">
        <w:rPr>
          <w:rFonts w:ascii="Arial" w:hAnsi="Arial" w:cs="Arial"/>
          <w:sz w:val="20"/>
          <w:szCs w:val="20"/>
        </w:rPr>
        <w:t xml:space="preserve"> in 2012 to 0.</w:t>
      </w:r>
      <w:r w:rsidR="00A865CE" w:rsidRPr="00B70D8E">
        <w:rPr>
          <w:rFonts w:ascii="Arial" w:hAnsi="Arial" w:cs="Arial"/>
          <w:sz w:val="20"/>
          <w:szCs w:val="20"/>
        </w:rPr>
        <w:t>78</w:t>
      </w:r>
      <w:r w:rsidR="008E46A9" w:rsidRPr="00B70D8E">
        <w:rPr>
          <w:rFonts w:ascii="Arial" w:hAnsi="Arial" w:cs="Arial"/>
          <w:sz w:val="20"/>
          <w:szCs w:val="20"/>
        </w:rPr>
        <w:t xml:space="preserve"> times</w:t>
      </w:r>
      <w:r w:rsidRPr="00B70D8E">
        <w:rPr>
          <w:rFonts w:ascii="Arial" w:hAnsi="Arial" w:cs="Arial"/>
          <w:sz w:val="20"/>
          <w:szCs w:val="20"/>
        </w:rPr>
        <w:t xml:space="preserve"> in 2013 and </w:t>
      </w:r>
      <w:r w:rsidR="008E46A9" w:rsidRPr="00B70D8E">
        <w:rPr>
          <w:rFonts w:ascii="Arial" w:hAnsi="Arial" w:cs="Arial"/>
          <w:sz w:val="20"/>
          <w:szCs w:val="20"/>
        </w:rPr>
        <w:t xml:space="preserve">0.72 times in </w:t>
      </w:r>
      <w:r w:rsidRPr="00B70D8E">
        <w:rPr>
          <w:rFonts w:ascii="Arial" w:hAnsi="Arial" w:cs="Arial"/>
          <w:sz w:val="20"/>
          <w:szCs w:val="20"/>
        </w:rPr>
        <w:t>2015 to 0.</w:t>
      </w:r>
      <w:r w:rsidR="008E46A9" w:rsidRPr="00B70D8E">
        <w:rPr>
          <w:rFonts w:ascii="Arial" w:hAnsi="Arial" w:cs="Arial"/>
          <w:sz w:val="20"/>
          <w:szCs w:val="20"/>
        </w:rPr>
        <w:t>67 times</w:t>
      </w:r>
      <w:r w:rsidRPr="00B70D8E">
        <w:rPr>
          <w:rFonts w:ascii="Arial" w:hAnsi="Arial" w:cs="Arial"/>
          <w:sz w:val="20"/>
          <w:szCs w:val="20"/>
        </w:rPr>
        <w:t xml:space="preserve"> in 2016. So, it is evident that th</w:t>
      </w:r>
      <w:r w:rsidR="008E46A9" w:rsidRPr="00B70D8E">
        <w:rPr>
          <w:rFonts w:ascii="Arial" w:hAnsi="Arial" w:cs="Arial"/>
          <w:sz w:val="20"/>
          <w:szCs w:val="20"/>
        </w:rPr>
        <w:t>e most of the company’s assets are financed through debt</w:t>
      </w:r>
      <w:r w:rsidRPr="00B70D8E">
        <w:rPr>
          <w:rFonts w:ascii="Arial" w:hAnsi="Arial" w:cs="Arial"/>
          <w:sz w:val="20"/>
          <w:szCs w:val="20"/>
        </w:rPr>
        <w:t>, it is evident that the company has been maintain a good capital structure with debt at a reasonable level.</w:t>
      </w:r>
      <w:r w:rsidR="008E46A9" w:rsidRPr="00B70D8E">
        <w:rPr>
          <w:rFonts w:ascii="Arial" w:hAnsi="Arial" w:cs="Arial"/>
          <w:sz w:val="20"/>
          <w:szCs w:val="20"/>
        </w:rPr>
        <w:t xml:space="preserve"> Comparing with the RPC group plc</w:t>
      </w:r>
      <w:r w:rsidR="00101084" w:rsidRPr="00B70D8E">
        <w:rPr>
          <w:rFonts w:ascii="Arial" w:hAnsi="Arial" w:cs="Arial"/>
          <w:sz w:val="20"/>
          <w:szCs w:val="20"/>
        </w:rPr>
        <w:t>,</w:t>
      </w:r>
      <w:r w:rsidR="00462395" w:rsidRPr="00B70D8E">
        <w:rPr>
          <w:rFonts w:ascii="Arial" w:hAnsi="Arial" w:cs="Arial"/>
          <w:sz w:val="20"/>
          <w:szCs w:val="20"/>
        </w:rPr>
        <w:t xml:space="preserve"> it </w:t>
      </w:r>
      <w:r w:rsidR="00101084" w:rsidRPr="00B70D8E">
        <w:rPr>
          <w:rFonts w:ascii="Arial" w:hAnsi="Arial" w:cs="Arial"/>
          <w:sz w:val="20"/>
          <w:szCs w:val="20"/>
        </w:rPr>
        <w:t>is</w:t>
      </w:r>
      <w:r w:rsidR="00462395" w:rsidRPr="00B70D8E">
        <w:rPr>
          <w:rFonts w:ascii="Arial" w:hAnsi="Arial" w:cs="Arial"/>
          <w:sz w:val="20"/>
          <w:szCs w:val="20"/>
        </w:rPr>
        <w:t xml:space="preserve"> </w:t>
      </w:r>
      <w:r w:rsidR="00101084" w:rsidRPr="00B70D8E">
        <w:rPr>
          <w:rFonts w:ascii="Arial" w:hAnsi="Arial" w:cs="Arial"/>
          <w:sz w:val="20"/>
          <w:szCs w:val="20"/>
        </w:rPr>
        <w:t>about 0.7</w:t>
      </w:r>
      <w:r w:rsidR="00462395" w:rsidRPr="00B70D8E">
        <w:rPr>
          <w:rFonts w:ascii="Arial" w:hAnsi="Arial" w:cs="Arial"/>
          <w:sz w:val="20"/>
          <w:szCs w:val="20"/>
        </w:rPr>
        <w:t xml:space="preserve"> debt ratio which indicates low borrowing c</w:t>
      </w:r>
      <w:r w:rsidR="00101084" w:rsidRPr="00B70D8E">
        <w:rPr>
          <w:rFonts w:ascii="Arial" w:hAnsi="Arial" w:cs="Arial"/>
          <w:sz w:val="20"/>
          <w:szCs w:val="20"/>
        </w:rPr>
        <w:t xml:space="preserve">apacity of the company. So, it can be analysed that RPC group plc is more leveraged than Hilton food plc and greater risk associated with its operations. </w:t>
      </w:r>
      <w:r w:rsidRPr="00B70D8E">
        <w:rPr>
          <w:rFonts w:ascii="Arial" w:hAnsi="Arial" w:cs="Arial"/>
          <w:color w:val="111111"/>
          <w:sz w:val="20"/>
          <w:szCs w:val="20"/>
        </w:rPr>
        <w:t xml:space="preserve">Debt-equity ratio </w:t>
      </w:r>
      <w:r w:rsidRPr="00B70D8E">
        <w:rPr>
          <w:rFonts w:ascii="Arial" w:hAnsi="Arial" w:cs="Arial"/>
          <w:color w:val="111111"/>
          <w:sz w:val="20"/>
          <w:szCs w:val="20"/>
        </w:rPr>
        <w:lastRenderedPageBreak/>
        <w:t>shows the liabilities of the company in comparison to the equity put by shareholders. A lower ratio shows that the company is using less leverage and has a good equity position. On the other hand, a very high ratio would show that the creditors of the company are putting more money into the company than the shareholders themselves.</w:t>
      </w:r>
      <w:r w:rsidR="00FF2FED" w:rsidRPr="00B70D8E">
        <w:rPr>
          <w:rFonts w:ascii="Arial" w:hAnsi="Arial" w:cs="Arial"/>
          <w:color w:val="111111"/>
          <w:sz w:val="20"/>
          <w:szCs w:val="20"/>
        </w:rPr>
        <w:t xml:space="preserve"> The Hilton food plc has been measured its deb equity ratio at 4.39 times in 2012 which declined to 3.55 times in 2013 further continuing declined in 3.39 times in 2014 and 2.60 times in 2016.</w:t>
      </w:r>
      <w:r w:rsidRPr="00B70D8E">
        <w:rPr>
          <w:rFonts w:ascii="Arial" w:hAnsi="Arial" w:cs="Arial"/>
          <w:color w:val="111111"/>
          <w:sz w:val="20"/>
          <w:szCs w:val="20"/>
        </w:rPr>
        <w:t xml:space="preserve"> Comparing with </w:t>
      </w:r>
      <w:r w:rsidR="00EA4DC5" w:rsidRPr="00B70D8E">
        <w:rPr>
          <w:rFonts w:ascii="Arial" w:hAnsi="Arial" w:cs="Arial"/>
          <w:color w:val="111111"/>
          <w:sz w:val="20"/>
          <w:szCs w:val="20"/>
        </w:rPr>
        <w:t xml:space="preserve">RPC </w:t>
      </w:r>
      <w:r w:rsidR="00FF2FED" w:rsidRPr="00B70D8E">
        <w:rPr>
          <w:rFonts w:ascii="Arial" w:hAnsi="Arial" w:cs="Arial"/>
          <w:color w:val="111111"/>
          <w:sz w:val="20"/>
          <w:szCs w:val="20"/>
        </w:rPr>
        <w:t>group</w:t>
      </w:r>
      <w:r w:rsidRPr="00B70D8E">
        <w:rPr>
          <w:rFonts w:ascii="Arial" w:hAnsi="Arial" w:cs="Arial"/>
          <w:sz w:val="20"/>
          <w:szCs w:val="20"/>
        </w:rPr>
        <w:t xml:space="preserve"> plc which has Debt</w:t>
      </w:r>
      <w:r w:rsidR="00FF2FED" w:rsidRPr="00B70D8E">
        <w:rPr>
          <w:rFonts w:ascii="Arial" w:hAnsi="Arial" w:cs="Arial"/>
          <w:sz w:val="20"/>
          <w:szCs w:val="20"/>
        </w:rPr>
        <w:t xml:space="preserve"> equity</w:t>
      </w:r>
      <w:r w:rsidRPr="00B70D8E">
        <w:rPr>
          <w:rFonts w:ascii="Arial" w:hAnsi="Arial" w:cs="Arial"/>
          <w:sz w:val="20"/>
          <w:szCs w:val="20"/>
        </w:rPr>
        <w:t xml:space="preserve"> ratio at </w:t>
      </w:r>
      <w:r w:rsidR="00FF2FED" w:rsidRPr="00B70D8E">
        <w:rPr>
          <w:rFonts w:ascii="Arial" w:hAnsi="Arial" w:cs="Arial"/>
          <w:sz w:val="20"/>
          <w:szCs w:val="20"/>
        </w:rPr>
        <w:t>2.12 times in 2016</w:t>
      </w:r>
      <w:r w:rsidRPr="00B70D8E">
        <w:rPr>
          <w:rFonts w:ascii="Arial" w:hAnsi="Arial" w:cs="Arial"/>
          <w:sz w:val="20"/>
          <w:szCs w:val="20"/>
        </w:rPr>
        <w:t>.</w:t>
      </w:r>
      <w:r w:rsidR="00584D94" w:rsidRPr="00B70D8E">
        <w:rPr>
          <w:rFonts w:ascii="Arial" w:hAnsi="Arial" w:cs="Arial"/>
          <w:sz w:val="20"/>
          <w:szCs w:val="20"/>
        </w:rPr>
        <w:t xml:space="preserve"> It always depends on the companies which are being analysed that which is ideal rate of debt-equity ratio implies for. </w:t>
      </w:r>
      <w:r w:rsidRPr="00B70D8E">
        <w:rPr>
          <w:rFonts w:ascii="Arial" w:hAnsi="Arial" w:cs="Arial"/>
          <w:sz w:val="20"/>
          <w:szCs w:val="20"/>
        </w:rPr>
        <w:t xml:space="preserve"> To assess the Debt ratio, the certain aspects should be considered such as capital expenditures for opening the companies, leasing, </w:t>
      </w:r>
      <w:r w:rsidR="00584D94" w:rsidRPr="00B70D8E">
        <w:rPr>
          <w:rFonts w:ascii="Arial" w:hAnsi="Arial" w:cs="Arial"/>
          <w:sz w:val="20"/>
          <w:szCs w:val="20"/>
        </w:rPr>
        <w:t xml:space="preserve">purchasing expensive special equipment, </w:t>
      </w:r>
      <w:r w:rsidRPr="00B70D8E">
        <w:rPr>
          <w:rFonts w:ascii="Arial" w:hAnsi="Arial" w:cs="Arial"/>
          <w:sz w:val="20"/>
          <w:szCs w:val="20"/>
        </w:rPr>
        <w:t>renovating commercial space, etc.</w:t>
      </w:r>
    </w:p>
    <w:p w:rsidR="00864F22" w:rsidRPr="00E00952" w:rsidRDefault="00A67224" w:rsidP="00864F22">
      <w:pPr>
        <w:pStyle w:val="ListParagraph"/>
        <w:numPr>
          <w:ilvl w:val="0"/>
          <w:numId w:val="5"/>
        </w:numPr>
        <w:spacing w:line="360" w:lineRule="auto"/>
        <w:jc w:val="both"/>
        <w:rPr>
          <w:rFonts w:ascii="Arial" w:hAnsi="Arial" w:cs="Arial"/>
          <w:b/>
          <w:color w:val="0070C0"/>
          <w:sz w:val="20"/>
          <w:szCs w:val="20"/>
          <w:u w:val="single"/>
        </w:rPr>
      </w:pPr>
      <w:bookmarkStart w:id="4" w:name="_Hlk503289011"/>
      <w:r w:rsidRPr="00E00952">
        <w:rPr>
          <w:rFonts w:ascii="Arial" w:hAnsi="Arial" w:cs="Arial"/>
          <w:b/>
          <w:color w:val="0070C0"/>
          <w:sz w:val="20"/>
          <w:szCs w:val="20"/>
          <w:u w:val="single"/>
        </w:rPr>
        <w:t xml:space="preserve">Findings and </w:t>
      </w:r>
      <w:r w:rsidR="00864F22" w:rsidRPr="00E00952">
        <w:rPr>
          <w:rFonts w:ascii="Arial" w:hAnsi="Arial" w:cs="Arial"/>
          <w:b/>
          <w:color w:val="0070C0"/>
          <w:sz w:val="20"/>
          <w:szCs w:val="20"/>
          <w:u w:val="single"/>
        </w:rPr>
        <w:t>Recommendation</w:t>
      </w:r>
      <w:r w:rsidR="00607C2A" w:rsidRPr="00E00952">
        <w:rPr>
          <w:rFonts w:ascii="Arial" w:hAnsi="Arial" w:cs="Arial"/>
          <w:b/>
          <w:color w:val="0070C0"/>
          <w:sz w:val="20"/>
          <w:szCs w:val="20"/>
          <w:u w:val="single"/>
        </w:rPr>
        <w:t xml:space="preserve"> for the </w:t>
      </w:r>
      <w:r w:rsidR="00D96D51" w:rsidRPr="00E00952">
        <w:rPr>
          <w:rFonts w:ascii="Arial" w:hAnsi="Arial" w:cs="Arial"/>
          <w:b/>
          <w:color w:val="0070C0"/>
          <w:sz w:val="20"/>
          <w:szCs w:val="20"/>
          <w:u w:val="single"/>
        </w:rPr>
        <w:t>Hilton food plc</w:t>
      </w:r>
      <w:r w:rsidR="00864F22" w:rsidRPr="00E00952">
        <w:rPr>
          <w:rFonts w:ascii="Arial" w:hAnsi="Arial" w:cs="Arial"/>
          <w:b/>
          <w:color w:val="0070C0"/>
          <w:sz w:val="20"/>
          <w:szCs w:val="20"/>
          <w:u w:val="single"/>
        </w:rPr>
        <w:t xml:space="preserve">: </w:t>
      </w:r>
    </w:p>
    <w:bookmarkEnd w:id="4"/>
    <w:p w:rsidR="00864F22" w:rsidRPr="00B70D8E" w:rsidRDefault="00864F22" w:rsidP="00864F22">
      <w:pPr>
        <w:pStyle w:val="ListParagraph"/>
        <w:spacing w:line="360" w:lineRule="auto"/>
        <w:jc w:val="both"/>
        <w:rPr>
          <w:rFonts w:ascii="Arial" w:hAnsi="Arial" w:cs="Arial"/>
          <w:sz w:val="20"/>
          <w:szCs w:val="20"/>
        </w:rPr>
      </w:pPr>
      <w:r w:rsidRPr="00B70D8E">
        <w:rPr>
          <w:rFonts w:ascii="Arial" w:hAnsi="Arial" w:cs="Arial"/>
          <w:sz w:val="20"/>
          <w:szCs w:val="20"/>
        </w:rPr>
        <w:t>The financial reports and the analysis of the ratio suggests continued progress in 2016 against company’s strategic objectives and a further expansion of its global footprint</w:t>
      </w:r>
      <w:r w:rsidR="00AA3AFE" w:rsidRPr="00B70D8E">
        <w:rPr>
          <w:rFonts w:ascii="Arial" w:hAnsi="Arial" w:cs="Arial"/>
          <w:sz w:val="20"/>
          <w:szCs w:val="20"/>
        </w:rPr>
        <w:t>.</w:t>
      </w:r>
    </w:p>
    <w:p w:rsidR="00AA3AFE" w:rsidRPr="00B70D8E" w:rsidRDefault="00AA3AFE" w:rsidP="00864F22">
      <w:pPr>
        <w:pStyle w:val="ListParagraph"/>
        <w:spacing w:line="360" w:lineRule="auto"/>
        <w:jc w:val="both"/>
        <w:rPr>
          <w:rFonts w:ascii="Arial" w:hAnsi="Arial" w:cs="Arial"/>
          <w:sz w:val="20"/>
          <w:szCs w:val="20"/>
        </w:rPr>
      </w:pPr>
      <w:r w:rsidRPr="00B70D8E">
        <w:rPr>
          <w:rFonts w:ascii="Arial" w:hAnsi="Arial" w:cs="Arial"/>
          <w:sz w:val="20"/>
          <w:szCs w:val="20"/>
        </w:rPr>
        <w:t>The company has announced the plans to expand the packing capabilities in Australia with construction of a new factory in Queensland with existing partner Woolworths Ltd.</w:t>
      </w:r>
    </w:p>
    <w:p w:rsidR="00AA3AFE" w:rsidRPr="00B70D8E" w:rsidRDefault="00AA3AFE" w:rsidP="00864F22">
      <w:pPr>
        <w:pStyle w:val="ListParagraph"/>
        <w:spacing w:line="360" w:lineRule="auto"/>
        <w:jc w:val="both"/>
        <w:rPr>
          <w:rFonts w:ascii="Arial" w:hAnsi="Arial" w:cs="Arial"/>
          <w:sz w:val="20"/>
          <w:szCs w:val="20"/>
        </w:rPr>
      </w:pPr>
      <w:r w:rsidRPr="00B70D8E">
        <w:rPr>
          <w:rFonts w:ascii="Arial" w:hAnsi="Arial" w:cs="Arial"/>
          <w:sz w:val="20"/>
          <w:szCs w:val="20"/>
        </w:rPr>
        <w:t>Despite the competitive market conditions, the company has been able to maintain its growth each continuing year. Basic earning per share were over 22% higher than last year.  The Hilton food group plc had been gone through some successful developments and joint ventures with leading partners. The Hilton group plc continued to generate significant cash</w:t>
      </w:r>
      <w:r w:rsidR="00A67224" w:rsidRPr="00B70D8E">
        <w:rPr>
          <w:rFonts w:ascii="Arial" w:hAnsi="Arial" w:cs="Arial"/>
          <w:sz w:val="20"/>
          <w:szCs w:val="20"/>
        </w:rPr>
        <w:t xml:space="preserve"> and equivalents</w:t>
      </w:r>
      <w:r w:rsidRPr="00B70D8E">
        <w:rPr>
          <w:rFonts w:ascii="Arial" w:hAnsi="Arial" w:cs="Arial"/>
          <w:sz w:val="20"/>
          <w:szCs w:val="20"/>
        </w:rPr>
        <w:t xml:space="preserve"> during 2016 enabling the Group’s net cash position to grow from </w:t>
      </w:r>
      <w:r w:rsidR="00A67224" w:rsidRPr="00B70D8E">
        <w:rPr>
          <w:rFonts w:ascii="Arial" w:hAnsi="Arial" w:cs="Arial"/>
          <w:sz w:val="20"/>
          <w:szCs w:val="20"/>
        </w:rPr>
        <w:t xml:space="preserve">pound </w:t>
      </w:r>
      <w:r w:rsidRPr="00B70D8E">
        <w:rPr>
          <w:rFonts w:ascii="Arial" w:hAnsi="Arial" w:cs="Arial"/>
          <w:sz w:val="20"/>
          <w:szCs w:val="20"/>
        </w:rPr>
        <w:t xml:space="preserve">12.7m at the end of 2015 to </w:t>
      </w:r>
      <w:r w:rsidR="00A67224" w:rsidRPr="00B70D8E">
        <w:rPr>
          <w:rFonts w:ascii="Arial" w:hAnsi="Arial" w:cs="Arial"/>
          <w:sz w:val="20"/>
          <w:szCs w:val="20"/>
        </w:rPr>
        <w:t xml:space="preserve">pound </w:t>
      </w:r>
      <w:r w:rsidRPr="00B70D8E">
        <w:rPr>
          <w:rFonts w:ascii="Arial" w:hAnsi="Arial" w:cs="Arial"/>
          <w:sz w:val="20"/>
          <w:szCs w:val="20"/>
        </w:rPr>
        <w:t>32.3m at the end of the year</w:t>
      </w:r>
      <w:r w:rsidR="00A67224" w:rsidRPr="00B70D8E">
        <w:rPr>
          <w:rFonts w:ascii="Arial" w:hAnsi="Arial" w:cs="Arial"/>
          <w:sz w:val="20"/>
          <w:szCs w:val="20"/>
        </w:rPr>
        <w:t xml:space="preserve"> as </w:t>
      </w:r>
      <w:r w:rsidRPr="00B70D8E">
        <w:rPr>
          <w:rFonts w:ascii="Arial" w:hAnsi="Arial" w:cs="Arial"/>
          <w:sz w:val="20"/>
          <w:szCs w:val="20"/>
        </w:rPr>
        <w:t xml:space="preserve">well as being available to fund </w:t>
      </w:r>
      <w:r w:rsidR="00A67224" w:rsidRPr="00B70D8E">
        <w:rPr>
          <w:rFonts w:ascii="Arial" w:hAnsi="Arial" w:cs="Arial"/>
          <w:sz w:val="20"/>
          <w:szCs w:val="20"/>
        </w:rPr>
        <w:t>its</w:t>
      </w:r>
      <w:r w:rsidRPr="00B70D8E">
        <w:rPr>
          <w:rFonts w:ascii="Arial" w:hAnsi="Arial" w:cs="Arial"/>
          <w:sz w:val="20"/>
          <w:szCs w:val="20"/>
        </w:rPr>
        <w:t xml:space="preserve"> new projects in Australia and Portugal</w:t>
      </w:r>
      <w:r w:rsidR="00A67224" w:rsidRPr="00B70D8E">
        <w:rPr>
          <w:rFonts w:ascii="Arial" w:hAnsi="Arial" w:cs="Arial"/>
          <w:sz w:val="20"/>
          <w:szCs w:val="20"/>
        </w:rPr>
        <w:t xml:space="preserve"> the company is </w:t>
      </w:r>
      <w:r w:rsidRPr="00B70D8E">
        <w:rPr>
          <w:rFonts w:ascii="Arial" w:hAnsi="Arial" w:cs="Arial"/>
          <w:sz w:val="20"/>
          <w:szCs w:val="20"/>
        </w:rPr>
        <w:t>well positioned to take</w:t>
      </w:r>
      <w:r w:rsidR="00A67224" w:rsidRPr="00B70D8E">
        <w:rPr>
          <w:rFonts w:ascii="Arial" w:hAnsi="Arial" w:cs="Arial"/>
          <w:sz w:val="20"/>
          <w:szCs w:val="20"/>
        </w:rPr>
        <w:t xml:space="preserve"> the</w:t>
      </w:r>
      <w:r w:rsidRPr="00B70D8E">
        <w:rPr>
          <w:rFonts w:ascii="Arial" w:hAnsi="Arial" w:cs="Arial"/>
          <w:sz w:val="20"/>
          <w:szCs w:val="20"/>
        </w:rPr>
        <w:t xml:space="preserve"> </w:t>
      </w:r>
      <w:r w:rsidR="00A67224" w:rsidRPr="00B70D8E">
        <w:rPr>
          <w:rFonts w:ascii="Arial" w:hAnsi="Arial" w:cs="Arial"/>
          <w:sz w:val="20"/>
          <w:szCs w:val="20"/>
        </w:rPr>
        <w:t>benefit</w:t>
      </w:r>
      <w:r w:rsidRPr="00B70D8E">
        <w:rPr>
          <w:rFonts w:ascii="Arial" w:hAnsi="Arial" w:cs="Arial"/>
          <w:sz w:val="20"/>
          <w:szCs w:val="20"/>
        </w:rPr>
        <w:t xml:space="preserve"> of other opportunities as they arise.</w:t>
      </w:r>
      <w:r w:rsidR="00A67224" w:rsidRPr="00B70D8E">
        <w:rPr>
          <w:rFonts w:ascii="Arial" w:hAnsi="Arial" w:cs="Arial"/>
          <w:sz w:val="20"/>
          <w:szCs w:val="20"/>
        </w:rPr>
        <w:t xml:space="preserve"> With the proposed final dividend of 12.5p per ordinary share for 2016, total dividends in respect of 2016 will be 17.1p per ordinary share, an increase of 17.1% compared to 2015.</w:t>
      </w:r>
    </w:p>
    <w:p w:rsidR="00607C2A" w:rsidRDefault="00112E0D" w:rsidP="00607C2A">
      <w:pPr>
        <w:pStyle w:val="Heading1"/>
        <w:numPr>
          <w:ilvl w:val="0"/>
          <w:numId w:val="5"/>
        </w:numPr>
        <w:rPr>
          <w:rFonts w:ascii="Arial" w:hAnsi="Arial" w:cs="Arial"/>
          <w:b/>
          <w:sz w:val="20"/>
          <w:szCs w:val="20"/>
        </w:rPr>
      </w:pPr>
      <w:r w:rsidRPr="00E00952">
        <w:rPr>
          <w:rFonts w:ascii="Arial" w:hAnsi="Arial" w:cs="Arial"/>
          <w:b/>
          <w:caps w:val="0"/>
          <w:color w:val="0070C0"/>
          <w:sz w:val="20"/>
          <w:szCs w:val="20"/>
          <w:u w:val="single"/>
        </w:rPr>
        <w:t>Limitations of The Ratio Analysis</w:t>
      </w:r>
      <w:r w:rsidR="00607C2A" w:rsidRPr="00B70D8E">
        <w:rPr>
          <w:rFonts w:ascii="Arial" w:hAnsi="Arial" w:cs="Arial"/>
          <w:b/>
          <w:sz w:val="20"/>
          <w:szCs w:val="20"/>
        </w:rPr>
        <w:t>:</w:t>
      </w:r>
    </w:p>
    <w:p w:rsidR="00E00952" w:rsidRPr="00E00952" w:rsidRDefault="00E00952" w:rsidP="00E00952"/>
    <w:p w:rsidR="006B3567" w:rsidRPr="00B70D8E" w:rsidRDefault="00607C2A" w:rsidP="00607C2A">
      <w:pPr>
        <w:spacing w:line="360" w:lineRule="auto"/>
        <w:jc w:val="both"/>
        <w:rPr>
          <w:rFonts w:ascii="Arial" w:hAnsi="Arial" w:cs="Arial"/>
          <w:sz w:val="20"/>
          <w:szCs w:val="20"/>
        </w:rPr>
      </w:pPr>
      <w:r w:rsidRPr="00B70D8E">
        <w:rPr>
          <w:rFonts w:ascii="Arial" w:hAnsi="Arial" w:cs="Arial"/>
          <w:sz w:val="20"/>
          <w:szCs w:val="20"/>
        </w:rPr>
        <w:t xml:space="preserve">It is a well – known fact that a company can get information in details with the help of analysing their performance </w:t>
      </w:r>
      <w:r w:rsidR="004846D9">
        <w:rPr>
          <w:rFonts w:ascii="Arial" w:hAnsi="Arial" w:cs="Arial"/>
          <w:sz w:val="20"/>
          <w:szCs w:val="20"/>
        </w:rPr>
        <w:t>with the help</w:t>
      </w:r>
      <w:r w:rsidRPr="00B70D8E">
        <w:rPr>
          <w:rFonts w:ascii="Arial" w:hAnsi="Arial" w:cs="Arial"/>
          <w:sz w:val="20"/>
          <w:szCs w:val="20"/>
        </w:rPr>
        <w:t xml:space="preserve"> of different ratio but it is not also free from any </w:t>
      </w:r>
      <w:r w:rsidR="004846D9">
        <w:rPr>
          <w:rFonts w:ascii="Arial" w:hAnsi="Arial" w:cs="Arial"/>
          <w:sz w:val="20"/>
          <w:szCs w:val="20"/>
        </w:rPr>
        <w:t>demerits</w:t>
      </w:r>
      <w:r w:rsidRPr="00B70D8E">
        <w:rPr>
          <w:rFonts w:ascii="Arial" w:hAnsi="Arial" w:cs="Arial"/>
          <w:sz w:val="20"/>
          <w:szCs w:val="20"/>
        </w:rPr>
        <w:t>.</w:t>
      </w:r>
      <w:r w:rsidR="004846D9">
        <w:rPr>
          <w:rFonts w:ascii="Arial" w:hAnsi="Arial" w:cs="Arial"/>
          <w:sz w:val="20"/>
          <w:szCs w:val="20"/>
        </w:rPr>
        <w:t xml:space="preserve"> </w:t>
      </w:r>
      <w:r w:rsidRPr="00B70D8E">
        <w:rPr>
          <w:rFonts w:ascii="Arial" w:hAnsi="Arial" w:cs="Arial"/>
          <w:sz w:val="20"/>
          <w:szCs w:val="20"/>
        </w:rPr>
        <w:t>Following points should be considered as the limitations of the Ratio analysis</w:t>
      </w:r>
      <w:r w:rsidR="004846D9">
        <w:rPr>
          <w:rFonts w:ascii="Arial" w:hAnsi="Arial" w:cs="Arial"/>
          <w:sz w:val="20"/>
          <w:szCs w:val="20"/>
        </w:rPr>
        <w:t xml:space="preserve"> which also indicates the constraints for the calculation in financial management</w:t>
      </w:r>
      <w:r w:rsidR="006B3567" w:rsidRPr="00B70D8E">
        <w:rPr>
          <w:rFonts w:ascii="Arial" w:hAnsi="Arial" w:cs="Arial"/>
          <w:sz w:val="20"/>
          <w:szCs w:val="20"/>
        </w:rPr>
        <w:t xml:space="preserve">. The term ratio </w:t>
      </w:r>
      <w:r w:rsidR="0030080B">
        <w:rPr>
          <w:rFonts w:ascii="Arial" w:hAnsi="Arial" w:cs="Arial"/>
          <w:sz w:val="20"/>
          <w:szCs w:val="20"/>
        </w:rPr>
        <w:t>seeks</w:t>
      </w:r>
      <w:r w:rsidR="006B3567" w:rsidRPr="00B70D8E">
        <w:rPr>
          <w:rFonts w:ascii="Arial" w:hAnsi="Arial" w:cs="Arial"/>
          <w:sz w:val="20"/>
          <w:szCs w:val="20"/>
        </w:rPr>
        <w:t xml:space="preserve"> the fact of having a comparative analysis of different companies and </w:t>
      </w:r>
      <w:r w:rsidR="0030080B">
        <w:rPr>
          <w:rFonts w:ascii="Arial" w:hAnsi="Arial" w:cs="Arial"/>
          <w:sz w:val="20"/>
          <w:szCs w:val="20"/>
        </w:rPr>
        <w:t>again and again</w:t>
      </w:r>
      <w:r w:rsidR="006B3567" w:rsidRPr="00B70D8E">
        <w:rPr>
          <w:rFonts w:ascii="Arial" w:hAnsi="Arial" w:cs="Arial"/>
          <w:sz w:val="20"/>
          <w:szCs w:val="20"/>
        </w:rPr>
        <w:t xml:space="preserve"> in this case it is a</w:t>
      </w:r>
      <w:r w:rsidR="0030080B">
        <w:rPr>
          <w:rFonts w:ascii="Arial" w:hAnsi="Arial" w:cs="Arial"/>
          <w:sz w:val="20"/>
          <w:szCs w:val="20"/>
        </w:rPr>
        <w:t xml:space="preserve"> challenging</w:t>
      </w:r>
      <w:r w:rsidR="006B3567" w:rsidRPr="00B70D8E">
        <w:rPr>
          <w:rFonts w:ascii="Arial" w:hAnsi="Arial" w:cs="Arial"/>
          <w:sz w:val="20"/>
          <w:szCs w:val="20"/>
        </w:rPr>
        <w:t xml:space="preserve"> problem that improper comparative analysis in terms of company differences or not having the same financial year can bring out</w:t>
      </w:r>
      <w:r w:rsidR="0030080B">
        <w:rPr>
          <w:rFonts w:ascii="Arial" w:hAnsi="Arial" w:cs="Arial"/>
          <w:sz w:val="20"/>
          <w:szCs w:val="20"/>
        </w:rPr>
        <w:t xml:space="preserve"> the</w:t>
      </w:r>
      <w:r w:rsidR="006B3567" w:rsidRPr="00B70D8E">
        <w:rPr>
          <w:rFonts w:ascii="Arial" w:hAnsi="Arial" w:cs="Arial"/>
          <w:sz w:val="20"/>
          <w:szCs w:val="20"/>
        </w:rPr>
        <w:t xml:space="preserve"> issues in drawing appropriate inferences. In addition to this, if the comparison has to be made for companies with different industrial background then also it is absolutely not possible to properly compare with each other as the standards of </w:t>
      </w:r>
      <w:r w:rsidR="0030080B" w:rsidRPr="00B70D8E">
        <w:rPr>
          <w:rFonts w:ascii="Arial" w:hAnsi="Arial" w:cs="Arial"/>
          <w:sz w:val="20"/>
          <w:szCs w:val="20"/>
        </w:rPr>
        <w:t>each</w:t>
      </w:r>
      <w:r w:rsidR="006B3567" w:rsidRPr="00B70D8E">
        <w:rPr>
          <w:rFonts w:ascii="Arial" w:hAnsi="Arial" w:cs="Arial"/>
          <w:sz w:val="20"/>
          <w:szCs w:val="20"/>
        </w:rPr>
        <w:t xml:space="preserve"> industries vary</w:t>
      </w:r>
      <w:r w:rsidR="0030080B">
        <w:rPr>
          <w:rFonts w:ascii="Arial" w:hAnsi="Arial" w:cs="Arial"/>
          <w:sz w:val="20"/>
          <w:szCs w:val="20"/>
        </w:rPr>
        <w:t xml:space="preserve"> with one another</w:t>
      </w:r>
      <w:r w:rsidR="006B3567" w:rsidRPr="00B70D8E">
        <w:rPr>
          <w:rFonts w:ascii="Arial" w:hAnsi="Arial" w:cs="Arial"/>
          <w:sz w:val="20"/>
          <w:szCs w:val="20"/>
        </w:rPr>
        <w:t xml:space="preserve">. As a result of this, ratios like Price to Equity ratio or the net profit ratio cannot be done in a proper way. It is a certain fact that the profitability level of various sectors surely </w:t>
      </w:r>
      <w:r w:rsidR="0030080B">
        <w:rPr>
          <w:rFonts w:ascii="Arial" w:hAnsi="Arial" w:cs="Arial"/>
          <w:sz w:val="20"/>
          <w:szCs w:val="20"/>
        </w:rPr>
        <w:t>changes</w:t>
      </w:r>
      <w:r w:rsidR="006B3567" w:rsidRPr="00B70D8E">
        <w:rPr>
          <w:rFonts w:ascii="Arial" w:hAnsi="Arial" w:cs="Arial"/>
          <w:sz w:val="20"/>
          <w:szCs w:val="20"/>
        </w:rPr>
        <w:t xml:space="preserve"> with one another and so if the comparison is not made within the companies operating in the same industry, then the ratio analysis would totally become meaningless. This fact mentions the need of having a proper </w:t>
      </w:r>
      <w:r w:rsidR="0030080B" w:rsidRPr="00B70D8E">
        <w:rPr>
          <w:rFonts w:ascii="Arial" w:hAnsi="Arial" w:cs="Arial"/>
          <w:sz w:val="20"/>
          <w:szCs w:val="20"/>
        </w:rPr>
        <w:t>analysis based</w:t>
      </w:r>
      <w:r w:rsidR="006B3567" w:rsidRPr="00B70D8E">
        <w:rPr>
          <w:rFonts w:ascii="Arial" w:hAnsi="Arial" w:cs="Arial"/>
          <w:sz w:val="20"/>
          <w:szCs w:val="20"/>
        </w:rPr>
        <w:t xml:space="preserve"> on which the organization’s performance can be assessed </w:t>
      </w:r>
      <w:r w:rsidR="0030080B" w:rsidRPr="00B70D8E">
        <w:rPr>
          <w:rFonts w:ascii="Arial" w:hAnsi="Arial" w:cs="Arial"/>
          <w:sz w:val="20"/>
          <w:szCs w:val="20"/>
        </w:rPr>
        <w:t>and can</w:t>
      </w:r>
      <w:r w:rsidR="006B3567" w:rsidRPr="00B70D8E">
        <w:rPr>
          <w:rFonts w:ascii="Arial" w:hAnsi="Arial" w:cs="Arial"/>
          <w:sz w:val="20"/>
          <w:szCs w:val="20"/>
        </w:rPr>
        <w:t xml:space="preserve"> be done by </w:t>
      </w:r>
      <w:r w:rsidR="0030080B">
        <w:rPr>
          <w:rFonts w:ascii="Arial" w:hAnsi="Arial" w:cs="Arial"/>
          <w:sz w:val="20"/>
          <w:szCs w:val="20"/>
        </w:rPr>
        <w:t>tools</w:t>
      </w:r>
      <w:r w:rsidR="006B3567" w:rsidRPr="00B70D8E">
        <w:rPr>
          <w:rFonts w:ascii="Arial" w:hAnsi="Arial" w:cs="Arial"/>
          <w:sz w:val="20"/>
          <w:szCs w:val="20"/>
        </w:rPr>
        <w:t xml:space="preserve"> of doing ratio analysis in a </w:t>
      </w:r>
      <w:r w:rsidR="006B3567" w:rsidRPr="00B70D8E">
        <w:rPr>
          <w:rFonts w:ascii="Arial" w:hAnsi="Arial" w:cs="Arial"/>
          <w:sz w:val="20"/>
          <w:szCs w:val="20"/>
        </w:rPr>
        <w:lastRenderedPageBreak/>
        <w:t xml:space="preserve">comprehensive </w:t>
      </w:r>
      <w:r w:rsidR="0030080B">
        <w:rPr>
          <w:rFonts w:ascii="Arial" w:hAnsi="Arial" w:cs="Arial"/>
          <w:sz w:val="20"/>
          <w:szCs w:val="20"/>
        </w:rPr>
        <w:t>path</w:t>
      </w:r>
      <w:r w:rsidR="006B3567" w:rsidRPr="00B70D8E">
        <w:rPr>
          <w:rFonts w:ascii="Arial" w:hAnsi="Arial" w:cs="Arial"/>
          <w:sz w:val="20"/>
          <w:szCs w:val="20"/>
        </w:rPr>
        <w:t>. It</w:t>
      </w:r>
      <w:bookmarkStart w:id="5" w:name="_GoBack"/>
      <w:bookmarkEnd w:id="5"/>
      <w:r w:rsidR="006B3567" w:rsidRPr="00B70D8E">
        <w:rPr>
          <w:rFonts w:ascii="Arial" w:hAnsi="Arial" w:cs="Arial"/>
          <w:sz w:val="20"/>
          <w:szCs w:val="20"/>
        </w:rPr>
        <w:t xml:space="preserve"> is also immensely important to consider the various aspects and then perform the ratio analysis. It is often seen that there is fraudulent action done by the financial managers who window dresses the accounting information so that the investors can get attracted to attractive financial figures even if the actual figures are somewhat different. This tendency really poses a great threat towards proper ratio analysis. In that case, the lines and notes of all the financial statements must be studied carefully by the statement readers so that they can take the correct decision regarding the fact that whether they would invest in that company or not. Moreover, ratio analysis is not solely able to evaluate to portray the overall company’s performance thereby increasing the possibility of investing in a project with huge funding requirement leading to crisis in liquid amount. In order to holistically evaluate the overall performance of the company it is not sufficient just to do that based on few ratio analyses and thus other considerations must also be made to come into a comprehensive and accurate decision.</w:t>
      </w:r>
    </w:p>
    <w:p w:rsidR="00607C2A" w:rsidRPr="00B70D8E" w:rsidRDefault="00607C2A" w:rsidP="00607C2A">
      <w:pPr>
        <w:numPr>
          <w:ilvl w:val="0"/>
          <w:numId w:val="6"/>
        </w:numPr>
        <w:spacing w:line="360" w:lineRule="auto"/>
        <w:jc w:val="both"/>
        <w:rPr>
          <w:rFonts w:ascii="Arial" w:hAnsi="Arial" w:cs="Arial"/>
          <w:sz w:val="20"/>
          <w:szCs w:val="20"/>
        </w:rPr>
      </w:pPr>
      <w:r w:rsidRPr="00B70D8E">
        <w:rPr>
          <w:rFonts w:ascii="Arial" w:hAnsi="Arial" w:cs="Arial"/>
          <w:sz w:val="20"/>
          <w:szCs w:val="20"/>
          <w:lang w:val="en-US"/>
        </w:rPr>
        <w:t>Accounting practice differs across firms to firm.</w:t>
      </w:r>
    </w:p>
    <w:p w:rsidR="00607C2A" w:rsidRPr="00B70D8E" w:rsidRDefault="00607C2A" w:rsidP="00607C2A">
      <w:pPr>
        <w:numPr>
          <w:ilvl w:val="0"/>
          <w:numId w:val="6"/>
        </w:numPr>
        <w:spacing w:line="360" w:lineRule="auto"/>
        <w:jc w:val="both"/>
        <w:rPr>
          <w:rFonts w:ascii="Arial" w:hAnsi="Arial" w:cs="Arial"/>
          <w:sz w:val="20"/>
          <w:szCs w:val="20"/>
        </w:rPr>
      </w:pPr>
      <w:r w:rsidRPr="00B70D8E">
        <w:rPr>
          <w:rFonts w:ascii="Arial" w:hAnsi="Arial" w:cs="Arial"/>
          <w:sz w:val="20"/>
          <w:szCs w:val="20"/>
          <w:lang w:val="en-US"/>
        </w:rPr>
        <w:t>Sometimes it is difficult to interpret deviations in ratios.</w:t>
      </w:r>
    </w:p>
    <w:p w:rsidR="00607C2A" w:rsidRPr="00B70D8E" w:rsidRDefault="00607C2A" w:rsidP="00607C2A">
      <w:pPr>
        <w:numPr>
          <w:ilvl w:val="0"/>
          <w:numId w:val="6"/>
        </w:numPr>
        <w:spacing w:line="360" w:lineRule="auto"/>
        <w:jc w:val="both"/>
        <w:rPr>
          <w:rFonts w:ascii="Arial" w:hAnsi="Arial" w:cs="Arial"/>
          <w:sz w:val="20"/>
          <w:szCs w:val="20"/>
        </w:rPr>
      </w:pPr>
      <w:r w:rsidRPr="00B70D8E">
        <w:rPr>
          <w:rFonts w:ascii="Arial" w:hAnsi="Arial" w:cs="Arial"/>
          <w:sz w:val="20"/>
          <w:szCs w:val="20"/>
          <w:lang w:val="en-US"/>
        </w:rPr>
        <w:t>Industry ratios may not be desirable targets.</w:t>
      </w:r>
    </w:p>
    <w:p w:rsidR="00607C2A" w:rsidRPr="00B70D8E" w:rsidRDefault="00607C2A" w:rsidP="00607C2A">
      <w:pPr>
        <w:numPr>
          <w:ilvl w:val="0"/>
          <w:numId w:val="6"/>
        </w:numPr>
        <w:spacing w:line="360" w:lineRule="auto"/>
        <w:jc w:val="both"/>
        <w:rPr>
          <w:rFonts w:ascii="Arial" w:hAnsi="Arial" w:cs="Arial"/>
          <w:sz w:val="20"/>
          <w:szCs w:val="20"/>
        </w:rPr>
      </w:pPr>
      <w:r w:rsidRPr="00B70D8E">
        <w:rPr>
          <w:rFonts w:ascii="Arial" w:hAnsi="Arial" w:cs="Arial"/>
          <w:sz w:val="20"/>
          <w:szCs w:val="20"/>
          <w:lang w:val="en-US"/>
        </w:rPr>
        <w:t>Published industry averages are only guidelines.</w:t>
      </w:r>
    </w:p>
    <w:p w:rsidR="00607C2A" w:rsidRPr="00B70D8E" w:rsidRDefault="00607C2A" w:rsidP="00607C2A">
      <w:pPr>
        <w:numPr>
          <w:ilvl w:val="0"/>
          <w:numId w:val="6"/>
        </w:numPr>
        <w:spacing w:line="360" w:lineRule="auto"/>
        <w:jc w:val="both"/>
        <w:rPr>
          <w:rFonts w:ascii="Arial" w:hAnsi="Arial" w:cs="Arial"/>
          <w:sz w:val="20"/>
          <w:szCs w:val="20"/>
        </w:rPr>
      </w:pPr>
      <w:r w:rsidRPr="00B70D8E">
        <w:rPr>
          <w:rFonts w:ascii="Arial" w:hAnsi="Arial" w:cs="Arial"/>
          <w:sz w:val="20"/>
          <w:szCs w:val="20"/>
          <w:lang w:val="en-US"/>
        </w:rPr>
        <w:t>Seasons also affects the ratios.</w:t>
      </w: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4F1F44" w:rsidRDefault="004F1F44" w:rsidP="009E3C30">
      <w:pPr>
        <w:spacing w:line="360" w:lineRule="auto"/>
        <w:jc w:val="both"/>
        <w:rPr>
          <w:rFonts w:ascii="Arial" w:hAnsi="Arial" w:cs="Arial"/>
          <w:b/>
          <w:sz w:val="20"/>
          <w:szCs w:val="20"/>
        </w:rPr>
      </w:pPr>
    </w:p>
    <w:p w:rsidR="00607C2A" w:rsidRPr="00B70D8E" w:rsidRDefault="004F1F44" w:rsidP="009E3C30">
      <w:pPr>
        <w:spacing w:line="360" w:lineRule="auto"/>
        <w:jc w:val="both"/>
        <w:rPr>
          <w:rFonts w:ascii="Arial" w:hAnsi="Arial" w:cs="Arial"/>
          <w:sz w:val="20"/>
          <w:szCs w:val="20"/>
        </w:rPr>
      </w:pPr>
      <w:r w:rsidRPr="009877ED">
        <w:rPr>
          <w:rFonts w:ascii="Arial" w:hAnsi="Arial" w:cs="Arial"/>
          <w:b/>
          <w:color w:val="0070C0"/>
          <w:sz w:val="20"/>
          <w:szCs w:val="20"/>
          <w:u w:val="single"/>
        </w:rPr>
        <w:t>References</w:t>
      </w:r>
      <w:r w:rsidRPr="00B70D8E">
        <w:rPr>
          <w:rFonts w:ascii="Arial" w:hAnsi="Arial" w:cs="Arial"/>
          <w:sz w:val="20"/>
          <w:szCs w:val="20"/>
        </w:rPr>
        <w:t>:</w:t>
      </w:r>
    </w:p>
    <w:p w:rsidR="00C82228" w:rsidRPr="00B70D8E" w:rsidRDefault="004846D9" w:rsidP="00607C2A">
      <w:pPr>
        <w:rPr>
          <w:rFonts w:ascii="Arial" w:hAnsi="Arial" w:cs="Arial"/>
          <w:sz w:val="20"/>
          <w:szCs w:val="20"/>
        </w:rPr>
      </w:pPr>
      <w:hyperlink r:id="rId8" w:history="1">
        <w:r w:rsidR="00C82228" w:rsidRPr="00B70D8E">
          <w:rPr>
            <w:rStyle w:val="Hyperlink"/>
            <w:rFonts w:ascii="Arial" w:hAnsi="Arial" w:cs="Arial"/>
            <w:sz w:val="20"/>
            <w:szCs w:val="20"/>
          </w:rPr>
          <w:t>http://hiltonfoodgroupplc.com/</w:t>
        </w:r>
      </w:hyperlink>
    </w:p>
    <w:p w:rsidR="00C82228" w:rsidRPr="00B70D8E" w:rsidRDefault="004846D9" w:rsidP="00607C2A">
      <w:pPr>
        <w:rPr>
          <w:rFonts w:ascii="Arial" w:hAnsi="Arial" w:cs="Arial"/>
          <w:sz w:val="20"/>
          <w:szCs w:val="20"/>
        </w:rPr>
      </w:pPr>
      <w:hyperlink r:id="rId9" w:history="1">
        <w:r w:rsidR="00C82228" w:rsidRPr="00B70D8E">
          <w:rPr>
            <w:rStyle w:val="Hyperlink"/>
            <w:rFonts w:ascii="Arial" w:hAnsi="Arial" w:cs="Arial"/>
            <w:sz w:val="20"/>
            <w:szCs w:val="20"/>
          </w:rPr>
          <w:t>http://hiltonfoodgroupplc.com/index.php/about-us/history</w:t>
        </w:r>
      </w:hyperlink>
    </w:p>
    <w:p w:rsidR="00C82228" w:rsidRPr="00B70D8E" w:rsidRDefault="004846D9" w:rsidP="00607C2A">
      <w:pPr>
        <w:rPr>
          <w:rFonts w:ascii="Arial" w:hAnsi="Arial" w:cs="Arial"/>
          <w:sz w:val="20"/>
          <w:szCs w:val="20"/>
        </w:rPr>
      </w:pPr>
      <w:hyperlink r:id="rId10" w:history="1">
        <w:r w:rsidR="00C82228" w:rsidRPr="00B70D8E">
          <w:rPr>
            <w:rStyle w:val="Hyperlink"/>
            <w:rFonts w:ascii="Arial" w:hAnsi="Arial" w:cs="Arial"/>
            <w:sz w:val="20"/>
            <w:szCs w:val="20"/>
          </w:rPr>
          <w:t>http://hiltonfoodgroupplc.com/investors/financial-performance</w:t>
        </w:r>
      </w:hyperlink>
    </w:p>
    <w:p w:rsidR="00C82228" w:rsidRPr="00B70D8E" w:rsidRDefault="004846D9" w:rsidP="00607C2A">
      <w:pPr>
        <w:rPr>
          <w:rFonts w:ascii="Arial" w:hAnsi="Arial" w:cs="Arial"/>
          <w:sz w:val="20"/>
          <w:szCs w:val="20"/>
        </w:rPr>
      </w:pPr>
      <w:hyperlink r:id="rId11" w:history="1">
        <w:r w:rsidR="00C82228" w:rsidRPr="00B70D8E">
          <w:rPr>
            <w:rStyle w:val="Hyperlink"/>
            <w:rFonts w:ascii="Arial" w:hAnsi="Arial" w:cs="Arial"/>
            <w:sz w:val="20"/>
            <w:szCs w:val="20"/>
          </w:rPr>
          <w:t>https://www.rpc-group.com/</w:t>
        </w:r>
      </w:hyperlink>
    </w:p>
    <w:p w:rsidR="00C82228" w:rsidRPr="00B70D8E" w:rsidRDefault="00C82228" w:rsidP="00607C2A">
      <w:pPr>
        <w:rPr>
          <w:rFonts w:ascii="Arial" w:hAnsi="Arial" w:cs="Arial"/>
          <w:sz w:val="20"/>
          <w:szCs w:val="20"/>
        </w:rPr>
      </w:pPr>
      <w:r w:rsidRPr="00B70D8E">
        <w:rPr>
          <w:rFonts w:ascii="Arial" w:hAnsi="Arial" w:cs="Arial"/>
          <w:sz w:val="20"/>
          <w:szCs w:val="20"/>
        </w:rPr>
        <w:t>https://www.rpc-group.com/corporate/investors/reports-and-presentations/2016</w:t>
      </w:r>
    </w:p>
    <w:p w:rsidR="00607C2A" w:rsidRPr="00B70D8E" w:rsidRDefault="009E3C30" w:rsidP="00607C2A">
      <w:pPr>
        <w:rPr>
          <w:rFonts w:ascii="Arial" w:hAnsi="Arial" w:cs="Arial"/>
          <w:sz w:val="20"/>
          <w:szCs w:val="20"/>
        </w:rPr>
      </w:pPr>
      <w:r w:rsidRPr="00B70D8E">
        <w:rPr>
          <w:rFonts w:ascii="Arial" w:hAnsi="Arial" w:cs="Arial"/>
          <w:sz w:val="20"/>
          <w:szCs w:val="20"/>
        </w:rPr>
        <w:t>Charles, V.,2006. Financial Ratio Analysis: A Handy Guidebook</w:t>
      </w:r>
    </w:p>
    <w:p w:rsidR="009E3C30" w:rsidRPr="00B70D8E" w:rsidRDefault="009E3C30" w:rsidP="00607C2A">
      <w:pPr>
        <w:rPr>
          <w:rFonts w:ascii="Arial" w:hAnsi="Arial" w:cs="Arial"/>
          <w:sz w:val="20"/>
          <w:szCs w:val="20"/>
        </w:rPr>
      </w:pPr>
    </w:p>
    <w:p w:rsidR="008D5BF7" w:rsidRPr="00B70D8E" w:rsidRDefault="008D5BF7" w:rsidP="006D4151">
      <w:pPr>
        <w:pStyle w:val="Heading2"/>
        <w:jc w:val="both"/>
        <w:rPr>
          <w:rFonts w:ascii="Arial" w:hAnsi="Arial" w:cs="Arial"/>
          <w:sz w:val="20"/>
          <w:szCs w:val="20"/>
        </w:rPr>
      </w:pPr>
    </w:p>
    <w:p w:rsidR="00607C2A" w:rsidRPr="00B70D8E" w:rsidRDefault="00607C2A" w:rsidP="00607C2A">
      <w:pPr>
        <w:rPr>
          <w:rFonts w:ascii="Arial" w:hAnsi="Arial" w:cs="Arial"/>
          <w:sz w:val="20"/>
          <w:szCs w:val="20"/>
          <w:lang w:val="en-US"/>
        </w:rPr>
      </w:pPr>
    </w:p>
    <w:bookmarkEnd w:id="2"/>
    <w:p w:rsidR="000B047C" w:rsidRPr="00B70D8E" w:rsidRDefault="000B047C">
      <w:pPr>
        <w:rPr>
          <w:rFonts w:ascii="Arial" w:hAnsi="Arial" w:cs="Arial"/>
          <w:sz w:val="20"/>
          <w:szCs w:val="20"/>
        </w:rPr>
      </w:pPr>
    </w:p>
    <w:sectPr w:rsidR="000B047C" w:rsidRPr="00B70D8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65C7" w:rsidRDefault="00CA65C7" w:rsidP="007B0691">
      <w:pPr>
        <w:spacing w:after="0" w:line="240" w:lineRule="auto"/>
      </w:pPr>
      <w:r>
        <w:separator/>
      </w:r>
    </w:p>
  </w:endnote>
  <w:endnote w:type="continuationSeparator" w:id="0">
    <w:p w:rsidR="00CA65C7" w:rsidRDefault="00CA65C7" w:rsidP="007B0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550818"/>
      <w:docPartObj>
        <w:docPartGallery w:val="Page Numbers (Bottom of Page)"/>
        <w:docPartUnique/>
      </w:docPartObj>
    </w:sdtPr>
    <w:sdtEndPr>
      <w:rPr>
        <w:noProof/>
      </w:rPr>
    </w:sdtEndPr>
    <w:sdtContent>
      <w:p w:rsidR="004846D9" w:rsidRDefault="004846D9">
        <w:pPr>
          <w:pStyle w:val="Footer"/>
          <w:jc w:val="center"/>
        </w:pPr>
        <w:r>
          <w:fldChar w:fldCharType="begin"/>
        </w:r>
        <w:r>
          <w:instrText xml:space="preserve"> PAGE   \* MERGEFORMAT </w:instrText>
        </w:r>
        <w:r>
          <w:fldChar w:fldCharType="separate"/>
        </w:r>
        <w:r w:rsidR="0030080B">
          <w:rPr>
            <w:noProof/>
          </w:rPr>
          <w:t>11</w:t>
        </w:r>
        <w:r>
          <w:rPr>
            <w:noProof/>
          </w:rPr>
          <w:fldChar w:fldCharType="end"/>
        </w:r>
      </w:p>
    </w:sdtContent>
  </w:sdt>
  <w:p w:rsidR="004846D9" w:rsidRDefault="00484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65C7" w:rsidRDefault="00CA65C7" w:rsidP="007B0691">
      <w:pPr>
        <w:spacing w:after="0" w:line="240" w:lineRule="auto"/>
      </w:pPr>
      <w:r>
        <w:separator/>
      </w:r>
    </w:p>
  </w:footnote>
  <w:footnote w:type="continuationSeparator" w:id="0">
    <w:p w:rsidR="00CA65C7" w:rsidRDefault="00CA65C7" w:rsidP="007B0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261CD"/>
    <w:multiLevelType w:val="hybridMultilevel"/>
    <w:tmpl w:val="CEEE3920"/>
    <w:lvl w:ilvl="0" w:tplc="362221FC">
      <w:start w:val="1"/>
      <w:numFmt w:val="bullet"/>
      <w:lvlText w:val=""/>
      <w:lvlJc w:val="left"/>
      <w:pPr>
        <w:ind w:left="720" w:hanging="360"/>
      </w:pPr>
      <w:rPr>
        <w:rFonts w:ascii="Symbol" w:hAnsi="Symbol" w:hint="default"/>
        <w:b w:val="0"/>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5E50BF"/>
    <w:multiLevelType w:val="multilevel"/>
    <w:tmpl w:val="EB84D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D860C7"/>
    <w:multiLevelType w:val="hybridMultilevel"/>
    <w:tmpl w:val="DBB42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26D654F"/>
    <w:multiLevelType w:val="multilevel"/>
    <w:tmpl w:val="9CD0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E0115C"/>
    <w:multiLevelType w:val="hybridMultilevel"/>
    <w:tmpl w:val="662079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96A0F38"/>
    <w:multiLevelType w:val="multilevel"/>
    <w:tmpl w:val="0114B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6B73FD"/>
    <w:multiLevelType w:val="multilevel"/>
    <w:tmpl w:val="24B4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5B675C"/>
    <w:multiLevelType w:val="hybridMultilevel"/>
    <w:tmpl w:val="0E38D122"/>
    <w:lvl w:ilvl="0" w:tplc="8A2C5BAE">
      <w:start w:val="1"/>
      <w:numFmt w:val="bullet"/>
      <w:lvlText w:val="•"/>
      <w:lvlJc w:val="left"/>
      <w:pPr>
        <w:tabs>
          <w:tab w:val="num" w:pos="720"/>
        </w:tabs>
        <w:ind w:left="720" w:hanging="360"/>
      </w:pPr>
      <w:rPr>
        <w:rFonts w:ascii="Times New Roman" w:hAnsi="Times New Roman" w:hint="default"/>
      </w:rPr>
    </w:lvl>
    <w:lvl w:ilvl="1" w:tplc="BD16697E" w:tentative="1">
      <w:start w:val="1"/>
      <w:numFmt w:val="bullet"/>
      <w:lvlText w:val="•"/>
      <w:lvlJc w:val="left"/>
      <w:pPr>
        <w:tabs>
          <w:tab w:val="num" w:pos="1440"/>
        </w:tabs>
        <w:ind w:left="1440" w:hanging="360"/>
      </w:pPr>
      <w:rPr>
        <w:rFonts w:ascii="Times New Roman" w:hAnsi="Times New Roman" w:hint="default"/>
      </w:rPr>
    </w:lvl>
    <w:lvl w:ilvl="2" w:tplc="6A908100" w:tentative="1">
      <w:start w:val="1"/>
      <w:numFmt w:val="bullet"/>
      <w:lvlText w:val="•"/>
      <w:lvlJc w:val="left"/>
      <w:pPr>
        <w:tabs>
          <w:tab w:val="num" w:pos="2160"/>
        </w:tabs>
        <w:ind w:left="2160" w:hanging="360"/>
      </w:pPr>
      <w:rPr>
        <w:rFonts w:ascii="Times New Roman" w:hAnsi="Times New Roman" w:hint="default"/>
      </w:rPr>
    </w:lvl>
    <w:lvl w:ilvl="3" w:tplc="3E02238A" w:tentative="1">
      <w:start w:val="1"/>
      <w:numFmt w:val="bullet"/>
      <w:lvlText w:val="•"/>
      <w:lvlJc w:val="left"/>
      <w:pPr>
        <w:tabs>
          <w:tab w:val="num" w:pos="2880"/>
        </w:tabs>
        <w:ind w:left="2880" w:hanging="360"/>
      </w:pPr>
      <w:rPr>
        <w:rFonts w:ascii="Times New Roman" w:hAnsi="Times New Roman" w:hint="default"/>
      </w:rPr>
    </w:lvl>
    <w:lvl w:ilvl="4" w:tplc="B5C006C2" w:tentative="1">
      <w:start w:val="1"/>
      <w:numFmt w:val="bullet"/>
      <w:lvlText w:val="•"/>
      <w:lvlJc w:val="left"/>
      <w:pPr>
        <w:tabs>
          <w:tab w:val="num" w:pos="3600"/>
        </w:tabs>
        <w:ind w:left="3600" w:hanging="360"/>
      </w:pPr>
      <w:rPr>
        <w:rFonts w:ascii="Times New Roman" w:hAnsi="Times New Roman" w:hint="default"/>
      </w:rPr>
    </w:lvl>
    <w:lvl w:ilvl="5" w:tplc="83C82794" w:tentative="1">
      <w:start w:val="1"/>
      <w:numFmt w:val="bullet"/>
      <w:lvlText w:val="•"/>
      <w:lvlJc w:val="left"/>
      <w:pPr>
        <w:tabs>
          <w:tab w:val="num" w:pos="4320"/>
        </w:tabs>
        <w:ind w:left="4320" w:hanging="360"/>
      </w:pPr>
      <w:rPr>
        <w:rFonts w:ascii="Times New Roman" w:hAnsi="Times New Roman" w:hint="default"/>
      </w:rPr>
    </w:lvl>
    <w:lvl w:ilvl="6" w:tplc="B3B49438" w:tentative="1">
      <w:start w:val="1"/>
      <w:numFmt w:val="bullet"/>
      <w:lvlText w:val="•"/>
      <w:lvlJc w:val="left"/>
      <w:pPr>
        <w:tabs>
          <w:tab w:val="num" w:pos="5040"/>
        </w:tabs>
        <w:ind w:left="5040" w:hanging="360"/>
      </w:pPr>
      <w:rPr>
        <w:rFonts w:ascii="Times New Roman" w:hAnsi="Times New Roman" w:hint="default"/>
      </w:rPr>
    </w:lvl>
    <w:lvl w:ilvl="7" w:tplc="B9767412" w:tentative="1">
      <w:start w:val="1"/>
      <w:numFmt w:val="bullet"/>
      <w:lvlText w:val="•"/>
      <w:lvlJc w:val="left"/>
      <w:pPr>
        <w:tabs>
          <w:tab w:val="num" w:pos="5760"/>
        </w:tabs>
        <w:ind w:left="5760" w:hanging="360"/>
      </w:pPr>
      <w:rPr>
        <w:rFonts w:ascii="Times New Roman" w:hAnsi="Times New Roman" w:hint="default"/>
      </w:rPr>
    </w:lvl>
    <w:lvl w:ilvl="8" w:tplc="6BCE291C"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2"/>
  </w:num>
  <w:num w:numId="3">
    <w:abstractNumId w:val="1"/>
  </w:num>
  <w:num w:numId="4">
    <w:abstractNumId w:val="5"/>
  </w:num>
  <w:num w:numId="5">
    <w:abstractNumId w:val="0"/>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C9B"/>
    <w:rsid w:val="00001100"/>
    <w:rsid w:val="000014DD"/>
    <w:rsid w:val="00007BFD"/>
    <w:rsid w:val="00010D2E"/>
    <w:rsid w:val="00017228"/>
    <w:rsid w:val="00027A18"/>
    <w:rsid w:val="00046A80"/>
    <w:rsid w:val="00047DBE"/>
    <w:rsid w:val="00051A1E"/>
    <w:rsid w:val="000658BE"/>
    <w:rsid w:val="0006706A"/>
    <w:rsid w:val="000837F0"/>
    <w:rsid w:val="000A20A2"/>
    <w:rsid w:val="000B047C"/>
    <w:rsid w:val="000B7262"/>
    <w:rsid w:val="000C3462"/>
    <w:rsid w:val="000E2544"/>
    <w:rsid w:val="000E5270"/>
    <w:rsid w:val="000F0F49"/>
    <w:rsid w:val="00101084"/>
    <w:rsid w:val="00112E0D"/>
    <w:rsid w:val="001276B0"/>
    <w:rsid w:val="001347CB"/>
    <w:rsid w:val="001630BF"/>
    <w:rsid w:val="00174409"/>
    <w:rsid w:val="0019263D"/>
    <w:rsid w:val="001A4443"/>
    <w:rsid w:val="001B72FC"/>
    <w:rsid w:val="001D0904"/>
    <w:rsid w:val="001D339A"/>
    <w:rsid w:val="001D7CFB"/>
    <w:rsid w:val="001E4405"/>
    <w:rsid w:val="001E7ABF"/>
    <w:rsid w:val="002030BA"/>
    <w:rsid w:val="00204B48"/>
    <w:rsid w:val="00205CB5"/>
    <w:rsid w:val="00216C20"/>
    <w:rsid w:val="00223EC0"/>
    <w:rsid w:val="00231121"/>
    <w:rsid w:val="0024134F"/>
    <w:rsid w:val="00257B61"/>
    <w:rsid w:val="002669B6"/>
    <w:rsid w:val="00275038"/>
    <w:rsid w:val="002866F8"/>
    <w:rsid w:val="00287835"/>
    <w:rsid w:val="002915EA"/>
    <w:rsid w:val="00291B5F"/>
    <w:rsid w:val="002A6450"/>
    <w:rsid w:val="002C0CF1"/>
    <w:rsid w:val="002C1695"/>
    <w:rsid w:val="002D3C8E"/>
    <w:rsid w:val="002E2E93"/>
    <w:rsid w:val="002E5E05"/>
    <w:rsid w:val="002E6060"/>
    <w:rsid w:val="002E7D25"/>
    <w:rsid w:val="0030080B"/>
    <w:rsid w:val="0031163E"/>
    <w:rsid w:val="003222E3"/>
    <w:rsid w:val="00336634"/>
    <w:rsid w:val="0036258B"/>
    <w:rsid w:val="0037015B"/>
    <w:rsid w:val="00386695"/>
    <w:rsid w:val="003869AE"/>
    <w:rsid w:val="00396E09"/>
    <w:rsid w:val="003B26F6"/>
    <w:rsid w:val="003D0BF2"/>
    <w:rsid w:val="003D6469"/>
    <w:rsid w:val="003E7366"/>
    <w:rsid w:val="0040127F"/>
    <w:rsid w:val="004072E5"/>
    <w:rsid w:val="00413CBE"/>
    <w:rsid w:val="004212A9"/>
    <w:rsid w:val="00433B0C"/>
    <w:rsid w:val="00452D70"/>
    <w:rsid w:val="00456A4F"/>
    <w:rsid w:val="00462395"/>
    <w:rsid w:val="004745B9"/>
    <w:rsid w:val="004846D9"/>
    <w:rsid w:val="004A4CDA"/>
    <w:rsid w:val="004A6C8E"/>
    <w:rsid w:val="004C3C51"/>
    <w:rsid w:val="004D32E2"/>
    <w:rsid w:val="004F1F44"/>
    <w:rsid w:val="00502505"/>
    <w:rsid w:val="00506749"/>
    <w:rsid w:val="005110E2"/>
    <w:rsid w:val="005169EF"/>
    <w:rsid w:val="0052399F"/>
    <w:rsid w:val="00526AC3"/>
    <w:rsid w:val="0054075A"/>
    <w:rsid w:val="005505B7"/>
    <w:rsid w:val="00552ED9"/>
    <w:rsid w:val="00554C31"/>
    <w:rsid w:val="00577DF4"/>
    <w:rsid w:val="00580261"/>
    <w:rsid w:val="00580688"/>
    <w:rsid w:val="005809C3"/>
    <w:rsid w:val="00583165"/>
    <w:rsid w:val="00584D94"/>
    <w:rsid w:val="00594494"/>
    <w:rsid w:val="00595016"/>
    <w:rsid w:val="00596397"/>
    <w:rsid w:val="005A2508"/>
    <w:rsid w:val="005A4C60"/>
    <w:rsid w:val="005C5E4B"/>
    <w:rsid w:val="005C718B"/>
    <w:rsid w:val="005D2EF5"/>
    <w:rsid w:val="005D5043"/>
    <w:rsid w:val="006036BC"/>
    <w:rsid w:val="006056F6"/>
    <w:rsid w:val="00607C2A"/>
    <w:rsid w:val="00634BBB"/>
    <w:rsid w:val="006967BD"/>
    <w:rsid w:val="006A1615"/>
    <w:rsid w:val="006B3567"/>
    <w:rsid w:val="006B6ADB"/>
    <w:rsid w:val="006C259E"/>
    <w:rsid w:val="006C6330"/>
    <w:rsid w:val="006D3120"/>
    <w:rsid w:val="006D4151"/>
    <w:rsid w:val="006F42AF"/>
    <w:rsid w:val="007003CF"/>
    <w:rsid w:val="00712052"/>
    <w:rsid w:val="00713107"/>
    <w:rsid w:val="0071604D"/>
    <w:rsid w:val="007174DE"/>
    <w:rsid w:val="00720F32"/>
    <w:rsid w:val="007273AA"/>
    <w:rsid w:val="007347BA"/>
    <w:rsid w:val="00735687"/>
    <w:rsid w:val="00747DA2"/>
    <w:rsid w:val="00757EEC"/>
    <w:rsid w:val="00772542"/>
    <w:rsid w:val="007773E5"/>
    <w:rsid w:val="00780F2C"/>
    <w:rsid w:val="00785ABD"/>
    <w:rsid w:val="00795E2C"/>
    <w:rsid w:val="007B0691"/>
    <w:rsid w:val="007B29AC"/>
    <w:rsid w:val="007B479F"/>
    <w:rsid w:val="007C04FF"/>
    <w:rsid w:val="007D7470"/>
    <w:rsid w:val="007E5894"/>
    <w:rsid w:val="007E636E"/>
    <w:rsid w:val="007E6CE0"/>
    <w:rsid w:val="007F2A71"/>
    <w:rsid w:val="007F64E6"/>
    <w:rsid w:val="007F7A26"/>
    <w:rsid w:val="00807C7E"/>
    <w:rsid w:val="0082714E"/>
    <w:rsid w:val="00864F22"/>
    <w:rsid w:val="00875AD4"/>
    <w:rsid w:val="0087661D"/>
    <w:rsid w:val="008B04F0"/>
    <w:rsid w:val="008B5587"/>
    <w:rsid w:val="008C0C5B"/>
    <w:rsid w:val="008D38B4"/>
    <w:rsid w:val="008D5BF7"/>
    <w:rsid w:val="008D6B88"/>
    <w:rsid w:val="008E2C81"/>
    <w:rsid w:val="008E46A9"/>
    <w:rsid w:val="00901BD4"/>
    <w:rsid w:val="00902C6C"/>
    <w:rsid w:val="00914D26"/>
    <w:rsid w:val="00914F4A"/>
    <w:rsid w:val="009211DB"/>
    <w:rsid w:val="00932160"/>
    <w:rsid w:val="00936FD1"/>
    <w:rsid w:val="00940E42"/>
    <w:rsid w:val="00955C73"/>
    <w:rsid w:val="009629B1"/>
    <w:rsid w:val="00965D1A"/>
    <w:rsid w:val="00974047"/>
    <w:rsid w:val="009877ED"/>
    <w:rsid w:val="00987BF2"/>
    <w:rsid w:val="00994340"/>
    <w:rsid w:val="009E3C30"/>
    <w:rsid w:val="00A0072C"/>
    <w:rsid w:val="00A2538E"/>
    <w:rsid w:val="00A27F25"/>
    <w:rsid w:val="00A36C2B"/>
    <w:rsid w:val="00A433C7"/>
    <w:rsid w:val="00A60624"/>
    <w:rsid w:val="00A65EA2"/>
    <w:rsid w:val="00A67224"/>
    <w:rsid w:val="00A70D67"/>
    <w:rsid w:val="00A865CE"/>
    <w:rsid w:val="00AA3AFE"/>
    <w:rsid w:val="00AA4D9D"/>
    <w:rsid w:val="00AC31DD"/>
    <w:rsid w:val="00AF1949"/>
    <w:rsid w:val="00AF6B6E"/>
    <w:rsid w:val="00B31FE7"/>
    <w:rsid w:val="00B430A5"/>
    <w:rsid w:val="00B50C8C"/>
    <w:rsid w:val="00B54069"/>
    <w:rsid w:val="00B70D8E"/>
    <w:rsid w:val="00B973F8"/>
    <w:rsid w:val="00BC0DFD"/>
    <w:rsid w:val="00BE4C9B"/>
    <w:rsid w:val="00BF1051"/>
    <w:rsid w:val="00BF4927"/>
    <w:rsid w:val="00C04342"/>
    <w:rsid w:val="00C263C5"/>
    <w:rsid w:val="00C565CB"/>
    <w:rsid w:val="00C67752"/>
    <w:rsid w:val="00C72E6F"/>
    <w:rsid w:val="00C75605"/>
    <w:rsid w:val="00C82228"/>
    <w:rsid w:val="00C85FEC"/>
    <w:rsid w:val="00CA4FBD"/>
    <w:rsid w:val="00CA5425"/>
    <w:rsid w:val="00CA65C7"/>
    <w:rsid w:val="00CD2496"/>
    <w:rsid w:val="00D00F61"/>
    <w:rsid w:val="00D40291"/>
    <w:rsid w:val="00D43980"/>
    <w:rsid w:val="00D71BEF"/>
    <w:rsid w:val="00D75B20"/>
    <w:rsid w:val="00D76FCC"/>
    <w:rsid w:val="00D81D57"/>
    <w:rsid w:val="00D942C0"/>
    <w:rsid w:val="00D96D51"/>
    <w:rsid w:val="00DC035A"/>
    <w:rsid w:val="00DC2701"/>
    <w:rsid w:val="00DC6D1D"/>
    <w:rsid w:val="00DD7100"/>
    <w:rsid w:val="00DE77E9"/>
    <w:rsid w:val="00DF0116"/>
    <w:rsid w:val="00DF112F"/>
    <w:rsid w:val="00DF2D32"/>
    <w:rsid w:val="00E00952"/>
    <w:rsid w:val="00E021CB"/>
    <w:rsid w:val="00E0701E"/>
    <w:rsid w:val="00E208F9"/>
    <w:rsid w:val="00E364AA"/>
    <w:rsid w:val="00E37155"/>
    <w:rsid w:val="00E37448"/>
    <w:rsid w:val="00E6360C"/>
    <w:rsid w:val="00E9114F"/>
    <w:rsid w:val="00EA4DC5"/>
    <w:rsid w:val="00EF083C"/>
    <w:rsid w:val="00F23A47"/>
    <w:rsid w:val="00F2411F"/>
    <w:rsid w:val="00F31A89"/>
    <w:rsid w:val="00F504F0"/>
    <w:rsid w:val="00F511A6"/>
    <w:rsid w:val="00F53194"/>
    <w:rsid w:val="00F65036"/>
    <w:rsid w:val="00F65EFB"/>
    <w:rsid w:val="00F75908"/>
    <w:rsid w:val="00F77E50"/>
    <w:rsid w:val="00FC3BE1"/>
    <w:rsid w:val="00FC6DCB"/>
    <w:rsid w:val="00FD23D7"/>
    <w:rsid w:val="00FD7B9A"/>
    <w:rsid w:val="00FE60EC"/>
    <w:rsid w:val="00FF2FED"/>
    <w:rsid w:val="00FF7D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EE6E"/>
  <w15:chartTrackingRefBased/>
  <w15:docId w15:val="{D9F7ED8B-7039-4D4E-BF7B-E896698C2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73AA"/>
  </w:style>
  <w:style w:type="paragraph" w:styleId="Heading1">
    <w:name w:val="heading 1"/>
    <w:basedOn w:val="Normal"/>
    <w:next w:val="Normal"/>
    <w:link w:val="Heading1Char"/>
    <w:uiPriority w:val="9"/>
    <w:qFormat/>
    <w:rsid w:val="007273AA"/>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7273AA"/>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7273AA"/>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7273AA"/>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273AA"/>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273AA"/>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273AA"/>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273AA"/>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273AA"/>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4C9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BE4C9B"/>
    <w:rPr>
      <w:color w:val="0000FF"/>
      <w:u w:val="single"/>
    </w:rPr>
  </w:style>
  <w:style w:type="table" w:styleId="TableGrid">
    <w:name w:val="Table Grid"/>
    <w:basedOn w:val="TableNormal"/>
    <w:uiPriority w:val="39"/>
    <w:rsid w:val="00FF7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1276B0"/>
    <w:pPr>
      <w:spacing w:after="0" w:line="240" w:lineRule="auto"/>
    </w:pPr>
    <w:rPr>
      <w:lang w:val="en-US"/>
    </w:rPr>
    <w:tblPr>
      <w:tblStyleRowBandSize w:val="1"/>
      <w:tblStyleColBandSize w:val="1"/>
      <w:tblBorders>
        <w:top w:val="single" w:sz="8" w:space="0" w:color="B58B80" w:themeColor="accent3"/>
        <w:left w:val="single" w:sz="8" w:space="0" w:color="B58B80" w:themeColor="accent3"/>
        <w:bottom w:val="single" w:sz="8" w:space="0" w:color="B58B80" w:themeColor="accent3"/>
        <w:right w:val="single" w:sz="8" w:space="0" w:color="B58B80" w:themeColor="accent3"/>
        <w:insideH w:val="single" w:sz="8" w:space="0" w:color="B58B80" w:themeColor="accent3"/>
        <w:insideV w:val="single" w:sz="8" w:space="0" w:color="B58B8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58B80" w:themeColor="accent3"/>
          <w:left w:val="single" w:sz="8" w:space="0" w:color="B58B80" w:themeColor="accent3"/>
          <w:bottom w:val="single" w:sz="18" w:space="0" w:color="B58B80" w:themeColor="accent3"/>
          <w:right w:val="single" w:sz="8" w:space="0" w:color="B58B80" w:themeColor="accent3"/>
          <w:insideH w:val="nil"/>
          <w:insideV w:val="single" w:sz="8" w:space="0" w:color="B58B8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58B80" w:themeColor="accent3"/>
          <w:left w:val="single" w:sz="8" w:space="0" w:color="B58B80" w:themeColor="accent3"/>
          <w:bottom w:val="single" w:sz="8" w:space="0" w:color="B58B80" w:themeColor="accent3"/>
          <w:right w:val="single" w:sz="8" w:space="0" w:color="B58B80" w:themeColor="accent3"/>
          <w:insideH w:val="nil"/>
          <w:insideV w:val="single" w:sz="8" w:space="0" w:color="B58B8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58B80" w:themeColor="accent3"/>
          <w:left w:val="single" w:sz="8" w:space="0" w:color="B58B80" w:themeColor="accent3"/>
          <w:bottom w:val="single" w:sz="8" w:space="0" w:color="B58B80" w:themeColor="accent3"/>
          <w:right w:val="single" w:sz="8" w:space="0" w:color="B58B80" w:themeColor="accent3"/>
        </w:tcBorders>
      </w:tcPr>
    </w:tblStylePr>
    <w:tblStylePr w:type="band1Vert">
      <w:tblPr/>
      <w:tcPr>
        <w:tcBorders>
          <w:top w:val="single" w:sz="8" w:space="0" w:color="B58B80" w:themeColor="accent3"/>
          <w:left w:val="single" w:sz="8" w:space="0" w:color="B58B80" w:themeColor="accent3"/>
          <w:bottom w:val="single" w:sz="8" w:space="0" w:color="B58B80" w:themeColor="accent3"/>
          <w:right w:val="single" w:sz="8" w:space="0" w:color="B58B80" w:themeColor="accent3"/>
        </w:tcBorders>
        <w:shd w:val="clear" w:color="auto" w:fill="ECE2DF" w:themeFill="accent3" w:themeFillTint="3F"/>
      </w:tcPr>
    </w:tblStylePr>
    <w:tblStylePr w:type="band1Horz">
      <w:tblPr/>
      <w:tcPr>
        <w:tcBorders>
          <w:top w:val="single" w:sz="8" w:space="0" w:color="B58B80" w:themeColor="accent3"/>
          <w:left w:val="single" w:sz="8" w:space="0" w:color="B58B80" w:themeColor="accent3"/>
          <w:bottom w:val="single" w:sz="8" w:space="0" w:color="B58B80" w:themeColor="accent3"/>
          <w:right w:val="single" w:sz="8" w:space="0" w:color="B58B80" w:themeColor="accent3"/>
          <w:insideV w:val="single" w:sz="8" w:space="0" w:color="B58B80" w:themeColor="accent3"/>
        </w:tcBorders>
        <w:shd w:val="clear" w:color="auto" w:fill="ECE2DF" w:themeFill="accent3" w:themeFillTint="3F"/>
      </w:tcPr>
    </w:tblStylePr>
    <w:tblStylePr w:type="band2Horz">
      <w:tblPr/>
      <w:tcPr>
        <w:tcBorders>
          <w:top w:val="single" w:sz="8" w:space="0" w:color="B58B80" w:themeColor="accent3"/>
          <w:left w:val="single" w:sz="8" w:space="0" w:color="B58B80" w:themeColor="accent3"/>
          <w:bottom w:val="single" w:sz="8" w:space="0" w:color="B58B80" w:themeColor="accent3"/>
          <w:right w:val="single" w:sz="8" w:space="0" w:color="B58B80" w:themeColor="accent3"/>
          <w:insideV w:val="single" w:sz="8" w:space="0" w:color="B58B80" w:themeColor="accent3"/>
        </w:tcBorders>
      </w:tcPr>
    </w:tblStylePr>
  </w:style>
  <w:style w:type="character" w:customStyle="1" w:styleId="Heading2Char">
    <w:name w:val="Heading 2 Char"/>
    <w:basedOn w:val="DefaultParagraphFont"/>
    <w:link w:val="Heading2"/>
    <w:uiPriority w:val="9"/>
    <w:rsid w:val="007273AA"/>
    <w:rPr>
      <w:rFonts w:asciiTheme="majorHAnsi" w:eastAsiaTheme="majorEastAsia" w:hAnsiTheme="majorHAnsi" w:cstheme="majorBidi"/>
      <w:caps/>
      <w:sz w:val="28"/>
      <w:szCs w:val="28"/>
    </w:rPr>
  </w:style>
  <w:style w:type="character" w:customStyle="1" w:styleId="Heading1Char">
    <w:name w:val="Heading 1 Char"/>
    <w:basedOn w:val="DefaultParagraphFont"/>
    <w:link w:val="Heading1"/>
    <w:uiPriority w:val="9"/>
    <w:rsid w:val="007273AA"/>
    <w:rPr>
      <w:rFonts w:asciiTheme="majorHAnsi" w:eastAsiaTheme="majorEastAsia" w:hAnsiTheme="majorHAnsi" w:cstheme="majorBidi"/>
      <w:caps/>
      <w:sz w:val="36"/>
      <w:szCs w:val="36"/>
    </w:rPr>
  </w:style>
  <w:style w:type="paragraph" w:styleId="ListParagraph">
    <w:name w:val="List Paragraph"/>
    <w:basedOn w:val="Normal"/>
    <w:uiPriority w:val="34"/>
    <w:qFormat/>
    <w:rsid w:val="00051A1E"/>
    <w:pPr>
      <w:ind w:left="720"/>
      <w:contextualSpacing/>
    </w:pPr>
  </w:style>
  <w:style w:type="character" w:styleId="CommentReference">
    <w:name w:val="annotation reference"/>
    <w:basedOn w:val="DefaultParagraphFont"/>
    <w:uiPriority w:val="99"/>
    <w:semiHidden/>
    <w:unhideWhenUsed/>
    <w:rsid w:val="00BC0DFD"/>
    <w:rPr>
      <w:sz w:val="16"/>
      <w:szCs w:val="16"/>
    </w:rPr>
  </w:style>
  <w:style w:type="paragraph" w:styleId="CommentText">
    <w:name w:val="annotation text"/>
    <w:basedOn w:val="Normal"/>
    <w:link w:val="CommentTextChar"/>
    <w:uiPriority w:val="99"/>
    <w:semiHidden/>
    <w:unhideWhenUsed/>
    <w:rsid w:val="00BC0DFD"/>
    <w:pPr>
      <w:spacing w:line="240" w:lineRule="auto"/>
    </w:pPr>
    <w:rPr>
      <w:sz w:val="20"/>
      <w:szCs w:val="20"/>
    </w:rPr>
  </w:style>
  <w:style w:type="character" w:customStyle="1" w:styleId="CommentTextChar">
    <w:name w:val="Comment Text Char"/>
    <w:basedOn w:val="DefaultParagraphFont"/>
    <w:link w:val="CommentText"/>
    <w:uiPriority w:val="99"/>
    <w:semiHidden/>
    <w:rsid w:val="00BC0DFD"/>
    <w:rPr>
      <w:sz w:val="20"/>
      <w:szCs w:val="20"/>
    </w:rPr>
  </w:style>
  <w:style w:type="paragraph" w:styleId="CommentSubject">
    <w:name w:val="annotation subject"/>
    <w:basedOn w:val="CommentText"/>
    <w:next w:val="CommentText"/>
    <w:link w:val="CommentSubjectChar"/>
    <w:uiPriority w:val="99"/>
    <w:semiHidden/>
    <w:unhideWhenUsed/>
    <w:rsid w:val="00BC0DFD"/>
    <w:rPr>
      <w:b/>
      <w:bCs/>
    </w:rPr>
  </w:style>
  <w:style w:type="character" w:customStyle="1" w:styleId="CommentSubjectChar">
    <w:name w:val="Comment Subject Char"/>
    <w:basedOn w:val="CommentTextChar"/>
    <w:link w:val="CommentSubject"/>
    <w:uiPriority w:val="99"/>
    <w:semiHidden/>
    <w:rsid w:val="00BC0DFD"/>
    <w:rPr>
      <w:b/>
      <w:bCs/>
      <w:sz w:val="20"/>
      <w:szCs w:val="20"/>
    </w:rPr>
  </w:style>
  <w:style w:type="paragraph" w:styleId="BalloonText">
    <w:name w:val="Balloon Text"/>
    <w:basedOn w:val="Normal"/>
    <w:link w:val="BalloonTextChar"/>
    <w:uiPriority w:val="99"/>
    <w:semiHidden/>
    <w:unhideWhenUsed/>
    <w:rsid w:val="00BC0D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DFD"/>
    <w:rPr>
      <w:rFonts w:ascii="Segoe UI" w:hAnsi="Segoe UI" w:cs="Segoe UI"/>
      <w:sz w:val="18"/>
      <w:szCs w:val="18"/>
    </w:rPr>
  </w:style>
  <w:style w:type="character" w:customStyle="1" w:styleId="Heading3Char">
    <w:name w:val="Heading 3 Char"/>
    <w:basedOn w:val="DefaultParagraphFont"/>
    <w:link w:val="Heading3"/>
    <w:uiPriority w:val="9"/>
    <w:semiHidden/>
    <w:rsid w:val="007273AA"/>
    <w:rPr>
      <w:rFonts w:asciiTheme="majorHAnsi" w:eastAsiaTheme="majorEastAsia" w:hAnsiTheme="majorHAnsi" w:cstheme="majorBidi"/>
      <w:smallCaps/>
      <w:sz w:val="28"/>
      <w:szCs w:val="28"/>
    </w:rPr>
  </w:style>
  <w:style w:type="character" w:customStyle="1" w:styleId="vm-hook">
    <w:name w:val="vm-hook"/>
    <w:basedOn w:val="DefaultParagraphFont"/>
    <w:rsid w:val="007C04FF"/>
  </w:style>
  <w:style w:type="paragraph" w:styleId="Header">
    <w:name w:val="header"/>
    <w:basedOn w:val="Normal"/>
    <w:link w:val="HeaderChar"/>
    <w:uiPriority w:val="99"/>
    <w:unhideWhenUsed/>
    <w:rsid w:val="007B0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691"/>
  </w:style>
  <w:style w:type="paragraph" w:styleId="Footer">
    <w:name w:val="footer"/>
    <w:basedOn w:val="Normal"/>
    <w:link w:val="FooterChar"/>
    <w:uiPriority w:val="99"/>
    <w:unhideWhenUsed/>
    <w:rsid w:val="007B0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691"/>
  </w:style>
  <w:style w:type="character" w:styleId="Emphasis">
    <w:name w:val="Emphasis"/>
    <w:basedOn w:val="DefaultParagraphFont"/>
    <w:uiPriority w:val="20"/>
    <w:qFormat/>
    <w:rsid w:val="007273AA"/>
    <w:rPr>
      <w:i/>
      <w:iCs/>
    </w:rPr>
  </w:style>
  <w:style w:type="paragraph" w:styleId="NoSpacing">
    <w:name w:val="No Spacing"/>
    <w:uiPriority w:val="1"/>
    <w:qFormat/>
    <w:rsid w:val="007273AA"/>
    <w:pPr>
      <w:spacing w:after="0" w:line="240" w:lineRule="auto"/>
    </w:pPr>
  </w:style>
  <w:style w:type="character" w:styleId="Strong">
    <w:name w:val="Strong"/>
    <w:basedOn w:val="DefaultParagraphFont"/>
    <w:uiPriority w:val="22"/>
    <w:qFormat/>
    <w:rsid w:val="007273AA"/>
    <w:rPr>
      <w:b/>
      <w:bCs/>
    </w:rPr>
  </w:style>
  <w:style w:type="character" w:customStyle="1" w:styleId="Heading4Char">
    <w:name w:val="Heading 4 Char"/>
    <w:basedOn w:val="DefaultParagraphFont"/>
    <w:link w:val="Heading4"/>
    <w:uiPriority w:val="9"/>
    <w:rsid w:val="007273AA"/>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273AA"/>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273AA"/>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273AA"/>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273AA"/>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273AA"/>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273AA"/>
    <w:pPr>
      <w:spacing w:line="240" w:lineRule="auto"/>
    </w:pPr>
    <w:rPr>
      <w:b/>
      <w:bCs/>
      <w:smallCaps/>
      <w:color w:val="595959" w:themeColor="text1" w:themeTint="A6"/>
    </w:rPr>
  </w:style>
  <w:style w:type="paragraph" w:styleId="Title">
    <w:name w:val="Title"/>
    <w:basedOn w:val="Normal"/>
    <w:next w:val="Normal"/>
    <w:link w:val="TitleChar"/>
    <w:uiPriority w:val="10"/>
    <w:qFormat/>
    <w:rsid w:val="007273AA"/>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273AA"/>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273AA"/>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273AA"/>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7273AA"/>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273AA"/>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273AA"/>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273AA"/>
    <w:rPr>
      <w:color w:val="404040" w:themeColor="text1" w:themeTint="BF"/>
      <w:sz w:val="32"/>
      <w:szCs w:val="32"/>
    </w:rPr>
  </w:style>
  <w:style w:type="character" w:styleId="SubtleEmphasis">
    <w:name w:val="Subtle Emphasis"/>
    <w:basedOn w:val="DefaultParagraphFont"/>
    <w:uiPriority w:val="19"/>
    <w:qFormat/>
    <w:rsid w:val="007273AA"/>
    <w:rPr>
      <w:i/>
      <w:iCs/>
      <w:color w:val="595959" w:themeColor="text1" w:themeTint="A6"/>
    </w:rPr>
  </w:style>
  <w:style w:type="character" w:styleId="IntenseEmphasis">
    <w:name w:val="Intense Emphasis"/>
    <w:basedOn w:val="DefaultParagraphFont"/>
    <w:uiPriority w:val="21"/>
    <w:qFormat/>
    <w:rsid w:val="007273AA"/>
    <w:rPr>
      <w:b/>
      <w:bCs/>
      <w:i/>
      <w:iCs/>
    </w:rPr>
  </w:style>
  <w:style w:type="character" w:styleId="SubtleReference">
    <w:name w:val="Subtle Reference"/>
    <w:basedOn w:val="DefaultParagraphFont"/>
    <w:uiPriority w:val="31"/>
    <w:qFormat/>
    <w:rsid w:val="007273A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273AA"/>
    <w:rPr>
      <w:b/>
      <w:bCs/>
      <w:caps w:val="0"/>
      <w:smallCaps/>
      <w:color w:val="auto"/>
      <w:spacing w:val="3"/>
      <w:u w:val="single"/>
    </w:rPr>
  </w:style>
  <w:style w:type="character" w:styleId="BookTitle">
    <w:name w:val="Book Title"/>
    <w:basedOn w:val="DefaultParagraphFont"/>
    <w:uiPriority w:val="33"/>
    <w:qFormat/>
    <w:rsid w:val="007273AA"/>
    <w:rPr>
      <w:b/>
      <w:bCs/>
      <w:smallCaps/>
      <w:spacing w:val="7"/>
    </w:rPr>
  </w:style>
  <w:style w:type="paragraph" w:styleId="TOCHeading">
    <w:name w:val="TOC Heading"/>
    <w:basedOn w:val="Heading1"/>
    <w:next w:val="Normal"/>
    <w:uiPriority w:val="39"/>
    <w:semiHidden/>
    <w:unhideWhenUsed/>
    <w:qFormat/>
    <w:rsid w:val="007273AA"/>
    <w:pPr>
      <w:outlineLvl w:val="9"/>
    </w:pPr>
  </w:style>
  <w:style w:type="character" w:styleId="UnresolvedMention">
    <w:name w:val="Unresolved Mention"/>
    <w:basedOn w:val="DefaultParagraphFont"/>
    <w:uiPriority w:val="99"/>
    <w:semiHidden/>
    <w:unhideWhenUsed/>
    <w:rsid w:val="00C82228"/>
    <w:rPr>
      <w:color w:val="808080"/>
      <w:shd w:val="clear" w:color="auto" w:fill="E6E6E6"/>
    </w:rPr>
  </w:style>
  <w:style w:type="paragraph" w:styleId="TOC1">
    <w:name w:val="toc 1"/>
    <w:basedOn w:val="Normal"/>
    <w:next w:val="Normal"/>
    <w:autoRedefine/>
    <w:uiPriority w:val="39"/>
    <w:semiHidden/>
    <w:unhideWhenUsed/>
    <w:rsid w:val="00DC035A"/>
    <w:pPr>
      <w:spacing w:after="100"/>
    </w:pPr>
  </w:style>
  <w:style w:type="paragraph" w:styleId="TOC2">
    <w:name w:val="toc 2"/>
    <w:basedOn w:val="Normal"/>
    <w:next w:val="Normal"/>
    <w:autoRedefine/>
    <w:uiPriority w:val="39"/>
    <w:semiHidden/>
    <w:unhideWhenUsed/>
    <w:rsid w:val="00DC03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80184">
      <w:bodyDiv w:val="1"/>
      <w:marLeft w:val="0"/>
      <w:marRight w:val="0"/>
      <w:marTop w:val="0"/>
      <w:marBottom w:val="0"/>
      <w:divBdr>
        <w:top w:val="none" w:sz="0" w:space="0" w:color="auto"/>
        <w:left w:val="none" w:sz="0" w:space="0" w:color="auto"/>
        <w:bottom w:val="none" w:sz="0" w:space="0" w:color="auto"/>
        <w:right w:val="none" w:sz="0" w:space="0" w:color="auto"/>
      </w:divBdr>
    </w:div>
    <w:div w:id="335763670">
      <w:bodyDiv w:val="1"/>
      <w:marLeft w:val="0"/>
      <w:marRight w:val="0"/>
      <w:marTop w:val="0"/>
      <w:marBottom w:val="0"/>
      <w:divBdr>
        <w:top w:val="none" w:sz="0" w:space="0" w:color="auto"/>
        <w:left w:val="none" w:sz="0" w:space="0" w:color="auto"/>
        <w:bottom w:val="none" w:sz="0" w:space="0" w:color="auto"/>
        <w:right w:val="none" w:sz="0" w:space="0" w:color="auto"/>
      </w:divBdr>
    </w:div>
    <w:div w:id="661851658">
      <w:bodyDiv w:val="1"/>
      <w:marLeft w:val="0"/>
      <w:marRight w:val="0"/>
      <w:marTop w:val="0"/>
      <w:marBottom w:val="0"/>
      <w:divBdr>
        <w:top w:val="none" w:sz="0" w:space="0" w:color="auto"/>
        <w:left w:val="none" w:sz="0" w:space="0" w:color="auto"/>
        <w:bottom w:val="none" w:sz="0" w:space="0" w:color="auto"/>
        <w:right w:val="none" w:sz="0" w:space="0" w:color="auto"/>
      </w:divBdr>
    </w:div>
    <w:div w:id="905608646">
      <w:bodyDiv w:val="1"/>
      <w:marLeft w:val="0"/>
      <w:marRight w:val="0"/>
      <w:marTop w:val="0"/>
      <w:marBottom w:val="0"/>
      <w:divBdr>
        <w:top w:val="none" w:sz="0" w:space="0" w:color="auto"/>
        <w:left w:val="none" w:sz="0" w:space="0" w:color="auto"/>
        <w:bottom w:val="none" w:sz="0" w:space="0" w:color="auto"/>
        <w:right w:val="none" w:sz="0" w:space="0" w:color="auto"/>
      </w:divBdr>
    </w:div>
    <w:div w:id="1032077370">
      <w:bodyDiv w:val="1"/>
      <w:marLeft w:val="0"/>
      <w:marRight w:val="0"/>
      <w:marTop w:val="0"/>
      <w:marBottom w:val="0"/>
      <w:divBdr>
        <w:top w:val="none" w:sz="0" w:space="0" w:color="auto"/>
        <w:left w:val="none" w:sz="0" w:space="0" w:color="auto"/>
        <w:bottom w:val="none" w:sz="0" w:space="0" w:color="auto"/>
        <w:right w:val="none" w:sz="0" w:space="0" w:color="auto"/>
      </w:divBdr>
    </w:div>
    <w:div w:id="1465850167">
      <w:bodyDiv w:val="1"/>
      <w:marLeft w:val="0"/>
      <w:marRight w:val="0"/>
      <w:marTop w:val="0"/>
      <w:marBottom w:val="0"/>
      <w:divBdr>
        <w:top w:val="none" w:sz="0" w:space="0" w:color="auto"/>
        <w:left w:val="none" w:sz="0" w:space="0" w:color="auto"/>
        <w:bottom w:val="none" w:sz="0" w:space="0" w:color="auto"/>
        <w:right w:val="none" w:sz="0" w:space="0" w:color="auto"/>
      </w:divBdr>
    </w:div>
    <w:div w:id="1471171927">
      <w:bodyDiv w:val="1"/>
      <w:marLeft w:val="0"/>
      <w:marRight w:val="0"/>
      <w:marTop w:val="0"/>
      <w:marBottom w:val="0"/>
      <w:divBdr>
        <w:top w:val="none" w:sz="0" w:space="0" w:color="auto"/>
        <w:left w:val="none" w:sz="0" w:space="0" w:color="auto"/>
        <w:bottom w:val="none" w:sz="0" w:space="0" w:color="auto"/>
        <w:right w:val="none" w:sz="0" w:space="0" w:color="auto"/>
      </w:divBdr>
    </w:div>
    <w:div w:id="1642271051">
      <w:bodyDiv w:val="1"/>
      <w:marLeft w:val="0"/>
      <w:marRight w:val="0"/>
      <w:marTop w:val="0"/>
      <w:marBottom w:val="0"/>
      <w:divBdr>
        <w:top w:val="none" w:sz="0" w:space="0" w:color="auto"/>
        <w:left w:val="none" w:sz="0" w:space="0" w:color="auto"/>
        <w:bottom w:val="none" w:sz="0" w:space="0" w:color="auto"/>
        <w:right w:val="none" w:sz="0" w:space="0" w:color="auto"/>
      </w:divBdr>
    </w:div>
    <w:div w:id="1842771431">
      <w:bodyDiv w:val="1"/>
      <w:marLeft w:val="0"/>
      <w:marRight w:val="0"/>
      <w:marTop w:val="0"/>
      <w:marBottom w:val="0"/>
      <w:divBdr>
        <w:top w:val="none" w:sz="0" w:space="0" w:color="auto"/>
        <w:left w:val="none" w:sz="0" w:space="0" w:color="auto"/>
        <w:bottom w:val="none" w:sz="0" w:space="0" w:color="auto"/>
        <w:right w:val="none" w:sz="0" w:space="0" w:color="auto"/>
      </w:divBdr>
    </w:div>
    <w:div w:id="1881431777">
      <w:bodyDiv w:val="1"/>
      <w:marLeft w:val="0"/>
      <w:marRight w:val="0"/>
      <w:marTop w:val="0"/>
      <w:marBottom w:val="0"/>
      <w:divBdr>
        <w:top w:val="none" w:sz="0" w:space="0" w:color="auto"/>
        <w:left w:val="none" w:sz="0" w:space="0" w:color="auto"/>
        <w:bottom w:val="none" w:sz="0" w:space="0" w:color="auto"/>
        <w:right w:val="none" w:sz="0" w:space="0" w:color="auto"/>
      </w:divBdr>
    </w:div>
    <w:div w:id="201583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iltonfoodgroupplc.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pc-group.com/" TargetMode="External"/><Relationship Id="rId5" Type="http://schemas.openxmlformats.org/officeDocument/2006/relationships/footnotes" Target="footnotes.xml"/><Relationship Id="rId10" Type="http://schemas.openxmlformats.org/officeDocument/2006/relationships/hyperlink" Target="http://hiltonfoodgroupplc.com/investors/financial-performance" TargetMode="External"/><Relationship Id="rId4" Type="http://schemas.openxmlformats.org/officeDocument/2006/relationships/webSettings" Target="webSettings.xml"/><Relationship Id="rId9" Type="http://schemas.openxmlformats.org/officeDocument/2006/relationships/hyperlink" Target="http://hiltonfoodgroupplc.com/index.php/about-us/hist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11</Pages>
  <Words>3757</Words>
  <Characters>21419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nimisha rana</dc:creator>
  <cp:keywords/>
  <dc:description/>
  <cp:lastModifiedBy>nimisha rana</cp:lastModifiedBy>
  <cp:revision>69</cp:revision>
  <dcterms:created xsi:type="dcterms:W3CDTF">2018-01-08T23:46:00Z</dcterms:created>
  <dcterms:modified xsi:type="dcterms:W3CDTF">2018-01-09T14:33:00Z</dcterms:modified>
</cp:coreProperties>
</file>