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7DB0AE" w14:textId="77777777" w:rsidR="003F4D6B" w:rsidRDefault="003F4D6B">
      <w:pPr>
        <w:spacing w:after="2000"/>
        <w:jc w:val="center"/>
        <w:rPr>
          <w:rFonts w:ascii="Arial" w:hAnsi="Arial" w:cs="Arial"/>
        </w:rPr>
      </w:pPr>
    </w:p>
    <w:p w14:paraId="047DB0AF" w14:textId="77777777" w:rsidR="003F4D6B" w:rsidRDefault="00E56CAB">
      <w:pPr>
        <w:spacing w:after="400"/>
        <w:jc w:val="center"/>
        <w:rPr>
          <w:rFonts w:ascii="Arial" w:hAnsi="Arial" w:cs="Arial"/>
        </w:rPr>
      </w:pPr>
      <w:r>
        <w:rPr>
          <w:rFonts w:ascii="Arial" w:eastAsia="Arial" w:hAnsi="Arial" w:cs="Arial"/>
          <w:b/>
          <w:bCs/>
          <w:sz w:val="36"/>
          <w:szCs w:val="36"/>
        </w:rPr>
        <w:t>Mindfulness and Emotional Intelligence in Contemporary Organisations</w:t>
      </w:r>
    </w:p>
    <w:p w14:paraId="047DB0B0" w14:textId="77777777" w:rsidR="003F4D6B" w:rsidRDefault="003F4D6B">
      <w:pPr>
        <w:spacing w:after="2000"/>
        <w:jc w:val="center"/>
        <w:rPr>
          <w:rFonts w:ascii="Arial" w:hAnsi="Arial" w:cs="Arial"/>
        </w:rPr>
      </w:pPr>
    </w:p>
    <w:p w14:paraId="047DB0B1" w14:textId="77777777" w:rsidR="003F4D6B" w:rsidRDefault="00E56CAB">
      <w:pPr>
        <w:spacing w:after="160"/>
        <w:jc w:val="center"/>
        <w:rPr>
          <w:rFonts w:ascii="Arial" w:hAnsi="Arial" w:cs="Arial"/>
        </w:rPr>
      </w:pPr>
      <w:r>
        <w:rPr>
          <w:rFonts w:ascii="Arial" w:eastAsia="Arial" w:hAnsi="Arial" w:cs="Arial"/>
          <w:sz w:val="22"/>
        </w:rPr>
        <w:t>Student Name: Muhammad Asif</w:t>
      </w:r>
    </w:p>
    <w:p w14:paraId="047DB0B2" w14:textId="77777777" w:rsidR="003F4D6B" w:rsidRDefault="00E56CAB">
      <w:pPr>
        <w:spacing w:after="160"/>
        <w:jc w:val="center"/>
        <w:rPr>
          <w:rFonts w:ascii="Arial" w:hAnsi="Arial" w:cs="Arial"/>
        </w:rPr>
      </w:pPr>
      <w:r>
        <w:rPr>
          <w:rFonts w:ascii="Arial" w:eastAsia="Arial" w:hAnsi="Arial" w:cs="Arial"/>
          <w:sz w:val="22"/>
        </w:rPr>
        <w:t>Student Number: 2414997</w:t>
      </w:r>
    </w:p>
    <w:p w14:paraId="047DB0B3" w14:textId="77777777" w:rsidR="003F4D6B" w:rsidRDefault="00E56CAB">
      <w:pPr>
        <w:spacing w:after="160"/>
        <w:jc w:val="center"/>
        <w:rPr>
          <w:rFonts w:ascii="Arial" w:hAnsi="Arial" w:cs="Arial"/>
        </w:rPr>
      </w:pPr>
      <w:r>
        <w:rPr>
          <w:rFonts w:ascii="Arial" w:eastAsia="Arial" w:hAnsi="Arial" w:cs="Arial"/>
          <w:sz w:val="22"/>
        </w:rPr>
        <w:t>Programme: BA (Hons) Leadership and Management Skills for the Workplace</w:t>
      </w:r>
    </w:p>
    <w:p w14:paraId="047DB0B4" w14:textId="77777777" w:rsidR="003F4D6B" w:rsidRDefault="00E56CAB">
      <w:pPr>
        <w:spacing w:after="160"/>
        <w:jc w:val="center"/>
        <w:rPr>
          <w:rFonts w:ascii="Arial" w:hAnsi="Arial" w:cs="Arial"/>
        </w:rPr>
      </w:pPr>
      <w:r>
        <w:rPr>
          <w:rFonts w:ascii="Arial" w:eastAsia="Arial" w:hAnsi="Arial" w:cs="Arial"/>
          <w:sz w:val="22"/>
        </w:rPr>
        <w:t>Module Code and Title: LCLM5006 – Developing Emotional Intelligence Skills</w:t>
      </w:r>
    </w:p>
    <w:p w14:paraId="047DB0B5" w14:textId="77777777" w:rsidR="003F4D6B" w:rsidRDefault="00E56CAB">
      <w:pPr>
        <w:spacing w:after="160"/>
        <w:jc w:val="center"/>
        <w:rPr>
          <w:rFonts w:ascii="Arial" w:hAnsi="Arial" w:cs="Arial"/>
        </w:rPr>
      </w:pPr>
      <w:r>
        <w:rPr>
          <w:rFonts w:ascii="Arial" w:eastAsia="Arial" w:hAnsi="Arial" w:cs="Arial"/>
          <w:sz w:val="22"/>
        </w:rPr>
        <w:t xml:space="preserve">Lecturers: Taonga Kaonga </w:t>
      </w:r>
      <w:proofErr w:type="spellStart"/>
      <w:r>
        <w:rPr>
          <w:rFonts w:ascii="Arial" w:eastAsia="Arial" w:hAnsi="Arial" w:cs="Arial"/>
          <w:sz w:val="22"/>
        </w:rPr>
        <w:t>Sobere-Snithers</w:t>
      </w:r>
      <w:proofErr w:type="spellEnd"/>
    </w:p>
    <w:p w14:paraId="047DB0B6" w14:textId="77777777" w:rsidR="003F4D6B" w:rsidRDefault="00E56CAB">
      <w:pPr>
        <w:spacing w:after="160"/>
        <w:jc w:val="center"/>
        <w:rPr>
          <w:rFonts w:ascii="Arial" w:hAnsi="Arial" w:cs="Arial"/>
        </w:rPr>
      </w:pPr>
      <w:r>
        <w:rPr>
          <w:rFonts w:ascii="Arial" w:eastAsia="Arial" w:hAnsi="Arial" w:cs="Arial"/>
          <w:sz w:val="22"/>
        </w:rPr>
        <w:t>Assignment Title: Component 2 – Individual Written Report</w:t>
      </w:r>
    </w:p>
    <w:p w14:paraId="047DB0B7" w14:textId="77777777" w:rsidR="003F4D6B" w:rsidRDefault="00E56CAB">
      <w:pPr>
        <w:spacing w:after="160"/>
        <w:jc w:val="center"/>
        <w:rPr>
          <w:rFonts w:ascii="Arial" w:hAnsi="Arial" w:cs="Arial"/>
        </w:rPr>
      </w:pPr>
      <w:r>
        <w:rPr>
          <w:rFonts w:ascii="Arial" w:eastAsia="Arial" w:hAnsi="Arial" w:cs="Arial"/>
          <w:sz w:val="22"/>
        </w:rPr>
        <w:t>Word Count: 3000 (±10%)</w:t>
      </w:r>
    </w:p>
    <w:p w14:paraId="047DB0B8" w14:textId="77777777" w:rsidR="003F4D6B" w:rsidRDefault="003F4D6B">
      <w:pPr>
        <w:jc w:val="center"/>
        <w:rPr>
          <w:rFonts w:ascii="Arial" w:hAnsi="Arial" w:cs="Arial"/>
        </w:rPr>
      </w:pPr>
    </w:p>
    <w:p w14:paraId="047DB0B9" w14:textId="77777777" w:rsidR="003F4D6B" w:rsidRDefault="003F4D6B">
      <w:pPr>
        <w:jc w:val="center"/>
        <w:rPr>
          <w:rFonts w:ascii="Arial" w:hAnsi="Arial" w:cs="Arial"/>
        </w:rPr>
      </w:pPr>
    </w:p>
    <w:p w14:paraId="047DB0BA" w14:textId="77777777" w:rsidR="003F4D6B" w:rsidRDefault="003F4D6B">
      <w:pPr>
        <w:jc w:val="center"/>
        <w:rPr>
          <w:rFonts w:ascii="Arial" w:hAnsi="Arial" w:cs="Arial"/>
        </w:rPr>
      </w:pPr>
    </w:p>
    <w:p w14:paraId="047DB0BB" w14:textId="77777777" w:rsidR="003F4D6B" w:rsidRDefault="003F4D6B">
      <w:pPr>
        <w:jc w:val="center"/>
        <w:rPr>
          <w:rFonts w:ascii="Arial" w:hAnsi="Arial" w:cs="Arial"/>
        </w:rPr>
      </w:pPr>
    </w:p>
    <w:p w14:paraId="047DB0BC" w14:textId="77777777" w:rsidR="003F4D6B" w:rsidRDefault="003F4D6B">
      <w:pPr>
        <w:jc w:val="center"/>
        <w:rPr>
          <w:rFonts w:ascii="Arial" w:hAnsi="Arial" w:cs="Arial"/>
        </w:rPr>
      </w:pPr>
    </w:p>
    <w:p w14:paraId="047DB0BD" w14:textId="77777777" w:rsidR="003F4D6B" w:rsidRDefault="003F4D6B">
      <w:pPr>
        <w:jc w:val="center"/>
        <w:rPr>
          <w:rFonts w:ascii="Arial" w:hAnsi="Arial" w:cs="Arial"/>
        </w:rPr>
      </w:pPr>
    </w:p>
    <w:p w14:paraId="047DB0BE" w14:textId="77777777" w:rsidR="003F4D6B" w:rsidRDefault="003F4D6B">
      <w:pPr>
        <w:jc w:val="center"/>
        <w:rPr>
          <w:rFonts w:ascii="Arial" w:hAnsi="Arial" w:cs="Arial"/>
        </w:rPr>
      </w:pPr>
    </w:p>
    <w:p w14:paraId="047DB0BF" w14:textId="77777777" w:rsidR="003F4D6B" w:rsidRDefault="003F4D6B">
      <w:pPr>
        <w:jc w:val="center"/>
        <w:rPr>
          <w:rFonts w:ascii="Arial" w:hAnsi="Arial" w:cs="Arial"/>
        </w:rPr>
      </w:pPr>
    </w:p>
    <w:p w14:paraId="047DB0C0" w14:textId="77777777" w:rsidR="003F4D6B" w:rsidRDefault="003F4D6B">
      <w:pPr>
        <w:jc w:val="center"/>
        <w:rPr>
          <w:rFonts w:ascii="Arial" w:hAnsi="Arial" w:cs="Arial"/>
        </w:rPr>
      </w:pPr>
    </w:p>
    <w:p w14:paraId="047DB0C1" w14:textId="77777777" w:rsidR="003F4D6B" w:rsidRDefault="003F4D6B">
      <w:pPr>
        <w:jc w:val="center"/>
        <w:rPr>
          <w:rFonts w:ascii="Arial" w:hAnsi="Arial" w:cs="Arial"/>
        </w:rPr>
      </w:pPr>
    </w:p>
    <w:p w14:paraId="047DB0C2" w14:textId="77777777" w:rsidR="003F4D6B" w:rsidRDefault="003F4D6B">
      <w:pPr>
        <w:jc w:val="center"/>
        <w:rPr>
          <w:rFonts w:ascii="Arial" w:hAnsi="Arial" w:cs="Arial"/>
        </w:rPr>
      </w:pPr>
    </w:p>
    <w:p w14:paraId="047DB0C3" w14:textId="77777777" w:rsidR="003F4D6B" w:rsidRDefault="003F4D6B">
      <w:pPr>
        <w:jc w:val="center"/>
        <w:rPr>
          <w:rFonts w:ascii="Arial" w:hAnsi="Arial" w:cs="Arial"/>
        </w:rPr>
      </w:pPr>
    </w:p>
    <w:p w14:paraId="047DB0C4" w14:textId="77777777" w:rsidR="003F4D6B" w:rsidRDefault="003F4D6B">
      <w:pPr>
        <w:jc w:val="center"/>
        <w:rPr>
          <w:rFonts w:ascii="Arial" w:hAnsi="Arial" w:cs="Arial"/>
        </w:rPr>
      </w:pPr>
    </w:p>
    <w:p w14:paraId="047DB0C5" w14:textId="77777777" w:rsidR="003F4D6B" w:rsidRDefault="003F4D6B">
      <w:pPr>
        <w:jc w:val="center"/>
        <w:rPr>
          <w:rFonts w:ascii="Arial" w:hAnsi="Arial" w:cs="Arial"/>
        </w:rPr>
      </w:pPr>
    </w:p>
    <w:p w14:paraId="047DB0C6" w14:textId="77777777" w:rsidR="003F4D6B" w:rsidRDefault="003F4D6B">
      <w:pPr>
        <w:jc w:val="center"/>
        <w:rPr>
          <w:rFonts w:ascii="Arial" w:hAnsi="Arial" w:cs="Arial"/>
        </w:rPr>
      </w:pPr>
    </w:p>
    <w:p w14:paraId="047DB0C7" w14:textId="77777777" w:rsidR="003F4D6B" w:rsidRDefault="003F4D6B">
      <w:pPr>
        <w:jc w:val="center"/>
        <w:rPr>
          <w:rFonts w:ascii="Arial" w:hAnsi="Arial" w:cs="Arial"/>
        </w:rPr>
      </w:pPr>
    </w:p>
    <w:p w14:paraId="047DB0C8" w14:textId="77777777" w:rsidR="003F4D6B" w:rsidRDefault="003F4D6B">
      <w:pPr>
        <w:jc w:val="center"/>
        <w:rPr>
          <w:rFonts w:ascii="Arial" w:hAnsi="Arial" w:cs="Arial"/>
        </w:rPr>
      </w:pPr>
    </w:p>
    <w:p w14:paraId="047DB0C9" w14:textId="77777777" w:rsidR="003F4D6B" w:rsidRDefault="003F4D6B">
      <w:pPr>
        <w:jc w:val="center"/>
        <w:rPr>
          <w:rFonts w:ascii="Arial" w:hAnsi="Arial" w:cs="Arial"/>
        </w:rPr>
      </w:pPr>
    </w:p>
    <w:p w14:paraId="047DB0CA" w14:textId="77777777" w:rsidR="003F4D6B" w:rsidRDefault="003F4D6B">
      <w:pPr>
        <w:jc w:val="center"/>
        <w:rPr>
          <w:rFonts w:ascii="Arial" w:hAnsi="Arial" w:cs="Arial"/>
        </w:rPr>
      </w:pPr>
    </w:p>
    <w:p w14:paraId="047DB0CB" w14:textId="77777777" w:rsidR="003F4D6B" w:rsidRDefault="003F4D6B">
      <w:pPr>
        <w:jc w:val="center"/>
        <w:rPr>
          <w:rFonts w:ascii="Arial" w:hAnsi="Arial" w:cs="Arial"/>
        </w:rPr>
      </w:pPr>
    </w:p>
    <w:p w14:paraId="047DB0CC" w14:textId="77777777" w:rsidR="003F4D6B" w:rsidRDefault="003F4D6B">
      <w:pPr>
        <w:jc w:val="center"/>
        <w:rPr>
          <w:rFonts w:ascii="Arial" w:hAnsi="Arial" w:cs="Arial"/>
        </w:rPr>
      </w:pPr>
    </w:p>
    <w:p w14:paraId="047DB0CD" w14:textId="77777777" w:rsidR="003F4D6B" w:rsidRDefault="003F4D6B">
      <w:pPr>
        <w:jc w:val="center"/>
        <w:rPr>
          <w:rFonts w:ascii="Arial" w:hAnsi="Arial" w:cs="Arial"/>
        </w:rPr>
      </w:pPr>
    </w:p>
    <w:p w14:paraId="047DB0CE" w14:textId="77777777" w:rsidR="003F4D6B" w:rsidRDefault="00E56CAB">
      <w:pPr>
        <w:jc w:val="center"/>
        <w:rPr>
          <w:rFonts w:ascii="Arial" w:hAnsi="Arial" w:cs="Arial"/>
          <w:b/>
          <w:bCs/>
          <w:sz w:val="22"/>
          <w:lang w:val="en-US"/>
        </w:rPr>
      </w:pPr>
      <w:r>
        <w:rPr>
          <w:rFonts w:ascii="Arial" w:hAnsi="Arial" w:cs="Arial"/>
          <w:b/>
          <w:bCs/>
          <w:sz w:val="22"/>
          <w:lang w:val="en-US"/>
        </w:rPr>
        <w:lastRenderedPageBreak/>
        <w:t>Table of Contents</w:t>
      </w:r>
    </w:p>
    <w:p w14:paraId="047DB0CF" w14:textId="77777777" w:rsidR="003F4D6B" w:rsidRDefault="003F4D6B">
      <w:pPr>
        <w:jc w:val="center"/>
        <w:rPr>
          <w:rFonts w:ascii="Arial" w:hAnsi="Arial" w:cs="Arial"/>
          <w:sz w:val="22"/>
        </w:rPr>
      </w:pPr>
    </w:p>
    <w:p w14:paraId="047DB0D0" w14:textId="77777777" w:rsidR="003F4D6B" w:rsidRDefault="00E56CAB">
      <w:pPr>
        <w:pStyle w:val="TOC1"/>
        <w:tabs>
          <w:tab w:val="right" w:leader="dot" w:pos="9026"/>
        </w:tabs>
        <w:rPr>
          <w:rFonts w:ascii="Arial" w:hAnsi="Arial" w:cs="Arial"/>
          <w:sz w:val="22"/>
        </w:rPr>
      </w:pPr>
      <w:r>
        <w:rPr>
          <w:rFonts w:ascii="Arial" w:hAnsi="Arial" w:cs="Arial"/>
          <w:sz w:val="22"/>
        </w:rPr>
        <w:fldChar w:fldCharType="begin"/>
      </w:r>
      <w:r>
        <w:rPr>
          <w:rFonts w:ascii="Arial" w:hAnsi="Arial" w:cs="Arial"/>
          <w:sz w:val="22"/>
        </w:rPr>
        <w:instrText xml:space="preserve">TOC \o "1-3" \h \u </w:instrText>
      </w:r>
      <w:r>
        <w:rPr>
          <w:rFonts w:ascii="Arial" w:hAnsi="Arial" w:cs="Arial"/>
          <w:sz w:val="22"/>
        </w:rPr>
        <w:fldChar w:fldCharType="separate"/>
      </w:r>
      <w:hyperlink w:anchor="_Toc11436" w:history="1">
        <w:r>
          <w:rPr>
            <w:rFonts w:ascii="Arial" w:eastAsia="Arial" w:hAnsi="Arial" w:cs="Arial"/>
            <w:bCs/>
            <w:sz w:val="22"/>
          </w:rPr>
          <w:t>Introduction</w:t>
        </w:r>
        <w:r>
          <w:rPr>
            <w:rFonts w:ascii="Arial" w:hAnsi="Arial" w:cs="Arial"/>
            <w:sz w:val="22"/>
          </w:rPr>
          <w:tab/>
        </w:r>
        <w:r>
          <w:rPr>
            <w:rFonts w:ascii="Arial" w:hAnsi="Arial" w:cs="Arial"/>
            <w:sz w:val="22"/>
          </w:rPr>
          <w:fldChar w:fldCharType="begin"/>
        </w:r>
        <w:r>
          <w:rPr>
            <w:rFonts w:ascii="Arial" w:hAnsi="Arial" w:cs="Arial"/>
            <w:sz w:val="22"/>
          </w:rPr>
          <w:instrText xml:space="preserve"> PAGEREF _Toc11436 \h </w:instrText>
        </w:r>
        <w:r>
          <w:rPr>
            <w:rFonts w:ascii="Arial" w:hAnsi="Arial" w:cs="Arial"/>
            <w:sz w:val="22"/>
          </w:rPr>
        </w:r>
        <w:r>
          <w:rPr>
            <w:rFonts w:ascii="Arial" w:hAnsi="Arial" w:cs="Arial"/>
            <w:sz w:val="22"/>
          </w:rPr>
          <w:fldChar w:fldCharType="separate"/>
        </w:r>
        <w:r>
          <w:rPr>
            <w:rFonts w:ascii="Arial" w:hAnsi="Arial" w:cs="Arial"/>
            <w:sz w:val="22"/>
          </w:rPr>
          <w:t>3</w:t>
        </w:r>
        <w:r>
          <w:rPr>
            <w:rFonts w:ascii="Arial" w:hAnsi="Arial" w:cs="Arial"/>
            <w:sz w:val="22"/>
          </w:rPr>
          <w:fldChar w:fldCharType="end"/>
        </w:r>
      </w:hyperlink>
    </w:p>
    <w:p w14:paraId="047DB0D1" w14:textId="77777777" w:rsidR="003F4D6B" w:rsidRDefault="00E56CAB">
      <w:pPr>
        <w:pStyle w:val="TOC1"/>
        <w:tabs>
          <w:tab w:val="right" w:leader="dot" w:pos="9026"/>
        </w:tabs>
        <w:rPr>
          <w:rFonts w:ascii="Arial" w:hAnsi="Arial" w:cs="Arial"/>
          <w:sz w:val="22"/>
        </w:rPr>
      </w:pPr>
      <w:hyperlink w:anchor="_Toc19150" w:history="1">
        <w:r>
          <w:rPr>
            <w:rFonts w:ascii="Arial" w:eastAsia="Arial" w:hAnsi="Arial" w:cs="Arial"/>
            <w:bCs/>
            <w:sz w:val="22"/>
          </w:rPr>
          <w:t>Task 1: Emotional Intelligence in the Workplace</w:t>
        </w:r>
        <w:r>
          <w:rPr>
            <w:rFonts w:ascii="Arial" w:hAnsi="Arial" w:cs="Arial"/>
            <w:sz w:val="22"/>
          </w:rPr>
          <w:tab/>
        </w:r>
        <w:r>
          <w:rPr>
            <w:rFonts w:ascii="Arial" w:hAnsi="Arial" w:cs="Arial"/>
            <w:sz w:val="22"/>
          </w:rPr>
          <w:fldChar w:fldCharType="begin"/>
        </w:r>
        <w:r>
          <w:rPr>
            <w:rFonts w:ascii="Arial" w:hAnsi="Arial" w:cs="Arial"/>
            <w:sz w:val="22"/>
          </w:rPr>
          <w:instrText xml:space="preserve"> PAGEREF _Toc19150 \h </w:instrText>
        </w:r>
        <w:r>
          <w:rPr>
            <w:rFonts w:ascii="Arial" w:hAnsi="Arial" w:cs="Arial"/>
            <w:sz w:val="22"/>
          </w:rPr>
        </w:r>
        <w:r>
          <w:rPr>
            <w:rFonts w:ascii="Arial" w:hAnsi="Arial" w:cs="Arial"/>
            <w:sz w:val="22"/>
          </w:rPr>
          <w:fldChar w:fldCharType="separate"/>
        </w:r>
        <w:r>
          <w:rPr>
            <w:rFonts w:ascii="Arial" w:hAnsi="Arial" w:cs="Arial"/>
            <w:sz w:val="22"/>
          </w:rPr>
          <w:t>3</w:t>
        </w:r>
        <w:r>
          <w:rPr>
            <w:rFonts w:ascii="Arial" w:hAnsi="Arial" w:cs="Arial"/>
            <w:sz w:val="22"/>
          </w:rPr>
          <w:fldChar w:fldCharType="end"/>
        </w:r>
      </w:hyperlink>
    </w:p>
    <w:p w14:paraId="047DB0D2" w14:textId="77777777" w:rsidR="003F4D6B" w:rsidRDefault="00E56CAB">
      <w:pPr>
        <w:pStyle w:val="TOC2"/>
        <w:tabs>
          <w:tab w:val="right" w:leader="dot" w:pos="9026"/>
        </w:tabs>
        <w:rPr>
          <w:rFonts w:ascii="Arial" w:hAnsi="Arial" w:cs="Arial"/>
          <w:sz w:val="22"/>
        </w:rPr>
      </w:pPr>
      <w:hyperlink w:anchor="_Toc3720" w:history="1">
        <w:r>
          <w:rPr>
            <w:rFonts w:ascii="Arial" w:eastAsia="Arial" w:hAnsi="Arial" w:cs="Arial"/>
            <w:bCs/>
            <w:sz w:val="22"/>
          </w:rPr>
          <w:t>1.1 Conceptualising Emotional Intelligence</w:t>
        </w:r>
        <w:r>
          <w:rPr>
            <w:rFonts w:ascii="Arial" w:hAnsi="Arial" w:cs="Arial"/>
            <w:sz w:val="22"/>
          </w:rPr>
          <w:tab/>
        </w:r>
        <w:r>
          <w:rPr>
            <w:rFonts w:ascii="Arial" w:hAnsi="Arial" w:cs="Arial"/>
            <w:sz w:val="22"/>
          </w:rPr>
          <w:fldChar w:fldCharType="begin"/>
        </w:r>
        <w:r>
          <w:rPr>
            <w:rFonts w:ascii="Arial" w:hAnsi="Arial" w:cs="Arial"/>
            <w:sz w:val="22"/>
          </w:rPr>
          <w:instrText xml:space="preserve"> PAGEREF _Toc3720 \h </w:instrText>
        </w:r>
        <w:r>
          <w:rPr>
            <w:rFonts w:ascii="Arial" w:hAnsi="Arial" w:cs="Arial"/>
            <w:sz w:val="22"/>
          </w:rPr>
        </w:r>
        <w:r>
          <w:rPr>
            <w:rFonts w:ascii="Arial" w:hAnsi="Arial" w:cs="Arial"/>
            <w:sz w:val="22"/>
          </w:rPr>
          <w:fldChar w:fldCharType="separate"/>
        </w:r>
        <w:r>
          <w:rPr>
            <w:rFonts w:ascii="Arial" w:hAnsi="Arial" w:cs="Arial"/>
            <w:sz w:val="22"/>
          </w:rPr>
          <w:t>3</w:t>
        </w:r>
        <w:r>
          <w:rPr>
            <w:rFonts w:ascii="Arial" w:hAnsi="Arial" w:cs="Arial"/>
            <w:sz w:val="22"/>
          </w:rPr>
          <w:fldChar w:fldCharType="end"/>
        </w:r>
      </w:hyperlink>
    </w:p>
    <w:p w14:paraId="047DB0D3" w14:textId="77777777" w:rsidR="003F4D6B" w:rsidRDefault="00E56CAB">
      <w:pPr>
        <w:pStyle w:val="TOC2"/>
        <w:tabs>
          <w:tab w:val="right" w:leader="dot" w:pos="9026"/>
        </w:tabs>
        <w:rPr>
          <w:rFonts w:ascii="Arial" w:hAnsi="Arial" w:cs="Arial"/>
          <w:sz w:val="22"/>
        </w:rPr>
      </w:pPr>
      <w:hyperlink w:anchor="_Toc18858" w:history="1">
        <w:r>
          <w:rPr>
            <w:rFonts w:ascii="Arial" w:eastAsia="Arial" w:hAnsi="Arial" w:cs="Arial"/>
            <w:bCs/>
            <w:sz w:val="22"/>
          </w:rPr>
          <w:t>1.2 Self-Awareness and Self-Regulation</w:t>
        </w:r>
        <w:r>
          <w:rPr>
            <w:rFonts w:ascii="Arial" w:hAnsi="Arial" w:cs="Arial"/>
            <w:sz w:val="22"/>
          </w:rPr>
          <w:tab/>
        </w:r>
        <w:r>
          <w:rPr>
            <w:rFonts w:ascii="Arial" w:hAnsi="Arial" w:cs="Arial"/>
            <w:sz w:val="22"/>
          </w:rPr>
          <w:fldChar w:fldCharType="begin"/>
        </w:r>
        <w:r>
          <w:rPr>
            <w:rFonts w:ascii="Arial" w:hAnsi="Arial" w:cs="Arial"/>
            <w:sz w:val="22"/>
          </w:rPr>
          <w:instrText xml:space="preserve"> PAGEREF _Toc18858 \h </w:instrText>
        </w:r>
        <w:r>
          <w:rPr>
            <w:rFonts w:ascii="Arial" w:hAnsi="Arial" w:cs="Arial"/>
            <w:sz w:val="22"/>
          </w:rPr>
        </w:r>
        <w:r>
          <w:rPr>
            <w:rFonts w:ascii="Arial" w:hAnsi="Arial" w:cs="Arial"/>
            <w:sz w:val="22"/>
          </w:rPr>
          <w:fldChar w:fldCharType="separate"/>
        </w:r>
        <w:r>
          <w:rPr>
            <w:rFonts w:ascii="Arial" w:hAnsi="Arial" w:cs="Arial"/>
            <w:sz w:val="22"/>
          </w:rPr>
          <w:t>4</w:t>
        </w:r>
        <w:r>
          <w:rPr>
            <w:rFonts w:ascii="Arial" w:hAnsi="Arial" w:cs="Arial"/>
            <w:sz w:val="22"/>
          </w:rPr>
          <w:fldChar w:fldCharType="end"/>
        </w:r>
      </w:hyperlink>
    </w:p>
    <w:p w14:paraId="047DB0D4" w14:textId="77777777" w:rsidR="003F4D6B" w:rsidRDefault="00E56CAB">
      <w:pPr>
        <w:pStyle w:val="TOC2"/>
        <w:tabs>
          <w:tab w:val="right" w:leader="dot" w:pos="9026"/>
        </w:tabs>
        <w:rPr>
          <w:rFonts w:ascii="Arial" w:hAnsi="Arial" w:cs="Arial"/>
          <w:sz w:val="22"/>
        </w:rPr>
      </w:pPr>
      <w:hyperlink w:anchor="_Toc9030" w:history="1">
        <w:r>
          <w:rPr>
            <w:rFonts w:ascii="Arial" w:eastAsia="Arial" w:hAnsi="Arial" w:cs="Arial"/>
            <w:bCs/>
            <w:sz w:val="22"/>
          </w:rPr>
          <w:t>1.3 Motivation, Empathy, and Social Skills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_Toc9030 \h </w:instrText>
        </w:r>
        <w:r>
          <w:rPr>
            <w:rFonts w:ascii="Arial" w:hAnsi="Arial" w:cs="Arial"/>
            <w:sz w:val="22"/>
          </w:rPr>
        </w:r>
        <w:r>
          <w:rPr>
            <w:rFonts w:ascii="Arial" w:hAnsi="Arial" w:cs="Arial"/>
            <w:sz w:val="22"/>
          </w:rPr>
          <w:fldChar w:fldCharType="separate"/>
        </w:r>
        <w:r>
          <w:rPr>
            <w:rFonts w:ascii="Arial" w:hAnsi="Arial" w:cs="Arial"/>
            <w:sz w:val="22"/>
          </w:rPr>
          <w:t>4</w:t>
        </w:r>
        <w:r>
          <w:rPr>
            <w:rFonts w:ascii="Arial" w:hAnsi="Arial" w:cs="Arial"/>
            <w:sz w:val="22"/>
          </w:rPr>
          <w:fldChar w:fldCharType="end"/>
        </w:r>
      </w:hyperlink>
    </w:p>
    <w:p w14:paraId="047DB0D5" w14:textId="77777777" w:rsidR="003F4D6B" w:rsidRDefault="00E56CAB">
      <w:pPr>
        <w:pStyle w:val="TOC2"/>
        <w:tabs>
          <w:tab w:val="right" w:leader="dot" w:pos="9026"/>
        </w:tabs>
        <w:rPr>
          <w:rFonts w:ascii="Arial" w:hAnsi="Arial" w:cs="Arial"/>
          <w:sz w:val="22"/>
        </w:rPr>
      </w:pPr>
      <w:hyperlink w:anchor="_Toc23446" w:history="1">
        <w:r>
          <w:rPr>
            <w:rFonts w:ascii="Arial" w:eastAsia="Arial" w:hAnsi="Arial" w:cs="Arial"/>
            <w:bCs/>
            <w:sz w:val="22"/>
          </w:rPr>
          <w:t>1.4 Emotional Intelligence and Communication</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_Toc23446 \h </w:instrText>
        </w:r>
        <w:r>
          <w:rPr>
            <w:rFonts w:ascii="Arial" w:hAnsi="Arial" w:cs="Arial"/>
            <w:sz w:val="22"/>
          </w:rPr>
        </w:r>
        <w:r>
          <w:rPr>
            <w:rFonts w:ascii="Arial" w:hAnsi="Arial" w:cs="Arial"/>
            <w:sz w:val="22"/>
          </w:rPr>
          <w:fldChar w:fldCharType="separate"/>
        </w:r>
        <w:r>
          <w:rPr>
            <w:rFonts w:ascii="Arial" w:hAnsi="Arial" w:cs="Arial"/>
            <w:sz w:val="22"/>
          </w:rPr>
          <w:t>5</w:t>
        </w:r>
        <w:r>
          <w:rPr>
            <w:rFonts w:ascii="Arial" w:hAnsi="Arial" w:cs="Arial"/>
            <w:sz w:val="22"/>
          </w:rPr>
          <w:fldChar w:fldCharType="end"/>
        </w:r>
      </w:hyperlink>
    </w:p>
    <w:p w14:paraId="047DB0D6" w14:textId="77777777" w:rsidR="003F4D6B" w:rsidRDefault="00E56CAB">
      <w:pPr>
        <w:pStyle w:val="TOC2"/>
        <w:tabs>
          <w:tab w:val="right" w:leader="dot" w:pos="9026"/>
        </w:tabs>
        <w:rPr>
          <w:rFonts w:ascii="Arial" w:hAnsi="Arial" w:cs="Arial"/>
          <w:sz w:val="22"/>
        </w:rPr>
      </w:pPr>
      <w:hyperlink w:anchor="_Toc28842" w:history="1">
        <w:r>
          <w:rPr>
            <w:rFonts w:ascii="Arial" w:eastAsia="Arial" w:hAnsi="Arial" w:cs="Arial"/>
            <w:bCs/>
            <w:sz w:val="22"/>
          </w:rPr>
          <w:t>1.5 Emotional Intelligence and Conflict Management</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_Toc28842 \h </w:instrText>
        </w:r>
        <w:r>
          <w:rPr>
            <w:rFonts w:ascii="Arial" w:hAnsi="Arial" w:cs="Arial"/>
            <w:sz w:val="22"/>
          </w:rPr>
        </w:r>
        <w:r>
          <w:rPr>
            <w:rFonts w:ascii="Arial" w:hAnsi="Arial" w:cs="Arial"/>
            <w:sz w:val="22"/>
          </w:rPr>
          <w:fldChar w:fldCharType="separate"/>
        </w:r>
        <w:r>
          <w:rPr>
            <w:rFonts w:ascii="Arial" w:hAnsi="Arial" w:cs="Arial"/>
            <w:sz w:val="22"/>
          </w:rPr>
          <w:t>6</w:t>
        </w:r>
        <w:r>
          <w:rPr>
            <w:rFonts w:ascii="Arial" w:hAnsi="Arial" w:cs="Arial"/>
            <w:sz w:val="22"/>
          </w:rPr>
          <w:fldChar w:fldCharType="end"/>
        </w:r>
      </w:hyperlink>
    </w:p>
    <w:p w14:paraId="047DB0D7" w14:textId="77777777" w:rsidR="003F4D6B" w:rsidRDefault="00E56CAB">
      <w:pPr>
        <w:pStyle w:val="TOC2"/>
        <w:tabs>
          <w:tab w:val="right" w:leader="dot" w:pos="9026"/>
        </w:tabs>
        <w:rPr>
          <w:rFonts w:ascii="Arial" w:hAnsi="Arial" w:cs="Arial"/>
          <w:sz w:val="22"/>
        </w:rPr>
      </w:pPr>
      <w:hyperlink w:anchor="_Toc3863" w:history="1">
        <w:r>
          <w:rPr>
            <w:rFonts w:ascii="Arial" w:eastAsia="Arial" w:hAnsi="Arial" w:cs="Arial"/>
            <w:bCs/>
            <w:sz w:val="22"/>
          </w:rPr>
          <w:t>1.6 Emotional Intelligence, Leadership, and Decision-Making</w:t>
        </w:r>
        <w:r>
          <w:rPr>
            <w:rFonts w:ascii="Arial" w:hAnsi="Arial" w:cs="Arial"/>
            <w:sz w:val="22"/>
          </w:rPr>
          <w:tab/>
        </w:r>
        <w:r>
          <w:rPr>
            <w:rFonts w:ascii="Arial" w:hAnsi="Arial" w:cs="Arial"/>
            <w:sz w:val="22"/>
          </w:rPr>
          <w:fldChar w:fldCharType="begin"/>
        </w:r>
        <w:r>
          <w:rPr>
            <w:rFonts w:ascii="Arial" w:hAnsi="Arial" w:cs="Arial"/>
            <w:sz w:val="22"/>
          </w:rPr>
          <w:instrText xml:space="preserve"> PAGEREF _Toc3863 \h </w:instrText>
        </w:r>
        <w:r>
          <w:rPr>
            <w:rFonts w:ascii="Arial" w:hAnsi="Arial" w:cs="Arial"/>
            <w:sz w:val="22"/>
          </w:rPr>
        </w:r>
        <w:r>
          <w:rPr>
            <w:rFonts w:ascii="Arial" w:hAnsi="Arial" w:cs="Arial"/>
            <w:sz w:val="22"/>
          </w:rPr>
          <w:fldChar w:fldCharType="separate"/>
        </w:r>
        <w:r>
          <w:rPr>
            <w:rFonts w:ascii="Arial" w:hAnsi="Arial" w:cs="Arial"/>
            <w:sz w:val="22"/>
          </w:rPr>
          <w:t>6</w:t>
        </w:r>
        <w:r>
          <w:rPr>
            <w:rFonts w:ascii="Arial" w:hAnsi="Arial" w:cs="Arial"/>
            <w:sz w:val="22"/>
          </w:rPr>
          <w:fldChar w:fldCharType="end"/>
        </w:r>
      </w:hyperlink>
    </w:p>
    <w:p w14:paraId="047DB0D8" w14:textId="77777777" w:rsidR="003F4D6B" w:rsidRDefault="00E56CAB">
      <w:pPr>
        <w:pStyle w:val="TOC2"/>
        <w:tabs>
          <w:tab w:val="right" w:leader="dot" w:pos="9026"/>
        </w:tabs>
        <w:rPr>
          <w:rFonts w:ascii="Arial" w:hAnsi="Arial" w:cs="Arial"/>
          <w:sz w:val="22"/>
        </w:rPr>
      </w:pPr>
      <w:hyperlink w:anchor="_Toc5059" w:history="1">
        <w:r>
          <w:rPr>
            <w:rFonts w:ascii="Arial" w:eastAsia="Arial" w:hAnsi="Arial" w:cs="Arial"/>
            <w:bCs/>
            <w:sz w:val="22"/>
          </w:rPr>
          <w:t>1.7 Critical Evaluation and Limits of the Models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_Toc5059 \h </w:instrText>
        </w:r>
        <w:r>
          <w:rPr>
            <w:rFonts w:ascii="Arial" w:hAnsi="Arial" w:cs="Arial"/>
            <w:sz w:val="22"/>
          </w:rPr>
        </w:r>
        <w:r>
          <w:rPr>
            <w:rFonts w:ascii="Arial" w:hAnsi="Arial" w:cs="Arial"/>
            <w:sz w:val="22"/>
          </w:rPr>
          <w:fldChar w:fldCharType="separate"/>
        </w:r>
        <w:r>
          <w:rPr>
            <w:rFonts w:ascii="Arial" w:hAnsi="Arial" w:cs="Arial"/>
            <w:sz w:val="22"/>
          </w:rPr>
          <w:t>7</w:t>
        </w:r>
        <w:r>
          <w:rPr>
            <w:rFonts w:ascii="Arial" w:hAnsi="Arial" w:cs="Arial"/>
            <w:sz w:val="22"/>
          </w:rPr>
          <w:fldChar w:fldCharType="end"/>
        </w:r>
      </w:hyperlink>
    </w:p>
    <w:p w14:paraId="047DB0D9" w14:textId="77777777" w:rsidR="003F4D6B" w:rsidRDefault="00E56CAB">
      <w:pPr>
        <w:pStyle w:val="TOC1"/>
        <w:tabs>
          <w:tab w:val="right" w:leader="dot" w:pos="9026"/>
        </w:tabs>
        <w:rPr>
          <w:rFonts w:ascii="Arial" w:hAnsi="Arial" w:cs="Arial"/>
          <w:sz w:val="22"/>
        </w:rPr>
      </w:pPr>
      <w:hyperlink w:anchor="_Toc15126" w:history="1">
        <w:r>
          <w:rPr>
            <w:rFonts w:ascii="Arial" w:eastAsia="Arial" w:hAnsi="Arial" w:cs="Arial"/>
            <w:bCs/>
            <w:sz w:val="22"/>
          </w:rPr>
          <w:t>Task 2: Managing a Multigenerational Workforce</w:t>
        </w:r>
        <w:r>
          <w:rPr>
            <w:rFonts w:ascii="Arial" w:hAnsi="Arial" w:cs="Arial"/>
            <w:sz w:val="22"/>
          </w:rPr>
          <w:tab/>
        </w:r>
        <w:r>
          <w:rPr>
            <w:rFonts w:ascii="Arial" w:hAnsi="Arial" w:cs="Arial"/>
            <w:sz w:val="22"/>
          </w:rPr>
          <w:fldChar w:fldCharType="begin"/>
        </w:r>
        <w:r>
          <w:rPr>
            <w:rFonts w:ascii="Arial" w:hAnsi="Arial" w:cs="Arial"/>
            <w:sz w:val="22"/>
          </w:rPr>
          <w:instrText xml:space="preserve"> PAGEREF _Toc15126 \h </w:instrText>
        </w:r>
        <w:r>
          <w:rPr>
            <w:rFonts w:ascii="Arial" w:hAnsi="Arial" w:cs="Arial"/>
            <w:sz w:val="22"/>
          </w:rPr>
        </w:r>
        <w:r>
          <w:rPr>
            <w:rFonts w:ascii="Arial" w:hAnsi="Arial" w:cs="Arial"/>
            <w:sz w:val="22"/>
          </w:rPr>
          <w:fldChar w:fldCharType="separate"/>
        </w:r>
        <w:r>
          <w:rPr>
            <w:rFonts w:ascii="Arial" w:hAnsi="Arial" w:cs="Arial"/>
            <w:sz w:val="22"/>
          </w:rPr>
          <w:t>7</w:t>
        </w:r>
        <w:r>
          <w:rPr>
            <w:rFonts w:ascii="Arial" w:hAnsi="Arial" w:cs="Arial"/>
            <w:sz w:val="22"/>
          </w:rPr>
          <w:fldChar w:fldCharType="end"/>
        </w:r>
      </w:hyperlink>
    </w:p>
    <w:p w14:paraId="047DB0DA" w14:textId="77777777" w:rsidR="003F4D6B" w:rsidRDefault="00E56CAB">
      <w:pPr>
        <w:pStyle w:val="TOC2"/>
        <w:tabs>
          <w:tab w:val="right" w:leader="dot" w:pos="9026"/>
        </w:tabs>
        <w:rPr>
          <w:rFonts w:ascii="Arial" w:hAnsi="Arial" w:cs="Arial"/>
          <w:sz w:val="22"/>
        </w:rPr>
      </w:pPr>
      <w:hyperlink w:anchor="_Toc25995" w:history="1">
        <w:r>
          <w:rPr>
            <w:rFonts w:ascii="Arial" w:eastAsia="Arial" w:hAnsi="Arial" w:cs="Arial"/>
            <w:bCs/>
            <w:sz w:val="22"/>
          </w:rPr>
          <w:t>2.1 The Contemporary Multigenerational Context</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_Toc25995 \h </w:instrText>
        </w:r>
        <w:r>
          <w:rPr>
            <w:rFonts w:ascii="Arial" w:hAnsi="Arial" w:cs="Arial"/>
            <w:sz w:val="22"/>
          </w:rPr>
        </w:r>
        <w:r>
          <w:rPr>
            <w:rFonts w:ascii="Arial" w:hAnsi="Arial" w:cs="Arial"/>
            <w:sz w:val="22"/>
          </w:rPr>
          <w:fldChar w:fldCharType="separate"/>
        </w:r>
        <w:r>
          <w:rPr>
            <w:rFonts w:ascii="Arial" w:hAnsi="Arial" w:cs="Arial"/>
            <w:sz w:val="22"/>
          </w:rPr>
          <w:t>7</w:t>
        </w:r>
        <w:r>
          <w:rPr>
            <w:rFonts w:ascii="Arial" w:hAnsi="Arial" w:cs="Arial"/>
            <w:sz w:val="22"/>
          </w:rPr>
          <w:fldChar w:fldCharType="end"/>
        </w:r>
      </w:hyperlink>
    </w:p>
    <w:p w14:paraId="047DB0DB" w14:textId="77777777" w:rsidR="003F4D6B" w:rsidRDefault="00E56CAB">
      <w:pPr>
        <w:pStyle w:val="TOC2"/>
        <w:tabs>
          <w:tab w:val="right" w:leader="dot" w:pos="9026"/>
        </w:tabs>
        <w:rPr>
          <w:rFonts w:ascii="Arial" w:hAnsi="Arial" w:cs="Arial"/>
          <w:sz w:val="22"/>
        </w:rPr>
      </w:pPr>
      <w:hyperlink w:anchor="_Toc908" w:history="1">
        <w:r>
          <w:rPr>
            <w:rFonts w:ascii="Arial" w:eastAsia="Arial" w:hAnsi="Arial" w:cs="Arial"/>
            <w:bCs/>
            <w:sz w:val="22"/>
          </w:rPr>
          <w:t>2.2 Generation X: Independence and Pragmatism</w:t>
        </w:r>
        <w:r>
          <w:rPr>
            <w:rFonts w:ascii="Arial" w:hAnsi="Arial" w:cs="Arial"/>
            <w:sz w:val="22"/>
          </w:rPr>
          <w:tab/>
        </w:r>
        <w:r>
          <w:rPr>
            <w:rFonts w:ascii="Arial" w:hAnsi="Arial" w:cs="Arial"/>
            <w:sz w:val="22"/>
          </w:rPr>
          <w:fldChar w:fldCharType="begin"/>
        </w:r>
        <w:r>
          <w:rPr>
            <w:rFonts w:ascii="Arial" w:hAnsi="Arial" w:cs="Arial"/>
            <w:sz w:val="22"/>
          </w:rPr>
          <w:instrText xml:space="preserve"> PAGEREF _Toc908 \h </w:instrText>
        </w:r>
        <w:r>
          <w:rPr>
            <w:rFonts w:ascii="Arial" w:hAnsi="Arial" w:cs="Arial"/>
            <w:sz w:val="22"/>
          </w:rPr>
        </w:r>
        <w:r>
          <w:rPr>
            <w:rFonts w:ascii="Arial" w:hAnsi="Arial" w:cs="Arial"/>
            <w:sz w:val="22"/>
          </w:rPr>
          <w:fldChar w:fldCharType="separate"/>
        </w:r>
        <w:r>
          <w:rPr>
            <w:rFonts w:ascii="Arial" w:hAnsi="Arial" w:cs="Arial"/>
            <w:sz w:val="22"/>
          </w:rPr>
          <w:t>8</w:t>
        </w:r>
        <w:r>
          <w:rPr>
            <w:rFonts w:ascii="Arial" w:hAnsi="Arial" w:cs="Arial"/>
            <w:sz w:val="22"/>
          </w:rPr>
          <w:fldChar w:fldCharType="end"/>
        </w:r>
      </w:hyperlink>
    </w:p>
    <w:p w14:paraId="047DB0DC" w14:textId="77777777" w:rsidR="003F4D6B" w:rsidRDefault="00E56CAB">
      <w:pPr>
        <w:pStyle w:val="TOC2"/>
        <w:tabs>
          <w:tab w:val="right" w:leader="dot" w:pos="9026"/>
        </w:tabs>
        <w:rPr>
          <w:rFonts w:ascii="Arial" w:hAnsi="Arial" w:cs="Arial"/>
          <w:sz w:val="22"/>
        </w:rPr>
      </w:pPr>
      <w:hyperlink w:anchor="_Toc5464" w:history="1">
        <w:r>
          <w:rPr>
            <w:rFonts w:ascii="Arial" w:eastAsia="Arial" w:hAnsi="Arial" w:cs="Arial"/>
            <w:bCs/>
            <w:sz w:val="22"/>
          </w:rPr>
          <w:t>2.3 Generation Y (Millennials): Purpose and Feedback</w:t>
        </w:r>
        <w:r>
          <w:rPr>
            <w:rFonts w:ascii="Arial" w:hAnsi="Arial" w:cs="Arial"/>
            <w:sz w:val="22"/>
          </w:rPr>
          <w:tab/>
        </w:r>
        <w:r>
          <w:rPr>
            <w:rFonts w:ascii="Arial" w:hAnsi="Arial" w:cs="Arial"/>
            <w:sz w:val="22"/>
          </w:rPr>
          <w:fldChar w:fldCharType="begin"/>
        </w:r>
        <w:r>
          <w:rPr>
            <w:rFonts w:ascii="Arial" w:hAnsi="Arial" w:cs="Arial"/>
            <w:sz w:val="22"/>
          </w:rPr>
          <w:instrText xml:space="preserve"> PAGEREF _Toc5464 \h </w:instrText>
        </w:r>
        <w:r>
          <w:rPr>
            <w:rFonts w:ascii="Arial" w:hAnsi="Arial" w:cs="Arial"/>
            <w:sz w:val="22"/>
          </w:rPr>
        </w:r>
        <w:r>
          <w:rPr>
            <w:rFonts w:ascii="Arial" w:hAnsi="Arial" w:cs="Arial"/>
            <w:sz w:val="22"/>
          </w:rPr>
          <w:fldChar w:fldCharType="separate"/>
        </w:r>
        <w:r>
          <w:rPr>
            <w:rFonts w:ascii="Arial" w:hAnsi="Arial" w:cs="Arial"/>
            <w:sz w:val="22"/>
          </w:rPr>
          <w:t>8</w:t>
        </w:r>
        <w:r>
          <w:rPr>
            <w:rFonts w:ascii="Arial" w:hAnsi="Arial" w:cs="Arial"/>
            <w:sz w:val="22"/>
          </w:rPr>
          <w:fldChar w:fldCharType="end"/>
        </w:r>
      </w:hyperlink>
    </w:p>
    <w:p w14:paraId="047DB0DD" w14:textId="77777777" w:rsidR="003F4D6B" w:rsidRDefault="00E56CAB">
      <w:pPr>
        <w:pStyle w:val="TOC2"/>
        <w:tabs>
          <w:tab w:val="right" w:leader="dot" w:pos="9026"/>
        </w:tabs>
        <w:rPr>
          <w:rFonts w:ascii="Arial" w:hAnsi="Arial" w:cs="Arial"/>
          <w:sz w:val="22"/>
        </w:rPr>
      </w:pPr>
      <w:hyperlink w:anchor="_Toc4279" w:history="1">
        <w:r>
          <w:rPr>
            <w:rFonts w:ascii="Arial" w:eastAsia="Arial" w:hAnsi="Arial" w:cs="Arial"/>
            <w:bCs/>
            <w:sz w:val="22"/>
          </w:rPr>
          <w:t>2.4 Generation Z: Digital Fluency and Well-being</w:t>
        </w:r>
        <w:r>
          <w:rPr>
            <w:rFonts w:ascii="Arial" w:hAnsi="Arial" w:cs="Arial"/>
            <w:sz w:val="22"/>
          </w:rPr>
          <w:tab/>
        </w:r>
        <w:r>
          <w:rPr>
            <w:rFonts w:ascii="Arial" w:hAnsi="Arial" w:cs="Arial"/>
            <w:sz w:val="22"/>
          </w:rPr>
          <w:fldChar w:fldCharType="begin"/>
        </w:r>
        <w:r>
          <w:rPr>
            <w:rFonts w:ascii="Arial" w:hAnsi="Arial" w:cs="Arial"/>
            <w:sz w:val="22"/>
          </w:rPr>
          <w:instrText xml:space="preserve"> PAGEREF _Toc4279 \h </w:instrText>
        </w:r>
        <w:r>
          <w:rPr>
            <w:rFonts w:ascii="Arial" w:hAnsi="Arial" w:cs="Arial"/>
            <w:sz w:val="22"/>
          </w:rPr>
        </w:r>
        <w:r>
          <w:rPr>
            <w:rFonts w:ascii="Arial" w:hAnsi="Arial" w:cs="Arial"/>
            <w:sz w:val="22"/>
          </w:rPr>
          <w:fldChar w:fldCharType="separate"/>
        </w:r>
        <w:r>
          <w:rPr>
            <w:rFonts w:ascii="Arial" w:hAnsi="Arial" w:cs="Arial"/>
            <w:sz w:val="22"/>
          </w:rPr>
          <w:t>8</w:t>
        </w:r>
        <w:r>
          <w:rPr>
            <w:rFonts w:ascii="Arial" w:hAnsi="Arial" w:cs="Arial"/>
            <w:sz w:val="22"/>
          </w:rPr>
          <w:fldChar w:fldCharType="end"/>
        </w:r>
      </w:hyperlink>
    </w:p>
    <w:p w14:paraId="047DB0DE" w14:textId="77777777" w:rsidR="003F4D6B" w:rsidRDefault="00E56CAB">
      <w:pPr>
        <w:pStyle w:val="TOC2"/>
        <w:tabs>
          <w:tab w:val="right" w:leader="dot" w:pos="9026"/>
        </w:tabs>
        <w:rPr>
          <w:rFonts w:ascii="Arial" w:hAnsi="Arial" w:cs="Arial"/>
          <w:sz w:val="22"/>
        </w:rPr>
      </w:pPr>
      <w:hyperlink w:anchor="_Toc28612" w:history="1">
        <w:r>
          <w:rPr>
            <w:rFonts w:ascii="Arial" w:eastAsia="Arial" w:hAnsi="Arial" w:cs="Arial"/>
            <w:bCs/>
            <w:sz w:val="22"/>
          </w:rPr>
          <w:t>2.5 Generational Differences as Both Asset and Risk</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_Toc28612 \h </w:instrText>
        </w:r>
        <w:r>
          <w:rPr>
            <w:rFonts w:ascii="Arial" w:hAnsi="Arial" w:cs="Arial"/>
            <w:sz w:val="22"/>
          </w:rPr>
        </w:r>
        <w:r>
          <w:rPr>
            <w:rFonts w:ascii="Arial" w:hAnsi="Arial" w:cs="Arial"/>
            <w:sz w:val="22"/>
          </w:rPr>
          <w:fldChar w:fldCharType="separate"/>
        </w:r>
        <w:r>
          <w:rPr>
            <w:rFonts w:ascii="Arial" w:hAnsi="Arial" w:cs="Arial"/>
            <w:sz w:val="22"/>
          </w:rPr>
          <w:t>9</w:t>
        </w:r>
        <w:r>
          <w:rPr>
            <w:rFonts w:ascii="Arial" w:hAnsi="Arial" w:cs="Arial"/>
            <w:sz w:val="22"/>
          </w:rPr>
          <w:fldChar w:fldCharType="end"/>
        </w:r>
      </w:hyperlink>
    </w:p>
    <w:p w14:paraId="047DB0DF" w14:textId="77777777" w:rsidR="003F4D6B" w:rsidRDefault="00E56CAB">
      <w:pPr>
        <w:pStyle w:val="TOC2"/>
        <w:tabs>
          <w:tab w:val="right" w:leader="dot" w:pos="9026"/>
        </w:tabs>
        <w:rPr>
          <w:rFonts w:ascii="Arial" w:hAnsi="Arial" w:cs="Arial"/>
          <w:sz w:val="22"/>
        </w:rPr>
      </w:pPr>
      <w:hyperlink w:anchor="_Toc29905" w:history="1">
        <w:r>
          <w:rPr>
            <w:rFonts w:ascii="Arial" w:eastAsia="Arial" w:hAnsi="Arial" w:cs="Arial"/>
            <w:bCs/>
            <w:sz w:val="22"/>
          </w:rPr>
          <w:t>2.6 Applying Emotional Intelligence and Mindfulness Across Generations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_Toc29905 \h </w:instrText>
        </w:r>
        <w:r>
          <w:rPr>
            <w:rFonts w:ascii="Arial" w:hAnsi="Arial" w:cs="Arial"/>
            <w:sz w:val="22"/>
          </w:rPr>
        </w:r>
        <w:r>
          <w:rPr>
            <w:rFonts w:ascii="Arial" w:hAnsi="Arial" w:cs="Arial"/>
            <w:sz w:val="22"/>
          </w:rPr>
          <w:fldChar w:fldCharType="separate"/>
        </w:r>
        <w:r>
          <w:rPr>
            <w:rFonts w:ascii="Arial" w:hAnsi="Arial" w:cs="Arial"/>
            <w:sz w:val="22"/>
          </w:rPr>
          <w:t>9</w:t>
        </w:r>
        <w:r>
          <w:rPr>
            <w:rFonts w:ascii="Arial" w:hAnsi="Arial" w:cs="Arial"/>
            <w:sz w:val="22"/>
          </w:rPr>
          <w:fldChar w:fldCharType="end"/>
        </w:r>
      </w:hyperlink>
    </w:p>
    <w:p w14:paraId="047DB0E0" w14:textId="77777777" w:rsidR="003F4D6B" w:rsidRDefault="00E56CAB">
      <w:pPr>
        <w:pStyle w:val="TOC1"/>
        <w:tabs>
          <w:tab w:val="right" w:leader="dot" w:pos="9026"/>
        </w:tabs>
        <w:rPr>
          <w:rFonts w:ascii="Arial" w:hAnsi="Arial" w:cs="Arial"/>
          <w:sz w:val="22"/>
        </w:rPr>
      </w:pPr>
      <w:hyperlink w:anchor="_Toc32256" w:history="1">
        <w:r>
          <w:rPr>
            <w:rFonts w:ascii="Arial" w:eastAsia="Arial" w:hAnsi="Arial" w:cs="Arial"/>
            <w:bCs/>
            <w:sz w:val="22"/>
          </w:rPr>
          <w:t>Conclusion and Recommendations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_Toc32256 \h </w:instrText>
        </w:r>
        <w:r>
          <w:rPr>
            <w:rFonts w:ascii="Arial" w:hAnsi="Arial" w:cs="Arial"/>
            <w:sz w:val="22"/>
          </w:rPr>
        </w:r>
        <w:r>
          <w:rPr>
            <w:rFonts w:ascii="Arial" w:hAnsi="Arial" w:cs="Arial"/>
            <w:sz w:val="22"/>
          </w:rPr>
          <w:fldChar w:fldCharType="separate"/>
        </w:r>
        <w:r>
          <w:rPr>
            <w:rFonts w:ascii="Arial" w:hAnsi="Arial" w:cs="Arial"/>
            <w:sz w:val="22"/>
          </w:rPr>
          <w:t>10</w:t>
        </w:r>
        <w:r>
          <w:rPr>
            <w:rFonts w:ascii="Arial" w:hAnsi="Arial" w:cs="Arial"/>
            <w:sz w:val="22"/>
          </w:rPr>
          <w:fldChar w:fldCharType="end"/>
        </w:r>
      </w:hyperlink>
    </w:p>
    <w:p w14:paraId="047DB0E1" w14:textId="77777777" w:rsidR="003F4D6B" w:rsidRDefault="00E56CAB">
      <w:pPr>
        <w:pStyle w:val="TOC1"/>
        <w:tabs>
          <w:tab w:val="right" w:leader="dot" w:pos="9026"/>
        </w:tabs>
        <w:rPr>
          <w:rFonts w:ascii="Arial" w:hAnsi="Arial" w:cs="Arial"/>
          <w:sz w:val="22"/>
        </w:rPr>
      </w:pPr>
      <w:hyperlink w:anchor="_Toc23709" w:history="1">
        <w:r>
          <w:rPr>
            <w:rFonts w:ascii="Arial" w:eastAsia="Arial" w:hAnsi="Arial" w:cs="Arial"/>
            <w:bCs/>
            <w:sz w:val="22"/>
          </w:rPr>
          <w:t>Reference List</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_Toc23709 \h </w:instrText>
        </w:r>
        <w:r>
          <w:rPr>
            <w:rFonts w:ascii="Arial" w:hAnsi="Arial" w:cs="Arial"/>
            <w:sz w:val="22"/>
          </w:rPr>
        </w:r>
        <w:r>
          <w:rPr>
            <w:rFonts w:ascii="Arial" w:hAnsi="Arial" w:cs="Arial"/>
            <w:sz w:val="22"/>
          </w:rPr>
          <w:fldChar w:fldCharType="separate"/>
        </w:r>
        <w:r>
          <w:rPr>
            <w:rFonts w:ascii="Arial" w:hAnsi="Arial" w:cs="Arial"/>
            <w:sz w:val="22"/>
          </w:rPr>
          <w:t>11</w:t>
        </w:r>
        <w:r>
          <w:rPr>
            <w:rFonts w:ascii="Arial" w:hAnsi="Arial" w:cs="Arial"/>
            <w:sz w:val="22"/>
          </w:rPr>
          <w:fldChar w:fldCharType="end"/>
        </w:r>
      </w:hyperlink>
    </w:p>
    <w:p w14:paraId="047DB0E2" w14:textId="77777777" w:rsidR="003F4D6B" w:rsidRDefault="00E56CAB">
      <w:pPr>
        <w:rPr>
          <w:rFonts w:ascii="Arial" w:hAnsi="Arial" w:cs="Arial"/>
          <w:sz w:val="22"/>
        </w:rPr>
      </w:pPr>
      <w:r>
        <w:rPr>
          <w:rFonts w:ascii="Arial" w:hAnsi="Arial" w:cs="Arial"/>
          <w:sz w:val="22"/>
        </w:rPr>
        <w:fldChar w:fldCharType="end"/>
      </w:r>
    </w:p>
    <w:p w14:paraId="047DB0E3" w14:textId="77777777" w:rsidR="003F4D6B" w:rsidRDefault="00E56CAB">
      <w:pPr>
        <w:rPr>
          <w:rFonts w:ascii="Arial" w:hAnsi="Arial" w:cs="Arial"/>
        </w:rPr>
      </w:pPr>
      <w:r>
        <w:rPr>
          <w:rFonts w:ascii="Arial" w:hAnsi="Arial" w:cs="Arial"/>
          <w:sz w:val="22"/>
        </w:rPr>
        <w:br w:type="page"/>
      </w:r>
    </w:p>
    <w:p w14:paraId="047DB0E4" w14:textId="77777777" w:rsidR="003F4D6B" w:rsidRDefault="00E56CAB">
      <w:pPr>
        <w:pStyle w:val="Heading1"/>
        <w:spacing w:before="300" w:after="200" w:line="360" w:lineRule="auto"/>
        <w:jc w:val="both"/>
        <w:rPr>
          <w:rFonts w:ascii="Arial" w:hAnsi="Arial" w:cs="Arial"/>
        </w:rPr>
      </w:pPr>
      <w:bookmarkStart w:id="0" w:name="_Toc11436"/>
      <w:r>
        <w:rPr>
          <w:rFonts w:ascii="Arial" w:eastAsia="Arial" w:hAnsi="Arial" w:cs="Arial"/>
          <w:b/>
          <w:bCs/>
          <w:color w:val="1F3864"/>
          <w:sz w:val="28"/>
          <w:szCs w:val="28"/>
        </w:rPr>
        <w:lastRenderedPageBreak/>
        <w:t>Introduction</w:t>
      </w:r>
      <w:bookmarkEnd w:id="0"/>
    </w:p>
    <w:p w14:paraId="047DB0E5" w14:textId="77777777" w:rsidR="003F4D6B" w:rsidRDefault="00E56CAB">
      <w:pPr>
        <w:spacing w:after="200" w:line="360" w:lineRule="auto"/>
        <w:jc w:val="both"/>
        <w:rPr>
          <w:rFonts w:ascii="Arial" w:hAnsi="Arial" w:cs="Arial"/>
        </w:rPr>
      </w:pPr>
      <w:r>
        <w:rPr>
          <w:rFonts w:ascii="Arial" w:eastAsia="Geist Fallback" w:hAnsi="Arial" w:cs="Arial"/>
          <w:sz w:val="22"/>
        </w:rPr>
        <w:t>The field of emotional intelligence (EI) has now become more than just a sideline in organisational psychology; it has become the cornerstone of predicting organizational outcomes such as employees' overall happiness and team cohesion, as well as leadership ability. Taking mindfulness and EI principles to the team discussion and daily people-management reduced some of the measurable negative attitudes, communication and conflict issues that had been identified, which were attributed to the intentional application of these two positive practices, after a recent climate audit. This report has been requested by the Head of Department for input to the Senior Management Team (SMT) for the September 2026 strategic planning meeting. It's meant to guide decisions regarding development, leadership and recruitment. Task One considers critically how staff can use the key elements of EI to enhance their performance, team working, and wellbeing, using Goleman's work on core components of EI, Mayer-Salovey ability model, and the Bar-On Emotional-Social Intelligence Model. Task Two explores differences in workplace expectations, amongst Generation X, Generation Y and Generation Z and how to use EI and mindfulness to create an inclusive, psychologically safe and effective multigenerational workforce.</w:t>
      </w:r>
    </w:p>
    <w:p w14:paraId="047DB0E6" w14:textId="77777777" w:rsidR="003F4D6B" w:rsidRDefault="00E56CAB">
      <w:pPr>
        <w:pStyle w:val="Heading1"/>
        <w:spacing w:before="300" w:after="200" w:line="360" w:lineRule="auto"/>
        <w:jc w:val="both"/>
        <w:rPr>
          <w:rFonts w:ascii="Arial" w:hAnsi="Arial" w:cs="Arial"/>
        </w:rPr>
      </w:pPr>
      <w:bookmarkStart w:id="1" w:name="_Toc19150"/>
      <w:r>
        <w:rPr>
          <w:rFonts w:ascii="Arial" w:eastAsia="Arial" w:hAnsi="Arial" w:cs="Arial"/>
          <w:b/>
          <w:bCs/>
          <w:color w:val="1F3864"/>
          <w:sz w:val="28"/>
          <w:szCs w:val="28"/>
        </w:rPr>
        <w:t>Task 1: Emotional Intelligence in the Workplace</w:t>
      </w:r>
      <w:bookmarkEnd w:id="1"/>
    </w:p>
    <w:p w14:paraId="047DB0E7" w14:textId="77777777" w:rsidR="003F4D6B" w:rsidRDefault="00E56CAB">
      <w:pPr>
        <w:pStyle w:val="Heading2"/>
        <w:spacing w:before="240" w:after="160" w:line="360" w:lineRule="auto"/>
        <w:jc w:val="both"/>
        <w:rPr>
          <w:rFonts w:ascii="Arial" w:hAnsi="Arial" w:cs="Arial"/>
        </w:rPr>
      </w:pPr>
      <w:bookmarkStart w:id="2" w:name="_Toc3720"/>
      <w:r>
        <w:rPr>
          <w:rFonts w:ascii="Arial" w:eastAsia="Arial" w:hAnsi="Arial" w:cs="Arial"/>
          <w:b/>
          <w:bCs/>
          <w:color w:val="2E5395"/>
          <w:sz w:val="24"/>
          <w:szCs w:val="24"/>
        </w:rPr>
        <w:t>1.1 Conceptualising Emotional Intelligence</w:t>
      </w:r>
      <w:bookmarkEnd w:id="2"/>
    </w:p>
    <w:p w14:paraId="047DB0E8" w14:textId="77777777" w:rsidR="003F4D6B" w:rsidRDefault="00E56CAB">
      <w:pPr>
        <w:spacing w:after="200" w:line="360" w:lineRule="auto"/>
        <w:jc w:val="both"/>
        <w:rPr>
          <w:rFonts w:ascii="Arial" w:hAnsi="Arial" w:cs="Arial"/>
        </w:rPr>
      </w:pPr>
      <w:r>
        <w:rPr>
          <w:rFonts w:ascii="Arial" w:eastAsia="Geist Fallback" w:hAnsi="Arial" w:cs="Arial"/>
          <w:sz w:val="22"/>
        </w:rPr>
        <w:t xml:space="preserve">Emotional intelligence is the ability to perceive emotions in oneself and others, to discriminate between them and to use them to inform thought and action, first defined by Salovey &amp; Mayer (1990). Their model was subsequently transformed into a four-branch ability definition from the domain of emotions – perception, facilitation, understanding and management (Mayer, Caruso and Salovey, 2016). Simultaneously, in approximately the same </w:t>
      </w:r>
      <w:proofErr w:type="gramStart"/>
      <w:r>
        <w:rPr>
          <w:rFonts w:ascii="Arial" w:eastAsia="Geist Fallback" w:hAnsi="Arial" w:cs="Arial"/>
          <w:sz w:val="22"/>
        </w:rPr>
        <w:t>time period</w:t>
      </w:r>
      <w:proofErr w:type="gramEnd"/>
      <w:r>
        <w:rPr>
          <w:rFonts w:ascii="Arial" w:eastAsia="Geist Fallback" w:hAnsi="Arial" w:cs="Arial"/>
          <w:sz w:val="22"/>
        </w:rPr>
        <w:t>, Goleman (1995) popularised a larger “mixed” model that combined emotional ability with personality-based competencies and organized the five domains of EI into self-awareness, self-regulation, motivation, empathy, and social skills. Later, Bar-On (1997) presented an alternative Emotional-Social Intelligence (ESI) model in which he regarded EI as a blend of interrelated emotional and social abilities, such as intrapersonal, interpersonal skills, adaptability, stress management and general mood, all having an impact upon the ability to manage environmental demands. While the three models take different approaches, all share a common thread: Empowering employees to sense, understand, and manage emotions both in themselves and in others give them the ability to thrive in team, high-pressure, and socially dynamic environments (Salameh-</w:t>
      </w:r>
      <w:proofErr w:type="spellStart"/>
      <w:r>
        <w:rPr>
          <w:rFonts w:ascii="Arial" w:eastAsia="Geist Fallback" w:hAnsi="Arial" w:cs="Arial"/>
          <w:sz w:val="22"/>
        </w:rPr>
        <w:t>Ayanian</w:t>
      </w:r>
      <w:proofErr w:type="spellEnd"/>
      <w:r>
        <w:rPr>
          <w:rFonts w:ascii="Arial" w:eastAsia="Geist Fallback" w:hAnsi="Arial" w:cs="Arial"/>
          <w:sz w:val="22"/>
        </w:rPr>
        <w:t xml:space="preserve">, Tamer and Jabbour Al Maalouf, 2025). Close links between HR and leadership development functions and the development and measurement </w:t>
      </w:r>
      <w:r>
        <w:rPr>
          <w:rFonts w:ascii="Arial" w:eastAsia="Geist Fallback" w:hAnsi="Arial" w:cs="Arial"/>
          <w:sz w:val="22"/>
        </w:rPr>
        <w:lastRenderedPageBreak/>
        <w:t xml:space="preserve">of EI are important for organisations because this allows EI to be understood from more than one complementary perspective rather than a one-size-fits all approach, providing flexibility in the design of training interventions. </w:t>
      </w:r>
    </w:p>
    <w:p w14:paraId="047DB0E9" w14:textId="77777777" w:rsidR="003F4D6B" w:rsidRDefault="00E56CAB">
      <w:pPr>
        <w:pStyle w:val="Heading2"/>
        <w:spacing w:before="240" w:after="160" w:line="360" w:lineRule="auto"/>
        <w:jc w:val="both"/>
        <w:rPr>
          <w:rFonts w:ascii="Arial" w:hAnsi="Arial" w:cs="Arial"/>
        </w:rPr>
      </w:pPr>
      <w:bookmarkStart w:id="3" w:name="_Toc18858"/>
      <w:r>
        <w:rPr>
          <w:rFonts w:ascii="Arial" w:eastAsia="Arial" w:hAnsi="Arial" w:cs="Arial"/>
          <w:b/>
          <w:bCs/>
          <w:color w:val="2E5395"/>
          <w:sz w:val="24"/>
          <w:szCs w:val="24"/>
        </w:rPr>
        <w:t>1.2 Self-Awareness and Self-Regulation</w:t>
      </w:r>
      <w:bookmarkEnd w:id="3"/>
    </w:p>
    <w:p w14:paraId="047DB0EA" w14:textId="77777777" w:rsidR="003F4D6B" w:rsidRDefault="00E56CAB">
      <w:pPr>
        <w:spacing w:before="120" w:after="120"/>
        <w:jc w:val="both"/>
        <w:rPr>
          <w:rFonts w:ascii="Arial" w:hAnsi="Arial" w:cs="Arial"/>
        </w:rPr>
      </w:pPr>
      <w:r>
        <w:rPr>
          <w:rFonts w:ascii="Arial" w:eastAsia="Arial" w:hAnsi="Arial" w:cs="Arial"/>
          <w:i/>
          <w:iCs/>
          <w:sz w:val="22"/>
        </w:rPr>
        <w:t>Table 1: Goleman's Five Components of Emotional Intelligence</w:t>
      </w:r>
    </w:p>
    <w:tbl>
      <w:tblPr>
        <w:tblW w:w="9026" w:type="dxa"/>
        <w:tblBorders>
          <w:top w:val="single" w:sz="4" w:space="0" w:color="8EA9C1"/>
          <w:left w:val="single" w:sz="4" w:space="0" w:color="8EA9C1"/>
          <w:bottom w:val="single" w:sz="4" w:space="0" w:color="8EA9C1"/>
          <w:right w:val="single" w:sz="4" w:space="0" w:color="8EA9C1"/>
          <w:insideH w:val="single" w:sz="4" w:space="0" w:color="8EA9C1"/>
          <w:insideV w:val="single" w:sz="4" w:space="0" w:color="8EA9C1"/>
        </w:tblBorders>
        <w:tblLayout w:type="fixed"/>
        <w:tblCellMar>
          <w:left w:w="10" w:type="dxa"/>
          <w:right w:w="10" w:type="dxa"/>
        </w:tblCellMar>
        <w:tblLook w:val="04A0" w:firstRow="1" w:lastRow="0" w:firstColumn="1" w:lastColumn="0" w:noHBand="0" w:noVBand="1"/>
      </w:tblPr>
      <w:tblGrid>
        <w:gridCol w:w="2200"/>
        <w:gridCol w:w="3400"/>
        <w:gridCol w:w="3426"/>
      </w:tblGrid>
      <w:tr w:rsidR="003F4D6B" w14:paraId="047DB0EE" w14:textId="77777777">
        <w:tc>
          <w:tcPr>
            <w:tcW w:w="2200" w:type="dxa"/>
            <w:shd w:val="clear" w:color="auto" w:fill="1F3864"/>
            <w:vAlign w:val="center"/>
          </w:tcPr>
          <w:p w14:paraId="047DB0EB" w14:textId="77777777" w:rsidR="003F4D6B" w:rsidRDefault="00E56CAB">
            <w:pPr>
              <w:jc w:val="both"/>
              <w:rPr>
                <w:rFonts w:ascii="Arial" w:hAnsi="Arial" w:cs="Arial"/>
              </w:rPr>
            </w:pPr>
            <w:r>
              <w:rPr>
                <w:rFonts w:ascii="Arial" w:eastAsia="Arial" w:hAnsi="Arial" w:cs="Arial"/>
                <w:b/>
                <w:bCs/>
                <w:color w:val="FFFFFF"/>
                <w:sz w:val="22"/>
              </w:rPr>
              <w:t>Goleman's EI Domain</w:t>
            </w:r>
          </w:p>
        </w:tc>
        <w:tc>
          <w:tcPr>
            <w:tcW w:w="3400" w:type="dxa"/>
            <w:shd w:val="clear" w:color="auto" w:fill="1F3864"/>
            <w:vAlign w:val="center"/>
          </w:tcPr>
          <w:p w14:paraId="047DB0EC" w14:textId="77777777" w:rsidR="003F4D6B" w:rsidRDefault="00E56CAB">
            <w:pPr>
              <w:jc w:val="both"/>
              <w:rPr>
                <w:rFonts w:ascii="Arial" w:hAnsi="Arial" w:cs="Arial"/>
              </w:rPr>
            </w:pPr>
            <w:r>
              <w:rPr>
                <w:rFonts w:ascii="Arial" w:eastAsia="Arial" w:hAnsi="Arial" w:cs="Arial"/>
                <w:b/>
                <w:bCs/>
                <w:color w:val="FFFFFF"/>
                <w:sz w:val="22"/>
              </w:rPr>
              <w:t>Description</w:t>
            </w:r>
          </w:p>
        </w:tc>
        <w:tc>
          <w:tcPr>
            <w:tcW w:w="3426" w:type="dxa"/>
            <w:shd w:val="clear" w:color="auto" w:fill="1F3864"/>
            <w:vAlign w:val="center"/>
          </w:tcPr>
          <w:p w14:paraId="047DB0ED" w14:textId="77777777" w:rsidR="003F4D6B" w:rsidRDefault="00E56CAB">
            <w:pPr>
              <w:jc w:val="both"/>
              <w:rPr>
                <w:rFonts w:ascii="Arial" w:hAnsi="Arial" w:cs="Arial"/>
              </w:rPr>
            </w:pPr>
            <w:r>
              <w:rPr>
                <w:rFonts w:ascii="Arial" w:eastAsia="Arial" w:hAnsi="Arial" w:cs="Arial"/>
                <w:b/>
                <w:bCs/>
                <w:color w:val="FFFFFF"/>
                <w:sz w:val="22"/>
              </w:rPr>
              <w:t>Workplace Example</w:t>
            </w:r>
          </w:p>
        </w:tc>
      </w:tr>
      <w:tr w:rsidR="003F4D6B" w14:paraId="047DB0F2" w14:textId="77777777">
        <w:tc>
          <w:tcPr>
            <w:tcW w:w="2200" w:type="dxa"/>
            <w:vAlign w:val="center"/>
          </w:tcPr>
          <w:p w14:paraId="047DB0EF" w14:textId="77777777" w:rsidR="003F4D6B" w:rsidRDefault="00E56CAB">
            <w:pPr>
              <w:jc w:val="both"/>
              <w:rPr>
                <w:rFonts w:ascii="Arial" w:hAnsi="Arial" w:cs="Arial"/>
              </w:rPr>
            </w:pPr>
            <w:r>
              <w:rPr>
                <w:rFonts w:ascii="Arial" w:eastAsia="Arial" w:hAnsi="Arial" w:cs="Arial"/>
                <w:sz w:val="22"/>
              </w:rPr>
              <w:t>Self-Awareness</w:t>
            </w:r>
          </w:p>
        </w:tc>
        <w:tc>
          <w:tcPr>
            <w:tcW w:w="3400" w:type="dxa"/>
            <w:vAlign w:val="center"/>
          </w:tcPr>
          <w:p w14:paraId="047DB0F0" w14:textId="77777777" w:rsidR="003F4D6B" w:rsidRDefault="00E56CAB">
            <w:pPr>
              <w:jc w:val="both"/>
              <w:rPr>
                <w:rFonts w:ascii="Arial" w:hAnsi="Arial" w:cs="Arial"/>
              </w:rPr>
            </w:pPr>
            <w:r>
              <w:rPr>
                <w:rFonts w:ascii="Arial" w:eastAsia="Arial" w:hAnsi="Arial" w:cs="Arial"/>
                <w:sz w:val="22"/>
              </w:rPr>
              <w:t>Recognising one's own emotions and their influence on judgement and behaviour</w:t>
            </w:r>
          </w:p>
        </w:tc>
        <w:tc>
          <w:tcPr>
            <w:tcW w:w="3426" w:type="dxa"/>
            <w:vAlign w:val="center"/>
          </w:tcPr>
          <w:p w14:paraId="047DB0F1" w14:textId="77777777" w:rsidR="003F4D6B" w:rsidRDefault="00E56CAB">
            <w:pPr>
              <w:jc w:val="both"/>
              <w:rPr>
                <w:rFonts w:ascii="Arial" w:hAnsi="Arial" w:cs="Arial"/>
              </w:rPr>
            </w:pPr>
            <w:r>
              <w:rPr>
                <w:rFonts w:ascii="Arial" w:eastAsia="Arial" w:hAnsi="Arial" w:cs="Arial"/>
                <w:sz w:val="22"/>
              </w:rPr>
              <w:t>Noticing frustration before it affects judgement</w:t>
            </w:r>
          </w:p>
        </w:tc>
      </w:tr>
      <w:tr w:rsidR="003F4D6B" w14:paraId="047DB0F6" w14:textId="77777777">
        <w:tc>
          <w:tcPr>
            <w:tcW w:w="2200" w:type="dxa"/>
            <w:vAlign w:val="center"/>
          </w:tcPr>
          <w:p w14:paraId="047DB0F3" w14:textId="77777777" w:rsidR="003F4D6B" w:rsidRDefault="00E56CAB">
            <w:pPr>
              <w:jc w:val="both"/>
              <w:rPr>
                <w:rFonts w:ascii="Arial" w:hAnsi="Arial" w:cs="Arial"/>
              </w:rPr>
            </w:pPr>
            <w:r>
              <w:rPr>
                <w:rFonts w:ascii="Arial" w:eastAsia="Arial" w:hAnsi="Arial" w:cs="Arial"/>
                <w:sz w:val="22"/>
              </w:rPr>
              <w:t>Self-Regulation</w:t>
            </w:r>
          </w:p>
        </w:tc>
        <w:tc>
          <w:tcPr>
            <w:tcW w:w="3400" w:type="dxa"/>
            <w:vAlign w:val="center"/>
          </w:tcPr>
          <w:p w14:paraId="047DB0F4" w14:textId="77777777" w:rsidR="003F4D6B" w:rsidRDefault="00E56CAB">
            <w:pPr>
              <w:jc w:val="both"/>
              <w:rPr>
                <w:rFonts w:ascii="Arial" w:hAnsi="Arial" w:cs="Arial"/>
              </w:rPr>
            </w:pPr>
            <w:r>
              <w:rPr>
                <w:rFonts w:ascii="Arial" w:eastAsia="Arial" w:hAnsi="Arial" w:cs="Arial"/>
                <w:sz w:val="22"/>
              </w:rPr>
              <w:t>Managing impulses and remaining composed under pressure</w:t>
            </w:r>
          </w:p>
        </w:tc>
        <w:tc>
          <w:tcPr>
            <w:tcW w:w="3426" w:type="dxa"/>
            <w:vAlign w:val="center"/>
          </w:tcPr>
          <w:p w14:paraId="047DB0F5" w14:textId="77777777" w:rsidR="003F4D6B" w:rsidRDefault="00E56CAB">
            <w:pPr>
              <w:jc w:val="both"/>
              <w:rPr>
                <w:rFonts w:ascii="Arial" w:hAnsi="Arial" w:cs="Arial"/>
              </w:rPr>
            </w:pPr>
            <w:r>
              <w:rPr>
                <w:rFonts w:ascii="Arial" w:eastAsia="Arial" w:hAnsi="Arial" w:cs="Arial"/>
                <w:sz w:val="22"/>
              </w:rPr>
              <w:t>Pausing before responding to critical feedback</w:t>
            </w:r>
          </w:p>
        </w:tc>
      </w:tr>
      <w:tr w:rsidR="003F4D6B" w14:paraId="047DB0FA" w14:textId="77777777">
        <w:tc>
          <w:tcPr>
            <w:tcW w:w="2200" w:type="dxa"/>
            <w:vAlign w:val="center"/>
          </w:tcPr>
          <w:p w14:paraId="047DB0F7" w14:textId="77777777" w:rsidR="003F4D6B" w:rsidRDefault="00E56CAB">
            <w:pPr>
              <w:jc w:val="both"/>
              <w:rPr>
                <w:rFonts w:ascii="Arial" w:hAnsi="Arial" w:cs="Arial"/>
              </w:rPr>
            </w:pPr>
            <w:r>
              <w:rPr>
                <w:rFonts w:ascii="Arial" w:eastAsia="Arial" w:hAnsi="Arial" w:cs="Arial"/>
                <w:sz w:val="22"/>
              </w:rPr>
              <w:t>Motivation</w:t>
            </w:r>
          </w:p>
        </w:tc>
        <w:tc>
          <w:tcPr>
            <w:tcW w:w="3400" w:type="dxa"/>
            <w:vAlign w:val="center"/>
          </w:tcPr>
          <w:p w14:paraId="047DB0F8" w14:textId="77777777" w:rsidR="003F4D6B" w:rsidRDefault="00E56CAB">
            <w:pPr>
              <w:jc w:val="both"/>
              <w:rPr>
                <w:rFonts w:ascii="Arial" w:hAnsi="Arial" w:cs="Arial"/>
              </w:rPr>
            </w:pPr>
            <w:r>
              <w:rPr>
                <w:rFonts w:ascii="Arial" w:eastAsia="Arial" w:hAnsi="Arial" w:cs="Arial"/>
                <w:sz w:val="22"/>
              </w:rPr>
              <w:t>Sustained, disciplined drive toward goals beyond external reward</w:t>
            </w:r>
          </w:p>
        </w:tc>
        <w:tc>
          <w:tcPr>
            <w:tcW w:w="3426" w:type="dxa"/>
            <w:vAlign w:val="center"/>
          </w:tcPr>
          <w:p w14:paraId="047DB0F9" w14:textId="77777777" w:rsidR="003F4D6B" w:rsidRDefault="00E56CAB">
            <w:pPr>
              <w:jc w:val="both"/>
              <w:rPr>
                <w:rFonts w:ascii="Arial" w:hAnsi="Arial" w:cs="Arial"/>
              </w:rPr>
            </w:pPr>
            <w:r>
              <w:rPr>
                <w:rFonts w:ascii="Arial" w:eastAsia="Arial" w:hAnsi="Arial" w:cs="Arial"/>
                <w:sz w:val="22"/>
              </w:rPr>
              <w:t>Persisting through setbacks or repetitive tasks</w:t>
            </w:r>
          </w:p>
        </w:tc>
      </w:tr>
      <w:tr w:rsidR="003F4D6B" w14:paraId="047DB0FE" w14:textId="77777777">
        <w:tc>
          <w:tcPr>
            <w:tcW w:w="2200" w:type="dxa"/>
            <w:vAlign w:val="center"/>
          </w:tcPr>
          <w:p w14:paraId="047DB0FB" w14:textId="77777777" w:rsidR="003F4D6B" w:rsidRDefault="00E56CAB">
            <w:pPr>
              <w:jc w:val="both"/>
              <w:rPr>
                <w:rFonts w:ascii="Arial" w:hAnsi="Arial" w:cs="Arial"/>
              </w:rPr>
            </w:pPr>
            <w:r>
              <w:rPr>
                <w:rFonts w:ascii="Arial" w:eastAsia="Arial" w:hAnsi="Arial" w:cs="Arial"/>
                <w:sz w:val="22"/>
              </w:rPr>
              <w:t>Empathy</w:t>
            </w:r>
          </w:p>
        </w:tc>
        <w:tc>
          <w:tcPr>
            <w:tcW w:w="3400" w:type="dxa"/>
            <w:vAlign w:val="center"/>
          </w:tcPr>
          <w:p w14:paraId="047DB0FC" w14:textId="77777777" w:rsidR="003F4D6B" w:rsidRDefault="00E56CAB">
            <w:pPr>
              <w:jc w:val="both"/>
              <w:rPr>
                <w:rFonts w:ascii="Arial" w:hAnsi="Arial" w:cs="Arial"/>
              </w:rPr>
            </w:pPr>
            <w:r>
              <w:rPr>
                <w:rFonts w:ascii="Arial" w:eastAsia="Arial" w:hAnsi="Arial" w:cs="Arial"/>
                <w:sz w:val="22"/>
              </w:rPr>
              <w:t>Understanding and being attuned to others' perspectives and emotions</w:t>
            </w:r>
          </w:p>
        </w:tc>
        <w:tc>
          <w:tcPr>
            <w:tcW w:w="3426" w:type="dxa"/>
            <w:vAlign w:val="center"/>
          </w:tcPr>
          <w:p w14:paraId="047DB0FD" w14:textId="77777777" w:rsidR="003F4D6B" w:rsidRDefault="00E56CAB">
            <w:pPr>
              <w:jc w:val="both"/>
              <w:rPr>
                <w:rFonts w:ascii="Arial" w:hAnsi="Arial" w:cs="Arial"/>
              </w:rPr>
            </w:pPr>
            <w:r>
              <w:rPr>
                <w:rFonts w:ascii="Arial" w:eastAsia="Arial" w:hAnsi="Arial" w:cs="Arial"/>
                <w:sz w:val="22"/>
              </w:rPr>
              <w:t>Recognising when a colleague has disengaged</w:t>
            </w:r>
          </w:p>
        </w:tc>
      </w:tr>
      <w:tr w:rsidR="003F4D6B" w14:paraId="047DB102" w14:textId="77777777">
        <w:tc>
          <w:tcPr>
            <w:tcW w:w="2200" w:type="dxa"/>
            <w:vAlign w:val="center"/>
          </w:tcPr>
          <w:p w14:paraId="047DB0FF" w14:textId="77777777" w:rsidR="003F4D6B" w:rsidRDefault="00E56CAB">
            <w:pPr>
              <w:jc w:val="both"/>
              <w:rPr>
                <w:rFonts w:ascii="Arial" w:hAnsi="Arial" w:cs="Arial"/>
              </w:rPr>
            </w:pPr>
            <w:r>
              <w:rPr>
                <w:rFonts w:ascii="Arial" w:eastAsia="Arial" w:hAnsi="Arial" w:cs="Arial"/>
                <w:sz w:val="22"/>
              </w:rPr>
              <w:t>Social Skills</w:t>
            </w:r>
          </w:p>
        </w:tc>
        <w:tc>
          <w:tcPr>
            <w:tcW w:w="3400" w:type="dxa"/>
            <w:vAlign w:val="center"/>
          </w:tcPr>
          <w:p w14:paraId="047DB100" w14:textId="77777777" w:rsidR="003F4D6B" w:rsidRDefault="00E56CAB">
            <w:pPr>
              <w:jc w:val="both"/>
              <w:rPr>
                <w:rFonts w:ascii="Arial" w:hAnsi="Arial" w:cs="Arial"/>
              </w:rPr>
            </w:pPr>
            <w:r>
              <w:rPr>
                <w:rFonts w:ascii="Arial" w:eastAsia="Arial" w:hAnsi="Arial" w:cs="Arial"/>
                <w:sz w:val="22"/>
              </w:rPr>
              <w:t>Communicating persuasively and managing relationships effectively</w:t>
            </w:r>
          </w:p>
        </w:tc>
        <w:tc>
          <w:tcPr>
            <w:tcW w:w="3426" w:type="dxa"/>
            <w:vAlign w:val="center"/>
          </w:tcPr>
          <w:p w14:paraId="047DB101" w14:textId="77777777" w:rsidR="003F4D6B" w:rsidRDefault="00E56CAB">
            <w:pPr>
              <w:jc w:val="both"/>
              <w:rPr>
                <w:rFonts w:ascii="Arial" w:hAnsi="Arial" w:cs="Arial"/>
              </w:rPr>
            </w:pPr>
            <w:r>
              <w:rPr>
                <w:rFonts w:ascii="Arial" w:eastAsia="Arial" w:hAnsi="Arial" w:cs="Arial"/>
                <w:sz w:val="22"/>
              </w:rPr>
              <w:t>Leading team discussions and resolving conflict</w:t>
            </w:r>
          </w:p>
        </w:tc>
      </w:tr>
    </w:tbl>
    <w:p w14:paraId="047DB103" w14:textId="77777777" w:rsidR="003F4D6B" w:rsidRDefault="003F4D6B">
      <w:pPr>
        <w:spacing w:after="200"/>
        <w:jc w:val="both"/>
        <w:rPr>
          <w:rFonts w:ascii="Arial" w:hAnsi="Arial" w:cs="Arial"/>
        </w:rPr>
      </w:pPr>
    </w:p>
    <w:p w14:paraId="047DB104"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 xml:space="preserve">Self-awareness is the ability to recognize one's own emotions and how they impact judgement and </w:t>
      </w:r>
      <w:proofErr w:type="spellStart"/>
      <w:r>
        <w:rPr>
          <w:rFonts w:ascii="Arial" w:eastAsia="Geist Fallback" w:hAnsi="Arial" w:cs="Arial"/>
          <w:sz w:val="22"/>
        </w:rPr>
        <w:t>behavior</w:t>
      </w:r>
      <w:proofErr w:type="spellEnd"/>
      <w:r>
        <w:rPr>
          <w:rFonts w:ascii="Arial" w:eastAsia="Geist Fallback" w:hAnsi="Arial" w:cs="Arial"/>
          <w:sz w:val="22"/>
        </w:rPr>
        <w:t xml:space="preserve"> and is considered the first of the Mayer-Salovey model. Having a high level of self-awareness helps prevent a situation where there is difficult conflict from going on a rampage if the employee can recognise the negative emotion in that moment on time, which can further help them make better decisions in line with the organization's values (Salameh-</w:t>
      </w:r>
      <w:proofErr w:type="spellStart"/>
      <w:r>
        <w:rPr>
          <w:rFonts w:ascii="Arial" w:eastAsia="Geist Fallback" w:hAnsi="Arial" w:cs="Arial"/>
          <w:sz w:val="22"/>
        </w:rPr>
        <w:t>Ayanian</w:t>
      </w:r>
      <w:proofErr w:type="spellEnd"/>
      <w:r>
        <w:rPr>
          <w:rFonts w:ascii="Arial" w:eastAsia="Geist Fallback" w:hAnsi="Arial" w:cs="Arial"/>
          <w:sz w:val="22"/>
        </w:rPr>
        <w:t>, Tamer and Jabbour Al Maalouf, 2025). Having self-control – that is, controlling your emotions and staying cool under pressure - has proven to be one of the best indicators of productivity on the job. Empathy, motivation and social skills followed self-regulation: structural equation modelling of 398 employees found that this factor had the highest predictive power for employee performance among all the EI dimensions (Salameh-</w:t>
      </w:r>
      <w:proofErr w:type="spellStart"/>
      <w:r>
        <w:rPr>
          <w:rFonts w:ascii="Arial" w:eastAsia="Geist Fallback" w:hAnsi="Arial" w:cs="Arial"/>
          <w:sz w:val="22"/>
        </w:rPr>
        <w:t>Ayanian</w:t>
      </w:r>
      <w:proofErr w:type="spellEnd"/>
      <w:r>
        <w:rPr>
          <w:rFonts w:ascii="Arial" w:eastAsia="Geist Fallback" w:hAnsi="Arial" w:cs="Arial"/>
          <w:sz w:val="22"/>
        </w:rPr>
        <w:t xml:space="preserve"> and Tamer, Jabbour Al Maalouf, 2025). The actual practice of employees can promote self-regulation with guided reflectivity in three ways: pause before acting on critical feedback, label emotions before acting on them and take short cognitive reappraisal exercises to re-approach stressful scenarios. This strand of EI can be directly supported by the practice of mindfulness: mindfulness-based interventions are found to have positive impacts on emotional regulation and can </w:t>
      </w:r>
      <w:proofErr w:type="gramStart"/>
      <w:r>
        <w:rPr>
          <w:rFonts w:ascii="Arial" w:eastAsia="Geist Fallback" w:hAnsi="Arial" w:cs="Arial"/>
          <w:sz w:val="22"/>
        </w:rPr>
        <w:t>quiet</w:t>
      </w:r>
      <w:proofErr w:type="gramEnd"/>
      <w:r>
        <w:rPr>
          <w:rFonts w:ascii="Arial" w:eastAsia="Geist Fallback" w:hAnsi="Arial" w:cs="Arial"/>
          <w:sz w:val="22"/>
        </w:rPr>
        <w:t xml:space="preserve"> reactive, defensive reactions, when interacting with others at work (Bonde et al., 2023).</w:t>
      </w:r>
    </w:p>
    <w:p w14:paraId="047DB105" w14:textId="77777777" w:rsidR="003F4D6B" w:rsidRDefault="00E56CAB">
      <w:pPr>
        <w:pStyle w:val="Heading2"/>
        <w:spacing w:before="240" w:after="160" w:line="360" w:lineRule="auto"/>
        <w:jc w:val="both"/>
        <w:rPr>
          <w:rFonts w:ascii="Arial" w:hAnsi="Arial" w:cs="Arial"/>
        </w:rPr>
      </w:pPr>
      <w:bookmarkStart w:id="4" w:name="_Toc9030"/>
      <w:r>
        <w:rPr>
          <w:rFonts w:ascii="Arial" w:eastAsia="Arial" w:hAnsi="Arial" w:cs="Arial"/>
          <w:b/>
          <w:bCs/>
          <w:color w:val="2E5395"/>
          <w:sz w:val="24"/>
          <w:szCs w:val="24"/>
        </w:rPr>
        <w:t>1.3 Motivation, Empathy, and Social Skills</w:t>
      </w:r>
      <w:bookmarkEnd w:id="4"/>
    </w:p>
    <w:p w14:paraId="047DB106"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lastRenderedPageBreak/>
        <w:t>When things are unclear or things are falling apart, it will keep going with a focused quest for intrinsic goals that are not connected to an external prize. When faced with challenges, motivated employees respond by persevering and seeking solutions, instead of giving up (Matta and El Alam, 2023). Empathy is the most socially consequential skill in EI in team-based work, however. It comprises both cognitive empathy (understanding what persons may think) and affective empathy (sharing the emotions another person may have) and both are necessary for the establishment of trust and/or the resolution of interpersonal conflict situations (Salameh-</w:t>
      </w:r>
      <w:proofErr w:type="spellStart"/>
      <w:r>
        <w:rPr>
          <w:rFonts w:ascii="Arial" w:eastAsia="Geist Fallback" w:hAnsi="Arial" w:cs="Arial"/>
          <w:sz w:val="22"/>
        </w:rPr>
        <w:t>Ayanian</w:t>
      </w:r>
      <w:proofErr w:type="spellEnd"/>
      <w:r>
        <w:rPr>
          <w:rFonts w:ascii="Arial" w:eastAsia="Geist Fallback" w:hAnsi="Arial" w:cs="Arial"/>
          <w:sz w:val="22"/>
        </w:rPr>
        <w:t xml:space="preserve">, Tamer and Jabbour Al Maalouf, 2025). Empathetic listening enables a team member to determine if a colleague is "checked out", or if he or she is suppressing unhappiness </w:t>
      </w:r>
      <w:proofErr w:type="gramStart"/>
      <w:r>
        <w:rPr>
          <w:rFonts w:ascii="Arial" w:eastAsia="Geist Fallback" w:hAnsi="Arial" w:cs="Arial"/>
          <w:sz w:val="22"/>
        </w:rPr>
        <w:t>in order to</w:t>
      </w:r>
      <w:proofErr w:type="gramEnd"/>
      <w:r>
        <w:rPr>
          <w:rFonts w:ascii="Arial" w:eastAsia="Geist Fallback" w:hAnsi="Arial" w:cs="Arial"/>
          <w:sz w:val="22"/>
        </w:rPr>
        <w:t xml:space="preserve"> appear calm, resulting in a supportive rather than a punitive response. They can express themselves through persuasive speech, negotiation, and effective relationship management; they bring their internal skill sets (self-awareness and empathy) to the external actions and interactions they observe in their work relationships. The findings from negotiations research indicate that when individuals manage their cognition and </w:t>
      </w:r>
      <w:proofErr w:type="gramStart"/>
      <w:r>
        <w:rPr>
          <w:rFonts w:ascii="Arial" w:eastAsia="Geist Fallback" w:hAnsi="Arial" w:cs="Arial"/>
          <w:sz w:val="22"/>
        </w:rPr>
        <w:t>emotions</w:t>
      </w:r>
      <w:proofErr w:type="gramEnd"/>
      <w:r>
        <w:rPr>
          <w:rFonts w:ascii="Arial" w:eastAsia="Geist Fallback" w:hAnsi="Arial" w:cs="Arial"/>
          <w:sz w:val="22"/>
        </w:rPr>
        <w:t xml:space="preserve"> they have better chances of making more constructive negotiation outcomes than those who only manage their cognition. These four competences, when deployed together, would not be viewed as isolated qualities; rather, they work as a dynamic system: failure to use self-regulation skills would negatively affect the expression of empathy in the short-run; substandard levels of empathy and poor regulation skills in turn would relate to social skills that were poor and seeing the issue only in terms of a single situation and over a short time frame.</w:t>
      </w:r>
    </w:p>
    <w:p w14:paraId="047DB107" w14:textId="77777777" w:rsidR="003F4D6B" w:rsidRDefault="00E56CAB">
      <w:pPr>
        <w:pStyle w:val="Heading2"/>
        <w:spacing w:before="240" w:after="160" w:line="360" w:lineRule="auto"/>
        <w:jc w:val="both"/>
        <w:rPr>
          <w:rFonts w:ascii="Arial" w:hAnsi="Arial" w:cs="Arial"/>
        </w:rPr>
      </w:pPr>
      <w:bookmarkStart w:id="5" w:name="_Toc23446"/>
      <w:r>
        <w:rPr>
          <w:rFonts w:ascii="Arial" w:eastAsia="Arial" w:hAnsi="Arial" w:cs="Arial"/>
          <w:b/>
          <w:bCs/>
          <w:color w:val="2E5395"/>
          <w:sz w:val="24"/>
          <w:szCs w:val="24"/>
        </w:rPr>
        <w:t>1.4 Emotional Intelligence and Communication</w:t>
      </w:r>
      <w:bookmarkEnd w:id="5"/>
    </w:p>
    <w:p w14:paraId="047DB108"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 xml:space="preserve">Communication is more than just words – it's about "how" something is said, the connotations in non-verbal communication and in unspoken fears. Those who have high EI are better able to gauge how engaged another coworker is and adapt that engagement into how they communicate rather than employing only one register in all interactions, conversations, etc. The ability to listen to others, pay attention to them, without offering premature evaluations or judgments and echoing their message back is an expression of the empathy and social skills abilities of Goleman's model, and is directly connected to the branch of the Mayer-Salovey model concerned with using emotions for thought, because the ability to read the emotional signals before moving forward facilitates reasoning and the return or response. Emotional </w:t>
      </w:r>
      <w:proofErr w:type="spellStart"/>
      <w:r>
        <w:rPr>
          <w:rFonts w:ascii="Arial" w:eastAsia="Geist Fallback" w:hAnsi="Arial" w:cs="Arial"/>
          <w:sz w:val="22"/>
        </w:rPr>
        <w:t>attunement</w:t>
      </w:r>
      <w:proofErr w:type="spellEnd"/>
      <w:r>
        <w:rPr>
          <w:rFonts w:ascii="Arial" w:eastAsia="Geist Fallback" w:hAnsi="Arial" w:cs="Arial"/>
          <w:sz w:val="22"/>
        </w:rPr>
        <w:t xml:space="preserve"> is demonstrated as an indicator of the clarity in which teams </w:t>
      </w:r>
      <w:proofErr w:type="gramStart"/>
      <w:r>
        <w:rPr>
          <w:rFonts w:ascii="Arial" w:eastAsia="Geist Fallback" w:hAnsi="Arial" w:cs="Arial"/>
          <w:sz w:val="22"/>
        </w:rPr>
        <w:t>are able to</w:t>
      </w:r>
      <w:proofErr w:type="gramEnd"/>
      <w:r>
        <w:rPr>
          <w:rFonts w:ascii="Arial" w:eastAsia="Geist Fallback" w:hAnsi="Arial" w:cs="Arial"/>
          <w:sz w:val="22"/>
        </w:rPr>
        <w:t xml:space="preserve"> share information, and the absence of unresolved lack of understanding (Schlegel et al., 2018). The same abilities are applied in perspective taking, when thinking about what a colleague is likely to have been feeling or saying, before responding; turning a colleague's withdrawal and </w:t>
      </w:r>
      <w:r>
        <w:rPr>
          <w:rFonts w:ascii="Arial" w:eastAsia="Geist Fallback" w:hAnsi="Arial" w:cs="Arial"/>
          <w:sz w:val="22"/>
        </w:rPr>
        <w:lastRenderedPageBreak/>
        <w:t>brusque tone into a signal for which there is a supportive question to explore. A related discipline to constructive feedback delivery is to deliver feedback on specific behaviour instead of character – and to couple this with feedback on effort reduces the risk of the type of response that can be a significant obstacle to a useful conversation.</w:t>
      </w:r>
    </w:p>
    <w:p w14:paraId="047DB109" w14:textId="77777777" w:rsidR="003F4D6B" w:rsidRDefault="00E56CAB">
      <w:pPr>
        <w:pStyle w:val="Heading2"/>
        <w:spacing w:before="240" w:after="160" w:line="360" w:lineRule="auto"/>
        <w:jc w:val="both"/>
        <w:rPr>
          <w:rFonts w:ascii="Arial" w:hAnsi="Arial" w:cs="Arial"/>
        </w:rPr>
      </w:pPr>
      <w:bookmarkStart w:id="6" w:name="_Toc28842"/>
      <w:r>
        <w:rPr>
          <w:rFonts w:ascii="Arial" w:eastAsia="Arial" w:hAnsi="Arial" w:cs="Arial"/>
          <w:b/>
          <w:bCs/>
          <w:color w:val="2E5395"/>
          <w:sz w:val="24"/>
          <w:szCs w:val="24"/>
        </w:rPr>
        <w:t>1.5 Emotional Intelligence and Conflict Management</w:t>
      </w:r>
      <w:bookmarkEnd w:id="6"/>
    </w:p>
    <w:p w14:paraId="047DB10A"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There will always be conflict when working collaboratively, whether it is when someone falls behind on their schedule, doesn't participate, or provides any kind of feedback that's given without tact. EI doesn't stop conflict from happening but rather involves changing the way that conflict is processed and resolved. Structured and emotionally intelligent conflict will usually follow a predictable path: confront the conflict as a conflict rather than in silence, listen to both sides' point of view fully, share with the other side the needs each is trying to meet, brainstorm the options, decide to move forward by reaching an agreement and conduct a follow-up check. It utilizes self-regulation to avoid going into an escalatory defensive mode, thus making others feel the opposite of their experience before they participate in problem-solving. In a systematic review of the field, emotionally intelligent teams tend to deal with conflicts in a more constructive way, resulting in better job satisfaction scores after conflict than suppressive or hierarchical teams (</w:t>
      </w:r>
      <w:proofErr w:type="spellStart"/>
      <w:r>
        <w:rPr>
          <w:rFonts w:ascii="Arial" w:eastAsia="Geist Fallback" w:hAnsi="Arial" w:cs="Arial"/>
          <w:sz w:val="22"/>
        </w:rPr>
        <w:t>Woime</w:t>
      </w:r>
      <w:proofErr w:type="spellEnd"/>
      <w:r>
        <w:rPr>
          <w:rFonts w:ascii="Arial" w:eastAsia="Geist Fallback" w:hAnsi="Arial" w:cs="Arial"/>
          <w:sz w:val="22"/>
        </w:rPr>
        <w:t xml:space="preserve"> and </w:t>
      </w:r>
      <w:proofErr w:type="spellStart"/>
      <w:r>
        <w:rPr>
          <w:rFonts w:ascii="Arial" w:eastAsia="Geist Fallback" w:hAnsi="Arial" w:cs="Arial"/>
          <w:sz w:val="22"/>
        </w:rPr>
        <w:t>Shato</w:t>
      </w:r>
      <w:proofErr w:type="spellEnd"/>
      <w:r>
        <w:rPr>
          <w:rFonts w:ascii="Arial" w:eastAsia="Geist Fallback" w:hAnsi="Arial" w:cs="Arial"/>
          <w:sz w:val="22"/>
        </w:rPr>
        <w:t>, 2025). Bar-On's model is especially pertinent here, because both of his stress management and adaptability factors relate to the ability to remain flexible and solution-focused – just when interpersonal stress is greatest.</w:t>
      </w:r>
    </w:p>
    <w:p w14:paraId="047DB10B" w14:textId="77777777" w:rsidR="003F4D6B" w:rsidRDefault="00E56CAB">
      <w:pPr>
        <w:pStyle w:val="Heading2"/>
        <w:spacing w:before="240" w:after="160" w:line="360" w:lineRule="auto"/>
        <w:jc w:val="both"/>
        <w:rPr>
          <w:rFonts w:ascii="Arial" w:hAnsi="Arial" w:cs="Arial"/>
        </w:rPr>
      </w:pPr>
      <w:bookmarkStart w:id="7" w:name="_Toc3863"/>
      <w:r>
        <w:rPr>
          <w:rFonts w:ascii="Arial" w:eastAsia="Arial" w:hAnsi="Arial" w:cs="Arial"/>
          <w:b/>
          <w:bCs/>
          <w:color w:val="2E5395"/>
          <w:sz w:val="24"/>
          <w:szCs w:val="24"/>
        </w:rPr>
        <w:t>1.6 Emotional Intelligence, Leadership, and Decision-Making</w:t>
      </w:r>
      <w:bookmarkEnd w:id="7"/>
    </w:p>
    <w:p w14:paraId="047DB10C"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The leadership facet of EI is one of the areas studied more than any other area of EI. EI leaders provide the INVITING ETYPS (Psychology, Trust, Openness, and Not being Humiliated), and have their willingness to bring concerns, acknowledge wrongdoing, and offer ideas as part of the psychological—and under these environmental and psychological conditions, wrongdoing is only preceded by the word “I.” In a large cross-sector study, all five dimensions of the Goleman model were positively associated with employees' performance, and self-regulation and empathy and the strongest predictors (Salameh-</w:t>
      </w:r>
      <w:proofErr w:type="spellStart"/>
      <w:r>
        <w:rPr>
          <w:rFonts w:ascii="Arial" w:eastAsia="Geist Fallback" w:hAnsi="Arial" w:cs="Arial"/>
          <w:sz w:val="22"/>
        </w:rPr>
        <w:t>Ayanian</w:t>
      </w:r>
      <w:proofErr w:type="spellEnd"/>
      <w:r>
        <w:rPr>
          <w:rFonts w:ascii="Arial" w:eastAsia="Geist Fallback" w:hAnsi="Arial" w:cs="Arial"/>
          <w:sz w:val="22"/>
        </w:rPr>
        <w:t xml:space="preserve">, Tamer and Jabbour Al Maalouf, 2025). </w:t>
      </w:r>
      <w:proofErr w:type="spellStart"/>
      <w:r>
        <w:rPr>
          <w:rFonts w:ascii="Arial" w:eastAsia="Geist Fallback" w:hAnsi="Arial" w:cs="Arial"/>
          <w:sz w:val="22"/>
        </w:rPr>
        <w:t>Alwali</w:t>
      </w:r>
      <w:proofErr w:type="spellEnd"/>
      <w:r>
        <w:rPr>
          <w:rFonts w:ascii="Arial" w:eastAsia="Geist Fallback" w:hAnsi="Arial" w:cs="Arial"/>
          <w:sz w:val="22"/>
        </w:rPr>
        <w:t xml:space="preserve"> and </w:t>
      </w:r>
      <w:proofErr w:type="spellStart"/>
      <w:r>
        <w:rPr>
          <w:rFonts w:ascii="Arial" w:eastAsia="Geist Fallback" w:hAnsi="Arial" w:cs="Arial"/>
          <w:sz w:val="22"/>
        </w:rPr>
        <w:t>Alwali</w:t>
      </w:r>
      <w:proofErr w:type="spellEnd"/>
      <w:r>
        <w:rPr>
          <w:rFonts w:ascii="Arial" w:eastAsia="Geist Fallback" w:hAnsi="Arial" w:cs="Arial"/>
          <w:sz w:val="22"/>
        </w:rPr>
        <w:t xml:space="preserve"> found that the relationship between emotional intelligence leadership and its performance variables occurs partly through job satisfaction. </w:t>
      </w:r>
      <w:proofErr w:type="spellStart"/>
      <w:r>
        <w:rPr>
          <w:rFonts w:ascii="Arial" w:eastAsia="Geist Fallback" w:hAnsi="Arial" w:cs="Arial"/>
          <w:sz w:val="22"/>
        </w:rPr>
        <w:t>Alwali</w:t>
      </w:r>
      <w:proofErr w:type="spellEnd"/>
      <w:r>
        <w:rPr>
          <w:rFonts w:ascii="Arial" w:eastAsia="Geist Fallback" w:hAnsi="Arial" w:cs="Arial"/>
          <w:sz w:val="22"/>
        </w:rPr>
        <w:t xml:space="preserve"> and </w:t>
      </w:r>
      <w:proofErr w:type="spellStart"/>
      <w:r>
        <w:rPr>
          <w:rFonts w:ascii="Arial" w:eastAsia="Geist Fallback" w:hAnsi="Arial" w:cs="Arial"/>
          <w:sz w:val="22"/>
        </w:rPr>
        <w:t>Alwali</w:t>
      </w:r>
      <w:proofErr w:type="spellEnd"/>
      <w:r>
        <w:rPr>
          <w:rFonts w:ascii="Arial" w:eastAsia="Geist Fallback" w:hAnsi="Arial" w:cs="Arial"/>
          <w:sz w:val="22"/>
        </w:rPr>
        <w:t xml:space="preserve"> (2022) found a relationship between EI leadership and Job Satisfaction, and Job Satisfaction and performance variables. The “facilitating thought” section of the Mayer-Salovey model applies directly to decision making: a leader who is able to use his or her own emotions as an indicator of the situation — and who is not suppressing them — is likely to make more context-appropriate decisions, especially in an ambiguous or high-stakes </w:t>
      </w:r>
      <w:r>
        <w:rPr>
          <w:rFonts w:ascii="Arial" w:eastAsia="Geist Fallback" w:hAnsi="Arial" w:cs="Arial"/>
          <w:sz w:val="22"/>
        </w:rPr>
        <w:lastRenderedPageBreak/>
        <w:t>situation. This is not to say that emotions should be the sole determinants in decision making but that to not process both emotional information (one's own and other people's) raises the likelihood that the decisions will be technically correct but socially or ethically incorrect. Bar-On's model on authorization of a team's emotions is another angle on this, as the leader's general attitudes and moods (or, pessimism vs optimism) tend to shape how he or she communicates the content of a proposal, a failure result, and a risk. Authorization of negative affect by a leader is clearly visibly affecting how he or she is communicating the content and a consistently negative or volatile leader affect is related to subordinates feeling less engaged and willing to go the extra mile.</w:t>
      </w:r>
    </w:p>
    <w:p w14:paraId="047DB10D" w14:textId="77777777" w:rsidR="003F4D6B" w:rsidRDefault="00E56CAB">
      <w:pPr>
        <w:pStyle w:val="Heading2"/>
        <w:spacing w:before="240" w:after="160" w:line="360" w:lineRule="auto"/>
        <w:jc w:val="both"/>
        <w:rPr>
          <w:rFonts w:ascii="Arial" w:hAnsi="Arial" w:cs="Arial"/>
        </w:rPr>
      </w:pPr>
      <w:bookmarkStart w:id="8" w:name="_Toc5059"/>
      <w:r>
        <w:rPr>
          <w:rFonts w:ascii="Arial" w:eastAsia="Arial" w:hAnsi="Arial" w:cs="Arial"/>
          <w:b/>
          <w:bCs/>
          <w:color w:val="2E5395"/>
          <w:sz w:val="24"/>
          <w:szCs w:val="24"/>
        </w:rPr>
        <w:t>1.7 Critical Evaluation and Limits of the Models</w:t>
      </w:r>
      <w:bookmarkEnd w:id="8"/>
    </w:p>
    <w:p w14:paraId="047DB10E"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There are limitations to each model that may be noted by leaders prior to its uncritical application. There have been critiques to Goleman's mixed model because it does not clearly distinguish between the competencies that are “emotional” and those that are not; that is, they tend to merge into general abilities of personality (Joseph and Newman, 2010). While this model provides more psychometric rigour, it is not so familiar, as Black typically embraces a language that is more sensationalist and therefore less accepted in the applied training setting than links to Mayer-Salovey's ability construct. Since the Bar-On model uses self-report measures, the possibility of social-desirability bias exists, that is, employees report higher levels of emotional competency than other employees would rate them. Despite these constraints, the close convergence between all three frameworks (the measurable and helpful link of emotional self-management and interpersonal sensitivity to workplace outcomes) lays an acceptable ground for making the investment in EI development during recruitment, appraisal and leadership development as well as ensuring that organisations are aware that EI is just one ingredients that contributes to what they can deliver in terms of workplace performance, not the guarantee of the same.</w:t>
      </w:r>
    </w:p>
    <w:p w14:paraId="047DB10F" w14:textId="77777777" w:rsidR="003F4D6B" w:rsidRDefault="00E56CAB">
      <w:pPr>
        <w:pStyle w:val="Heading1"/>
        <w:spacing w:before="300" w:after="200" w:line="360" w:lineRule="auto"/>
        <w:jc w:val="both"/>
        <w:rPr>
          <w:rFonts w:ascii="Arial" w:hAnsi="Arial" w:cs="Arial"/>
        </w:rPr>
      </w:pPr>
      <w:bookmarkStart w:id="9" w:name="_Toc15126"/>
      <w:r>
        <w:rPr>
          <w:rFonts w:ascii="Arial" w:eastAsia="Arial" w:hAnsi="Arial" w:cs="Arial"/>
          <w:b/>
          <w:bCs/>
          <w:color w:val="1F3864"/>
          <w:sz w:val="28"/>
          <w:szCs w:val="28"/>
        </w:rPr>
        <w:t>Task 2: Managing a Multigenerational Workforce</w:t>
      </w:r>
      <w:bookmarkEnd w:id="9"/>
    </w:p>
    <w:p w14:paraId="047DB110" w14:textId="77777777" w:rsidR="003F4D6B" w:rsidRDefault="00E56CAB">
      <w:pPr>
        <w:pStyle w:val="Heading2"/>
        <w:spacing w:before="240" w:after="160" w:line="360" w:lineRule="auto"/>
        <w:jc w:val="both"/>
        <w:rPr>
          <w:rFonts w:ascii="Arial" w:hAnsi="Arial" w:cs="Arial"/>
        </w:rPr>
      </w:pPr>
      <w:bookmarkStart w:id="10" w:name="_Toc25995"/>
      <w:r>
        <w:rPr>
          <w:rFonts w:ascii="Arial" w:eastAsia="Arial" w:hAnsi="Arial" w:cs="Arial"/>
          <w:b/>
          <w:bCs/>
          <w:color w:val="2E5395"/>
          <w:sz w:val="24"/>
          <w:szCs w:val="24"/>
        </w:rPr>
        <w:t>2.1 The Contemporary Multigenerational Context</w:t>
      </w:r>
      <w:bookmarkEnd w:id="10"/>
    </w:p>
    <w:p w14:paraId="047DB111"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 xml:space="preserve">Current workplaces often </w:t>
      </w:r>
      <w:proofErr w:type="gramStart"/>
      <w:r>
        <w:rPr>
          <w:rFonts w:ascii="Arial" w:eastAsia="Geist Fallback" w:hAnsi="Arial" w:cs="Arial"/>
          <w:sz w:val="22"/>
        </w:rPr>
        <w:t>have to</w:t>
      </w:r>
      <w:proofErr w:type="gramEnd"/>
      <w:r>
        <w:rPr>
          <w:rFonts w:ascii="Arial" w:eastAsia="Geist Fallback" w:hAnsi="Arial" w:cs="Arial"/>
          <w:sz w:val="22"/>
        </w:rPr>
        <w:t xml:space="preserve"> deal with up to four generations at a time because these generations grow up under various economic, technological and social circumstances (</w:t>
      </w:r>
      <w:proofErr w:type="spellStart"/>
      <w:r>
        <w:rPr>
          <w:rFonts w:ascii="Arial" w:eastAsia="Geist Fallback" w:hAnsi="Arial" w:cs="Arial"/>
          <w:sz w:val="22"/>
        </w:rPr>
        <w:t>Krajac</w:t>
      </w:r>
      <w:proofErr w:type="spellEnd"/>
      <w:r>
        <w:rPr>
          <w:rFonts w:ascii="Arial" w:eastAsia="Geist Fallback" w:hAnsi="Arial" w:cs="Arial"/>
          <w:sz w:val="22"/>
        </w:rPr>
        <w:t xml:space="preserve"> and Samardzija, 2024). For purposes of this report, the three generations most specifically mentioned in the SMT's brief will be Generation X (born approximately 1965-1980), Generation Y (also referred to as the “Millennial Gen Program” born approximately 1981-1996) and Generation Z also known as the “Digital Generation” (born approximately 1997-2012). </w:t>
      </w:r>
      <w:r>
        <w:rPr>
          <w:rFonts w:ascii="Arial" w:eastAsia="Geist Fallback" w:hAnsi="Arial" w:cs="Arial"/>
          <w:sz w:val="22"/>
        </w:rPr>
        <w:lastRenderedPageBreak/>
        <w:t xml:space="preserve">While the groupings are somewhat rough and ragged in the literature, they provide a useful informer heuristic for managing varying anticipations of communication and motivation and the technology that can support these, without assuming generational labels are determinative and limited to stereotyping people </w:t>
      </w:r>
      <w:proofErr w:type="gramStart"/>
      <w:r>
        <w:rPr>
          <w:rFonts w:ascii="Arial" w:eastAsia="Geist Fallback" w:hAnsi="Arial" w:cs="Arial"/>
          <w:sz w:val="22"/>
        </w:rPr>
        <w:t>on the basis of</w:t>
      </w:r>
      <w:proofErr w:type="gramEnd"/>
      <w:r>
        <w:rPr>
          <w:rFonts w:ascii="Arial" w:eastAsia="Geist Fallback" w:hAnsi="Arial" w:cs="Arial"/>
          <w:sz w:val="22"/>
        </w:rPr>
        <w:t xml:space="preserve"> that alone. According to generational cohort theory, attitudes are essentially common to the generation that can be largely said to result from experiences of formative historical, economic and technological events, rather than from age per se; hence, generational analysis is considered a tool for predicting trends, if not behaviour.</w:t>
      </w:r>
    </w:p>
    <w:p w14:paraId="047DB112" w14:textId="77777777" w:rsidR="003F4D6B" w:rsidRDefault="00E56CAB">
      <w:pPr>
        <w:pStyle w:val="Heading2"/>
        <w:spacing w:before="240" w:after="160" w:line="360" w:lineRule="auto"/>
        <w:jc w:val="both"/>
        <w:rPr>
          <w:rFonts w:ascii="Arial" w:hAnsi="Arial" w:cs="Arial"/>
        </w:rPr>
      </w:pPr>
      <w:bookmarkStart w:id="11" w:name="_Toc908"/>
      <w:r>
        <w:rPr>
          <w:rFonts w:ascii="Arial" w:eastAsia="Arial" w:hAnsi="Arial" w:cs="Arial"/>
          <w:b/>
          <w:bCs/>
          <w:color w:val="2E5395"/>
          <w:sz w:val="24"/>
          <w:szCs w:val="24"/>
        </w:rPr>
        <w:t>2.2 Generation X: Independence and Pragmatism</w:t>
      </w:r>
      <w:bookmarkEnd w:id="11"/>
    </w:p>
    <w:p w14:paraId="047DB113"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Designed to meet the demands of a changing economy and increased job insecurity, Generation X had a pragmatic, self-reliant approach to work. This generation is more self-governing, results-driven and has a good idea of a work-life balance, having not experienced the long hours culture of the previous generations but that doesn't mean they believe in it. Z Generation workers usually prefer to have a direct, efficient channel of communication (like an email or a face-to-face conversation), rather than follow long message-threads on a phone or computer. This generation is also likely to be assigned to positions that fall into the middle management band, and they are often caught between two contrasting generations of supervisors, colleagues, and subordinates, who are at very different stages of the process of socialization into a hierarchy, meaning they need to possess a considerable amount of emotional and social flexibility (</w:t>
      </w:r>
      <w:proofErr w:type="spellStart"/>
      <w:r>
        <w:rPr>
          <w:rFonts w:ascii="Arial" w:eastAsia="Geist Fallback" w:hAnsi="Arial" w:cs="Arial"/>
          <w:sz w:val="22"/>
        </w:rPr>
        <w:t>Krajac</w:t>
      </w:r>
      <w:proofErr w:type="spellEnd"/>
      <w:r>
        <w:rPr>
          <w:rFonts w:ascii="Arial" w:eastAsia="Geist Fallback" w:hAnsi="Arial" w:cs="Arial"/>
          <w:sz w:val="22"/>
        </w:rPr>
        <w:t xml:space="preserve"> and Samardzija, 2024)</w:t>
      </w:r>
    </w:p>
    <w:p w14:paraId="047DB114" w14:textId="77777777" w:rsidR="003F4D6B" w:rsidRDefault="00E56CAB">
      <w:pPr>
        <w:pStyle w:val="Heading2"/>
        <w:spacing w:before="240" w:after="160" w:line="360" w:lineRule="auto"/>
        <w:jc w:val="both"/>
        <w:rPr>
          <w:rFonts w:ascii="Arial" w:hAnsi="Arial" w:cs="Arial"/>
        </w:rPr>
      </w:pPr>
      <w:bookmarkStart w:id="12" w:name="_Toc5464"/>
      <w:r>
        <w:rPr>
          <w:rFonts w:ascii="Arial" w:eastAsia="Arial" w:hAnsi="Arial" w:cs="Arial"/>
          <w:b/>
          <w:bCs/>
          <w:color w:val="2E5395"/>
          <w:sz w:val="24"/>
          <w:szCs w:val="24"/>
        </w:rPr>
        <w:t>2.3 Generation Y (Millennials): Purpose and Feedback</w:t>
      </w:r>
      <w:bookmarkEnd w:id="12"/>
    </w:p>
    <w:p w14:paraId="047DB115"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 xml:space="preserve">Millennials have grown up in a period of semantic, technological and economic growth, and in many economies, the 2008 financial crisis, giving them a higher value placed on purpose, transparency and continuous learning rather than hierarchy. This group also appreciates frequent and positive feedback more than formal semi-annual reviews, as they may only have informal reviews. A collaborative, team-based working structure preference, and a comfort level with hybrid or blended communication channels that include face-to-face and digital aspects are also evident among millennials </w:t>
      </w:r>
      <w:proofErr w:type="gramStart"/>
      <w:r>
        <w:rPr>
          <w:rFonts w:ascii="Arial" w:eastAsia="Geist Fallback" w:hAnsi="Arial" w:cs="Arial"/>
          <w:sz w:val="22"/>
        </w:rPr>
        <w:t xml:space="preserve">( </w:t>
      </w:r>
      <w:proofErr w:type="spellStart"/>
      <w:r>
        <w:rPr>
          <w:rFonts w:ascii="Arial" w:eastAsia="Geist Fallback" w:hAnsi="Arial" w:cs="Arial"/>
          <w:sz w:val="22"/>
        </w:rPr>
        <w:t>Gabrielova</w:t>
      </w:r>
      <w:proofErr w:type="spellEnd"/>
      <w:proofErr w:type="gramEnd"/>
      <w:r>
        <w:rPr>
          <w:rFonts w:ascii="Arial" w:eastAsia="Geist Fallback" w:hAnsi="Arial" w:cs="Arial"/>
          <w:sz w:val="22"/>
        </w:rPr>
        <w:t xml:space="preserve"> and Buchko, 2021). To ensure that millennials stay at the organisation, employers are encouraged to relate work specifically to the organisation's purpose, and many cited their sense of meaningfulness as a source of disenchantment and resignation.</w:t>
      </w:r>
    </w:p>
    <w:p w14:paraId="047DB116" w14:textId="77777777" w:rsidR="003F4D6B" w:rsidRDefault="00E56CAB">
      <w:pPr>
        <w:pStyle w:val="Heading2"/>
        <w:spacing w:before="240" w:after="160" w:line="360" w:lineRule="auto"/>
        <w:jc w:val="both"/>
        <w:rPr>
          <w:rFonts w:ascii="Arial" w:hAnsi="Arial" w:cs="Arial"/>
        </w:rPr>
      </w:pPr>
      <w:bookmarkStart w:id="13" w:name="_Toc4279"/>
      <w:r>
        <w:rPr>
          <w:rFonts w:ascii="Arial" w:eastAsia="Arial" w:hAnsi="Arial" w:cs="Arial"/>
          <w:b/>
          <w:bCs/>
          <w:color w:val="2E5395"/>
          <w:sz w:val="24"/>
          <w:szCs w:val="24"/>
        </w:rPr>
        <w:t>2.4 Generation Z: Digital Fluency and Well-being</w:t>
      </w:r>
      <w:bookmarkEnd w:id="13"/>
    </w:p>
    <w:p w14:paraId="047DB117"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lastRenderedPageBreak/>
        <w:t>Generation Z is the first generation never to have lived in a smartphone-less world, which impacts on the way that they communicate and how they expect employers to communicate with them. Academic interest reflected in bibliometric analysis of workplace research has increased in recent years regarding Generation Z's shift towards flexible, digitally mediated work forms, their increased focus on support for mental health and well-being, and their lower tolerance for undefined and/or purely transactional employment relationships (Benítez-Márquez et al., 2022). Generation Z workers tend to demand quick and formalised induction, non-precious feedback, and committed action from the employer to social responsibility and inclusion within the organisation (Benítez-Márquez et al., 2022). Meanwhile, a few sources state that Generation Z might have trouble sustaining their motivation when the short-term rewards are not clearly marked, meaning they might need more frequent goals and rewards than previous generations did.</w:t>
      </w:r>
    </w:p>
    <w:p w14:paraId="047DB118" w14:textId="77777777" w:rsidR="003F4D6B" w:rsidRDefault="00E56CAB">
      <w:pPr>
        <w:pStyle w:val="Heading2"/>
        <w:spacing w:before="240" w:after="160" w:line="360" w:lineRule="auto"/>
        <w:jc w:val="both"/>
        <w:rPr>
          <w:rFonts w:ascii="Arial" w:hAnsi="Arial" w:cs="Arial"/>
        </w:rPr>
      </w:pPr>
      <w:bookmarkStart w:id="14" w:name="_Toc28612"/>
      <w:r>
        <w:rPr>
          <w:rFonts w:ascii="Arial" w:eastAsia="Arial" w:hAnsi="Arial" w:cs="Arial"/>
          <w:b/>
          <w:bCs/>
          <w:color w:val="2E5395"/>
          <w:sz w:val="24"/>
          <w:szCs w:val="24"/>
        </w:rPr>
        <w:t>2.5 Generational Differences as Both Asset and Risk</w:t>
      </w:r>
      <w:bookmarkEnd w:id="14"/>
    </w:p>
    <w:p w14:paraId="047DB119"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 xml:space="preserve">How these differences in values and understanding are dealt with can be either a strength or a weakness for organisations. Different generations may offer different viewpoints that enhance problem-solving and innovativeness: younger employees may be technologically savvy, older ones experienced and knowledgeable about the institution. But the difference, or how it is perceived, is accentuated by communication preferences; a Generation X, maybe more formal and succinct, than a Generation Z, which favours frequent check-ins, informal communication, may be interpreted as disinterested or too pushy to pay attention, and will require a different generational interpretation from the managers if they lack empathy and perspective-taking. Untreated, these disconnections can lead to ongoing low-level conflict, decreased trust and increased staff turnover by that Godforsaken generation! This is a critical factor for recruitment and retention: if the job design or benefits package is based on a system that </w:t>
      </w:r>
      <w:proofErr w:type="spellStart"/>
      <w:r>
        <w:rPr>
          <w:rFonts w:ascii="Arial" w:eastAsia="Geist Fallback" w:hAnsi="Arial" w:cs="Arial"/>
          <w:sz w:val="22"/>
        </w:rPr>
        <w:t>favors</w:t>
      </w:r>
      <w:proofErr w:type="spellEnd"/>
      <w:r>
        <w:rPr>
          <w:rFonts w:ascii="Arial" w:eastAsia="Geist Fallback" w:hAnsi="Arial" w:cs="Arial"/>
          <w:sz w:val="22"/>
        </w:rPr>
        <w:t xml:space="preserve"> one generation over the others, such as organizing a structure that emphasizes a set of rigid, long hours for job promotion, it could alienate candidates and current jobholders who are part of the different generations, and that for different reasons.</w:t>
      </w:r>
    </w:p>
    <w:p w14:paraId="047DB11A" w14:textId="77777777" w:rsidR="003F4D6B" w:rsidRDefault="00E56CAB">
      <w:pPr>
        <w:pStyle w:val="Heading2"/>
        <w:spacing w:before="240" w:after="160" w:line="360" w:lineRule="auto"/>
        <w:jc w:val="both"/>
        <w:rPr>
          <w:rFonts w:ascii="Arial" w:hAnsi="Arial" w:cs="Arial"/>
        </w:rPr>
      </w:pPr>
      <w:bookmarkStart w:id="15" w:name="_Toc29905"/>
      <w:r>
        <w:rPr>
          <w:rFonts w:ascii="Arial" w:eastAsia="Arial" w:hAnsi="Arial" w:cs="Arial"/>
          <w:b/>
          <w:bCs/>
          <w:color w:val="2E5395"/>
          <w:sz w:val="24"/>
          <w:szCs w:val="24"/>
        </w:rPr>
        <w:t>2.6 Applying Emotional Intelligence and Mindfulness Across Generations</w:t>
      </w:r>
      <w:bookmarkEnd w:id="15"/>
    </w:p>
    <w:p w14:paraId="047DB11B"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 xml:space="preserve">Emotional intelligence gives the action plan to turn generational diversity into asset. Self-awareness can enable a manager to identify his own stereotypical and preconceived ideas of generational preferences (such as "he's not serious" – that he is not available to work a regular 9 to 5 schedule) before they affect evaluations of performance. Empathy and social skills empower managers to tailor communication and recognition to each cohort, but never to devalue the somewhat more legitimate voices of the other. This leadership approach, defined </w:t>
      </w:r>
      <w:r>
        <w:rPr>
          <w:rFonts w:ascii="Arial" w:eastAsia="Geist Fallback" w:hAnsi="Arial" w:cs="Arial"/>
          <w:sz w:val="22"/>
        </w:rPr>
        <w:lastRenderedPageBreak/>
        <w:t>by the literature for Generation Z as inclusive, ethically grounded leadership, is the basis of this. From this adaptive capacity, the practice of mindfulness can help a manager become more aware and non-judgemental in real-time experience of interpersonal reactions that can ultimately help them prevent an ill-considered response based on the assumption of a generational stereotype, (</w:t>
      </w:r>
      <w:proofErr w:type="spellStart"/>
      <w:r>
        <w:rPr>
          <w:rFonts w:ascii="Arial" w:eastAsia="Geist Fallback" w:hAnsi="Arial" w:cs="Arial"/>
          <w:sz w:val="22"/>
        </w:rPr>
        <w:t>Panditharathne</w:t>
      </w:r>
      <w:proofErr w:type="spellEnd"/>
      <w:r>
        <w:rPr>
          <w:rFonts w:ascii="Arial" w:eastAsia="Geist Fallback" w:hAnsi="Arial" w:cs="Arial"/>
          <w:sz w:val="22"/>
        </w:rPr>
        <w:t xml:space="preserve"> and Chen, 2021). There </w:t>
      </w:r>
      <w:proofErr w:type="gramStart"/>
      <w:r>
        <w:rPr>
          <w:rFonts w:ascii="Arial" w:eastAsia="Geist Fallback" w:hAnsi="Arial" w:cs="Arial"/>
          <w:sz w:val="22"/>
        </w:rPr>
        <w:t>is</w:t>
      </w:r>
      <w:proofErr w:type="gramEnd"/>
      <w:r>
        <w:rPr>
          <w:rFonts w:ascii="Arial" w:eastAsia="Geist Fallback" w:hAnsi="Arial" w:cs="Arial"/>
          <w:sz w:val="22"/>
        </w:rPr>
        <w:t xml:space="preserve"> also evidence that organisational-level mindfulness interventions can increase workplace social capital and psychological safety, which are ultimately prerequisites for any generation of employees being able to express concerns or disagreement, without fear of penalty (Bonde et al., 2023). Specifically, for recruitment and retention, this means three things: incorporating EI elements, like empathetic listening and composure, into the interview and appraisal processes, instead of having a single set of steps that is applied to every staff member; creating a feedback and recognition system that is flexible and takes generational differences into account, rather than focusing solely on an annual appraisal cycle; and introducing low cost mindfulness or reflective-practice training for managers as an early intervention to build their capacity to lead across generational gaps.</w:t>
      </w:r>
    </w:p>
    <w:p w14:paraId="047DB11C" w14:textId="77777777" w:rsidR="003F4D6B" w:rsidRDefault="00E56CAB">
      <w:pPr>
        <w:pStyle w:val="Heading1"/>
        <w:spacing w:before="300" w:after="200" w:line="360" w:lineRule="auto"/>
        <w:jc w:val="both"/>
        <w:rPr>
          <w:rFonts w:ascii="Arial" w:hAnsi="Arial" w:cs="Arial"/>
        </w:rPr>
      </w:pPr>
      <w:bookmarkStart w:id="16" w:name="_Toc32256"/>
      <w:r>
        <w:rPr>
          <w:rFonts w:ascii="Arial" w:eastAsia="Arial" w:hAnsi="Arial" w:cs="Arial"/>
          <w:b/>
          <w:bCs/>
          <w:color w:val="1F3864"/>
          <w:sz w:val="28"/>
          <w:szCs w:val="28"/>
        </w:rPr>
        <w:t>Conclusion and Recommendations</w:t>
      </w:r>
      <w:bookmarkEnd w:id="16"/>
    </w:p>
    <w:p w14:paraId="047DB11D" w14:textId="77777777" w:rsidR="003F4D6B" w:rsidRDefault="00E56CAB">
      <w:pPr>
        <w:spacing w:after="200" w:line="360" w:lineRule="auto"/>
        <w:jc w:val="both"/>
        <w:rPr>
          <w:rFonts w:ascii="Arial" w:eastAsia="Geist Fallback" w:hAnsi="Arial" w:cs="Arial"/>
          <w:sz w:val="22"/>
        </w:rPr>
      </w:pPr>
      <w:r>
        <w:rPr>
          <w:rFonts w:ascii="Arial" w:eastAsia="Geist Fallback" w:hAnsi="Arial" w:cs="Arial"/>
          <w:sz w:val="22"/>
        </w:rPr>
        <w:t xml:space="preserve">The findings from the two tasks consistently point to three areas of consensus: emotional intelligence and self-awareness and self-regulation, motivation, empathy and social skills are measurable dimensions that significantly influence the quality of communication, conflict, decision-making, and employee performance, and it is not a feminine characteristic, nor is it a leadership periphery. Mindfulness practice has a direct impact on the underlying principles of EI at the organisational level, and a more indirect role at the individual level where it can help reinforce self-regulatory and empathetic foundations of EI. When used by a generational staff, EI helps leaders view inter-generational differences as being strength or force rather than weakness or conflict. A set of three suggestions for SMT strategic planning follows: (1) Use EI assessment and development as a component of leadership recruitment and evaluation; (2) Communicate and recognise in a way that responds to the needs of individual cohorts; and (3) Invest in mindfulness-based training as a scalable, </w:t>
      </w:r>
      <w:proofErr w:type="gramStart"/>
      <w:r>
        <w:rPr>
          <w:rFonts w:ascii="Arial" w:eastAsia="Geist Fallback" w:hAnsi="Arial" w:cs="Arial"/>
          <w:sz w:val="22"/>
        </w:rPr>
        <w:t>low cost</w:t>
      </w:r>
      <w:proofErr w:type="gramEnd"/>
      <w:r>
        <w:rPr>
          <w:rFonts w:ascii="Arial" w:eastAsia="Geist Fallback" w:hAnsi="Arial" w:cs="Arial"/>
          <w:sz w:val="22"/>
        </w:rPr>
        <w:t xml:space="preserve"> mechanism to build psychological safety, the lifeblood of inclusive, high-performing teams.</w:t>
      </w:r>
    </w:p>
    <w:p w14:paraId="047DB11E" w14:textId="77777777" w:rsidR="003F4D6B" w:rsidRDefault="00E56CAB">
      <w:pPr>
        <w:jc w:val="both"/>
        <w:rPr>
          <w:rFonts w:ascii="Arial" w:hAnsi="Arial" w:cs="Arial"/>
        </w:rPr>
      </w:pPr>
      <w:r>
        <w:rPr>
          <w:rFonts w:ascii="Arial" w:hAnsi="Arial" w:cs="Arial"/>
        </w:rPr>
        <w:br w:type="page"/>
      </w:r>
    </w:p>
    <w:p w14:paraId="047DB11F" w14:textId="77777777" w:rsidR="003F4D6B" w:rsidRDefault="00E56CAB">
      <w:pPr>
        <w:pStyle w:val="Heading1"/>
        <w:spacing w:before="300" w:after="200" w:line="360" w:lineRule="auto"/>
        <w:jc w:val="both"/>
        <w:rPr>
          <w:rFonts w:ascii="Arial" w:hAnsi="Arial" w:cs="Arial"/>
        </w:rPr>
      </w:pPr>
      <w:bookmarkStart w:id="17" w:name="_Toc23709"/>
      <w:r>
        <w:rPr>
          <w:rFonts w:ascii="Arial" w:eastAsia="Arial" w:hAnsi="Arial" w:cs="Arial"/>
          <w:b/>
          <w:bCs/>
          <w:color w:val="1F3864"/>
          <w:sz w:val="28"/>
          <w:szCs w:val="28"/>
        </w:rPr>
        <w:lastRenderedPageBreak/>
        <w:t>Reference List</w:t>
      </w:r>
      <w:bookmarkEnd w:id="17"/>
    </w:p>
    <w:p w14:paraId="047DB120" w14:textId="77777777" w:rsidR="003F4D6B" w:rsidRDefault="00E56CAB">
      <w:pPr>
        <w:spacing w:after="160" w:line="360" w:lineRule="auto"/>
        <w:ind w:left="720" w:hanging="720"/>
        <w:jc w:val="both"/>
        <w:rPr>
          <w:rFonts w:ascii="Arial" w:hAnsi="Arial" w:cs="Arial"/>
        </w:rPr>
      </w:pPr>
      <w:proofErr w:type="spellStart"/>
      <w:r>
        <w:rPr>
          <w:rFonts w:ascii="Arial" w:eastAsia="Arial" w:hAnsi="Arial" w:cs="Arial"/>
          <w:sz w:val="22"/>
        </w:rPr>
        <w:t>Alwali</w:t>
      </w:r>
      <w:proofErr w:type="spellEnd"/>
      <w:r>
        <w:rPr>
          <w:rFonts w:ascii="Arial" w:eastAsia="Arial" w:hAnsi="Arial" w:cs="Arial"/>
          <w:sz w:val="22"/>
        </w:rPr>
        <w:t xml:space="preserve">, J. and </w:t>
      </w:r>
      <w:proofErr w:type="spellStart"/>
      <w:r>
        <w:rPr>
          <w:rFonts w:ascii="Arial" w:eastAsia="Arial" w:hAnsi="Arial" w:cs="Arial"/>
          <w:sz w:val="22"/>
        </w:rPr>
        <w:t>Alwali</w:t>
      </w:r>
      <w:proofErr w:type="spellEnd"/>
      <w:r>
        <w:rPr>
          <w:rFonts w:ascii="Arial" w:eastAsia="Arial" w:hAnsi="Arial" w:cs="Arial"/>
          <w:sz w:val="22"/>
        </w:rPr>
        <w:t>, W. (2022) 'The relationship between emotional intelligence, transformational leadership, and performance: A test of the mediating role of job satisfaction', Leadership &amp; Organization Development Journal, 43(6), pp. 928–952. Available at: https://doi.org/10.1108/LODJ-10-2021-0486</w:t>
      </w:r>
    </w:p>
    <w:p w14:paraId="047DB121"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Bar-On, R. (1997) The Emotional Quotient Inventory (EQ-</w:t>
      </w:r>
      <w:proofErr w:type="spellStart"/>
      <w:r>
        <w:rPr>
          <w:rFonts w:ascii="Arial" w:eastAsia="Arial" w:hAnsi="Arial" w:cs="Arial"/>
          <w:sz w:val="22"/>
        </w:rPr>
        <w:t>i</w:t>
      </w:r>
      <w:proofErr w:type="spellEnd"/>
      <w:r>
        <w:rPr>
          <w:rFonts w:ascii="Arial" w:eastAsia="Arial" w:hAnsi="Arial" w:cs="Arial"/>
          <w:sz w:val="22"/>
        </w:rPr>
        <w:t>): Technical Manual. Toronto: Multi-Health Systems. Available at: https://search.worldcat.org/title/499738591</w:t>
      </w:r>
    </w:p>
    <w:p w14:paraId="047DB122"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Benítez-Márquez, M.D., Sánchez-Teba, E.M., Bermúdez-González, G. and Núñez-Rydman, E.S. (2022) 'Generation Z within the workforce and in the workplace: A bibliometric analysis', Frontiers in Psychology, 12, 736820. Available at: https://doi.org/10.3389/fpsyg.2021.736820</w:t>
      </w:r>
    </w:p>
    <w:p w14:paraId="047DB123"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Bonde, E., Mikkelsen, E., Fjorback, L. and Juul, L. (2023) 'The impact of an organizational-level mindfulness-based intervention on workplace social capital and psychological safety: A qualitative content analysis', Frontiers in Psychology, 14, 1112907. Available at: https://doi.org/10.3389/fpsyg.2023.1112907</w:t>
      </w:r>
    </w:p>
    <w:p w14:paraId="047DB124"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Gabrielova, K. and Buchko, A.A. (2021) 'Here comes generation Z: Millennials as managers', Business Horizons, 64(4), pp. 489–499. Available at: https://doi.org/10.1016/j.bushor.2021.02.013</w:t>
      </w:r>
    </w:p>
    <w:p w14:paraId="047DB125"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Goleman, D. (1995) Emotional Intelligence: Why It Can Matter More Than IQ. New York: Bantam Books. Available at: https://search.worldcat.org/title/32430189</w:t>
      </w:r>
    </w:p>
    <w:p w14:paraId="047DB126"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Joseph, D.L. and Newman, D.A. (2010) 'Emotional intelligence: An integrative meta-analysis and cascading model', Journal of Applied Psychology, 95(1), p. 54. Available at: https://doi.org/10.1037/a0017286</w:t>
      </w:r>
    </w:p>
    <w:p w14:paraId="047DB127" w14:textId="77777777" w:rsidR="003F4D6B" w:rsidRDefault="00E56CAB">
      <w:pPr>
        <w:spacing w:after="160" w:line="360" w:lineRule="auto"/>
        <w:ind w:left="720" w:hanging="720"/>
        <w:jc w:val="both"/>
        <w:rPr>
          <w:rFonts w:ascii="Arial" w:hAnsi="Arial" w:cs="Arial"/>
        </w:rPr>
      </w:pPr>
      <w:proofErr w:type="spellStart"/>
      <w:r>
        <w:rPr>
          <w:rFonts w:ascii="Arial" w:eastAsia="Arial" w:hAnsi="Arial" w:cs="Arial"/>
          <w:sz w:val="22"/>
        </w:rPr>
        <w:t>Krajac</w:t>
      </w:r>
      <w:proofErr w:type="spellEnd"/>
      <w:r>
        <w:rPr>
          <w:rFonts w:ascii="Arial" w:eastAsia="Arial" w:hAnsi="Arial" w:cs="Arial"/>
          <w:sz w:val="22"/>
        </w:rPr>
        <w:t xml:space="preserve">, K. and Samardzija, J. (2024) 'Workplace motivation across X, Y, and Z generations: An organizational </w:t>
      </w:r>
      <w:proofErr w:type="spellStart"/>
      <w:r>
        <w:rPr>
          <w:rFonts w:ascii="Arial" w:eastAsia="Arial" w:hAnsi="Arial" w:cs="Arial"/>
          <w:sz w:val="22"/>
        </w:rPr>
        <w:t>behavior</w:t>
      </w:r>
      <w:proofErr w:type="spellEnd"/>
      <w:r>
        <w:rPr>
          <w:rFonts w:ascii="Arial" w:eastAsia="Arial" w:hAnsi="Arial" w:cs="Arial"/>
          <w:sz w:val="22"/>
        </w:rPr>
        <w:t xml:space="preserve"> perspective', presented at Creating a Unified Foundation for Sustainable Development: Interdisciplinarity in Research and Education, </w:t>
      </w:r>
      <w:proofErr w:type="spellStart"/>
      <w:r>
        <w:rPr>
          <w:rFonts w:ascii="Arial" w:eastAsia="Arial" w:hAnsi="Arial" w:cs="Arial"/>
          <w:sz w:val="22"/>
        </w:rPr>
        <w:t>Varazdin</w:t>
      </w:r>
      <w:proofErr w:type="spellEnd"/>
      <w:r>
        <w:rPr>
          <w:rFonts w:ascii="Arial" w:eastAsia="Arial" w:hAnsi="Arial" w:cs="Arial"/>
          <w:sz w:val="22"/>
        </w:rPr>
        <w:t>, 4–5 June. Available at: https://www.proquest.com/conference-papers-proceedings/workplace-motivation-across-x-y-z-generations/docview/3076057870</w:t>
      </w:r>
    </w:p>
    <w:p w14:paraId="047DB128"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Matta, R. and El Alam, R. (2023) 'The impact of emotional intelligence on employees' performance and productivity', International Journal of Work Innovation, 4(1), pp. 35–57. Available at: https://doi.org/10.1504/IJWI.2023.130440</w:t>
      </w:r>
    </w:p>
    <w:p w14:paraId="047DB129" w14:textId="77777777" w:rsidR="003F4D6B" w:rsidRDefault="00E56CAB">
      <w:pPr>
        <w:spacing w:after="160" w:line="360" w:lineRule="auto"/>
        <w:ind w:left="720" w:hanging="720"/>
        <w:jc w:val="both"/>
        <w:rPr>
          <w:rFonts w:ascii="Arial" w:hAnsi="Arial" w:cs="Arial"/>
        </w:rPr>
      </w:pPr>
      <w:r>
        <w:rPr>
          <w:rFonts w:ascii="Arial" w:eastAsia="Arial" w:hAnsi="Arial" w:cs="Arial"/>
          <w:sz w:val="22"/>
        </w:rPr>
        <w:lastRenderedPageBreak/>
        <w:t>Mayer, J.D., Caruso, D.R. and Salovey, P. (2016) 'The ability model of emotional intelligence: Principles and updates', Emotion Review, 8(4), pp. 1–11. Available at: https://doi.org/10.1177/1754073916639667</w:t>
      </w:r>
    </w:p>
    <w:p w14:paraId="047DB12A" w14:textId="77777777" w:rsidR="003F4D6B" w:rsidRDefault="00E56CAB">
      <w:pPr>
        <w:spacing w:after="160" w:line="360" w:lineRule="auto"/>
        <w:ind w:left="720" w:hanging="720"/>
        <w:jc w:val="both"/>
        <w:rPr>
          <w:rFonts w:ascii="Arial" w:hAnsi="Arial" w:cs="Arial"/>
        </w:rPr>
      </w:pPr>
      <w:proofErr w:type="spellStart"/>
      <w:r>
        <w:rPr>
          <w:rFonts w:ascii="Arial" w:eastAsia="Arial" w:hAnsi="Arial" w:cs="Arial"/>
          <w:sz w:val="22"/>
        </w:rPr>
        <w:t>Panditharathne</w:t>
      </w:r>
      <w:proofErr w:type="spellEnd"/>
      <w:r>
        <w:rPr>
          <w:rFonts w:ascii="Arial" w:eastAsia="Arial" w:hAnsi="Arial" w:cs="Arial"/>
          <w:sz w:val="22"/>
        </w:rPr>
        <w:t>, P.N.K.W. and Chen, Z. (2021) 'An integrative review on the research progress of mindfulness and its implications at the workplace', Sustainability, 13(24), 13852. Available at: https://doi.org/10.3390/su132413852</w:t>
      </w:r>
    </w:p>
    <w:p w14:paraId="047DB12B"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Salameh-</w:t>
      </w:r>
      <w:proofErr w:type="spellStart"/>
      <w:r>
        <w:rPr>
          <w:rFonts w:ascii="Arial" w:eastAsia="Arial" w:hAnsi="Arial" w:cs="Arial"/>
          <w:sz w:val="22"/>
        </w:rPr>
        <w:t>Ayanian</w:t>
      </w:r>
      <w:proofErr w:type="spellEnd"/>
      <w:r>
        <w:rPr>
          <w:rFonts w:ascii="Arial" w:eastAsia="Arial" w:hAnsi="Arial" w:cs="Arial"/>
          <w:sz w:val="22"/>
        </w:rPr>
        <w:t>, M., Tamer, N. and Jabbour Al Maalouf, N. (2025) 'The importance of emotional intelligence in managers and its impact on employee performance amid turbulent times', Administrative Sciences, 15(8), 300. Available at: https://doi.org/10.3390/admsci15080300</w:t>
      </w:r>
    </w:p>
    <w:p w14:paraId="047DB12C"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Salovey, P. and Mayer, J.D. (1990) 'Emotional intelligence', Imagination, Cognition and Personality, 9(3), pp. 185–211. Available at: https://doi.org/10.2190/DUGG-P24E-52WK-6CDG</w:t>
      </w:r>
    </w:p>
    <w:p w14:paraId="047DB12D" w14:textId="77777777" w:rsidR="003F4D6B" w:rsidRDefault="00E56CAB">
      <w:pPr>
        <w:spacing w:after="160" w:line="360" w:lineRule="auto"/>
        <w:ind w:left="720" w:hanging="720"/>
        <w:jc w:val="both"/>
        <w:rPr>
          <w:rFonts w:ascii="Arial" w:hAnsi="Arial" w:cs="Arial"/>
        </w:rPr>
      </w:pPr>
      <w:r>
        <w:rPr>
          <w:rFonts w:ascii="Arial" w:eastAsia="Arial" w:hAnsi="Arial" w:cs="Arial"/>
          <w:sz w:val="22"/>
        </w:rPr>
        <w:t>Schlegel, K., Mehu, M., van Peer, J.M. and Scherer, K.R. (2018) 'Sense and sensibility: The role of cognitive and emotional intelligence in negotiation', Journal of Research in Personality, 74, pp. 6–15. Available at: https://doi.org/10.1016/j.jrp.2017.12.003</w:t>
      </w:r>
    </w:p>
    <w:p w14:paraId="047DB12E" w14:textId="77777777" w:rsidR="003F4D6B" w:rsidRDefault="00E56CAB">
      <w:pPr>
        <w:spacing w:after="160" w:line="360" w:lineRule="auto"/>
        <w:ind w:left="720" w:hanging="720"/>
        <w:jc w:val="both"/>
        <w:rPr>
          <w:rFonts w:ascii="Arial" w:hAnsi="Arial" w:cs="Arial"/>
        </w:rPr>
      </w:pPr>
      <w:proofErr w:type="spellStart"/>
      <w:r>
        <w:rPr>
          <w:rFonts w:ascii="Arial" w:eastAsia="Arial" w:hAnsi="Arial" w:cs="Arial"/>
          <w:sz w:val="22"/>
        </w:rPr>
        <w:t>Woime</w:t>
      </w:r>
      <w:proofErr w:type="spellEnd"/>
      <w:r>
        <w:rPr>
          <w:rFonts w:ascii="Arial" w:eastAsia="Arial" w:hAnsi="Arial" w:cs="Arial"/>
          <w:sz w:val="22"/>
        </w:rPr>
        <w:t>, A.W. and Shato, G.A. (2025) 'The role of emotional intelligence and conflict management in job satisfaction and teamwork: A systematic review', Public Health Challenges, 4(2), e70054. Available at: https://doi.org/10.1002/puh2.70054</w:t>
      </w:r>
    </w:p>
    <w:sectPr w:rsidR="003F4D6B">
      <w:headerReference w:type="default" r:id="rId6"/>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5BDECC" w14:textId="77777777" w:rsidR="0089297C" w:rsidRDefault="0089297C">
      <w:r>
        <w:separator/>
      </w:r>
    </w:p>
  </w:endnote>
  <w:endnote w:type="continuationSeparator" w:id="0">
    <w:p w14:paraId="33644BFB" w14:textId="77777777" w:rsidR="0089297C" w:rsidRDefault="008929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Geist Fallback">
    <w:altName w:val="Segoe Print"/>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DB134" w14:textId="77777777" w:rsidR="003F4D6B" w:rsidRDefault="00E56CAB">
    <w:pPr>
      <w:jc w:val="center"/>
    </w:pPr>
    <w:r>
      <w:rPr>
        <w:rFonts w:ascii="Arial" w:eastAsia="Arial" w:hAnsi="Arial" w:cs="Arial"/>
        <w:sz w:val="18"/>
        <w:szCs w:val="18"/>
      </w:rPr>
      <w:t xml:space="preserve">Page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F6431A">
      <w:rPr>
        <w:rFonts w:ascii="Arial" w:eastAsia="Arial" w:hAnsi="Arial" w:cs="Arial"/>
        <w:noProof/>
        <w:sz w:val="18"/>
        <w:szCs w:val="18"/>
      </w:rPr>
      <w:t>1</w:t>
    </w:r>
    <w:r>
      <w:rPr>
        <w:rFonts w:ascii="Arial" w:eastAsia="Arial" w:hAnsi="Arial" w:cs="Arial"/>
        <w:sz w:val="18"/>
        <w:szCs w:val="18"/>
      </w:rPr>
      <w:fldChar w:fldCharType="end"/>
    </w:r>
    <w:r>
      <w:rPr>
        <w:rFonts w:ascii="Arial" w:eastAsia="Arial" w:hAnsi="Arial" w:cs="Arial"/>
        <w:sz w:val="18"/>
        <w:szCs w:val="18"/>
      </w:rPr>
      <w:t xml:space="preserve"> of </w:t>
    </w:r>
    <w:r>
      <w:rPr>
        <w:rFonts w:ascii="Arial" w:eastAsia="Arial" w:hAnsi="Arial" w:cs="Arial"/>
        <w:sz w:val="18"/>
        <w:szCs w:val="18"/>
      </w:rPr>
      <w:fldChar w:fldCharType="begin"/>
    </w:r>
    <w:r>
      <w:rPr>
        <w:rFonts w:ascii="Arial" w:eastAsia="Arial" w:hAnsi="Arial" w:cs="Arial"/>
        <w:sz w:val="18"/>
        <w:szCs w:val="18"/>
      </w:rPr>
      <w:instrText>NUMPAGES</w:instrText>
    </w:r>
    <w:r>
      <w:rPr>
        <w:rFonts w:ascii="Arial" w:eastAsia="Arial" w:hAnsi="Arial" w:cs="Arial"/>
        <w:sz w:val="18"/>
        <w:szCs w:val="18"/>
      </w:rPr>
      <w:fldChar w:fldCharType="separate"/>
    </w:r>
    <w:r w:rsidR="00F6431A">
      <w:rPr>
        <w:rFonts w:ascii="Arial" w:eastAsia="Arial" w:hAnsi="Arial" w:cs="Arial"/>
        <w:noProof/>
        <w:sz w:val="18"/>
        <w:szCs w:val="18"/>
      </w:rPr>
      <w:t>2</w:t>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4A425" w14:textId="77777777" w:rsidR="0089297C" w:rsidRDefault="0089297C">
      <w:r>
        <w:separator/>
      </w:r>
    </w:p>
  </w:footnote>
  <w:footnote w:type="continuationSeparator" w:id="0">
    <w:p w14:paraId="42D5B697" w14:textId="77777777" w:rsidR="0089297C" w:rsidRDefault="008929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DB133" w14:textId="77777777" w:rsidR="003F4D6B" w:rsidRDefault="00E56CAB">
    <w:pPr>
      <w:jc w:val="right"/>
    </w:pPr>
    <w:r>
      <w:rPr>
        <w:rFonts w:ascii="Arial" w:eastAsia="Arial" w:hAnsi="Arial" w:cs="Arial"/>
        <w:color w:val="808080"/>
        <w:sz w:val="18"/>
        <w:szCs w:val="18"/>
      </w:rPr>
      <w:t>LCLM5006 – Developing Emotional Intelligence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4D6B"/>
    <w:rsid w:val="00093A71"/>
    <w:rsid w:val="00162D8A"/>
    <w:rsid w:val="00387D27"/>
    <w:rsid w:val="003F4D6B"/>
    <w:rsid w:val="00715CF4"/>
    <w:rsid w:val="0089297C"/>
    <w:rsid w:val="00E22174"/>
    <w:rsid w:val="00E56CAB"/>
    <w:rsid w:val="00F6431A"/>
    <w:rsid w:val="2DB15B07"/>
    <w:rsid w:val="6F9C71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DB0AE"/>
  <w15:docId w15:val="{D01DB0B9-C747-488D-9616-D53373D87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footnote text" w:semiHidden="1" w:uiPriority="99" w:unhideWhenUsed="1" w:qFormat="1"/>
    <w:lsdException w:name="caption" w:semiHidden="1" w:unhideWhenUsed="1" w:qFormat="1"/>
    <w:lsdException w:name="footnote reference" w:semiHidden="1" w:uiPriority="99" w:unhideWhenUsed="1" w:qFormat="1"/>
    <w:lsdException w:name="endnote reference" w:semiHidden="1" w:uiPriority="99" w:unhideWhenUsed="1" w:qFormat="1"/>
    <w:lsdException w:name="endnote text" w:semiHidden="1" w:uiPriority="99" w:unhideWhenUsed="1" w:qFormat="1"/>
    <w:lsdException w:name="Title" w:qFormat="1"/>
    <w:lsdException w:name="Default Paragraph Font" w:semiHidden="1"/>
    <w:lsdException w:name="Subtitle" w:qFormat="1"/>
    <w:lsdException w:name="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1"/>
      <w:szCs w:val="22"/>
    </w:rPr>
  </w:style>
  <w:style w:type="paragraph" w:styleId="Heading1">
    <w:name w:val="heading 1"/>
    <w:next w:val="Normal"/>
    <w:qFormat/>
    <w:pPr>
      <w:outlineLvl w:val="0"/>
    </w:pPr>
    <w:rPr>
      <w:color w:val="2E74B5"/>
      <w:sz w:val="32"/>
      <w:szCs w:val="32"/>
    </w:rPr>
  </w:style>
  <w:style w:type="paragraph" w:styleId="Heading2">
    <w:name w:val="heading 2"/>
    <w:next w:val="Normal"/>
    <w:qFormat/>
    <w:pPr>
      <w:outlineLvl w:val="1"/>
    </w:pPr>
    <w:rPr>
      <w:color w:val="2E74B5"/>
      <w:sz w:val="26"/>
      <w:szCs w:val="26"/>
    </w:rPr>
  </w:style>
  <w:style w:type="paragraph" w:styleId="Heading3">
    <w:name w:val="heading 3"/>
    <w:next w:val="Normal"/>
    <w:qFormat/>
    <w:pPr>
      <w:outlineLvl w:val="2"/>
    </w:pPr>
    <w:rPr>
      <w:color w:val="1F4D78"/>
      <w:sz w:val="24"/>
      <w:szCs w:val="24"/>
    </w:rPr>
  </w:style>
  <w:style w:type="paragraph" w:styleId="Heading4">
    <w:name w:val="heading 4"/>
    <w:next w:val="Normal"/>
    <w:qFormat/>
    <w:pPr>
      <w:outlineLvl w:val="3"/>
    </w:pPr>
    <w:rPr>
      <w:i/>
      <w:iCs/>
      <w:color w:val="2E74B5"/>
      <w:sz w:val="21"/>
      <w:szCs w:val="22"/>
    </w:rPr>
  </w:style>
  <w:style w:type="paragraph" w:styleId="Heading5">
    <w:name w:val="heading 5"/>
    <w:next w:val="Normal"/>
    <w:qFormat/>
    <w:pPr>
      <w:outlineLvl w:val="4"/>
    </w:pPr>
    <w:rPr>
      <w:color w:val="2E74B5"/>
      <w:sz w:val="21"/>
      <w:szCs w:val="22"/>
    </w:rPr>
  </w:style>
  <w:style w:type="paragraph" w:styleId="Heading6">
    <w:name w:val="heading 6"/>
    <w:next w:val="Normal"/>
    <w:qFormat/>
    <w:pPr>
      <w:outlineLvl w:val="5"/>
    </w:pPr>
    <w:rPr>
      <w:color w:val="1F4D78"/>
      <w:sz w:val="21"/>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uiPriority w:val="99"/>
    <w:semiHidden/>
    <w:unhideWhenUsed/>
    <w:qFormat/>
    <w:rPr>
      <w:vertAlign w:val="superscript"/>
    </w:rPr>
  </w:style>
  <w:style w:type="paragraph" w:styleId="EndnoteText">
    <w:name w:val="endnote text"/>
    <w:link w:val="EndnoteTextChar"/>
    <w:uiPriority w:val="99"/>
    <w:semiHidden/>
    <w:unhideWhenUsed/>
    <w:qFormat/>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style>
  <w:style w:type="character" w:styleId="Hyperlink">
    <w:name w:val="Hyperlink"/>
    <w:uiPriority w:val="99"/>
    <w:unhideWhenUsed/>
    <w:rPr>
      <w:color w:val="0563C1"/>
      <w:u w:val="single"/>
    </w:rPr>
  </w:style>
  <w:style w:type="paragraph" w:styleId="Title">
    <w:name w:val="Title"/>
    <w:qFormat/>
    <w:rPr>
      <w:sz w:val="56"/>
      <w:szCs w:val="56"/>
    </w:rPr>
  </w:style>
  <w:style w:type="paragraph" w:styleId="TOC1">
    <w:name w:val="toc 1"/>
    <w:basedOn w:val="Normal"/>
    <w:next w:val="Normal"/>
  </w:style>
  <w:style w:type="paragraph" w:styleId="TOC2">
    <w:name w:val="toc 2"/>
    <w:basedOn w:val="Normal"/>
    <w:next w:val="Normal"/>
    <w:pPr>
      <w:ind w:leftChars="200" w:left="420"/>
    </w:pPr>
  </w:style>
  <w:style w:type="paragraph" w:styleId="ListParagraph">
    <w:name w:val="List Paragraph"/>
    <w:qFormat/>
    <w:rPr>
      <w:sz w:val="21"/>
      <w:szCs w:val="22"/>
    </w:rPr>
  </w:style>
  <w:style w:type="character" w:customStyle="1" w:styleId="FootnoteTextChar">
    <w:name w:val="Footnote Text Char"/>
    <w:link w:val="FootnoteText"/>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12</Pages>
  <Words>4218</Words>
  <Characters>24046</Characters>
  <Application>Microsoft Office Word</Application>
  <DocSecurity>0</DocSecurity>
  <Lines>200</Lines>
  <Paragraphs>56</Paragraphs>
  <ScaleCrop>false</ScaleCrop>
  <Company/>
  <LinksUpToDate>false</LinksUpToDate>
  <CharactersWithSpaces>28208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Mohsin raja</cp:lastModifiedBy>
  <cp:revision>4</cp:revision>
  <dcterms:created xsi:type="dcterms:W3CDTF">2026-07-19T12:56:00Z</dcterms:created>
  <dcterms:modified xsi:type="dcterms:W3CDTF">2026-07-19T13:08:00Z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eyJoZGlkIjoiOWZhNDZmODAyOTBmNDZkYTEzMWMyM2FkOTA5MzQxYTUifQ==</vt:lpwstr>
  </property>
  <property fmtid="{D5CDD505-2E9C-101B-9397-08002B2CF9AE}" pid="3" name="KSOProductBuildVer">
    <vt:lpwstr>1033-12.1.0.26880</vt:lpwstr>
  </property>
  <property fmtid="{D5CDD505-2E9C-101B-9397-08002B2CF9AE}" pid="4" name="ICV">
    <vt:lpwstr>FE9487DFC27D4EA980079E1422B47C3E_13</vt:lpwstr>
  </property>
  <property fmtid="{D5CDD505-2E9C-101B-9397-08002B2CF9AE}" pid="5" name="GrammarlyDocumentId">
    <vt:lpwstr>e1d9156b-fff7-4105-aa4d-4aa636fb8e21</vt:lpwstr>
  </property>
</Properties>
</file>